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88" w:rsidRDefault="00E4500B" w:rsidP="003455D9">
      <w:pPr>
        <w:jc w:val="center"/>
        <w:rPr>
          <w:b/>
          <w:sz w:val="28"/>
          <w:szCs w:val="28"/>
        </w:rPr>
      </w:pPr>
      <w:r>
        <w:rPr>
          <w:b/>
          <w:sz w:val="28"/>
          <w:szCs w:val="28"/>
        </w:rPr>
        <w:t>201</w:t>
      </w:r>
      <w:r w:rsidR="00247771">
        <w:rPr>
          <w:b/>
          <w:sz w:val="28"/>
          <w:szCs w:val="28"/>
        </w:rPr>
        <w:t>4</w:t>
      </w:r>
      <w:r>
        <w:rPr>
          <w:b/>
          <w:sz w:val="28"/>
          <w:szCs w:val="28"/>
        </w:rPr>
        <w:t xml:space="preserve"> SCHOOL/INSTITUTE R&amp;HDC</w:t>
      </w:r>
      <w:r w:rsidR="00F067E6">
        <w:rPr>
          <w:b/>
          <w:sz w:val="28"/>
          <w:szCs w:val="28"/>
        </w:rPr>
        <w:t xml:space="preserve"> </w:t>
      </w:r>
      <w:r w:rsidRPr="00401372">
        <w:rPr>
          <w:b/>
          <w:sz w:val="28"/>
          <w:szCs w:val="28"/>
        </w:rPr>
        <w:t>GOVERNANCE WORKFLOW</w:t>
      </w:r>
    </w:p>
    <w:p w:rsidR="003455D9" w:rsidRPr="003455D9" w:rsidRDefault="003455D9" w:rsidP="003455D9">
      <w:pPr>
        <w:rPr>
          <w:i/>
          <w:color w:val="808080" w:themeColor="background1" w:themeShade="80"/>
        </w:rPr>
      </w:pPr>
      <w:r w:rsidRPr="003455D9">
        <w:rPr>
          <w:i/>
          <w:color w:val="808080" w:themeColor="background1" w:themeShade="80"/>
        </w:rPr>
        <w:t xml:space="preserve">Schools/Institutes to adapt </w:t>
      </w:r>
      <w:r>
        <w:rPr>
          <w:i/>
          <w:color w:val="808080" w:themeColor="background1" w:themeShade="80"/>
        </w:rPr>
        <w:t xml:space="preserve">this template </w:t>
      </w:r>
      <w:r w:rsidRPr="003455D9">
        <w:rPr>
          <w:i/>
          <w:color w:val="808080" w:themeColor="background1" w:themeShade="80"/>
        </w:rPr>
        <w:t>for thei</w:t>
      </w:r>
      <w:r>
        <w:rPr>
          <w:i/>
          <w:color w:val="808080" w:themeColor="background1" w:themeShade="80"/>
        </w:rPr>
        <w:t xml:space="preserve">r </w:t>
      </w:r>
      <w:r w:rsidRPr="003455D9">
        <w:rPr>
          <w:i/>
          <w:color w:val="808080" w:themeColor="background1" w:themeShade="80"/>
        </w:rPr>
        <w:t>own use</w:t>
      </w:r>
    </w:p>
    <w:tbl>
      <w:tblPr>
        <w:tblStyle w:val="TableGrid"/>
        <w:tblW w:w="0" w:type="auto"/>
        <w:tblLook w:val="04A0" w:firstRow="1" w:lastRow="0" w:firstColumn="1" w:lastColumn="0" w:noHBand="0" w:noVBand="1"/>
      </w:tblPr>
      <w:tblGrid>
        <w:gridCol w:w="1526"/>
        <w:gridCol w:w="4630"/>
        <w:gridCol w:w="4630"/>
        <w:gridCol w:w="4631"/>
      </w:tblGrid>
      <w:tr w:rsidR="00F26047" w:rsidRPr="00722888" w:rsidTr="00F26047">
        <w:tc>
          <w:tcPr>
            <w:tcW w:w="1526" w:type="dxa"/>
          </w:tcPr>
          <w:p w:rsidR="00F26047" w:rsidRPr="00722888" w:rsidRDefault="00F26047" w:rsidP="00E4500B">
            <w:pPr>
              <w:spacing w:before="120" w:after="120"/>
            </w:pPr>
          </w:p>
        </w:tc>
        <w:tc>
          <w:tcPr>
            <w:tcW w:w="4630" w:type="dxa"/>
          </w:tcPr>
          <w:p w:rsidR="00F26047" w:rsidRPr="00722888" w:rsidRDefault="00F26047" w:rsidP="00E4500B">
            <w:pPr>
              <w:spacing w:before="120" w:after="120"/>
              <w:rPr>
                <w:b/>
              </w:rPr>
            </w:pPr>
            <w:r w:rsidRPr="00722888">
              <w:rPr>
                <w:b/>
              </w:rPr>
              <w:t xml:space="preserve">Scholarships </w:t>
            </w:r>
            <w:r>
              <w:rPr>
                <w:b/>
              </w:rPr>
              <w:t>&amp; Annual Reports</w:t>
            </w:r>
          </w:p>
        </w:tc>
        <w:tc>
          <w:tcPr>
            <w:tcW w:w="4630" w:type="dxa"/>
          </w:tcPr>
          <w:p w:rsidR="00F26047" w:rsidRDefault="00F26047" w:rsidP="00F47E19">
            <w:pPr>
              <w:spacing w:before="120" w:after="120"/>
              <w:rPr>
                <w:b/>
              </w:rPr>
            </w:pPr>
            <w:r>
              <w:rPr>
                <w:b/>
              </w:rPr>
              <w:t>Strategic</w:t>
            </w:r>
            <w:r w:rsidRPr="00722888">
              <w:rPr>
                <w:rStyle w:val="FootnoteReference"/>
                <w:b/>
              </w:rPr>
              <w:footnoteReference w:id="1"/>
            </w:r>
            <w:r>
              <w:rPr>
                <w:b/>
              </w:rPr>
              <w:t xml:space="preserve"> </w:t>
            </w:r>
            <w:r w:rsidRPr="00443467">
              <w:rPr>
                <w:b/>
                <w:color w:val="FF0000"/>
              </w:rPr>
              <w:t>(School/Inst</w:t>
            </w:r>
            <w:r w:rsidR="00F47E19">
              <w:rPr>
                <w:b/>
                <w:color w:val="FF0000"/>
              </w:rPr>
              <w:t>itute</w:t>
            </w:r>
            <w:r w:rsidRPr="00443467">
              <w:rPr>
                <w:b/>
                <w:color w:val="FF0000"/>
              </w:rPr>
              <w:t xml:space="preserve"> to populate</w:t>
            </w:r>
            <w:r>
              <w:rPr>
                <w:b/>
                <w:color w:val="FF0000"/>
              </w:rPr>
              <w:t xml:space="preserve"> – refer </w:t>
            </w:r>
            <w:r w:rsidR="00F47E19">
              <w:rPr>
                <w:b/>
                <w:color w:val="FF0000"/>
              </w:rPr>
              <w:t>to T</w:t>
            </w:r>
            <w:r>
              <w:rPr>
                <w:b/>
                <w:color w:val="FF0000"/>
              </w:rPr>
              <w:t xml:space="preserve">erms of </w:t>
            </w:r>
            <w:r w:rsidR="00F47E19">
              <w:rPr>
                <w:b/>
                <w:color w:val="FF0000"/>
              </w:rPr>
              <w:t>R</w:t>
            </w:r>
            <w:r>
              <w:rPr>
                <w:b/>
                <w:color w:val="FF0000"/>
              </w:rPr>
              <w:t>eference</w:t>
            </w:r>
            <w:r w:rsidRPr="00443467">
              <w:rPr>
                <w:b/>
                <w:color w:val="FF0000"/>
              </w:rPr>
              <w:t>)</w:t>
            </w:r>
          </w:p>
        </w:tc>
        <w:tc>
          <w:tcPr>
            <w:tcW w:w="4631" w:type="dxa"/>
          </w:tcPr>
          <w:p w:rsidR="00F26047" w:rsidRPr="00722888" w:rsidRDefault="00F26047" w:rsidP="00443467">
            <w:pPr>
              <w:spacing w:before="120" w:after="120"/>
              <w:rPr>
                <w:b/>
              </w:rPr>
            </w:pPr>
            <w:r>
              <w:rPr>
                <w:b/>
              </w:rPr>
              <w:t>Candidature Matters</w:t>
            </w:r>
          </w:p>
        </w:tc>
      </w:tr>
      <w:tr w:rsidR="00F26047" w:rsidRPr="00722888" w:rsidTr="008F70C9">
        <w:trPr>
          <w:trHeight w:val="340"/>
        </w:trPr>
        <w:tc>
          <w:tcPr>
            <w:tcW w:w="1526" w:type="dxa"/>
          </w:tcPr>
          <w:p w:rsidR="00F26047" w:rsidRPr="00722888" w:rsidRDefault="00F26047" w:rsidP="00E4500B">
            <w:pPr>
              <w:rPr>
                <w:b/>
              </w:rPr>
            </w:pPr>
            <w:r w:rsidRPr="00722888">
              <w:rPr>
                <w:b/>
              </w:rPr>
              <w:t>January</w:t>
            </w:r>
          </w:p>
        </w:tc>
        <w:tc>
          <w:tcPr>
            <w:tcW w:w="4630" w:type="dxa"/>
          </w:tcPr>
          <w:p w:rsidR="00F26047" w:rsidRPr="00722888" w:rsidRDefault="00F26047" w:rsidP="00E4500B"/>
        </w:tc>
        <w:tc>
          <w:tcPr>
            <w:tcW w:w="4630" w:type="dxa"/>
          </w:tcPr>
          <w:p w:rsidR="00F26047" w:rsidRDefault="00F26047" w:rsidP="00443467"/>
        </w:tc>
        <w:tc>
          <w:tcPr>
            <w:tcW w:w="4631" w:type="dxa"/>
            <w:vMerge w:val="restart"/>
            <w:vAlign w:val="center"/>
          </w:tcPr>
          <w:p w:rsidR="00F26047" w:rsidRDefault="00F26047" w:rsidP="00443467">
            <w:r>
              <w:t>Candidature Matters are ongoing and should be included in the agenda as required. This includes:</w:t>
            </w:r>
          </w:p>
          <w:p w:rsidR="00F26047" w:rsidRPr="00452202" w:rsidRDefault="00F26047" w:rsidP="00443467">
            <w:pPr>
              <w:pStyle w:val="ListParagraph"/>
              <w:numPr>
                <w:ilvl w:val="0"/>
                <w:numId w:val="3"/>
              </w:numPr>
              <w:rPr>
                <w:rFonts w:cs="Arial"/>
                <w:sz w:val="20"/>
                <w:szCs w:val="20"/>
              </w:rPr>
            </w:pPr>
            <w:r w:rsidRPr="00452202">
              <w:rPr>
                <w:rFonts w:cs="Arial"/>
                <w:sz w:val="20"/>
                <w:szCs w:val="20"/>
              </w:rPr>
              <w:t>Admissions</w:t>
            </w:r>
          </w:p>
          <w:p w:rsidR="00F26047" w:rsidRPr="00452202" w:rsidRDefault="00F26047" w:rsidP="00443467">
            <w:pPr>
              <w:pStyle w:val="ListParagraph"/>
              <w:numPr>
                <w:ilvl w:val="0"/>
                <w:numId w:val="3"/>
              </w:numPr>
              <w:rPr>
                <w:rFonts w:cs="Arial"/>
                <w:sz w:val="20"/>
                <w:szCs w:val="20"/>
              </w:rPr>
            </w:pPr>
            <w:r w:rsidRPr="00452202">
              <w:rPr>
                <w:rFonts w:cs="Arial"/>
                <w:sz w:val="20"/>
                <w:szCs w:val="20"/>
              </w:rPr>
              <w:t>Appointment of examiners</w:t>
            </w:r>
          </w:p>
          <w:p w:rsidR="00F26047" w:rsidRDefault="00F26047" w:rsidP="00443467">
            <w:pPr>
              <w:pStyle w:val="ListParagraph"/>
              <w:numPr>
                <w:ilvl w:val="0"/>
                <w:numId w:val="3"/>
              </w:numPr>
              <w:rPr>
                <w:rFonts w:cs="Arial"/>
                <w:sz w:val="20"/>
                <w:szCs w:val="20"/>
              </w:rPr>
            </w:pPr>
            <w:r w:rsidRPr="00452202">
              <w:rPr>
                <w:rFonts w:cs="Arial"/>
                <w:sz w:val="20"/>
                <w:szCs w:val="20"/>
              </w:rPr>
              <w:t>Examiners Reports</w:t>
            </w:r>
          </w:p>
          <w:p w:rsidR="00F26047" w:rsidRPr="00443467" w:rsidRDefault="00F26047" w:rsidP="00443467">
            <w:pPr>
              <w:pStyle w:val="ListParagraph"/>
              <w:numPr>
                <w:ilvl w:val="0"/>
                <w:numId w:val="3"/>
              </w:numPr>
              <w:rPr>
                <w:rFonts w:cs="Arial"/>
                <w:sz w:val="20"/>
                <w:szCs w:val="20"/>
              </w:rPr>
            </w:pPr>
            <w:r>
              <w:rPr>
                <w:sz w:val="20"/>
                <w:szCs w:val="20"/>
              </w:rPr>
              <w:t>C</w:t>
            </w:r>
            <w:r w:rsidRPr="00452202">
              <w:rPr>
                <w:sz w:val="20"/>
                <w:szCs w:val="20"/>
              </w:rPr>
              <w:t xml:space="preserve">onfirmation of </w:t>
            </w:r>
            <w:r>
              <w:rPr>
                <w:sz w:val="20"/>
                <w:szCs w:val="20"/>
              </w:rPr>
              <w:t>C</w:t>
            </w:r>
            <w:r w:rsidRPr="00452202">
              <w:rPr>
                <w:sz w:val="20"/>
                <w:szCs w:val="20"/>
              </w:rPr>
              <w:t>andidature</w:t>
            </w:r>
          </w:p>
          <w:p w:rsidR="00F26047" w:rsidRPr="00443467" w:rsidRDefault="00F26047" w:rsidP="00443467">
            <w:pPr>
              <w:pStyle w:val="ListParagraph"/>
              <w:numPr>
                <w:ilvl w:val="0"/>
                <w:numId w:val="3"/>
              </w:numPr>
              <w:rPr>
                <w:rFonts w:cs="Arial"/>
                <w:sz w:val="20"/>
                <w:szCs w:val="20"/>
              </w:rPr>
            </w:pPr>
            <w:r w:rsidRPr="00443467">
              <w:rPr>
                <w:sz w:val="20"/>
                <w:szCs w:val="20"/>
              </w:rPr>
              <w:t>Determine activities that must be attended by students</w:t>
            </w:r>
          </w:p>
          <w:p w:rsidR="00F26047" w:rsidRPr="00443467" w:rsidRDefault="00F26047" w:rsidP="00443467"/>
          <w:p w:rsidR="00F26047" w:rsidRPr="00722888" w:rsidRDefault="00F26047" w:rsidP="00443467"/>
        </w:tc>
      </w:tr>
      <w:tr w:rsidR="00F26047" w:rsidRPr="00722888" w:rsidTr="008F70C9">
        <w:trPr>
          <w:trHeight w:val="340"/>
        </w:trPr>
        <w:tc>
          <w:tcPr>
            <w:tcW w:w="1526" w:type="dxa"/>
          </w:tcPr>
          <w:p w:rsidR="00F26047" w:rsidRPr="00722888" w:rsidRDefault="00F26047" w:rsidP="00E4500B">
            <w:pPr>
              <w:rPr>
                <w:b/>
              </w:rPr>
            </w:pPr>
            <w:r w:rsidRPr="00722888">
              <w:rPr>
                <w:b/>
              </w:rPr>
              <w:t>February</w:t>
            </w:r>
          </w:p>
        </w:tc>
        <w:tc>
          <w:tcPr>
            <w:tcW w:w="4630" w:type="dxa"/>
          </w:tcPr>
          <w:p w:rsidR="00F26047" w:rsidRPr="00722888" w:rsidRDefault="00F26047" w:rsidP="00E4500B"/>
        </w:tc>
        <w:tc>
          <w:tcPr>
            <w:tcW w:w="4630" w:type="dxa"/>
          </w:tcPr>
          <w:p w:rsidR="00F26047" w:rsidRPr="00722888" w:rsidRDefault="00F26047" w:rsidP="00443467"/>
        </w:tc>
        <w:tc>
          <w:tcPr>
            <w:tcW w:w="4631" w:type="dxa"/>
            <w:vMerge/>
          </w:tcPr>
          <w:p w:rsidR="00F26047" w:rsidRPr="00722888" w:rsidRDefault="00F26047" w:rsidP="00443467"/>
        </w:tc>
      </w:tr>
      <w:tr w:rsidR="00F26047" w:rsidRPr="00722888" w:rsidTr="008F70C9">
        <w:trPr>
          <w:trHeight w:val="340"/>
        </w:trPr>
        <w:tc>
          <w:tcPr>
            <w:tcW w:w="1526" w:type="dxa"/>
            <w:tcBorders>
              <w:bottom w:val="single" w:sz="4" w:space="0" w:color="auto"/>
            </w:tcBorders>
          </w:tcPr>
          <w:p w:rsidR="00F26047" w:rsidRPr="00722888" w:rsidRDefault="00F26047" w:rsidP="00E4500B">
            <w:pPr>
              <w:rPr>
                <w:b/>
              </w:rPr>
            </w:pPr>
            <w:r w:rsidRPr="00722888">
              <w:rPr>
                <w:b/>
              </w:rPr>
              <w:t>March</w:t>
            </w:r>
          </w:p>
        </w:tc>
        <w:tc>
          <w:tcPr>
            <w:tcW w:w="4630" w:type="dxa"/>
            <w:tcBorders>
              <w:top w:val="single" w:sz="4" w:space="0" w:color="auto"/>
              <w:bottom w:val="single" w:sz="4" w:space="0" w:color="auto"/>
            </w:tcBorders>
          </w:tcPr>
          <w:p w:rsidR="00F26047" w:rsidRPr="00722888" w:rsidRDefault="00F26047" w:rsidP="00E4500B"/>
        </w:tc>
        <w:tc>
          <w:tcPr>
            <w:tcW w:w="4630" w:type="dxa"/>
          </w:tcPr>
          <w:p w:rsidR="00F26047" w:rsidRPr="00722888" w:rsidRDefault="00F26047" w:rsidP="00443467"/>
        </w:tc>
        <w:tc>
          <w:tcPr>
            <w:tcW w:w="4631" w:type="dxa"/>
            <w:vMerge/>
          </w:tcPr>
          <w:p w:rsidR="00F26047" w:rsidRPr="00722888" w:rsidRDefault="00F26047" w:rsidP="00443467"/>
        </w:tc>
      </w:tr>
      <w:tr w:rsidR="00F26047" w:rsidRPr="00722888" w:rsidTr="008F70C9">
        <w:trPr>
          <w:trHeight w:val="340"/>
        </w:trPr>
        <w:tc>
          <w:tcPr>
            <w:tcW w:w="1526" w:type="dxa"/>
          </w:tcPr>
          <w:p w:rsidR="00F26047" w:rsidRPr="00722888" w:rsidRDefault="00F26047" w:rsidP="00E4500B">
            <w:pPr>
              <w:rPr>
                <w:b/>
              </w:rPr>
            </w:pPr>
            <w:r w:rsidRPr="00722888">
              <w:rPr>
                <w:b/>
              </w:rPr>
              <w:t>April</w:t>
            </w:r>
          </w:p>
        </w:tc>
        <w:tc>
          <w:tcPr>
            <w:tcW w:w="4630" w:type="dxa"/>
          </w:tcPr>
          <w:p w:rsidR="00F26047" w:rsidRPr="00722888" w:rsidRDefault="00F26047" w:rsidP="00E4500B"/>
        </w:tc>
        <w:tc>
          <w:tcPr>
            <w:tcW w:w="4630" w:type="dxa"/>
          </w:tcPr>
          <w:p w:rsidR="00F26047" w:rsidRPr="00722888" w:rsidRDefault="00F26047" w:rsidP="00443467"/>
        </w:tc>
        <w:tc>
          <w:tcPr>
            <w:tcW w:w="4631" w:type="dxa"/>
            <w:vMerge/>
          </w:tcPr>
          <w:p w:rsidR="00F26047" w:rsidRPr="00722888" w:rsidRDefault="00F26047" w:rsidP="00443467"/>
        </w:tc>
      </w:tr>
      <w:tr w:rsidR="00F26047" w:rsidRPr="00722888" w:rsidTr="008F70C9">
        <w:trPr>
          <w:trHeight w:val="340"/>
        </w:trPr>
        <w:tc>
          <w:tcPr>
            <w:tcW w:w="1526" w:type="dxa"/>
          </w:tcPr>
          <w:p w:rsidR="00F26047" w:rsidRPr="00722888" w:rsidRDefault="00F26047" w:rsidP="00E4500B">
            <w:pPr>
              <w:rPr>
                <w:b/>
              </w:rPr>
            </w:pPr>
            <w:r w:rsidRPr="00722888">
              <w:rPr>
                <w:b/>
              </w:rPr>
              <w:t>May</w:t>
            </w:r>
          </w:p>
        </w:tc>
        <w:tc>
          <w:tcPr>
            <w:tcW w:w="4630" w:type="dxa"/>
          </w:tcPr>
          <w:p w:rsidR="00F26047" w:rsidRPr="00722888" w:rsidRDefault="00F26047" w:rsidP="00E4500B">
            <w:pPr>
              <w:rPr>
                <w:color w:val="FF0000"/>
              </w:rPr>
            </w:pPr>
          </w:p>
        </w:tc>
        <w:tc>
          <w:tcPr>
            <w:tcW w:w="4630" w:type="dxa"/>
          </w:tcPr>
          <w:p w:rsidR="00F26047" w:rsidRPr="00722888" w:rsidRDefault="00F26047" w:rsidP="00443467">
            <w:pPr>
              <w:rPr>
                <w:color w:val="FF0000"/>
              </w:rPr>
            </w:pPr>
          </w:p>
        </w:tc>
        <w:tc>
          <w:tcPr>
            <w:tcW w:w="4631" w:type="dxa"/>
            <w:vMerge/>
          </w:tcPr>
          <w:p w:rsidR="00F26047" w:rsidRPr="00722888" w:rsidRDefault="00F26047" w:rsidP="00443467">
            <w:pPr>
              <w:rPr>
                <w:color w:val="FF0000"/>
              </w:rPr>
            </w:pPr>
          </w:p>
        </w:tc>
      </w:tr>
      <w:tr w:rsidR="00F26047" w:rsidRPr="00722888" w:rsidTr="008F70C9">
        <w:trPr>
          <w:trHeight w:val="340"/>
        </w:trPr>
        <w:tc>
          <w:tcPr>
            <w:tcW w:w="1526" w:type="dxa"/>
          </w:tcPr>
          <w:p w:rsidR="00F26047" w:rsidRPr="00722888" w:rsidRDefault="00F26047" w:rsidP="00E4500B">
            <w:pPr>
              <w:rPr>
                <w:b/>
              </w:rPr>
            </w:pPr>
            <w:r w:rsidRPr="00722888">
              <w:rPr>
                <w:b/>
              </w:rPr>
              <w:t>June</w:t>
            </w:r>
          </w:p>
        </w:tc>
        <w:tc>
          <w:tcPr>
            <w:tcW w:w="4630" w:type="dxa"/>
          </w:tcPr>
          <w:p w:rsidR="00F26047" w:rsidRPr="00722888" w:rsidRDefault="00F26047" w:rsidP="00E4500B"/>
        </w:tc>
        <w:tc>
          <w:tcPr>
            <w:tcW w:w="4630" w:type="dxa"/>
          </w:tcPr>
          <w:p w:rsidR="00F26047" w:rsidRPr="00722888" w:rsidRDefault="00F26047" w:rsidP="00443467"/>
        </w:tc>
        <w:tc>
          <w:tcPr>
            <w:tcW w:w="4631" w:type="dxa"/>
            <w:vMerge/>
          </w:tcPr>
          <w:p w:rsidR="00F26047" w:rsidRPr="00722888" w:rsidRDefault="00F26047" w:rsidP="00443467"/>
        </w:tc>
      </w:tr>
      <w:tr w:rsidR="00F26047" w:rsidRPr="00722888" w:rsidTr="008F70C9">
        <w:trPr>
          <w:trHeight w:val="340"/>
        </w:trPr>
        <w:tc>
          <w:tcPr>
            <w:tcW w:w="1526" w:type="dxa"/>
          </w:tcPr>
          <w:p w:rsidR="00F26047" w:rsidRPr="00722888" w:rsidRDefault="00F26047" w:rsidP="00E4500B">
            <w:pPr>
              <w:rPr>
                <w:b/>
              </w:rPr>
            </w:pPr>
            <w:r w:rsidRPr="00722888">
              <w:rPr>
                <w:b/>
              </w:rPr>
              <w:t>July</w:t>
            </w:r>
          </w:p>
        </w:tc>
        <w:tc>
          <w:tcPr>
            <w:tcW w:w="4630" w:type="dxa"/>
          </w:tcPr>
          <w:p w:rsidR="00F26047" w:rsidRPr="00722888" w:rsidRDefault="00F26047" w:rsidP="00E4500B">
            <w:r w:rsidRPr="00722888">
              <w:t>Review Annual Reports</w:t>
            </w:r>
          </w:p>
        </w:tc>
        <w:tc>
          <w:tcPr>
            <w:tcW w:w="4630" w:type="dxa"/>
          </w:tcPr>
          <w:p w:rsidR="00F26047" w:rsidRPr="00722888" w:rsidRDefault="00F26047" w:rsidP="00443467">
            <w:pPr>
              <w:rPr>
                <w:rFonts w:eastAsia="Times New Roman"/>
                <w:bCs/>
                <w:lang w:eastAsia="en-AU"/>
              </w:rPr>
            </w:pPr>
          </w:p>
        </w:tc>
        <w:tc>
          <w:tcPr>
            <w:tcW w:w="4631" w:type="dxa"/>
            <w:vMerge/>
          </w:tcPr>
          <w:p w:rsidR="00F26047" w:rsidRPr="00722888" w:rsidRDefault="00F26047" w:rsidP="00443467">
            <w:pPr>
              <w:rPr>
                <w:rFonts w:eastAsia="Times New Roman"/>
                <w:bCs/>
                <w:lang w:eastAsia="en-AU"/>
              </w:rPr>
            </w:pPr>
          </w:p>
        </w:tc>
      </w:tr>
      <w:tr w:rsidR="00F26047" w:rsidRPr="00722888" w:rsidTr="008F70C9">
        <w:trPr>
          <w:trHeight w:val="340"/>
        </w:trPr>
        <w:tc>
          <w:tcPr>
            <w:tcW w:w="1526" w:type="dxa"/>
          </w:tcPr>
          <w:p w:rsidR="00F26047" w:rsidRPr="00722888" w:rsidRDefault="00F26047" w:rsidP="00E4500B">
            <w:pPr>
              <w:rPr>
                <w:b/>
              </w:rPr>
            </w:pPr>
            <w:r w:rsidRPr="00722888">
              <w:rPr>
                <w:b/>
              </w:rPr>
              <w:t>August</w:t>
            </w:r>
          </w:p>
        </w:tc>
        <w:tc>
          <w:tcPr>
            <w:tcW w:w="4630" w:type="dxa"/>
          </w:tcPr>
          <w:p w:rsidR="00F26047" w:rsidRPr="00722888" w:rsidRDefault="00F26047" w:rsidP="00E4500B">
            <w:r w:rsidRPr="00722888">
              <w:t>‘At risk’ student list to APVCR</w:t>
            </w:r>
          </w:p>
        </w:tc>
        <w:tc>
          <w:tcPr>
            <w:tcW w:w="4630" w:type="dxa"/>
          </w:tcPr>
          <w:p w:rsidR="00F26047" w:rsidRPr="00722888" w:rsidRDefault="00F26047" w:rsidP="00443467"/>
        </w:tc>
        <w:tc>
          <w:tcPr>
            <w:tcW w:w="4631" w:type="dxa"/>
            <w:vMerge/>
          </w:tcPr>
          <w:p w:rsidR="00F26047" w:rsidRPr="00722888" w:rsidRDefault="00F26047" w:rsidP="00443467"/>
        </w:tc>
      </w:tr>
      <w:tr w:rsidR="00F26047" w:rsidRPr="00722888" w:rsidTr="008F70C9">
        <w:trPr>
          <w:trHeight w:val="340"/>
        </w:trPr>
        <w:tc>
          <w:tcPr>
            <w:tcW w:w="1526" w:type="dxa"/>
          </w:tcPr>
          <w:p w:rsidR="00F26047" w:rsidRPr="00722888" w:rsidRDefault="00F26047" w:rsidP="00E4500B">
            <w:pPr>
              <w:rPr>
                <w:b/>
              </w:rPr>
            </w:pPr>
            <w:r w:rsidRPr="00722888">
              <w:rPr>
                <w:b/>
              </w:rPr>
              <w:t>September</w:t>
            </w:r>
          </w:p>
        </w:tc>
        <w:tc>
          <w:tcPr>
            <w:tcW w:w="4630" w:type="dxa"/>
          </w:tcPr>
          <w:p w:rsidR="00F26047" w:rsidRPr="00722888" w:rsidRDefault="00F26047" w:rsidP="00E4500B">
            <w:r w:rsidRPr="00722888">
              <w:t>Assess IPRS and recommend to October Research Committee</w:t>
            </w:r>
          </w:p>
        </w:tc>
        <w:tc>
          <w:tcPr>
            <w:tcW w:w="4630" w:type="dxa"/>
          </w:tcPr>
          <w:p w:rsidR="00F26047" w:rsidRPr="00722888" w:rsidRDefault="00F26047" w:rsidP="00443467"/>
        </w:tc>
        <w:tc>
          <w:tcPr>
            <w:tcW w:w="4631" w:type="dxa"/>
            <w:vMerge/>
          </w:tcPr>
          <w:p w:rsidR="00F26047" w:rsidRPr="00722888" w:rsidRDefault="00F26047" w:rsidP="00443467"/>
        </w:tc>
      </w:tr>
      <w:tr w:rsidR="00F26047" w:rsidRPr="00722888" w:rsidTr="008F70C9">
        <w:trPr>
          <w:trHeight w:val="340"/>
        </w:trPr>
        <w:tc>
          <w:tcPr>
            <w:tcW w:w="1526" w:type="dxa"/>
          </w:tcPr>
          <w:p w:rsidR="00F26047" w:rsidRPr="00722888" w:rsidRDefault="00F26047" w:rsidP="00E4500B">
            <w:pPr>
              <w:rPr>
                <w:b/>
              </w:rPr>
            </w:pPr>
            <w:r w:rsidRPr="00722888">
              <w:rPr>
                <w:b/>
              </w:rPr>
              <w:t>October</w:t>
            </w:r>
          </w:p>
        </w:tc>
        <w:tc>
          <w:tcPr>
            <w:tcW w:w="4630" w:type="dxa"/>
          </w:tcPr>
          <w:p w:rsidR="00F26047" w:rsidRPr="00722888" w:rsidRDefault="00F26047" w:rsidP="00E4500B"/>
        </w:tc>
        <w:tc>
          <w:tcPr>
            <w:tcW w:w="4630" w:type="dxa"/>
          </w:tcPr>
          <w:p w:rsidR="00F26047" w:rsidRPr="00722888" w:rsidRDefault="00F26047" w:rsidP="00443467">
            <w:pPr>
              <w:rPr>
                <w:color w:val="FF0000"/>
              </w:rPr>
            </w:pPr>
          </w:p>
        </w:tc>
        <w:tc>
          <w:tcPr>
            <w:tcW w:w="4631" w:type="dxa"/>
            <w:vMerge/>
          </w:tcPr>
          <w:p w:rsidR="00F26047" w:rsidRPr="00722888" w:rsidRDefault="00F26047" w:rsidP="00443467">
            <w:pPr>
              <w:rPr>
                <w:color w:val="FF0000"/>
              </w:rPr>
            </w:pPr>
          </w:p>
        </w:tc>
      </w:tr>
      <w:tr w:rsidR="00F26047" w:rsidRPr="00722888" w:rsidTr="008F70C9">
        <w:trPr>
          <w:trHeight w:val="340"/>
        </w:trPr>
        <w:tc>
          <w:tcPr>
            <w:tcW w:w="1526" w:type="dxa"/>
          </w:tcPr>
          <w:p w:rsidR="00F26047" w:rsidRPr="00722888" w:rsidRDefault="00F26047" w:rsidP="00E4500B">
            <w:pPr>
              <w:rPr>
                <w:b/>
              </w:rPr>
            </w:pPr>
            <w:r w:rsidRPr="00722888">
              <w:rPr>
                <w:b/>
              </w:rPr>
              <w:t>November</w:t>
            </w:r>
          </w:p>
        </w:tc>
        <w:tc>
          <w:tcPr>
            <w:tcW w:w="4630" w:type="dxa"/>
          </w:tcPr>
          <w:p w:rsidR="00F26047" w:rsidRPr="00722888" w:rsidRDefault="00F26047" w:rsidP="00E4500B">
            <w:pPr>
              <w:rPr>
                <w:color w:val="FF0000"/>
              </w:rPr>
            </w:pPr>
            <w:r w:rsidRPr="00722888">
              <w:t>Assess APA application</w:t>
            </w:r>
            <w:r w:rsidR="00247771">
              <w:t>s (special meeting between 17-28</w:t>
            </w:r>
            <w:bookmarkStart w:id="0" w:name="_GoBack"/>
            <w:bookmarkEnd w:id="0"/>
            <w:r w:rsidRPr="00722888">
              <w:t xml:space="preserve"> Nov) and </w:t>
            </w:r>
            <w:r w:rsidRPr="00443467">
              <w:t>recommend to Research Committee Panel</w:t>
            </w:r>
          </w:p>
        </w:tc>
        <w:tc>
          <w:tcPr>
            <w:tcW w:w="4630" w:type="dxa"/>
          </w:tcPr>
          <w:p w:rsidR="00F26047" w:rsidRPr="00722888" w:rsidRDefault="00F26047" w:rsidP="00443467">
            <w:pPr>
              <w:rPr>
                <w:rFonts w:eastAsia="Times New Roman"/>
                <w:bCs/>
                <w:lang w:eastAsia="en-AU"/>
              </w:rPr>
            </w:pPr>
          </w:p>
        </w:tc>
        <w:tc>
          <w:tcPr>
            <w:tcW w:w="4631" w:type="dxa"/>
            <w:vMerge/>
          </w:tcPr>
          <w:p w:rsidR="00F26047" w:rsidRPr="00722888" w:rsidRDefault="00F26047" w:rsidP="00443467">
            <w:pPr>
              <w:rPr>
                <w:rFonts w:eastAsia="Times New Roman"/>
                <w:bCs/>
                <w:lang w:eastAsia="en-AU"/>
              </w:rPr>
            </w:pPr>
          </w:p>
        </w:tc>
      </w:tr>
      <w:tr w:rsidR="00F26047" w:rsidRPr="00722888" w:rsidTr="008F70C9">
        <w:trPr>
          <w:trHeight w:val="340"/>
        </w:trPr>
        <w:tc>
          <w:tcPr>
            <w:tcW w:w="1526" w:type="dxa"/>
          </w:tcPr>
          <w:p w:rsidR="00F26047" w:rsidRPr="00722888" w:rsidRDefault="00F26047" w:rsidP="00E4500B">
            <w:pPr>
              <w:rPr>
                <w:b/>
              </w:rPr>
            </w:pPr>
            <w:r w:rsidRPr="00722888">
              <w:rPr>
                <w:b/>
              </w:rPr>
              <w:t>December</w:t>
            </w:r>
          </w:p>
        </w:tc>
        <w:tc>
          <w:tcPr>
            <w:tcW w:w="4630" w:type="dxa"/>
          </w:tcPr>
          <w:p w:rsidR="00F26047" w:rsidRPr="00E6295B" w:rsidRDefault="00F26047" w:rsidP="00E4500B">
            <w:pPr>
              <w:rPr>
                <w:color w:val="FF0000"/>
              </w:rPr>
            </w:pPr>
          </w:p>
        </w:tc>
        <w:tc>
          <w:tcPr>
            <w:tcW w:w="4630" w:type="dxa"/>
          </w:tcPr>
          <w:p w:rsidR="00F26047" w:rsidRPr="00722888" w:rsidRDefault="00F26047" w:rsidP="00443467"/>
        </w:tc>
        <w:tc>
          <w:tcPr>
            <w:tcW w:w="4631" w:type="dxa"/>
            <w:vMerge/>
          </w:tcPr>
          <w:p w:rsidR="00F26047" w:rsidRPr="00722888" w:rsidRDefault="00F26047" w:rsidP="00443467"/>
        </w:tc>
      </w:tr>
    </w:tbl>
    <w:p w:rsidR="003455D9" w:rsidRDefault="003455D9" w:rsidP="003455D9">
      <w:pPr>
        <w:spacing w:after="0"/>
        <w:rPr>
          <w:b/>
        </w:rPr>
      </w:pPr>
    </w:p>
    <w:p w:rsidR="00F26047" w:rsidRPr="00F26047" w:rsidRDefault="003455D9" w:rsidP="00F26047">
      <w:pPr>
        <w:rPr>
          <w:b/>
        </w:rPr>
      </w:pPr>
      <w:r>
        <w:rPr>
          <w:b/>
        </w:rPr>
        <w:t>Other i</w:t>
      </w:r>
      <w:r w:rsidR="00F26047" w:rsidRPr="00F26047">
        <w:rPr>
          <w:b/>
        </w:rPr>
        <w:t xml:space="preserve">tems from Terms of Reference to include in your School/Institute </w:t>
      </w:r>
      <w:r w:rsidR="00F26047">
        <w:rPr>
          <w:b/>
        </w:rPr>
        <w:t xml:space="preserve">Governance Workflow </w:t>
      </w:r>
      <w:r w:rsidR="00F26047" w:rsidRPr="00F26047">
        <w:rPr>
          <w:b/>
        </w:rPr>
        <w:t>Calendar</w:t>
      </w:r>
    </w:p>
    <w:p w:rsidR="00F26047" w:rsidRPr="00F26047" w:rsidRDefault="00F26047" w:rsidP="00F26047">
      <w:pPr>
        <w:pStyle w:val="ListParagraph"/>
        <w:numPr>
          <w:ilvl w:val="0"/>
          <w:numId w:val="1"/>
        </w:numPr>
        <w:spacing w:after="120"/>
        <w:rPr>
          <w:rFonts w:cs="Arial"/>
          <w:sz w:val="20"/>
          <w:szCs w:val="20"/>
        </w:rPr>
      </w:pPr>
      <w:r w:rsidRPr="00F26047">
        <w:rPr>
          <w:rFonts w:cs="Arial"/>
          <w:sz w:val="20"/>
          <w:szCs w:val="20"/>
        </w:rPr>
        <w:t>Regularly review the research profile of the School, identify key research areas and research links with external agencies and industry for development in the School and provide advice to the Academic Senate Research Committee and Research Studies Committee regarding such development, and to the Deputy Vice-Chancellor (Research);</w:t>
      </w:r>
    </w:p>
    <w:p w:rsidR="00E4500B" w:rsidRPr="00F26047" w:rsidRDefault="00F26047" w:rsidP="00F26047">
      <w:pPr>
        <w:pStyle w:val="ListParagraph"/>
        <w:numPr>
          <w:ilvl w:val="0"/>
          <w:numId w:val="1"/>
        </w:numPr>
        <w:spacing w:after="120"/>
        <w:rPr>
          <w:rFonts w:cs="Arial"/>
          <w:sz w:val="20"/>
          <w:szCs w:val="20"/>
        </w:rPr>
      </w:pPr>
      <w:r w:rsidRPr="00F26047">
        <w:rPr>
          <w:rFonts w:cs="Arial"/>
          <w:sz w:val="20"/>
          <w:szCs w:val="20"/>
        </w:rPr>
        <w:t>Monitor research performance in the School against performance indicators in the University's and the School's Academic and Research Management Plans and provide related analysis to the School and to Academic Senate's Research Committee and its Research Studies Committee, and to the Deputy Vice-Chancellor (Research);</w:t>
      </w:r>
    </w:p>
    <w:p w:rsidR="00722888" w:rsidRPr="00F26047" w:rsidRDefault="00722888" w:rsidP="00F26047">
      <w:pPr>
        <w:pStyle w:val="ListParagraph"/>
        <w:numPr>
          <w:ilvl w:val="0"/>
          <w:numId w:val="1"/>
        </w:numPr>
        <w:spacing w:after="120"/>
        <w:rPr>
          <w:rFonts w:cs="Arial"/>
          <w:sz w:val="20"/>
          <w:szCs w:val="20"/>
        </w:rPr>
      </w:pPr>
      <w:r w:rsidRPr="00F26047">
        <w:rPr>
          <w:sz w:val="20"/>
          <w:szCs w:val="20"/>
        </w:rPr>
        <w:t xml:space="preserve">Consider and </w:t>
      </w:r>
      <w:proofErr w:type="gramStart"/>
      <w:r w:rsidRPr="00F26047">
        <w:rPr>
          <w:sz w:val="20"/>
          <w:szCs w:val="20"/>
        </w:rPr>
        <w:t>advise</w:t>
      </w:r>
      <w:proofErr w:type="gramEnd"/>
      <w:r w:rsidRPr="00F26047">
        <w:rPr>
          <w:sz w:val="20"/>
          <w:szCs w:val="20"/>
        </w:rPr>
        <w:t xml:space="preserve"> on matters referred to it by the Dean; this may include matters that are related to the allocation of resources for research.</w:t>
      </w:r>
    </w:p>
    <w:p w:rsidR="00722888" w:rsidRPr="00F26047" w:rsidRDefault="00722888" w:rsidP="00722888">
      <w:pPr>
        <w:pStyle w:val="ListParagraph"/>
        <w:numPr>
          <w:ilvl w:val="0"/>
          <w:numId w:val="1"/>
        </w:numPr>
        <w:spacing w:after="120"/>
        <w:rPr>
          <w:sz w:val="20"/>
          <w:szCs w:val="20"/>
        </w:rPr>
      </w:pPr>
      <w:r w:rsidRPr="00F26047">
        <w:rPr>
          <w:sz w:val="20"/>
          <w:szCs w:val="20"/>
        </w:rPr>
        <w:t>Provide advice and make recommendations to the Academic Senate's Research Committee and Research Studies Committee regarding the development of good practice in research and research training in the schools, and other research entities of the School;</w:t>
      </w:r>
    </w:p>
    <w:p w:rsidR="00E4500B" w:rsidRPr="008F70C9" w:rsidRDefault="00722888" w:rsidP="008F70C9">
      <w:pPr>
        <w:pStyle w:val="ListParagraph"/>
        <w:numPr>
          <w:ilvl w:val="0"/>
          <w:numId w:val="1"/>
        </w:numPr>
        <w:spacing w:after="120"/>
        <w:rPr>
          <w:sz w:val="20"/>
          <w:szCs w:val="20"/>
        </w:rPr>
      </w:pPr>
      <w:r w:rsidRPr="00F26047">
        <w:rPr>
          <w:sz w:val="20"/>
          <w:szCs w:val="20"/>
        </w:rPr>
        <w:t>As required by the School Academic Committee, or its Executive Committee, provide advice to those Committees about proposals for new and amended higher degree programs and associated units;</w:t>
      </w:r>
    </w:p>
    <w:sectPr w:rsidR="00E4500B" w:rsidRPr="008F70C9" w:rsidSect="00F2604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467" w:rsidRDefault="00443467" w:rsidP="00E4500B">
      <w:pPr>
        <w:spacing w:after="0" w:line="240" w:lineRule="auto"/>
      </w:pPr>
      <w:r>
        <w:separator/>
      </w:r>
    </w:p>
  </w:endnote>
  <w:endnote w:type="continuationSeparator" w:id="0">
    <w:p w:rsidR="00443467" w:rsidRDefault="00443467" w:rsidP="00E4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5F" w:rsidRPr="001A5D85" w:rsidRDefault="00247771" w:rsidP="00A13F5F">
    <w:pPr>
      <w:pStyle w:val="Footer"/>
      <w:jc w:val="right"/>
      <w:rPr>
        <w:sz w:val="18"/>
        <w:szCs w:val="18"/>
      </w:rPr>
    </w:pPr>
    <w:r>
      <w:rPr>
        <w:sz w:val="18"/>
        <w:szCs w:val="18"/>
      </w:rPr>
      <w:t>Governance Workflow – R&amp;HDC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467" w:rsidRDefault="00443467" w:rsidP="00E4500B">
      <w:pPr>
        <w:spacing w:after="0" w:line="240" w:lineRule="auto"/>
      </w:pPr>
      <w:r>
        <w:separator/>
      </w:r>
    </w:p>
  </w:footnote>
  <w:footnote w:type="continuationSeparator" w:id="0">
    <w:p w:rsidR="00443467" w:rsidRDefault="00443467" w:rsidP="00E4500B">
      <w:pPr>
        <w:spacing w:after="0" w:line="240" w:lineRule="auto"/>
      </w:pPr>
      <w:r>
        <w:continuationSeparator/>
      </w:r>
    </w:p>
  </w:footnote>
  <w:footnote w:id="1">
    <w:p w:rsidR="00F26047" w:rsidRPr="0029107B" w:rsidRDefault="00F26047" w:rsidP="00443467">
      <w:pPr>
        <w:pStyle w:val="FootnoteText"/>
        <w:rPr>
          <w:i/>
        </w:rPr>
      </w:pPr>
      <w:r>
        <w:rPr>
          <w:rStyle w:val="FootnoteReference"/>
        </w:rPr>
        <w:footnoteRef/>
      </w:r>
      <w:r>
        <w:t xml:space="preserve"> </w:t>
      </w:r>
      <w:r>
        <w:rPr>
          <w:i/>
        </w:rPr>
        <w:t xml:space="preserve">Refer to </w:t>
      </w:r>
      <w:hyperlink r:id="rId1" w:history="1">
        <w:r w:rsidR="007A5663">
          <w:rPr>
            <w:rStyle w:val="Hyperlink"/>
            <w:i/>
          </w:rPr>
          <w:t>School Research and Higher Degrees Committees Terms of Reference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622B"/>
    <w:multiLevelType w:val="hybridMultilevel"/>
    <w:tmpl w:val="CBA64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5ED0E6A"/>
    <w:multiLevelType w:val="hybridMultilevel"/>
    <w:tmpl w:val="54468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BB53055"/>
    <w:multiLevelType w:val="hybridMultilevel"/>
    <w:tmpl w:val="1DFCD7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0B"/>
    <w:rsid w:val="00053783"/>
    <w:rsid w:val="00063F7E"/>
    <w:rsid w:val="001169ED"/>
    <w:rsid w:val="001A5D85"/>
    <w:rsid w:val="00233A66"/>
    <w:rsid w:val="00247771"/>
    <w:rsid w:val="00251377"/>
    <w:rsid w:val="002B4C94"/>
    <w:rsid w:val="002C2E17"/>
    <w:rsid w:val="00340C4D"/>
    <w:rsid w:val="003455D9"/>
    <w:rsid w:val="003A67CD"/>
    <w:rsid w:val="003E1C94"/>
    <w:rsid w:val="00443467"/>
    <w:rsid w:val="00452202"/>
    <w:rsid w:val="00502B25"/>
    <w:rsid w:val="006A4371"/>
    <w:rsid w:val="006D605A"/>
    <w:rsid w:val="00722888"/>
    <w:rsid w:val="00730985"/>
    <w:rsid w:val="007A5663"/>
    <w:rsid w:val="007E58E7"/>
    <w:rsid w:val="00846A2C"/>
    <w:rsid w:val="0086695A"/>
    <w:rsid w:val="008F70C9"/>
    <w:rsid w:val="00A13F5F"/>
    <w:rsid w:val="00A2371B"/>
    <w:rsid w:val="00B638DB"/>
    <w:rsid w:val="00C16EBD"/>
    <w:rsid w:val="00CD1FF8"/>
    <w:rsid w:val="00D40C56"/>
    <w:rsid w:val="00E4500B"/>
    <w:rsid w:val="00E6295B"/>
    <w:rsid w:val="00E9650A"/>
    <w:rsid w:val="00F067E6"/>
    <w:rsid w:val="00F26047"/>
    <w:rsid w:val="00F47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00B"/>
    <w:pPr>
      <w:spacing w:after="0" w:line="240" w:lineRule="auto"/>
    </w:pPr>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4500B"/>
    <w:pPr>
      <w:spacing w:after="0" w:line="240" w:lineRule="auto"/>
    </w:pPr>
    <w:rPr>
      <w:rFonts w:cs="Arial"/>
      <w:sz w:val="20"/>
      <w:szCs w:val="20"/>
    </w:rPr>
  </w:style>
  <w:style w:type="character" w:customStyle="1" w:styleId="FootnoteTextChar">
    <w:name w:val="Footnote Text Char"/>
    <w:basedOn w:val="DefaultParagraphFont"/>
    <w:link w:val="FootnoteText"/>
    <w:uiPriority w:val="99"/>
    <w:semiHidden/>
    <w:rsid w:val="00E4500B"/>
    <w:rPr>
      <w:rFonts w:cs="Arial"/>
      <w:sz w:val="20"/>
      <w:szCs w:val="20"/>
    </w:rPr>
  </w:style>
  <w:style w:type="character" w:styleId="FootnoteReference">
    <w:name w:val="footnote reference"/>
    <w:basedOn w:val="DefaultParagraphFont"/>
    <w:uiPriority w:val="99"/>
    <w:unhideWhenUsed/>
    <w:rsid w:val="00E4500B"/>
    <w:rPr>
      <w:vertAlign w:val="superscript"/>
    </w:rPr>
  </w:style>
  <w:style w:type="character" w:styleId="Hyperlink">
    <w:name w:val="Hyperlink"/>
    <w:basedOn w:val="DefaultParagraphFont"/>
    <w:uiPriority w:val="99"/>
    <w:unhideWhenUsed/>
    <w:rsid w:val="00E4500B"/>
    <w:rPr>
      <w:color w:val="0000FF" w:themeColor="hyperlink"/>
      <w:u w:val="single"/>
    </w:rPr>
  </w:style>
  <w:style w:type="paragraph" w:styleId="ListParagraph">
    <w:name w:val="List Paragraph"/>
    <w:basedOn w:val="Normal"/>
    <w:uiPriority w:val="34"/>
    <w:qFormat/>
    <w:rsid w:val="00722888"/>
    <w:pPr>
      <w:spacing w:after="0" w:line="240" w:lineRule="auto"/>
      <w:ind w:left="720"/>
      <w:contextualSpacing/>
    </w:pPr>
    <w:rPr>
      <w:rFonts w:eastAsia="Times New Roman" w:cs="Times New Roman"/>
      <w:sz w:val="24"/>
      <w:szCs w:val="24"/>
    </w:rPr>
  </w:style>
  <w:style w:type="paragraph" w:styleId="Header">
    <w:name w:val="header"/>
    <w:basedOn w:val="Normal"/>
    <w:link w:val="HeaderChar"/>
    <w:uiPriority w:val="99"/>
    <w:unhideWhenUsed/>
    <w:rsid w:val="00A13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F5F"/>
  </w:style>
  <w:style w:type="paragraph" w:styleId="Footer">
    <w:name w:val="footer"/>
    <w:basedOn w:val="Normal"/>
    <w:link w:val="FooterChar"/>
    <w:uiPriority w:val="99"/>
    <w:unhideWhenUsed/>
    <w:rsid w:val="00A13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F5F"/>
  </w:style>
  <w:style w:type="paragraph" w:styleId="BalloonText">
    <w:name w:val="Balloon Text"/>
    <w:basedOn w:val="Normal"/>
    <w:link w:val="BalloonTextChar"/>
    <w:uiPriority w:val="99"/>
    <w:semiHidden/>
    <w:unhideWhenUsed/>
    <w:rsid w:val="008F7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C9"/>
    <w:rPr>
      <w:rFonts w:ascii="Tahoma" w:hAnsi="Tahoma" w:cs="Tahoma"/>
      <w:sz w:val="16"/>
      <w:szCs w:val="16"/>
    </w:rPr>
  </w:style>
  <w:style w:type="character" w:styleId="FollowedHyperlink">
    <w:name w:val="FollowedHyperlink"/>
    <w:basedOn w:val="DefaultParagraphFont"/>
    <w:uiPriority w:val="99"/>
    <w:semiHidden/>
    <w:unhideWhenUsed/>
    <w:rsid w:val="00F47E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00B"/>
    <w:pPr>
      <w:spacing w:after="0" w:line="240" w:lineRule="auto"/>
    </w:pPr>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4500B"/>
    <w:pPr>
      <w:spacing w:after="0" w:line="240" w:lineRule="auto"/>
    </w:pPr>
    <w:rPr>
      <w:rFonts w:cs="Arial"/>
      <w:sz w:val="20"/>
      <w:szCs w:val="20"/>
    </w:rPr>
  </w:style>
  <w:style w:type="character" w:customStyle="1" w:styleId="FootnoteTextChar">
    <w:name w:val="Footnote Text Char"/>
    <w:basedOn w:val="DefaultParagraphFont"/>
    <w:link w:val="FootnoteText"/>
    <w:uiPriority w:val="99"/>
    <w:semiHidden/>
    <w:rsid w:val="00E4500B"/>
    <w:rPr>
      <w:rFonts w:cs="Arial"/>
      <w:sz w:val="20"/>
      <w:szCs w:val="20"/>
    </w:rPr>
  </w:style>
  <w:style w:type="character" w:styleId="FootnoteReference">
    <w:name w:val="footnote reference"/>
    <w:basedOn w:val="DefaultParagraphFont"/>
    <w:uiPriority w:val="99"/>
    <w:unhideWhenUsed/>
    <w:rsid w:val="00E4500B"/>
    <w:rPr>
      <w:vertAlign w:val="superscript"/>
    </w:rPr>
  </w:style>
  <w:style w:type="character" w:styleId="Hyperlink">
    <w:name w:val="Hyperlink"/>
    <w:basedOn w:val="DefaultParagraphFont"/>
    <w:uiPriority w:val="99"/>
    <w:unhideWhenUsed/>
    <w:rsid w:val="00E4500B"/>
    <w:rPr>
      <w:color w:val="0000FF" w:themeColor="hyperlink"/>
      <w:u w:val="single"/>
    </w:rPr>
  </w:style>
  <w:style w:type="paragraph" w:styleId="ListParagraph">
    <w:name w:val="List Paragraph"/>
    <w:basedOn w:val="Normal"/>
    <w:uiPriority w:val="34"/>
    <w:qFormat/>
    <w:rsid w:val="00722888"/>
    <w:pPr>
      <w:spacing w:after="0" w:line="240" w:lineRule="auto"/>
      <w:ind w:left="720"/>
      <w:contextualSpacing/>
    </w:pPr>
    <w:rPr>
      <w:rFonts w:eastAsia="Times New Roman" w:cs="Times New Roman"/>
      <w:sz w:val="24"/>
      <w:szCs w:val="24"/>
    </w:rPr>
  </w:style>
  <w:style w:type="paragraph" w:styleId="Header">
    <w:name w:val="header"/>
    <w:basedOn w:val="Normal"/>
    <w:link w:val="HeaderChar"/>
    <w:uiPriority w:val="99"/>
    <w:unhideWhenUsed/>
    <w:rsid w:val="00A13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F5F"/>
  </w:style>
  <w:style w:type="paragraph" w:styleId="Footer">
    <w:name w:val="footer"/>
    <w:basedOn w:val="Normal"/>
    <w:link w:val="FooterChar"/>
    <w:uiPriority w:val="99"/>
    <w:unhideWhenUsed/>
    <w:rsid w:val="00A13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F5F"/>
  </w:style>
  <w:style w:type="paragraph" w:styleId="BalloonText">
    <w:name w:val="Balloon Text"/>
    <w:basedOn w:val="Normal"/>
    <w:link w:val="BalloonTextChar"/>
    <w:uiPriority w:val="99"/>
    <w:semiHidden/>
    <w:unhideWhenUsed/>
    <w:rsid w:val="008F7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C9"/>
    <w:rPr>
      <w:rFonts w:ascii="Tahoma" w:hAnsi="Tahoma" w:cs="Tahoma"/>
      <w:sz w:val="16"/>
      <w:szCs w:val="16"/>
    </w:rPr>
  </w:style>
  <w:style w:type="character" w:styleId="FollowedHyperlink">
    <w:name w:val="FollowedHyperlink"/>
    <w:basedOn w:val="DefaultParagraphFont"/>
    <w:uiPriority w:val="99"/>
    <w:semiHidden/>
    <w:unhideWhenUsed/>
    <w:rsid w:val="00F47E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ogincms.uws.edu.au/about_uws/uws/academic_senate/academic_senate_standing_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Fitzgibbon</dc:creator>
  <cp:lastModifiedBy>Diana Camilleri</cp:lastModifiedBy>
  <cp:revision>2</cp:revision>
  <cp:lastPrinted>2013-08-19T05:09:00Z</cp:lastPrinted>
  <dcterms:created xsi:type="dcterms:W3CDTF">2014-03-19T02:23:00Z</dcterms:created>
  <dcterms:modified xsi:type="dcterms:W3CDTF">2014-03-19T02:23:00Z</dcterms:modified>
</cp:coreProperties>
</file>