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32DF27" w14:textId="4CDB1948" w:rsidR="00147196" w:rsidRPr="006613D9" w:rsidRDefault="00393BCD" w:rsidP="008E1481">
      <w:pPr>
        <w:spacing w:after="120" w:line="276" w:lineRule="auto"/>
        <w:rPr>
          <w:b/>
          <w:bCs/>
          <w:sz w:val="28"/>
          <w:szCs w:val="28"/>
        </w:rPr>
      </w:pPr>
      <w:r w:rsidRPr="006613D9">
        <w:rPr>
          <w:b/>
          <w:bCs/>
          <w:sz w:val="28"/>
          <w:szCs w:val="28"/>
        </w:rPr>
        <w:t>Mapping your Evidence</w:t>
      </w:r>
      <w:r w:rsidR="004C1346" w:rsidRPr="006613D9">
        <w:rPr>
          <w:b/>
          <w:bCs/>
          <w:sz w:val="28"/>
          <w:szCs w:val="28"/>
        </w:rPr>
        <w:t xml:space="preserve"> for Internal T&amp;L Citations</w:t>
      </w:r>
    </w:p>
    <w:p w14:paraId="55857907" w14:textId="32877BF0" w:rsidR="003D5F3C" w:rsidRDefault="008E1481" w:rsidP="008E1481">
      <w:pPr>
        <w:spacing w:after="120" w:line="276" w:lineRule="auto"/>
      </w:pPr>
      <w:r>
        <w:t>This tool is designed to assist you think through your choices regarding which criterion to apply for (if you are applying for a Citation), and what types of evidence you have and how they might support your case.</w:t>
      </w:r>
    </w:p>
    <w:p w14:paraId="12AA716B" w14:textId="0D216846" w:rsidR="008E1481" w:rsidRDefault="008E1481" w:rsidP="008E1481">
      <w:pPr>
        <w:spacing w:after="120" w:line="276" w:lineRule="auto"/>
      </w:pPr>
      <w:r>
        <w:t xml:space="preserve">There are three mapping exercises in this tool. </w:t>
      </w:r>
    </w:p>
    <w:p w14:paraId="55AA0472" w14:textId="39B7C49E" w:rsidR="008E1481" w:rsidRDefault="008E1481" w:rsidP="008E1481">
      <w:pPr>
        <w:pStyle w:val="ListParagraph"/>
        <w:numPr>
          <w:ilvl w:val="0"/>
          <w:numId w:val="2"/>
        </w:numPr>
        <w:spacing w:after="120" w:line="276" w:lineRule="auto"/>
      </w:pPr>
      <w:r>
        <w:t>Outlining the Case for your Sub-Category</w:t>
      </w:r>
    </w:p>
    <w:p w14:paraId="59FEC6DA" w14:textId="27F176D1" w:rsidR="008E1481" w:rsidRDefault="008E1481" w:rsidP="008E1481">
      <w:pPr>
        <w:pStyle w:val="ListParagraph"/>
        <w:numPr>
          <w:ilvl w:val="0"/>
          <w:numId w:val="2"/>
        </w:numPr>
        <w:spacing w:after="120" w:line="276" w:lineRule="auto"/>
      </w:pPr>
      <w:r>
        <w:t xml:space="preserve">Aligning </w:t>
      </w:r>
      <w:r w:rsidR="00970F42">
        <w:t xml:space="preserve">your </w:t>
      </w:r>
      <w:r>
        <w:t>Evidence to Assessment Criteria</w:t>
      </w:r>
    </w:p>
    <w:p w14:paraId="093A0BCA" w14:textId="1CD5A662" w:rsidR="00B9056B" w:rsidRDefault="008E1481" w:rsidP="008E1481">
      <w:pPr>
        <w:pStyle w:val="ListParagraph"/>
        <w:numPr>
          <w:ilvl w:val="0"/>
          <w:numId w:val="2"/>
        </w:numPr>
        <w:spacing w:after="120" w:line="276" w:lineRule="auto"/>
      </w:pPr>
      <w:r>
        <w:t>Mapping your Evidence to the Evidence Quadrants</w:t>
      </w:r>
      <w:r w:rsidR="0049214D">
        <w:br/>
      </w:r>
    </w:p>
    <w:p w14:paraId="409A4694" w14:textId="49D45C03" w:rsidR="008E1481" w:rsidRPr="0000316A" w:rsidRDefault="008E1481" w:rsidP="0049214D">
      <w:pPr>
        <w:pStyle w:val="ListParagraph"/>
        <w:numPr>
          <w:ilvl w:val="0"/>
          <w:numId w:val="3"/>
        </w:numPr>
        <w:spacing w:after="120" w:line="276" w:lineRule="auto"/>
        <w:rPr>
          <w:b/>
          <w:bCs/>
        </w:rPr>
      </w:pPr>
      <w:r w:rsidRPr="0000316A">
        <w:rPr>
          <w:b/>
          <w:bCs/>
        </w:rPr>
        <w:t>Outlining the Case for your Sub-Category</w:t>
      </w:r>
    </w:p>
    <w:p w14:paraId="170A38CA" w14:textId="0E8F3CEA" w:rsidR="008E1481" w:rsidRDefault="008E1481" w:rsidP="00904B49">
      <w:pPr>
        <w:spacing w:after="120" w:line="276" w:lineRule="auto"/>
      </w:pPr>
      <w:r>
        <w:t xml:space="preserve">Selecting the best Sub-Category to apply for is harder than it seems. It’s entirely possible for you to miss the strongest sub-category </w:t>
      </w:r>
      <w:r w:rsidR="0049214D">
        <w:t xml:space="preserve">to apply under without close examination of your evidence or considered articulation of your case. </w:t>
      </w:r>
    </w:p>
    <w:p w14:paraId="67B11F1E" w14:textId="4B4AA109" w:rsidR="005B265C" w:rsidRDefault="00904B49" w:rsidP="00904B49">
      <w:pPr>
        <w:spacing w:after="120" w:line="276" w:lineRule="auto"/>
      </w:pPr>
      <w:r>
        <w:t xml:space="preserve">In the table </w:t>
      </w:r>
      <w:r w:rsidRPr="005552F8">
        <w:rPr>
          <w:b/>
          <w:bCs/>
        </w:rPr>
        <w:t>Outlining the Case for your Sub-Category</w:t>
      </w:r>
      <w:r>
        <w:t xml:space="preserve">, if you don’t know or aren’t sure which sub-category suits you best, spend some time outlining your case. It can be useful to imagine you are writing the 25-word Citation caption that accompanies every Citation award. This caption always begins with “For…” as in “For inspiring students to push beyond their comfort zone…” </w:t>
      </w:r>
    </w:p>
    <w:p w14:paraId="0910A09A" w14:textId="6B46E1A8" w:rsidR="005552F8" w:rsidRDefault="005552F8" w:rsidP="00904B49">
      <w:pPr>
        <w:spacing w:after="120" w:line="276" w:lineRule="auto"/>
      </w:pPr>
      <w:r>
        <w:t xml:space="preserve">A </w:t>
      </w:r>
      <w:r w:rsidR="00D70857">
        <w:t xml:space="preserve">WSU </w:t>
      </w:r>
      <w:r>
        <w:t>Citation application also requires</w:t>
      </w:r>
      <w:r w:rsidR="00D70857">
        <w:t xml:space="preserve"> a 75-word synopsis</w:t>
      </w:r>
      <w:r w:rsidR="00970F42">
        <w:t xml:space="preserve">, which provides a bit more substance following on from the Citation blurb. While these two items undergo numerous revisions before final submission, you can use these two short-form writing requirements to help conceptualise, narrativise, or frame your application and thus shape and drive the subsequent activity (evidence-gathering, drafting, etc.). </w:t>
      </w:r>
    </w:p>
    <w:p w14:paraId="194BDF12" w14:textId="6660F4E3" w:rsidR="00BB402D" w:rsidRDefault="00BB402D" w:rsidP="00904B49">
      <w:pPr>
        <w:spacing w:after="120" w:line="276" w:lineRule="auto"/>
      </w:pPr>
      <w:r>
        <w:t xml:space="preserve">You can view example Citation Blurbs and Synopses in the </w:t>
      </w:r>
      <w:hyperlink w:anchor="Appendix" w:history="1">
        <w:r w:rsidRPr="00BB402D">
          <w:rPr>
            <w:rStyle w:val="Hyperlink"/>
          </w:rPr>
          <w:t>Appendix</w:t>
        </w:r>
      </w:hyperlink>
      <w:r>
        <w:t xml:space="preserve">. </w:t>
      </w:r>
    </w:p>
    <w:p w14:paraId="31D4B68C" w14:textId="1E3C46E5" w:rsidR="00970F42" w:rsidRPr="00970F42" w:rsidRDefault="00970F42" w:rsidP="00970F42">
      <w:pPr>
        <w:pStyle w:val="ListParagraph"/>
        <w:numPr>
          <w:ilvl w:val="0"/>
          <w:numId w:val="3"/>
        </w:numPr>
        <w:spacing w:after="120" w:line="276" w:lineRule="auto"/>
        <w:rPr>
          <w:b/>
          <w:bCs/>
        </w:rPr>
      </w:pPr>
      <w:r w:rsidRPr="00970F42">
        <w:rPr>
          <w:b/>
          <w:bCs/>
        </w:rPr>
        <w:t>Aligning your Evidence to Assessment Criteria</w:t>
      </w:r>
    </w:p>
    <w:p w14:paraId="09788B66" w14:textId="50B3A593" w:rsidR="00970F42" w:rsidRDefault="00970F42" w:rsidP="00970F42">
      <w:pPr>
        <w:spacing w:after="120" w:line="276" w:lineRule="auto"/>
      </w:pPr>
      <w:r>
        <w:t xml:space="preserve">Once you’ve selected your Sub-Category, you need to think about how you respond to the assessment criteria. </w:t>
      </w:r>
      <w:r w:rsidR="004C1346">
        <w:t xml:space="preserve">What evidence do you have available that could be used to support your case against each of these criteria? Maybe you just have some dot points at the moment, or maybe you have an idea of what claim/s you can make along with the relevant evidence. With this table, you need evidence for each criterion. They may be a mix of qualitative and quantitative data, and internal </w:t>
      </w:r>
      <w:r w:rsidR="00DE22E9">
        <w:t xml:space="preserve">(to the University) </w:t>
      </w:r>
      <w:r w:rsidR="004C1346">
        <w:t xml:space="preserve">and external data. </w:t>
      </w:r>
    </w:p>
    <w:p w14:paraId="340F907A" w14:textId="7ABEA57A" w:rsidR="004C1346" w:rsidRPr="003B49C1" w:rsidRDefault="004C1346" w:rsidP="004C1346">
      <w:pPr>
        <w:pStyle w:val="ListParagraph"/>
        <w:numPr>
          <w:ilvl w:val="0"/>
          <w:numId w:val="3"/>
        </w:numPr>
        <w:spacing w:after="120" w:line="276" w:lineRule="auto"/>
        <w:rPr>
          <w:b/>
          <w:bCs/>
        </w:rPr>
      </w:pPr>
      <w:r w:rsidRPr="003B49C1">
        <w:rPr>
          <w:b/>
          <w:bCs/>
        </w:rPr>
        <w:t>Mapping your Evidence to the Evidence Quadrants</w:t>
      </w:r>
    </w:p>
    <w:p w14:paraId="7EDF2E21" w14:textId="2A6BE9C4" w:rsidR="004C1346" w:rsidRDefault="004C1346" w:rsidP="004C1346">
      <w:pPr>
        <w:spacing w:after="120" w:line="276" w:lineRule="auto"/>
      </w:pPr>
      <w:r>
        <w:t xml:space="preserve">Once you’ve aligned your evidence to the Assessment Criteria, you should do a bit of analysis, looking for gaps or other opportunities to gather data. In the third mapping exercise, align your data or sources of evidence to the four quadrants. The quadrants are made up of the intersection between qualitative/quantitative data and internal/external data. Written student feedback, for example, would be internal and qualitative, while assessment outcome data would be internal and quantitative. </w:t>
      </w:r>
    </w:p>
    <w:p w14:paraId="1B66BF53" w14:textId="0EB984E4" w:rsidR="004C1346" w:rsidRDefault="004C1346" w:rsidP="004C1346">
      <w:pPr>
        <w:spacing w:after="120" w:line="276" w:lineRule="auto"/>
      </w:pPr>
      <w:r>
        <w:t xml:space="preserve">The point of this exercise is not to fill in all of the quadrants, per se. The point is to identify if you are relying too heavily on data from one quadrant. This analysis also helps to identify potential gaps in your data or new sources of data you hadn’t yet thought about! </w:t>
      </w:r>
    </w:p>
    <w:p w14:paraId="0FB16E72" w14:textId="1101C01A" w:rsidR="004C1346" w:rsidRPr="006613D9" w:rsidRDefault="004C1346" w:rsidP="004C1346">
      <w:pPr>
        <w:spacing w:after="120" w:line="276" w:lineRule="auto"/>
        <w:rPr>
          <w:b/>
          <w:bCs/>
          <w:sz w:val="28"/>
          <w:szCs w:val="28"/>
        </w:rPr>
      </w:pPr>
      <w:r w:rsidRPr="006613D9">
        <w:rPr>
          <w:b/>
          <w:bCs/>
          <w:sz w:val="28"/>
          <w:szCs w:val="28"/>
        </w:rPr>
        <w:lastRenderedPageBreak/>
        <w:t>What Next?</w:t>
      </w:r>
    </w:p>
    <w:p w14:paraId="59BD0D66" w14:textId="6FC19795" w:rsidR="003524BE" w:rsidRDefault="004C1346" w:rsidP="004C1346">
      <w:pPr>
        <w:spacing w:after="120" w:line="276" w:lineRule="auto"/>
      </w:pPr>
      <w:r>
        <w:t xml:space="preserve">Once you’ve completed this preliminary exercise, why not share it and conduct a bit of peer review? Maybe with a fellow aspiring applicant, a past winner, your </w:t>
      </w:r>
      <w:r w:rsidR="003524BE">
        <w:t>Associate Dean</w:t>
      </w:r>
      <w:r w:rsidR="00BB2621">
        <w:t>,</w:t>
      </w:r>
      <w:r w:rsidR="003524BE">
        <w:t xml:space="preserve"> Learning and Teaching, or any colleague who is keen to learn and engage in this space. </w:t>
      </w:r>
    </w:p>
    <w:p w14:paraId="6B092148" w14:textId="68C7D79A" w:rsidR="003524BE" w:rsidRDefault="003524BE" w:rsidP="004C1346">
      <w:pPr>
        <w:spacing w:after="120" w:line="276" w:lineRule="auto"/>
      </w:pPr>
      <w:r>
        <w:t xml:space="preserve">Working through the exercises of this tool is just the beginning. Thinking through your options and your evidence is an iterative process from the very beginning. It’s also a process best conducted dialogically, through reflective discussion, peer review, and feedback. </w:t>
      </w:r>
    </w:p>
    <w:p w14:paraId="55A72AF3" w14:textId="7B2D064C" w:rsidR="003524BE" w:rsidRDefault="003524BE" w:rsidP="004C1346">
      <w:pPr>
        <w:spacing w:after="120" w:line="276" w:lineRule="auto"/>
      </w:pPr>
      <w:r>
        <w:t xml:space="preserve">There are other tools, guidelines, and templates to help you at whatever point of the journey you are on. There is always something to help you! </w:t>
      </w:r>
    </w:p>
    <w:p w14:paraId="095785D4" w14:textId="2EBD378C" w:rsidR="003524BE" w:rsidRDefault="003524BE" w:rsidP="004C1346">
      <w:pPr>
        <w:spacing w:after="120" w:line="276" w:lineRule="auto"/>
      </w:pPr>
      <w:r>
        <w:t>Once you’re ready, you can review the following resources:</w:t>
      </w:r>
    </w:p>
    <w:p w14:paraId="2C08B207" w14:textId="6572ADFE" w:rsidR="003524BE" w:rsidRDefault="008871FD" w:rsidP="00F4682C">
      <w:pPr>
        <w:pStyle w:val="ListParagraph"/>
        <w:numPr>
          <w:ilvl w:val="0"/>
          <w:numId w:val="5"/>
        </w:numPr>
        <w:spacing w:after="120" w:line="276" w:lineRule="auto"/>
      </w:pPr>
      <w:hyperlink r:id="rId11" w:history="1">
        <w:r w:rsidR="00F4682C" w:rsidRPr="00F4682C">
          <w:rPr>
            <w:rStyle w:val="Hyperlink"/>
          </w:rPr>
          <w:t>Learning Futures</w:t>
        </w:r>
        <w:r w:rsidR="003524BE" w:rsidRPr="00F4682C">
          <w:rPr>
            <w:rStyle w:val="Hyperlink"/>
          </w:rPr>
          <w:t xml:space="preserve"> Internal T&amp;L Awards</w:t>
        </w:r>
      </w:hyperlink>
    </w:p>
    <w:p w14:paraId="48510CDE" w14:textId="0DBB3C0B" w:rsidR="003524BE" w:rsidRDefault="008871FD" w:rsidP="00F4682C">
      <w:pPr>
        <w:pStyle w:val="ListParagraph"/>
        <w:numPr>
          <w:ilvl w:val="0"/>
          <w:numId w:val="5"/>
        </w:numPr>
        <w:spacing w:after="120" w:line="276" w:lineRule="auto"/>
      </w:pPr>
      <w:hyperlink r:id="rId12" w:history="1">
        <w:r w:rsidR="00F4682C" w:rsidRPr="00F4682C">
          <w:rPr>
            <w:rStyle w:val="Hyperlink"/>
          </w:rPr>
          <w:t>Learning Futures</w:t>
        </w:r>
        <w:r w:rsidR="003524BE" w:rsidRPr="00F4682C">
          <w:rPr>
            <w:rStyle w:val="Hyperlink"/>
          </w:rPr>
          <w:t xml:space="preserve"> External T&amp;L Awards (AAUT)</w:t>
        </w:r>
      </w:hyperlink>
    </w:p>
    <w:p w14:paraId="45F933E7" w14:textId="2CBCB0CF" w:rsidR="003524BE" w:rsidRDefault="008871FD" w:rsidP="00F4682C">
      <w:pPr>
        <w:pStyle w:val="ListParagraph"/>
        <w:numPr>
          <w:ilvl w:val="0"/>
          <w:numId w:val="5"/>
        </w:numPr>
        <w:spacing w:after="120" w:line="276" w:lineRule="auto"/>
      </w:pPr>
      <w:hyperlink r:id="rId13" w:history="1">
        <w:r w:rsidR="003524BE" w:rsidRPr="00F4682C">
          <w:rPr>
            <w:rStyle w:val="Hyperlink"/>
          </w:rPr>
          <w:t>Evidencing your Teaching Practice</w:t>
        </w:r>
      </w:hyperlink>
    </w:p>
    <w:p w14:paraId="01A789A1" w14:textId="57B8862E" w:rsidR="00F4682C" w:rsidRDefault="008871FD" w:rsidP="00F4682C">
      <w:pPr>
        <w:pStyle w:val="ListParagraph"/>
        <w:numPr>
          <w:ilvl w:val="0"/>
          <w:numId w:val="5"/>
        </w:numPr>
        <w:spacing w:after="120" w:line="276" w:lineRule="auto"/>
      </w:pPr>
      <w:hyperlink r:id="rId14" w:history="1">
        <w:r w:rsidR="003524BE" w:rsidRPr="00F4682C">
          <w:rPr>
            <w:rStyle w:val="Hyperlink"/>
          </w:rPr>
          <w:t>How to Research your Teaching</w:t>
        </w:r>
      </w:hyperlink>
    </w:p>
    <w:p w14:paraId="6BAA1454" w14:textId="0E74989E" w:rsidR="00F4682C" w:rsidRDefault="008871FD" w:rsidP="00F4682C">
      <w:pPr>
        <w:pStyle w:val="ListParagraph"/>
        <w:numPr>
          <w:ilvl w:val="0"/>
          <w:numId w:val="5"/>
        </w:numPr>
        <w:spacing w:after="120" w:line="276" w:lineRule="auto"/>
      </w:pPr>
      <w:hyperlink r:id="rId15" w:history="1">
        <w:r w:rsidR="00F4682C" w:rsidRPr="00F4682C">
          <w:rPr>
            <w:rStyle w:val="Hyperlink"/>
          </w:rPr>
          <w:t>AAUT Assessment Matrix</w:t>
        </w:r>
      </w:hyperlink>
    </w:p>
    <w:p w14:paraId="4B578082" w14:textId="7E309158" w:rsidR="00F4682C" w:rsidRDefault="008871FD" w:rsidP="00F4682C">
      <w:pPr>
        <w:pStyle w:val="ListParagraph"/>
        <w:numPr>
          <w:ilvl w:val="0"/>
          <w:numId w:val="5"/>
        </w:numPr>
        <w:spacing w:after="120" w:line="276" w:lineRule="auto"/>
      </w:pPr>
      <w:hyperlink r:id="rId16" w:history="1">
        <w:r w:rsidR="00F4682C" w:rsidRPr="00F4682C">
          <w:rPr>
            <w:rStyle w:val="Hyperlink"/>
          </w:rPr>
          <w:t>WSU Excellence Awards Policy</w:t>
        </w:r>
      </w:hyperlink>
    </w:p>
    <w:p w14:paraId="05DDB170" w14:textId="3D4D2E6C" w:rsidR="00F4682C" w:rsidRPr="0006560E" w:rsidRDefault="008871FD" w:rsidP="00F4682C">
      <w:pPr>
        <w:pStyle w:val="ListParagraph"/>
        <w:numPr>
          <w:ilvl w:val="0"/>
          <w:numId w:val="5"/>
        </w:numPr>
        <w:spacing w:after="120" w:line="276" w:lineRule="auto"/>
        <w:rPr>
          <w:rStyle w:val="Hyperlink"/>
          <w:color w:val="auto"/>
          <w:u w:val="none"/>
        </w:rPr>
      </w:pPr>
      <w:hyperlink r:id="rId17" w:history="1">
        <w:r w:rsidR="00F4682C" w:rsidRPr="00F4682C">
          <w:rPr>
            <w:rStyle w:val="Hyperlink"/>
          </w:rPr>
          <w:t>WSU Excellence Awards Procedures</w:t>
        </w:r>
      </w:hyperlink>
    </w:p>
    <w:p w14:paraId="54FABACD" w14:textId="3CDBBCCF" w:rsidR="0006560E" w:rsidRDefault="0006560E" w:rsidP="0006560E">
      <w:pPr>
        <w:spacing w:after="120" w:line="276" w:lineRule="auto"/>
      </w:pPr>
      <w:r>
        <w:t>You may also be interested in exploring some external data sources</w:t>
      </w:r>
      <w:r w:rsidR="002A257B">
        <w:t xml:space="preserve"> to complement your internal data: </w:t>
      </w:r>
    </w:p>
    <w:p w14:paraId="21F77058" w14:textId="0A88F703" w:rsidR="0006560E" w:rsidRPr="0006560E" w:rsidRDefault="008871FD" w:rsidP="0006560E">
      <w:pPr>
        <w:pStyle w:val="ListParagraph"/>
        <w:numPr>
          <w:ilvl w:val="0"/>
          <w:numId w:val="5"/>
        </w:numPr>
        <w:spacing w:after="120" w:line="276" w:lineRule="auto"/>
        <w:rPr>
          <w:rStyle w:val="Hyperlink"/>
        </w:rPr>
      </w:pPr>
      <w:hyperlink r:id="rId18" w:tgtFrame="_blank" w:history="1">
        <w:r w:rsidR="0006560E" w:rsidRPr="0006560E">
          <w:rPr>
            <w:rStyle w:val="Hyperlink"/>
          </w:rPr>
          <w:t>Quality Indicators for Learning and Teaching (QILT)</w:t>
        </w:r>
      </w:hyperlink>
    </w:p>
    <w:p w14:paraId="2C9DA9B3" w14:textId="04016728" w:rsidR="0006560E" w:rsidRPr="0006560E" w:rsidRDefault="008871FD" w:rsidP="0006560E">
      <w:pPr>
        <w:pStyle w:val="ListParagraph"/>
        <w:numPr>
          <w:ilvl w:val="0"/>
          <w:numId w:val="5"/>
        </w:numPr>
        <w:spacing w:after="120" w:line="276" w:lineRule="auto"/>
        <w:rPr>
          <w:rStyle w:val="Hyperlink"/>
        </w:rPr>
      </w:pPr>
      <w:hyperlink r:id="rId19" w:tgtFrame="_blank" w:history="1">
        <w:r w:rsidR="0006560E" w:rsidRPr="0006560E">
          <w:rPr>
            <w:rStyle w:val="Hyperlink"/>
          </w:rPr>
          <w:t>Higher Education Data, Statistics and Publications</w:t>
        </w:r>
      </w:hyperlink>
    </w:p>
    <w:p w14:paraId="378407AD" w14:textId="4000D509" w:rsidR="0006560E" w:rsidRPr="0006560E" w:rsidRDefault="008871FD" w:rsidP="0006560E">
      <w:pPr>
        <w:pStyle w:val="ListParagraph"/>
        <w:numPr>
          <w:ilvl w:val="0"/>
          <w:numId w:val="5"/>
        </w:numPr>
        <w:spacing w:after="120" w:line="276" w:lineRule="auto"/>
        <w:rPr>
          <w:rStyle w:val="Hyperlink"/>
        </w:rPr>
      </w:pPr>
      <w:hyperlink r:id="rId20" w:tgtFrame="_blank" w:history="1">
        <w:r w:rsidR="0006560E" w:rsidRPr="0006560E">
          <w:rPr>
            <w:rStyle w:val="Hyperlink"/>
          </w:rPr>
          <w:t>Labour Market Information Portal</w:t>
        </w:r>
      </w:hyperlink>
    </w:p>
    <w:p w14:paraId="2825C046" w14:textId="77777777" w:rsidR="0006560E" w:rsidRPr="008B4165" w:rsidRDefault="008871FD" w:rsidP="0006560E">
      <w:pPr>
        <w:pStyle w:val="ListParagraph"/>
        <w:numPr>
          <w:ilvl w:val="0"/>
          <w:numId w:val="5"/>
        </w:numPr>
        <w:spacing w:after="120" w:line="276" w:lineRule="auto"/>
        <w:rPr>
          <w:rStyle w:val="Hyperlink"/>
          <w:color w:val="auto"/>
          <w:u w:val="none"/>
        </w:rPr>
      </w:pPr>
      <w:hyperlink r:id="rId21" w:tgtFrame="_blank" w:history="1">
        <w:r w:rsidR="0006560E" w:rsidRPr="0006560E">
          <w:rPr>
            <w:rStyle w:val="Hyperlink"/>
          </w:rPr>
          <w:t>Skill Shortages Portal</w:t>
        </w:r>
      </w:hyperlink>
    </w:p>
    <w:p w14:paraId="483F06CA" w14:textId="1572DECB" w:rsidR="008B4165" w:rsidRDefault="00812083" w:rsidP="008B4165">
      <w:pPr>
        <w:spacing w:after="120" w:line="276" w:lineRule="auto"/>
      </w:pPr>
      <w:r>
        <w:t>If you are interested in exploring research in higher education and the scholarship of teaching, here is a select list of books and articles:</w:t>
      </w:r>
    </w:p>
    <w:p w14:paraId="4A37021D" w14:textId="5E90C77D" w:rsidR="004701D1" w:rsidRPr="004701D1" w:rsidRDefault="008871FD" w:rsidP="001370C0">
      <w:pPr>
        <w:pStyle w:val="ListParagraph"/>
        <w:numPr>
          <w:ilvl w:val="0"/>
          <w:numId w:val="5"/>
        </w:numPr>
        <w:spacing w:after="120" w:line="276" w:lineRule="auto"/>
        <w:rPr>
          <w:rStyle w:val="Hyperlink"/>
        </w:rPr>
      </w:pPr>
      <w:hyperlink r:id="rId22" w:tgtFrame="_blank" w:history="1">
        <w:r w:rsidR="004701D1" w:rsidRPr="004701D1">
          <w:rPr>
            <w:rStyle w:val="Hyperlink"/>
          </w:rPr>
          <w:t>Action Research in Teaching and Learning</w:t>
        </w:r>
      </w:hyperlink>
    </w:p>
    <w:p w14:paraId="3B58F6CA" w14:textId="106F86C5" w:rsidR="004701D1" w:rsidRPr="004701D1" w:rsidRDefault="008871FD" w:rsidP="001370C0">
      <w:pPr>
        <w:pStyle w:val="ListParagraph"/>
        <w:numPr>
          <w:ilvl w:val="0"/>
          <w:numId w:val="5"/>
        </w:numPr>
        <w:spacing w:after="120" w:line="276" w:lineRule="auto"/>
        <w:rPr>
          <w:rStyle w:val="Hyperlink"/>
        </w:rPr>
      </w:pPr>
      <w:hyperlink r:id="rId23" w:tgtFrame="_blank" w:history="1">
        <w:r w:rsidR="004701D1" w:rsidRPr="004701D1">
          <w:rPr>
            <w:rStyle w:val="Hyperlink"/>
          </w:rPr>
          <w:t>Exploring University Teaching and Learning</w:t>
        </w:r>
      </w:hyperlink>
    </w:p>
    <w:p w14:paraId="5F007E92" w14:textId="466BFB8E" w:rsidR="004701D1" w:rsidRPr="004701D1" w:rsidRDefault="008871FD" w:rsidP="001370C0">
      <w:pPr>
        <w:pStyle w:val="ListParagraph"/>
        <w:numPr>
          <w:ilvl w:val="0"/>
          <w:numId w:val="5"/>
        </w:numPr>
        <w:spacing w:after="120" w:line="276" w:lineRule="auto"/>
        <w:rPr>
          <w:rStyle w:val="Hyperlink"/>
        </w:rPr>
      </w:pPr>
      <w:hyperlink r:id="rId24" w:tgtFrame="_blank" w:history="1">
        <w:r w:rsidR="004701D1" w:rsidRPr="004701D1">
          <w:rPr>
            <w:rStyle w:val="Hyperlink"/>
          </w:rPr>
          <w:t xml:space="preserve">Transforming Teaching and Learning in Higher Education </w:t>
        </w:r>
      </w:hyperlink>
    </w:p>
    <w:p w14:paraId="3104830D" w14:textId="27C61559" w:rsidR="004701D1" w:rsidRPr="004701D1" w:rsidRDefault="008871FD" w:rsidP="001370C0">
      <w:pPr>
        <w:pStyle w:val="ListParagraph"/>
        <w:numPr>
          <w:ilvl w:val="0"/>
          <w:numId w:val="5"/>
        </w:numPr>
        <w:spacing w:after="120" w:line="276" w:lineRule="auto"/>
        <w:rPr>
          <w:rStyle w:val="Hyperlink"/>
        </w:rPr>
      </w:pPr>
      <w:hyperlink r:id="rId25" w:tgtFrame="_blank" w:history="1">
        <w:r w:rsidR="004701D1" w:rsidRPr="004701D1">
          <w:rPr>
            <w:rStyle w:val="Hyperlink"/>
          </w:rPr>
          <w:t>Literature Review of Action Research in Higher Education</w:t>
        </w:r>
      </w:hyperlink>
    </w:p>
    <w:p w14:paraId="152465AA" w14:textId="2C131729" w:rsidR="004701D1" w:rsidRPr="004701D1" w:rsidRDefault="008871FD" w:rsidP="001370C0">
      <w:pPr>
        <w:pStyle w:val="ListParagraph"/>
        <w:numPr>
          <w:ilvl w:val="0"/>
          <w:numId w:val="5"/>
        </w:numPr>
        <w:spacing w:after="120" w:line="276" w:lineRule="auto"/>
        <w:rPr>
          <w:rStyle w:val="Hyperlink"/>
        </w:rPr>
      </w:pPr>
      <w:hyperlink r:id="rId26" w:tgtFrame="_blank" w:history="1">
        <w:r w:rsidR="004701D1" w:rsidRPr="004701D1">
          <w:rPr>
            <w:rStyle w:val="Hyperlink"/>
          </w:rPr>
          <w:t>Leadership for the Scholarship of Teaching and Learning</w:t>
        </w:r>
      </w:hyperlink>
    </w:p>
    <w:p w14:paraId="305CD95D" w14:textId="3EFAE7D2" w:rsidR="004701D1" w:rsidRPr="004701D1" w:rsidRDefault="008871FD" w:rsidP="001370C0">
      <w:pPr>
        <w:pStyle w:val="ListParagraph"/>
        <w:numPr>
          <w:ilvl w:val="0"/>
          <w:numId w:val="5"/>
        </w:numPr>
        <w:spacing w:after="120" w:line="276" w:lineRule="auto"/>
        <w:rPr>
          <w:rStyle w:val="Hyperlink"/>
        </w:rPr>
      </w:pPr>
      <w:hyperlink r:id="rId27" w:tgtFrame="_blank" w:history="1">
        <w:r w:rsidR="004701D1" w:rsidRPr="004701D1">
          <w:rPr>
            <w:rStyle w:val="Hyperlink"/>
          </w:rPr>
          <w:t>Applying Learning Analytics to the Scholarship of Teaching and Learning</w:t>
        </w:r>
      </w:hyperlink>
    </w:p>
    <w:p w14:paraId="0580CA2A" w14:textId="43A65554" w:rsidR="00F4682C" w:rsidRDefault="008871FD" w:rsidP="001370C0">
      <w:pPr>
        <w:pStyle w:val="ListParagraph"/>
        <w:numPr>
          <w:ilvl w:val="0"/>
          <w:numId w:val="5"/>
        </w:numPr>
        <w:spacing w:after="120" w:line="276" w:lineRule="auto"/>
        <w:sectPr w:rsidR="00F4682C" w:rsidSect="00147196">
          <w:footerReference w:type="default" r:id="rId28"/>
          <w:pgSz w:w="11906" w:h="16838"/>
          <w:pgMar w:top="1440" w:right="1440" w:bottom="1440" w:left="1440" w:header="708" w:footer="708" w:gutter="0"/>
          <w:cols w:space="708"/>
          <w:docGrid w:linePitch="360"/>
        </w:sectPr>
      </w:pPr>
      <w:hyperlink r:id="rId29" w:tgtFrame="_blank" w:history="1">
        <w:r w:rsidR="004701D1" w:rsidRPr="004701D1">
          <w:rPr>
            <w:rStyle w:val="Hyperlink"/>
          </w:rPr>
          <w:t>The Future of the Research and Teaching Nexus in a Post-Pandemic World</w:t>
        </w:r>
      </w:hyperlink>
    </w:p>
    <w:p w14:paraId="77304702" w14:textId="577D5D4F" w:rsidR="00A9026C" w:rsidRPr="003524BE" w:rsidRDefault="008E1481" w:rsidP="003524BE">
      <w:pPr>
        <w:pStyle w:val="ListParagraph"/>
        <w:numPr>
          <w:ilvl w:val="0"/>
          <w:numId w:val="4"/>
        </w:numPr>
        <w:spacing w:after="120" w:line="276" w:lineRule="auto"/>
        <w:rPr>
          <w:b/>
          <w:bCs/>
          <w:sz w:val="24"/>
          <w:szCs w:val="24"/>
        </w:rPr>
      </w:pPr>
      <w:r w:rsidRPr="003524BE">
        <w:rPr>
          <w:b/>
          <w:bCs/>
          <w:sz w:val="24"/>
          <w:szCs w:val="24"/>
        </w:rPr>
        <w:lastRenderedPageBreak/>
        <w:t>Outlining the Case for your Sub-Category</w:t>
      </w:r>
    </w:p>
    <w:tbl>
      <w:tblPr>
        <w:tblStyle w:val="TableGrid"/>
        <w:tblW w:w="5000" w:type="pct"/>
        <w:tblLook w:val="04A0" w:firstRow="1" w:lastRow="0" w:firstColumn="1" w:lastColumn="0" w:noHBand="0" w:noVBand="1"/>
      </w:tblPr>
      <w:tblGrid>
        <w:gridCol w:w="4815"/>
        <w:gridCol w:w="9133"/>
      </w:tblGrid>
      <w:tr w:rsidR="008E1481" w14:paraId="1000538D" w14:textId="77777777" w:rsidTr="0049214D">
        <w:tc>
          <w:tcPr>
            <w:tcW w:w="1726" w:type="pct"/>
            <w:shd w:val="clear" w:color="auto" w:fill="C00000"/>
          </w:tcPr>
          <w:p w14:paraId="1EB252D6" w14:textId="77777777" w:rsidR="008E1481" w:rsidRPr="007E69FA" w:rsidRDefault="008E1481" w:rsidP="00A76C3C">
            <w:pPr>
              <w:spacing w:before="120" w:line="360" w:lineRule="auto"/>
              <w:jc w:val="center"/>
              <w:rPr>
                <w:b/>
                <w:bCs/>
                <w:sz w:val="28"/>
                <w:szCs w:val="28"/>
              </w:rPr>
            </w:pPr>
            <w:r>
              <w:rPr>
                <w:b/>
                <w:bCs/>
                <w:sz w:val="28"/>
                <w:szCs w:val="28"/>
              </w:rPr>
              <w:t>Sub-Categories</w:t>
            </w:r>
          </w:p>
        </w:tc>
        <w:tc>
          <w:tcPr>
            <w:tcW w:w="3274" w:type="pct"/>
            <w:shd w:val="clear" w:color="auto" w:fill="C00000"/>
          </w:tcPr>
          <w:p w14:paraId="3A209BA8" w14:textId="77777777" w:rsidR="008E1481" w:rsidRPr="007E69FA" w:rsidRDefault="008E1481" w:rsidP="00A76C3C">
            <w:pPr>
              <w:spacing w:before="120" w:line="360" w:lineRule="auto"/>
              <w:jc w:val="center"/>
              <w:rPr>
                <w:b/>
                <w:bCs/>
                <w:sz w:val="28"/>
                <w:szCs w:val="28"/>
              </w:rPr>
            </w:pPr>
            <w:r>
              <w:rPr>
                <w:b/>
                <w:bCs/>
                <w:sz w:val="28"/>
                <w:szCs w:val="28"/>
              </w:rPr>
              <w:t>Outline of Case</w:t>
            </w:r>
          </w:p>
        </w:tc>
      </w:tr>
      <w:tr w:rsidR="008E1481" w14:paraId="3DD46AD2" w14:textId="77777777" w:rsidTr="0049214D">
        <w:trPr>
          <w:trHeight w:val="1814"/>
        </w:trPr>
        <w:tc>
          <w:tcPr>
            <w:tcW w:w="1726" w:type="pct"/>
          </w:tcPr>
          <w:p w14:paraId="779201B1" w14:textId="77777777" w:rsidR="008E1481" w:rsidRPr="007E69FA" w:rsidRDefault="008E1481" w:rsidP="00A76C3C">
            <w:pPr>
              <w:spacing w:after="120" w:line="360" w:lineRule="auto"/>
              <w:rPr>
                <w:sz w:val="24"/>
                <w:szCs w:val="24"/>
              </w:rPr>
            </w:pPr>
            <w:r w:rsidRPr="00410C97">
              <w:rPr>
                <w:sz w:val="24"/>
                <w:szCs w:val="24"/>
              </w:rPr>
              <w:t>Approaches to teaching and/or the support of learning that influence, motivate and inspire students to learn</w:t>
            </w:r>
          </w:p>
        </w:tc>
        <w:tc>
          <w:tcPr>
            <w:tcW w:w="3274" w:type="pct"/>
          </w:tcPr>
          <w:p w14:paraId="3757C95B" w14:textId="77777777" w:rsidR="008E1481" w:rsidRDefault="008E1481" w:rsidP="00A76C3C">
            <w:pPr>
              <w:spacing w:after="120" w:line="360" w:lineRule="auto"/>
            </w:pPr>
          </w:p>
        </w:tc>
      </w:tr>
      <w:tr w:rsidR="008E1481" w14:paraId="7190F6A3" w14:textId="77777777" w:rsidTr="0049214D">
        <w:trPr>
          <w:trHeight w:val="1814"/>
        </w:trPr>
        <w:tc>
          <w:tcPr>
            <w:tcW w:w="1726" w:type="pct"/>
          </w:tcPr>
          <w:p w14:paraId="1912CE10" w14:textId="77777777" w:rsidR="008E1481" w:rsidRPr="007E69FA" w:rsidRDefault="008E1481" w:rsidP="00A76C3C">
            <w:pPr>
              <w:spacing w:after="120" w:line="360" w:lineRule="auto"/>
              <w:rPr>
                <w:sz w:val="24"/>
                <w:szCs w:val="24"/>
              </w:rPr>
            </w:pPr>
            <w:r w:rsidRPr="00410C97">
              <w:rPr>
                <w:sz w:val="24"/>
                <w:szCs w:val="24"/>
              </w:rPr>
              <w:t>Development of curricula, resources or services that reflect a command of the field</w:t>
            </w:r>
          </w:p>
        </w:tc>
        <w:tc>
          <w:tcPr>
            <w:tcW w:w="3274" w:type="pct"/>
          </w:tcPr>
          <w:p w14:paraId="0177F224" w14:textId="77777777" w:rsidR="008E1481" w:rsidRDefault="008E1481" w:rsidP="00A76C3C">
            <w:pPr>
              <w:spacing w:after="120" w:line="360" w:lineRule="auto"/>
            </w:pPr>
          </w:p>
        </w:tc>
      </w:tr>
      <w:tr w:rsidR="008E1481" w14:paraId="1062F417" w14:textId="77777777" w:rsidTr="0049214D">
        <w:trPr>
          <w:trHeight w:val="1814"/>
        </w:trPr>
        <w:tc>
          <w:tcPr>
            <w:tcW w:w="1726" w:type="pct"/>
          </w:tcPr>
          <w:p w14:paraId="6152C7D2" w14:textId="77777777" w:rsidR="008E1481" w:rsidRPr="007E69FA" w:rsidRDefault="008E1481" w:rsidP="00A76C3C">
            <w:pPr>
              <w:spacing w:after="120" w:line="360" w:lineRule="auto"/>
              <w:rPr>
                <w:sz w:val="24"/>
                <w:szCs w:val="24"/>
              </w:rPr>
            </w:pPr>
            <w:r w:rsidRPr="00410C97">
              <w:rPr>
                <w:sz w:val="24"/>
                <w:szCs w:val="24"/>
              </w:rPr>
              <w:t>Effective assessment practices that bring about improvements in student learning, may have a focus on academic integrity or digital solutions, or any assessment strategies that bring about change</w:t>
            </w:r>
          </w:p>
        </w:tc>
        <w:tc>
          <w:tcPr>
            <w:tcW w:w="3274" w:type="pct"/>
          </w:tcPr>
          <w:p w14:paraId="3FC8AB5D" w14:textId="77777777" w:rsidR="008E1481" w:rsidRDefault="008E1481" w:rsidP="00A76C3C">
            <w:pPr>
              <w:spacing w:after="120" w:line="360" w:lineRule="auto"/>
            </w:pPr>
          </w:p>
        </w:tc>
      </w:tr>
      <w:tr w:rsidR="008E1481" w14:paraId="2254B5C0" w14:textId="77777777" w:rsidTr="0049214D">
        <w:trPr>
          <w:trHeight w:val="1814"/>
        </w:trPr>
        <w:tc>
          <w:tcPr>
            <w:tcW w:w="1726" w:type="pct"/>
          </w:tcPr>
          <w:p w14:paraId="3F3AE003" w14:textId="77777777" w:rsidR="008E1481" w:rsidRPr="007E69FA" w:rsidRDefault="008E1481" w:rsidP="00A76C3C">
            <w:pPr>
              <w:spacing w:after="120" w:line="360" w:lineRule="auto"/>
              <w:rPr>
                <w:sz w:val="24"/>
                <w:szCs w:val="24"/>
              </w:rPr>
            </w:pPr>
            <w:r w:rsidRPr="00410C97">
              <w:rPr>
                <w:sz w:val="24"/>
                <w:szCs w:val="24"/>
              </w:rPr>
              <w:t>Innovation or leadership that has influenced and enhanced learning and teaching and/or student experience</w:t>
            </w:r>
          </w:p>
        </w:tc>
        <w:tc>
          <w:tcPr>
            <w:tcW w:w="3274" w:type="pct"/>
          </w:tcPr>
          <w:p w14:paraId="50B09BC5" w14:textId="77777777" w:rsidR="008E1481" w:rsidRDefault="008E1481" w:rsidP="00A76C3C">
            <w:pPr>
              <w:spacing w:after="120" w:line="360" w:lineRule="auto"/>
            </w:pPr>
          </w:p>
        </w:tc>
      </w:tr>
    </w:tbl>
    <w:p w14:paraId="7C7729E7" w14:textId="77777777" w:rsidR="0049214D" w:rsidRDefault="0049214D" w:rsidP="0049214D">
      <w:pPr>
        <w:spacing w:after="120" w:line="276" w:lineRule="auto"/>
        <w:rPr>
          <w:b/>
          <w:bCs/>
          <w:sz w:val="24"/>
          <w:szCs w:val="24"/>
        </w:rPr>
        <w:sectPr w:rsidR="0049214D" w:rsidSect="006E4D00">
          <w:pgSz w:w="16838" w:h="11906" w:orient="landscape"/>
          <w:pgMar w:top="1440" w:right="1440" w:bottom="1440" w:left="1440" w:header="708" w:footer="708" w:gutter="0"/>
          <w:cols w:space="708"/>
          <w:docGrid w:linePitch="360"/>
        </w:sectPr>
      </w:pPr>
    </w:p>
    <w:p w14:paraId="735A913E" w14:textId="3110B88D" w:rsidR="008E1481" w:rsidRPr="003524BE" w:rsidRDefault="008E1481" w:rsidP="003524BE">
      <w:pPr>
        <w:pStyle w:val="ListParagraph"/>
        <w:numPr>
          <w:ilvl w:val="0"/>
          <w:numId w:val="4"/>
        </w:numPr>
        <w:spacing w:after="120" w:line="276" w:lineRule="auto"/>
        <w:rPr>
          <w:b/>
          <w:bCs/>
          <w:sz w:val="24"/>
          <w:szCs w:val="24"/>
        </w:rPr>
      </w:pPr>
      <w:r w:rsidRPr="003524BE">
        <w:rPr>
          <w:b/>
          <w:bCs/>
          <w:sz w:val="24"/>
          <w:szCs w:val="24"/>
        </w:rPr>
        <w:lastRenderedPageBreak/>
        <w:t xml:space="preserve">Aligning </w:t>
      </w:r>
      <w:r w:rsidR="00970F42" w:rsidRPr="003524BE">
        <w:rPr>
          <w:b/>
          <w:bCs/>
          <w:sz w:val="24"/>
          <w:szCs w:val="24"/>
        </w:rPr>
        <w:t xml:space="preserve">your </w:t>
      </w:r>
      <w:r w:rsidRPr="003524BE">
        <w:rPr>
          <w:b/>
          <w:bCs/>
          <w:sz w:val="24"/>
          <w:szCs w:val="24"/>
        </w:rPr>
        <w:t>Evidence to Assessment Criteria</w:t>
      </w:r>
    </w:p>
    <w:tbl>
      <w:tblPr>
        <w:tblStyle w:val="TableGrid"/>
        <w:tblW w:w="5000" w:type="pct"/>
        <w:tblLook w:val="04A0" w:firstRow="1" w:lastRow="0" w:firstColumn="1" w:lastColumn="0" w:noHBand="0" w:noVBand="1"/>
      </w:tblPr>
      <w:tblGrid>
        <w:gridCol w:w="5099"/>
        <w:gridCol w:w="8849"/>
      </w:tblGrid>
      <w:tr w:rsidR="008B1764" w14:paraId="658338F5" w14:textId="77777777" w:rsidTr="007E69FA">
        <w:tc>
          <w:tcPr>
            <w:tcW w:w="1828" w:type="pct"/>
            <w:shd w:val="clear" w:color="auto" w:fill="C00000"/>
          </w:tcPr>
          <w:p w14:paraId="1A7EB613" w14:textId="20526E07" w:rsidR="008B1764" w:rsidRPr="007E69FA" w:rsidRDefault="008B1764" w:rsidP="008B1764">
            <w:pPr>
              <w:spacing w:before="120" w:line="360" w:lineRule="auto"/>
              <w:jc w:val="center"/>
              <w:rPr>
                <w:b/>
                <w:bCs/>
                <w:sz w:val="28"/>
                <w:szCs w:val="28"/>
              </w:rPr>
            </w:pPr>
            <w:bookmarkStart w:id="0" w:name="_Hlk105058062"/>
            <w:r w:rsidRPr="007E69FA">
              <w:rPr>
                <w:b/>
                <w:bCs/>
                <w:sz w:val="28"/>
                <w:szCs w:val="28"/>
              </w:rPr>
              <w:t>Assessment Matrix Criteria</w:t>
            </w:r>
          </w:p>
        </w:tc>
        <w:tc>
          <w:tcPr>
            <w:tcW w:w="3172" w:type="pct"/>
            <w:shd w:val="clear" w:color="auto" w:fill="C00000"/>
          </w:tcPr>
          <w:p w14:paraId="0A1BBF36" w14:textId="3A9520ED" w:rsidR="008B1764" w:rsidRPr="007E69FA" w:rsidRDefault="00147196" w:rsidP="008B1764">
            <w:pPr>
              <w:spacing w:before="120" w:line="360" w:lineRule="auto"/>
              <w:jc w:val="center"/>
              <w:rPr>
                <w:b/>
                <w:bCs/>
                <w:sz w:val="28"/>
                <w:szCs w:val="28"/>
              </w:rPr>
            </w:pPr>
            <w:r>
              <w:rPr>
                <w:b/>
                <w:bCs/>
                <w:sz w:val="28"/>
                <w:szCs w:val="28"/>
              </w:rPr>
              <w:t>Summary of Evidence</w:t>
            </w:r>
          </w:p>
        </w:tc>
      </w:tr>
      <w:tr w:rsidR="008B1764" w14:paraId="75E26E2F" w14:textId="77777777" w:rsidTr="007E69FA">
        <w:trPr>
          <w:trHeight w:val="1928"/>
        </w:trPr>
        <w:tc>
          <w:tcPr>
            <w:tcW w:w="1828" w:type="pct"/>
          </w:tcPr>
          <w:p w14:paraId="401E9839" w14:textId="5C10EF29" w:rsidR="008B1764" w:rsidRPr="007E69FA" w:rsidRDefault="008B1764" w:rsidP="008B1764">
            <w:pPr>
              <w:spacing w:after="120" w:line="360" w:lineRule="auto"/>
              <w:rPr>
                <w:sz w:val="24"/>
                <w:szCs w:val="24"/>
              </w:rPr>
            </w:pPr>
            <w:r w:rsidRPr="007E69FA">
              <w:rPr>
                <w:sz w:val="24"/>
                <w:szCs w:val="24"/>
              </w:rPr>
              <w:t>Positively impacted on student learning, student engagement or the overall student experience for a period of no less than three years.</w:t>
            </w:r>
          </w:p>
        </w:tc>
        <w:tc>
          <w:tcPr>
            <w:tcW w:w="3172" w:type="pct"/>
          </w:tcPr>
          <w:p w14:paraId="70C2A28A" w14:textId="77777777" w:rsidR="008B1764" w:rsidRDefault="008B1764" w:rsidP="008B1764">
            <w:pPr>
              <w:spacing w:after="120" w:line="360" w:lineRule="auto"/>
            </w:pPr>
          </w:p>
        </w:tc>
      </w:tr>
      <w:tr w:rsidR="008B1764" w14:paraId="6285722A" w14:textId="77777777" w:rsidTr="007E69FA">
        <w:trPr>
          <w:trHeight w:val="1928"/>
        </w:trPr>
        <w:tc>
          <w:tcPr>
            <w:tcW w:w="1828" w:type="pct"/>
          </w:tcPr>
          <w:p w14:paraId="0AA9EA34" w14:textId="76D010C8" w:rsidR="008B1764" w:rsidRPr="007E69FA" w:rsidRDefault="008B1764" w:rsidP="008B1764">
            <w:pPr>
              <w:spacing w:after="120" w:line="360" w:lineRule="auto"/>
              <w:rPr>
                <w:sz w:val="24"/>
                <w:szCs w:val="24"/>
              </w:rPr>
            </w:pPr>
            <w:r w:rsidRPr="007E69FA">
              <w:rPr>
                <w:sz w:val="24"/>
                <w:szCs w:val="24"/>
              </w:rPr>
              <w:t>Gained recognition from colleagues, the institution, and/or the broader community.</w:t>
            </w:r>
          </w:p>
        </w:tc>
        <w:tc>
          <w:tcPr>
            <w:tcW w:w="3172" w:type="pct"/>
          </w:tcPr>
          <w:p w14:paraId="338A7A60" w14:textId="77777777" w:rsidR="008B1764" w:rsidRDefault="008B1764" w:rsidP="008B1764">
            <w:pPr>
              <w:spacing w:after="120" w:line="360" w:lineRule="auto"/>
            </w:pPr>
          </w:p>
        </w:tc>
      </w:tr>
      <w:tr w:rsidR="008B1764" w14:paraId="66899FEB" w14:textId="77777777" w:rsidTr="007E69FA">
        <w:trPr>
          <w:trHeight w:val="1928"/>
        </w:trPr>
        <w:tc>
          <w:tcPr>
            <w:tcW w:w="1828" w:type="pct"/>
          </w:tcPr>
          <w:p w14:paraId="3479A56D" w14:textId="0091BF4D" w:rsidR="008B1764" w:rsidRPr="007E69FA" w:rsidRDefault="008B1764" w:rsidP="008B1764">
            <w:pPr>
              <w:spacing w:after="120" w:line="360" w:lineRule="auto"/>
              <w:rPr>
                <w:sz w:val="24"/>
                <w:szCs w:val="24"/>
              </w:rPr>
            </w:pPr>
            <w:r w:rsidRPr="007E69FA">
              <w:rPr>
                <w:sz w:val="24"/>
                <w:szCs w:val="24"/>
              </w:rPr>
              <w:t>Shown creativity, imagination and/or innovation.</w:t>
            </w:r>
          </w:p>
        </w:tc>
        <w:tc>
          <w:tcPr>
            <w:tcW w:w="3172" w:type="pct"/>
          </w:tcPr>
          <w:p w14:paraId="39CC1D37" w14:textId="77777777" w:rsidR="008B1764" w:rsidRDefault="008B1764" w:rsidP="008B1764">
            <w:pPr>
              <w:spacing w:after="120" w:line="360" w:lineRule="auto"/>
            </w:pPr>
          </w:p>
        </w:tc>
      </w:tr>
      <w:tr w:rsidR="008B1764" w14:paraId="1A03AD45" w14:textId="77777777" w:rsidTr="007E69FA">
        <w:trPr>
          <w:trHeight w:val="1928"/>
        </w:trPr>
        <w:tc>
          <w:tcPr>
            <w:tcW w:w="1828" w:type="pct"/>
          </w:tcPr>
          <w:p w14:paraId="48C8EB83" w14:textId="395B05E5" w:rsidR="008B1764" w:rsidRPr="007E69FA" w:rsidRDefault="008B1764" w:rsidP="008B1764">
            <w:pPr>
              <w:spacing w:after="120" w:line="360" w:lineRule="auto"/>
              <w:rPr>
                <w:sz w:val="24"/>
                <w:szCs w:val="24"/>
              </w:rPr>
            </w:pPr>
            <w:r w:rsidRPr="007E69FA">
              <w:rPr>
                <w:sz w:val="24"/>
                <w:szCs w:val="24"/>
              </w:rPr>
              <w:t>Drawn on the scholarly literature on teaching and learning to inform the development of initiatives, programs and/or practice.</w:t>
            </w:r>
          </w:p>
        </w:tc>
        <w:tc>
          <w:tcPr>
            <w:tcW w:w="3172" w:type="pct"/>
          </w:tcPr>
          <w:p w14:paraId="5EFFE511" w14:textId="77777777" w:rsidR="008B1764" w:rsidRDefault="008B1764" w:rsidP="008B1764">
            <w:pPr>
              <w:spacing w:after="120" w:line="360" w:lineRule="auto"/>
            </w:pPr>
          </w:p>
        </w:tc>
      </w:tr>
      <w:bookmarkEnd w:id="0"/>
    </w:tbl>
    <w:p w14:paraId="142449E0" w14:textId="77777777" w:rsidR="00904B49" w:rsidRDefault="00904B49" w:rsidP="0049214D">
      <w:pPr>
        <w:spacing w:after="120" w:line="276" w:lineRule="auto"/>
        <w:rPr>
          <w:b/>
          <w:bCs/>
          <w:sz w:val="24"/>
          <w:szCs w:val="24"/>
        </w:rPr>
        <w:sectPr w:rsidR="00904B49" w:rsidSect="006E4D00">
          <w:pgSz w:w="16838" w:h="11906" w:orient="landscape"/>
          <w:pgMar w:top="1440" w:right="1440" w:bottom="1440" w:left="1440" w:header="708" w:footer="708" w:gutter="0"/>
          <w:cols w:space="708"/>
          <w:docGrid w:linePitch="360"/>
        </w:sectPr>
      </w:pPr>
    </w:p>
    <w:p w14:paraId="545E5ABE" w14:textId="6548A2B3" w:rsidR="006E4D00" w:rsidRPr="003524BE" w:rsidRDefault="008E1481" w:rsidP="003524BE">
      <w:pPr>
        <w:pStyle w:val="ListParagraph"/>
        <w:numPr>
          <w:ilvl w:val="0"/>
          <w:numId w:val="4"/>
        </w:numPr>
        <w:spacing w:after="120" w:line="276" w:lineRule="auto"/>
        <w:rPr>
          <w:b/>
          <w:bCs/>
          <w:sz w:val="24"/>
          <w:szCs w:val="24"/>
        </w:rPr>
      </w:pPr>
      <w:r w:rsidRPr="003524BE">
        <w:rPr>
          <w:b/>
          <w:bCs/>
          <w:sz w:val="24"/>
          <w:szCs w:val="24"/>
        </w:rPr>
        <w:lastRenderedPageBreak/>
        <w:t xml:space="preserve">Mapping </w:t>
      </w:r>
      <w:r w:rsidR="006E4D00" w:rsidRPr="003524BE">
        <w:rPr>
          <w:b/>
          <w:bCs/>
          <w:sz w:val="24"/>
          <w:szCs w:val="24"/>
        </w:rPr>
        <w:t xml:space="preserve">Evidence </w:t>
      </w:r>
      <w:r w:rsidRPr="003524BE">
        <w:rPr>
          <w:b/>
          <w:bCs/>
          <w:sz w:val="24"/>
          <w:szCs w:val="24"/>
        </w:rPr>
        <w:t xml:space="preserve">to Evidence </w:t>
      </w:r>
      <w:r w:rsidR="006E4D00" w:rsidRPr="003524BE">
        <w:rPr>
          <w:b/>
          <w:bCs/>
          <w:sz w:val="24"/>
          <w:szCs w:val="24"/>
        </w:rPr>
        <w:t>Quadrants</w:t>
      </w:r>
    </w:p>
    <w:tbl>
      <w:tblPr>
        <w:tblStyle w:val="TableGrid"/>
        <w:tblW w:w="4718" w:type="pct"/>
        <w:tblInd w:w="612" w:type="dxa"/>
        <w:tblLook w:val="04A0" w:firstRow="1" w:lastRow="0" w:firstColumn="1" w:lastColumn="0" w:noHBand="0" w:noVBand="1"/>
      </w:tblPr>
      <w:tblGrid>
        <w:gridCol w:w="699"/>
        <w:gridCol w:w="6236"/>
        <w:gridCol w:w="6236"/>
      </w:tblGrid>
      <w:tr w:rsidR="006E4D00" w14:paraId="0E869AD9" w14:textId="77777777" w:rsidTr="007E69FA">
        <w:tc>
          <w:tcPr>
            <w:tcW w:w="265" w:type="pct"/>
            <w:tcBorders>
              <w:top w:val="nil"/>
              <w:left w:val="nil"/>
              <w:bottom w:val="nil"/>
              <w:right w:val="nil"/>
            </w:tcBorders>
            <w:shd w:val="clear" w:color="auto" w:fill="C00000"/>
          </w:tcPr>
          <w:p w14:paraId="3DF0DE54" w14:textId="77777777" w:rsidR="006E4D00" w:rsidRDefault="006E4D00" w:rsidP="008B1764">
            <w:pPr>
              <w:spacing w:after="120" w:line="360" w:lineRule="auto"/>
            </w:pPr>
          </w:p>
        </w:tc>
        <w:tc>
          <w:tcPr>
            <w:tcW w:w="2367" w:type="pct"/>
            <w:tcBorders>
              <w:top w:val="nil"/>
              <w:left w:val="nil"/>
              <w:right w:val="nil"/>
            </w:tcBorders>
            <w:shd w:val="clear" w:color="auto" w:fill="C00000"/>
          </w:tcPr>
          <w:p w14:paraId="5C8E021F" w14:textId="36BBE351" w:rsidR="006E4D00" w:rsidRPr="006E4D00" w:rsidRDefault="006E4D00" w:rsidP="006E4D00">
            <w:pPr>
              <w:spacing w:before="120" w:line="360" w:lineRule="auto"/>
              <w:jc w:val="center"/>
              <w:rPr>
                <w:b/>
                <w:bCs/>
                <w:sz w:val="28"/>
                <w:szCs w:val="28"/>
              </w:rPr>
            </w:pPr>
            <w:r w:rsidRPr="006E4D00">
              <w:rPr>
                <w:b/>
                <w:bCs/>
                <w:sz w:val="28"/>
                <w:szCs w:val="28"/>
              </w:rPr>
              <w:t>Internal</w:t>
            </w:r>
          </w:p>
        </w:tc>
        <w:tc>
          <w:tcPr>
            <w:tcW w:w="2367" w:type="pct"/>
            <w:tcBorders>
              <w:top w:val="nil"/>
              <w:left w:val="nil"/>
              <w:right w:val="nil"/>
            </w:tcBorders>
            <w:shd w:val="clear" w:color="auto" w:fill="C00000"/>
          </w:tcPr>
          <w:p w14:paraId="4EF455A6" w14:textId="6B7541D2" w:rsidR="006E4D00" w:rsidRPr="006E4D00" w:rsidRDefault="006E4D00" w:rsidP="006E4D00">
            <w:pPr>
              <w:spacing w:before="120" w:line="360" w:lineRule="auto"/>
              <w:jc w:val="center"/>
              <w:rPr>
                <w:b/>
                <w:bCs/>
                <w:sz w:val="28"/>
                <w:szCs w:val="28"/>
              </w:rPr>
            </w:pPr>
            <w:r w:rsidRPr="006E4D00">
              <w:rPr>
                <w:b/>
                <w:bCs/>
                <w:sz w:val="28"/>
                <w:szCs w:val="28"/>
              </w:rPr>
              <w:t>External</w:t>
            </w:r>
          </w:p>
        </w:tc>
      </w:tr>
      <w:tr w:rsidR="006E4D00" w14:paraId="79417D6D" w14:textId="77777777" w:rsidTr="003B49C1">
        <w:trPr>
          <w:cantSplit/>
          <w:trHeight w:val="3402"/>
        </w:trPr>
        <w:tc>
          <w:tcPr>
            <w:tcW w:w="265" w:type="pct"/>
            <w:tcBorders>
              <w:top w:val="nil"/>
              <w:left w:val="nil"/>
              <w:bottom w:val="nil"/>
            </w:tcBorders>
            <w:shd w:val="clear" w:color="auto" w:fill="C00000"/>
            <w:textDirection w:val="btLr"/>
            <w:vAlign w:val="center"/>
          </w:tcPr>
          <w:p w14:paraId="5CEF2CA1" w14:textId="19F21E74" w:rsidR="006E4D00" w:rsidRPr="006E4D00" w:rsidRDefault="006E4D00" w:rsidP="007E69FA">
            <w:pPr>
              <w:ind w:left="113" w:right="113"/>
              <w:jc w:val="center"/>
              <w:rPr>
                <w:b/>
                <w:bCs/>
                <w:sz w:val="28"/>
                <w:szCs w:val="28"/>
              </w:rPr>
            </w:pPr>
            <w:r w:rsidRPr="006E4D00">
              <w:rPr>
                <w:b/>
                <w:bCs/>
                <w:sz w:val="28"/>
                <w:szCs w:val="28"/>
              </w:rPr>
              <w:t>Qualitative</w:t>
            </w:r>
          </w:p>
        </w:tc>
        <w:tc>
          <w:tcPr>
            <w:tcW w:w="2367" w:type="pct"/>
          </w:tcPr>
          <w:p w14:paraId="5E90065C" w14:textId="77777777" w:rsidR="006E4D00" w:rsidRDefault="006E4D00" w:rsidP="00147196">
            <w:pPr>
              <w:spacing w:before="120" w:line="360" w:lineRule="auto"/>
              <w:ind w:left="57"/>
            </w:pPr>
          </w:p>
        </w:tc>
        <w:tc>
          <w:tcPr>
            <w:tcW w:w="2367" w:type="pct"/>
          </w:tcPr>
          <w:p w14:paraId="5650EA83" w14:textId="77777777" w:rsidR="006E4D00" w:rsidRDefault="006E4D00" w:rsidP="00147196">
            <w:pPr>
              <w:spacing w:before="120" w:line="360" w:lineRule="auto"/>
              <w:ind w:left="57"/>
            </w:pPr>
          </w:p>
        </w:tc>
      </w:tr>
      <w:tr w:rsidR="006E4D00" w14:paraId="098FCB4A" w14:textId="77777777" w:rsidTr="003B49C1">
        <w:trPr>
          <w:cantSplit/>
          <w:trHeight w:val="3402"/>
        </w:trPr>
        <w:tc>
          <w:tcPr>
            <w:tcW w:w="265" w:type="pct"/>
            <w:tcBorders>
              <w:top w:val="nil"/>
              <w:left w:val="nil"/>
              <w:bottom w:val="nil"/>
            </w:tcBorders>
            <w:shd w:val="clear" w:color="auto" w:fill="C00000"/>
            <w:textDirection w:val="btLr"/>
            <w:vAlign w:val="center"/>
          </w:tcPr>
          <w:p w14:paraId="6075B6A2" w14:textId="6EB34864" w:rsidR="006E4D00" w:rsidRPr="006E4D00" w:rsidRDefault="006E4D00" w:rsidP="007E69FA">
            <w:pPr>
              <w:ind w:left="113" w:right="113"/>
              <w:jc w:val="center"/>
              <w:rPr>
                <w:b/>
                <w:bCs/>
                <w:sz w:val="28"/>
                <w:szCs w:val="28"/>
              </w:rPr>
            </w:pPr>
            <w:r w:rsidRPr="006E4D00">
              <w:rPr>
                <w:b/>
                <w:bCs/>
                <w:sz w:val="28"/>
                <w:szCs w:val="28"/>
              </w:rPr>
              <w:t>Quantitative</w:t>
            </w:r>
          </w:p>
        </w:tc>
        <w:tc>
          <w:tcPr>
            <w:tcW w:w="2367" w:type="pct"/>
          </w:tcPr>
          <w:p w14:paraId="1EEC3E65" w14:textId="77777777" w:rsidR="006E4D00" w:rsidRDefault="006E4D00" w:rsidP="00147196">
            <w:pPr>
              <w:spacing w:before="120" w:line="360" w:lineRule="auto"/>
              <w:ind w:left="57"/>
            </w:pPr>
          </w:p>
        </w:tc>
        <w:tc>
          <w:tcPr>
            <w:tcW w:w="2367" w:type="pct"/>
          </w:tcPr>
          <w:p w14:paraId="68225E7D" w14:textId="77777777" w:rsidR="006E4D00" w:rsidRDefault="006E4D00" w:rsidP="00147196">
            <w:pPr>
              <w:spacing w:before="120" w:line="360" w:lineRule="auto"/>
              <w:ind w:left="57"/>
            </w:pPr>
          </w:p>
        </w:tc>
      </w:tr>
    </w:tbl>
    <w:p w14:paraId="5E12BEE1" w14:textId="438226CA" w:rsidR="00BB402D" w:rsidRDefault="0096649D" w:rsidP="008B1764">
      <w:pPr>
        <w:spacing w:after="120" w:line="360" w:lineRule="auto"/>
        <w:sectPr w:rsidR="00BB402D" w:rsidSect="006E4D00">
          <w:pgSz w:w="16838" w:h="11906" w:orient="landscape"/>
          <w:pgMar w:top="1440" w:right="1440" w:bottom="1440" w:left="1440" w:header="708" w:footer="708" w:gutter="0"/>
          <w:cols w:space="708"/>
          <w:docGrid w:linePitch="360"/>
        </w:sectPr>
      </w:pPr>
      <w:r>
        <w:tab/>
      </w:r>
      <w:r w:rsidRPr="0096649D">
        <w:rPr>
          <w:b/>
          <w:bCs/>
        </w:rPr>
        <w:t xml:space="preserve">Resource: </w:t>
      </w:r>
      <w:hyperlink r:id="rId30" w:history="1">
        <w:r w:rsidRPr="0096649D">
          <w:rPr>
            <w:rStyle w:val="Hyperlink"/>
          </w:rPr>
          <w:t>Evidencing your Teaching Practice</w:t>
        </w:r>
      </w:hyperlink>
    </w:p>
    <w:p w14:paraId="5BAEEA08" w14:textId="72A1F16F" w:rsidR="006E4D00" w:rsidRPr="006613D9" w:rsidRDefault="00BB402D" w:rsidP="00BB402D">
      <w:pPr>
        <w:spacing w:after="120" w:line="276" w:lineRule="auto"/>
        <w:rPr>
          <w:b/>
          <w:bCs/>
          <w:sz w:val="28"/>
          <w:szCs w:val="28"/>
        </w:rPr>
      </w:pPr>
      <w:bookmarkStart w:id="1" w:name="Appendix"/>
      <w:r w:rsidRPr="006613D9">
        <w:rPr>
          <w:b/>
          <w:bCs/>
          <w:sz w:val="28"/>
          <w:szCs w:val="28"/>
        </w:rPr>
        <w:lastRenderedPageBreak/>
        <w:t>Appendix</w:t>
      </w:r>
    </w:p>
    <w:bookmarkEnd w:id="1"/>
    <w:p w14:paraId="26E57337" w14:textId="77777777" w:rsidR="00BB402D" w:rsidRPr="009B2ACE" w:rsidRDefault="00BB402D" w:rsidP="00BB402D">
      <w:pPr>
        <w:spacing w:line="276" w:lineRule="auto"/>
        <w:rPr>
          <w:b/>
          <w:bCs/>
          <w:sz w:val="24"/>
          <w:szCs w:val="24"/>
        </w:rPr>
      </w:pPr>
      <w:r w:rsidRPr="009B2ACE">
        <w:rPr>
          <w:b/>
          <w:bCs/>
          <w:sz w:val="24"/>
          <w:szCs w:val="24"/>
        </w:rPr>
        <w:t>RefQuest (Andrew Komoder, Team Lead) – Learning Futures and the Library</w:t>
      </w:r>
    </w:p>
    <w:p w14:paraId="4B81BA8E" w14:textId="77777777" w:rsidR="00BB402D" w:rsidRPr="009B2ACE" w:rsidRDefault="00BB402D" w:rsidP="00BB402D">
      <w:pPr>
        <w:spacing w:line="276" w:lineRule="auto"/>
        <w:rPr>
          <w:b/>
          <w:bCs/>
        </w:rPr>
      </w:pPr>
      <w:r w:rsidRPr="009B2ACE">
        <w:rPr>
          <w:b/>
          <w:bCs/>
        </w:rPr>
        <w:t>Citation Blurb:</w:t>
      </w:r>
    </w:p>
    <w:p w14:paraId="4ADEAE8E" w14:textId="77777777" w:rsidR="00BB402D" w:rsidRDefault="00BB402D" w:rsidP="00BB402D">
      <w:pPr>
        <w:spacing w:line="276" w:lineRule="auto"/>
      </w:pPr>
      <w:r>
        <w:t>For outstanding innovation in teaching academic referencing in an engaging online experience that stimulates curiosity and independence in learning</w:t>
      </w:r>
    </w:p>
    <w:p w14:paraId="5BDB56AD" w14:textId="77777777" w:rsidR="00BB402D" w:rsidRPr="009B2ACE" w:rsidRDefault="00BB402D" w:rsidP="00BB402D">
      <w:pPr>
        <w:spacing w:line="276" w:lineRule="auto"/>
        <w:rPr>
          <w:b/>
          <w:bCs/>
        </w:rPr>
      </w:pPr>
      <w:r w:rsidRPr="009B2ACE">
        <w:rPr>
          <w:b/>
          <w:bCs/>
        </w:rPr>
        <w:t>Synopsis:</w:t>
      </w:r>
    </w:p>
    <w:p w14:paraId="08990391" w14:textId="77777777" w:rsidR="00BB402D" w:rsidRDefault="00BB402D" w:rsidP="00BB402D">
      <w:pPr>
        <w:spacing w:line="276" w:lineRule="auto"/>
      </w:pPr>
      <w:r>
        <w:t>The partnership pedagogy between Learning Futures and The Library has created a highly engaging, fun and challenging online learning experience to assist students in the understanding of academic referencing. This experience, RefQuest, is built on concepts of intrinsic motivation and self-regulated learning, and provides students with the right amount of challenge, support, and feedback. RefQuest has been received very positively by students, teaching staff and librarians and is being used by several Australian and international institutions.</w:t>
      </w:r>
    </w:p>
    <w:p w14:paraId="712A878C" w14:textId="574E20A3" w:rsidR="00BB402D" w:rsidRPr="009B2ACE" w:rsidRDefault="00BB402D" w:rsidP="00BB402D">
      <w:pPr>
        <w:spacing w:line="276" w:lineRule="auto"/>
        <w:rPr>
          <w:b/>
          <w:bCs/>
          <w:sz w:val="24"/>
          <w:szCs w:val="24"/>
        </w:rPr>
      </w:pPr>
      <w:r w:rsidRPr="009B2ACE">
        <w:rPr>
          <w:b/>
          <w:bCs/>
          <w:sz w:val="24"/>
          <w:szCs w:val="24"/>
        </w:rPr>
        <w:t xml:space="preserve">Irena Veljanova – </w:t>
      </w:r>
      <w:r>
        <w:rPr>
          <w:b/>
          <w:bCs/>
          <w:sz w:val="24"/>
          <w:szCs w:val="24"/>
        </w:rPr>
        <w:t xml:space="preserve">Senior </w:t>
      </w:r>
      <w:r w:rsidRPr="009B2ACE">
        <w:rPr>
          <w:b/>
          <w:bCs/>
          <w:sz w:val="24"/>
          <w:szCs w:val="24"/>
        </w:rPr>
        <w:t>Lecturer, School of Social Science</w:t>
      </w:r>
    </w:p>
    <w:p w14:paraId="079EF6B5" w14:textId="77777777" w:rsidR="00BB402D" w:rsidRPr="009B2ACE" w:rsidRDefault="00BB402D" w:rsidP="00BB402D">
      <w:pPr>
        <w:spacing w:line="276" w:lineRule="auto"/>
        <w:rPr>
          <w:b/>
          <w:bCs/>
        </w:rPr>
      </w:pPr>
      <w:r w:rsidRPr="009B2ACE">
        <w:rPr>
          <w:b/>
          <w:bCs/>
        </w:rPr>
        <w:t>Citation Blurb:</w:t>
      </w:r>
    </w:p>
    <w:p w14:paraId="786B2025" w14:textId="77777777" w:rsidR="00BB402D" w:rsidRDefault="00BB402D" w:rsidP="00BB402D">
      <w:pPr>
        <w:spacing w:line="276" w:lineRule="auto"/>
      </w:pPr>
      <w:r>
        <w:t>For innovative application of technology-enabled inductive learning pedagogy in teaching social sciences that proactively promotes professional student identities.</w:t>
      </w:r>
    </w:p>
    <w:p w14:paraId="40BD1398" w14:textId="77777777" w:rsidR="00BB402D" w:rsidRPr="009B2ACE" w:rsidRDefault="00BB402D" w:rsidP="00BB402D">
      <w:pPr>
        <w:spacing w:line="276" w:lineRule="auto"/>
        <w:rPr>
          <w:b/>
          <w:bCs/>
        </w:rPr>
      </w:pPr>
      <w:r w:rsidRPr="009B2ACE">
        <w:rPr>
          <w:b/>
          <w:bCs/>
        </w:rPr>
        <w:t>Synopsis</w:t>
      </w:r>
      <w:r>
        <w:rPr>
          <w:b/>
          <w:bCs/>
        </w:rPr>
        <w:t>:</w:t>
      </w:r>
    </w:p>
    <w:p w14:paraId="30A57447" w14:textId="77777777" w:rsidR="00BB402D" w:rsidRPr="009B2ACE" w:rsidRDefault="00BB402D" w:rsidP="00BB402D">
      <w:pPr>
        <w:spacing w:line="276" w:lineRule="auto"/>
        <w:rPr>
          <w:sz w:val="24"/>
          <w:szCs w:val="24"/>
        </w:rPr>
      </w:pPr>
      <w:r>
        <w:t xml:space="preserve">Dr. Irena C. Veljanova uses distinctly student-centred, inductive learning pedagogies while making use of the digital affordances of both ‘in-house’ and external technologies. She uses work integrated learning and partnerships pedagogies to afford students spaces for proactive engagement with their future professional careers. Students self-report greater independence in learning and an increased </w:t>
      </w:r>
      <w:r w:rsidRPr="009B2ACE">
        <w:rPr>
          <w:sz w:val="24"/>
          <w:szCs w:val="24"/>
        </w:rPr>
        <w:t>sense of pre-professional identity.</w:t>
      </w:r>
    </w:p>
    <w:p w14:paraId="566A9B43" w14:textId="77777777" w:rsidR="00BB402D" w:rsidRPr="009B2ACE" w:rsidRDefault="00BB402D" w:rsidP="00BB402D">
      <w:pPr>
        <w:spacing w:line="276" w:lineRule="auto"/>
        <w:rPr>
          <w:b/>
          <w:bCs/>
          <w:sz w:val="24"/>
          <w:szCs w:val="24"/>
        </w:rPr>
      </w:pPr>
      <w:r w:rsidRPr="009B2ACE">
        <w:rPr>
          <w:b/>
          <w:bCs/>
          <w:sz w:val="24"/>
          <w:szCs w:val="24"/>
        </w:rPr>
        <w:t>Kristen Marshall – Sessional Academic, School of Humanities and Communication Arts</w:t>
      </w:r>
    </w:p>
    <w:p w14:paraId="52D34084" w14:textId="77777777" w:rsidR="00BB402D" w:rsidRPr="009B2ACE" w:rsidRDefault="00BB402D" w:rsidP="00BB402D">
      <w:pPr>
        <w:spacing w:line="276" w:lineRule="auto"/>
        <w:rPr>
          <w:b/>
          <w:bCs/>
        </w:rPr>
      </w:pPr>
      <w:r w:rsidRPr="009B2ACE">
        <w:rPr>
          <w:b/>
          <w:bCs/>
        </w:rPr>
        <w:t>Citation Blurb:</w:t>
      </w:r>
    </w:p>
    <w:p w14:paraId="0D5EE65E" w14:textId="77777777" w:rsidR="00BB402D" w:rsidRDefault="00BB402D" w:rsidP="00BB402D">
      <w:pPr>
        <w:spacing w:line="276" w:lineRule="auto"/>
      </w:pPr>
      <w:r>
        <w:t>For innovative solutions and teaching practices that address and remove roadblocks, to facilitate successful outcomes for students from culturally and linguistically diverse backgrounds.</w:t>
      </w:r>
    </w:p>
    <w:p w14:paraId="0CB85288" w14:textId="77777777" w:rsidR="00BB402D" w:rsidRPr="009B2ACE" w:rsidRDefault="00BB402D" w:rsidP="00BB402D">
      <w:pPr>
        <w:spacing w:line="276" w:lineRule="auto"/>
        <w:rPr>
          <w:b/>
          <w:bCs/>
        </w:rPr>
      </w:pPr>
      <w:r w:rsidRPr="009B2ACE">
        <w:rPr>
          <w:b/>
          <w:bCs/>
        </w:rPr>
        <w:t>Synopsis:</w:t>
      </w:r>
    </w:p>
    <w:p w14:paraId="1642EF98" w14:textId="77777777" w:rsidR="00BB402D" w:rsidRDefault="00BB402D" w:rsidP="00BB402D">
      <w:pPr>
        <w:spacing w:line="276" w:lineRule="auto"/>
      </w:pPr>
      <w:r>
        <w:t>Kristen Marshall recognised a need for a successful systematic approach to engage the culturally diverse students at WSU. It is with a deep understanding of Westerns’ students and their challenges that she successfully developed a Culturally Responsive Pedagogy into her teaching practice. These strategies have resulted in Kristen identifying, and removing obstacles to student learning, and increased their academic outcomes. This is evidenced over a sustained period from multiple sources of positive feedback.</w:t>
      </w:r>
    </w:p>
    <w:p w14:paraId="49B81214" w14:textId="77777777" w:rsidR="00BB402D" w:rsidRDefault="00BB402D" w:rsidP="00BB402D">
      <w:pPr>
        <w:spacing w:after="120" w:line="276" w:lineRule="auto"/>
      </w:pPr>
    </w:p>
    <w:sectPr w:rsidR="00BB402D" w:rsidSect="00BB402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09243" w14:textId="77777777" w:rsidR="009D1861" w:rsidRDefault="009D1861" w:rsidP="007E69FA">
      <w:pPr>
        <w:spacing w:after="0" w:line="240" w:lineRule="auto"/>
      </w:pPr>
      <w:r>
        <w:separator/>
      </w:r>
    </w:p>
  </w:endnote>
  <w:endnote w:type="continuationSeparator" w:id="0">
    <w:p w14:paraId="5AE700B4" w14:textId="77777777" w:rsidR="009D1861" w:rsidRDefault="009D1861" w:rsidP="007E69FA">
      <w:pPr>
        <w:spacing w:after="0" w:line="240" w:lineRule="auto"/>
      </w:pPr>
      <w:r>
        <w:continuationSeparator/>
      </w:r>
    </w:p>
  </w:endnote>
  <w:endnote w:type="continuationNotice" w:id="1">
    <w:p w14:paraId="4C668E4B" w14:textId="77777777" w:rsidR="00456406" w:rsidRDefault="004564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3814789"/>
      <w:docPartObj>
        <w:docPartGallery w:val="Page Numbers (Bottom of Page)"/>
        <w:docPartUnique/>
      </w:docPartObj>
    </w:sdtPr>
    <w:sdtEndPr/>
    <w:sdtContent>
      <w:sdt>
        <w:sdtPr>
          <w:id w:val="-1769616900"/>
          <w:docPartObj>
            <w:docPartGallery w:val="Page Numbers (Top of Page)"/>
            <w:docPartUnique/>
          </w:docPartObj>
        </w:sdtPr>
        <w:sdtEndPr/>
        <w:sdtContent>
          <w:p w14:paraId="608CB0EC" w14:textId="20A71F08" w:rsidR="007E69FA" w:rsidRDefault="007E69F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205070A8" w14:textId="77777777" w:rsidR="007E69FA" w:rsidRDefault="007E69F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0A008C" w14:textId="77777777" w:rsidR="009D1861" w:rsidRDefault="009D1861" w:rsidP="007E69FA">
      <w:pPr>
        <w:spacing w:after="0" w:line="240" w:lineRule="auto"/>
      </w:pPr>
      <w:r>
        <w:separator/>
      </w:r>
    </w:p>
  </w:footnote>
  <w:footnote w:type="continuationSeparator" w:id="0">
    <w:p w14:paraId="004F51DF" w14:textId="77777777" w:rsidR="009D1861" w:rsidRDefault="009D1861" w:rsidP="007E69FA">
      <w:pPr>
        <w:spacing w:after="0" w:line="240" w:lineRule="auto"/>
      </w:pPr>
      <w:r>
        <w:continuationSeparator/>
      </w:r>
    </w:p>
  </w:footnote>
  <w:footnote w:type="continuationNotice" w:id="1">
    <w:p w14:paraId="0F4E2D40" w14:textId="77777777" w:rsidR="00456406" w:rsidRDefault="00456406">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C61F7"/>
    <w:multiLevelType w:val="hybridMultilevel"/>
    <w:tmpl w:val="0658B0A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3A72636"/>
    <w:multiLevelType w:val="multilevel"/>
    <w:tmpl w:val="32F67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049F3"/>
    <w:multiLevelType w:val="multilevel"/>
    <w:tmpl w:val="8C18F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A7D127E"/>
    <w:multiLevelType w:val="hybridMultilevel"/>
    <w:tmpl w:val="095423FA"/>
    <w:lvl w:ilvl="0" w:tplc="596013F6">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2D94E4A"/>
    <w:multiLevelType w:val="hybridMultilevel"/>
    <w:tmpl w:val="12909634"/>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 w15:restartNumberingAfterBreak="0">
    <w:nsid w:val="76283A85"/>
    <w:multiLevelType w:val="hybridMultilevel"/>
    <w:tmpl w:val="75FCBA5E"/>
    <w:lvl w:ilvl="0" w:tplc="229069B2">
      <w:start w:val="3"/>
      <w:numFmt w:val="bullet"/>
      <w:lvlText w:val=""/>
      <w:lvlJc w:val="left"/>
      <w:pPr>
        <w:ind w:left="720" w:hanging="360"/>
      </w:pPr>
      <w:rPr>
        <w:rFonts w:ascii="Symbol" w:eastAsiaTheme="minorHAnsi" w:hAnsi="Symbol" w:cstheme="minorBidi"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F704249"/>
    <w:multiLevelType w:val="hybridMultilevel"/>
    <w:tmpl w:val="09C8933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1345741703">
    <w:abstractNumId w:val="3"/>
  </w:num>
  <w:num w:numId="2" w16cid:durableId="59256374">
    <w:abstractNumId w:val="0"/>
  </w:num>
  <w:num w:numId="3" w16cid:durableId="595021072">
    <w:abstractNumId w:val="4"/>
  </w:num>
  <w:num w:numId="4" w16cid:durableId="705448781">
    <w:abstractNumId w:val="6"/>
  </w:num>
  <w:num w:numId="5" w16cid:durableId="264509168">
    <w:abstractNumId w:val="5"/>
  </w:num>
  <w:num w:numId="6" w16cid:durableId="544952532">
    <w:abstractNumId w:val="1"/>
  </w:num>
  <w:num w:numId="7" w16cid:durableId="303000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1764"/>
    <w:rsid w:val="0000316A"/>
    <w:rsid w:val="0006560E"/>
    <w:rsid w:val="000A6EED"/>
    <w:rsid w:val="001370C0"/>
    <w:rsid w:val="00147196"/>
    <w:rsid w:val="0024255C"/>
    <w:rsid w:val="0028598B"/>
    <w:rsid w:val="00291F8E"/>
    <w:rsid w:val="002A257B"/>
    <w:rsid w:val="002E3A86"/>
    <w:rsid w:val="003524BE"/>
    <w:rsid w:val="00393BCD"/>
    <w:rsid w:val="003B49C1"/>
    <w:rsid w:val="003D5F3C"/>
    <w:rsid w:val="00456406"/>
    <w:rsid w:val="004701D1"/>
    <w:rsid w:val="0049214D"/>
    <w:rsid w:val="004C1346"/>
    <w:rsid w:val="005552F8"/>
    <w:rsid w:val="005A16FE"/>
    <w:rsid w:val="005B265C"/>
    <w:rsid w:val="00651782"/>
    <w:rsid w:val="006613D9"/>
    <w:rsid w:val="006E4D00"/>
    <w:rsid w:val="00707993"/>
    <w:rsid w:val="007E69FA"/>
    <w:rsid w:val="00812083"/>
    <w:rsid w:val="00813237"/>
    <w:rsid w:val="008871FD"/>
    <w:rsid w:val="008B1764"/>
    <w:rsid w:val="008B4165"/>
    <w:rsid w:val="008D75D5"/>
    <w:rsid w:val="008E1481"/>
    <w:rsid w:val="00904B49"/>
    <w:rsid w:val="0096649D"/>
    <w:rsid w:val="00970F42"/>
    <w:rsid w:val="009D1861"/>
    <w:rsid w:val="00A9026C"/>
    <w:rsid w:val="00AB3F27"/>
    <w:rsid w:val="00B9056B"/>
    <w:rsid w:val="00BB0136"/>
    <w:rsid w:val="00BB2621"/>
    <w:rsid w:val="00BB402D"/>
    <w:rsid w:val="00D70857"/>
    <w:rsid w:val="00DE22E9"/>
    <w:rsid w:val="00EF52B7"/>
    <w:rsid w:val="00F4682C"/>
    <w:rsid w:val="00F862B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82A986"/>
  <w15:chartTrackingRefBased/>
  <w15:docId w15:val="{4B13A40B-7C9F-460C-8340-7B713CC64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B17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E4D00"/>
    <w:pPr>
      <w:ind w:left="720"/>
      <w:contextualSpacing/>
    </w:pPr>
  </w:style>
  <w:style w:type="paragraph" w:styleId="Header">
    <w:name w:val="header"/>
    <w:basedOn w:val="Normal"/>
    <w:link w:val="HeaderChar"/>
    <w:uiPriority w:val="99"/>
    <w:unhideWhenUsed/>
    <w:rsid w:val="007E69F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E69FA"/>
  </w:style>
  <w:style w:type="paragraph" w:styleId="Footer">
    <w:name w:val="footer"/>
    <w:basedOn w:val="Normal"/>
    <w:link w:val="FooterChar"/>
    <w:uiPriority w:val="99"/>
    <w:unhideWhenUsed/>
    <w:rsid w:val="007E69F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E69FA"/>
  </w:style>
  <w:style w:type="table" w:customStyle="1" w:styleId="TableGrid1">
    <w:name w:val="Table Grid1"/>
    <w:basedOn w:val="TableNormal"/>
    <w:next w:val="TableGrid"/>
    <w:uiPriority w:val="39"/>
    <w:rsid w:val="00B905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682C"/>
    <w:rPr>
      <w:color w:val="0563C1" w:themeColor="hyperlink"/>
      <w:u w:val="single"/>
    </w:rPr>
  </w:style>
  <w:style w:type="character" w:styleId="UnresolvedMention">
    <w:name w:val="Unresolved Mention"/>
    <w:basedOn w:val="DefaultParagraphFont"/>
    <w:uiPriority w:val="99"/>
    <w:semiHidden/>
    <w:unhideWhenUsed/>
    <w:rsid w:val="00F4682C"/>
    <w:rPr>
      <w:color w:val="605E5C"/>
      <w:shd w:val="clear" w:color="auto" w:fill="E1DFDD"/>
    </w:rPr>
  </w:style>
  <w:style w:type="character" w:styleId="FollowedHyperlink">
    <w:name w:val="FollowedHyperlink"/>
    <w:basedOn w:val="DefaultParagraphFont"/>
    <w:uiPriority w:val="99"/>
    <w:semiHidden/>
    <w:unhideWhenUsed/>
    <w:rsid w:val="0045640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2453713">
      <w:bodyDiv w:val="1"/>
      <w:marLeft w:val="0"/>
      <w:marRight w:val="0"/>
      <w:marTop w:val="0"/>
      <w:marBottom w:val="0"/>
      <w:divBdr>
        <w:top w:val="none" w:sz="0" w:space="0" w:color="auto"/>
        <w:left w:val="none" w:sz="0" w:space="0" w:color="auto"/>
        <w:bottom w:val="none" w:sz="0" w:space="0" w:color="auto"/>
        <w:right w:val="none" w:sz="0" w:space="0" w:color="auto"/>
      </w:divBdr>
    </w:div>
    <w:div w:id="1857960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esternsydney.edu.au/learning_futures/home/professional_learning/evidencing_your_practice" TargetMode="External"/><Relationship Id="rId18" Type="http://schemas.openxmlformats.org/officeDocument/2006/relationships/hyperlink" Target="https://www.qilt.edu.au/" TargetMode="External"/><Relationship Id="rId26" Type="http://schemas.openxmlformats.org/officeDocument/2006/relationships/hyperlink" Target="https://doi.org/10.5206/cjsotl-rcacea.2019.1.7995" TargetMode="External"/><Relationship Id="rId3" Type="http://schemas.openxmlformats.org/officeDocument/2006/relationships/customXml" Target="../customXml/item3.xml"/><Relationship Id="rId21" Type="http://schemas.openxmlformats.org/officeDocument/2006/relationships/hyperlink" Target="https://www.dese.gov.au/skill-shortages" TargetMode="External"/><Relationship Id="rId7" Type="http://schemas.openxmlformats.org/officeDocument/2006/relationships/settings" Target="settings.xml"/><Relationship Id="rId12" Type="http://schemas.openxmlformats.org/officeDocument/2006/relationships/hyperlink" Target="https://www.westernsydney.edu.au/learning_futures/home/professional_learning/rewards_and_recognition/australian_awards_for_university_teaching" TargetMode="External"/><Relationship Id="rId17" Type="http://schemas.openxmlformats.org/officeDocument/2006/relationships/hyperlink" Target="https://policies.westernsydney.edu.au/document/view.current.php?id=345" TargetMode="External"/><Relationship Id="rId25" Type="http://schemas.openxmlformats.org/officeDocument/2006/relationships/hyperlink" Target="https://doi-org.ezproxy.uws.edu.au/10.1080/09650792.2015.1124046" TargetMode="External"/><Relationship Id="rId2" Type="http://schemas.openxmlformats.org/officeDocument/2006/relationships/customXml" Target="../customXml/item2.xml"/><Relationship Id="rId16" Type="http://schemas.openxmlformats.org/officeDocument/2006/relationships/hyperlink" Target="https://policies.westernsydney.edu.au/document/view.current.php?id=344" TargetMode="External"/><Relationship Id="rId20" Type="http://schemas.openxmlformats.org/officeDocument/2006/relationships/hyperlink" Target="https://lmip.gov.au/" TargetMode="External"/><Relationship Id="rId29" Type="http://schemas.openxmlformats.org/officeDocument/2006/relationships/hyperlink" Target="https://doi-org.ezproxy.uws.edu.au/10.1080/00131911.2021.201478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esternsydney.edu.au/learning_futures/home/professional_learning/rewards_and_recognition/awards_citations2" TargetMode="External"/><Relationship Id="rId24" Type="http://schemas.openxmlformats.org/officeDocument/2006/relationships/hyperlink" Target="https://logincms.westernsydney.edu.au/__data/assets/pdf_file/0005/1898177/Transforming_Teaching_and_Learning_in_Higher_Education_Tan_and_Chen_2020.pdf"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westernsydney.edu.au/__data/assets/pdf_file/0010/1930528/2022_AAUT_Assessment_Matrix-9May.pdf" TargetMode="External"/><Relationship Id="rId23" Type="http://schemas.openxmlformats.org/officeDocument/2006/relationships/hyperlink" Target="https://logincms.westernsydney.edu.au/__data/assets/pdf_file/0008/1898180/Exploring_University_Teaching_and_Learning_Trigwell_and_Prosser_2020.pdf"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www.dese.gov.au/higher-education/data-statistics-and-publications"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westernsydney.edu.au/learning_futures/home/professional_learning/evidencing_your_practice/scholarship_of_teaching_and_learning" TargetMode="External"/><Relationship Id="rId22" Type="http://schemas.openxmlformats.org/officeDocument/2006/relationships/hyperlink" Target="https://ebookcentral.proquest.com/lib/uwsau/detail.action?docID=5582637" TargetMode="External"/><Relationship Id="rId27" Type="http://schemas.openxmlformats.org/officeDocument/2006/relationships/hyperlink" Target="http://ezproxy.uws.edu.au/login?url=https://search.ebscohost.com/login.aspx?direct=true&amp;db=ehh&amp;AN=131394967&amp;site=ehost-live&amp;scope=site" TargetMode="External"/><Relationship Id="rId30" Type="http://schemas.openxmlformats.org/officeDocument/2006/relationships/hyperlink" Target="https://www.westernsydney.edu.au/learning_futures/home/professional_learning/evidencing_your_pract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15C350B75FC894CB944E723B996998F" ma:contentTypeVersion="11" ma:contentTypeDescription="Create a new document." ma:contentTypeScope="" ma:versionID="9b8a984e274736c03b31594fe3e3bee2">
  <xsd:schema xmlns:xsd="http://www.w3.org/2001/XMLSchema" xmlns:xs="http://www.w3.org/2001/XMLSchema" xmlns:p="http://schemas.microsoft.com/office/2006/metadata/properties" xmlns:ns3="048eba22-1c2c-42c2-872e-5d1437f14abd" xmlns:ns4="f0c4a336-d05a-40ac-809d-ca4c69d64fe2" targetNamespace="http://schemas.microsoft.com/office/2006/metadata/properties" ma:root="true" ma:fieldsID="d48cdfd64fbef18f851077f033271dd5" ns3:_="" ns4:_="">
    <xsd:import namespace="048eba22-1c2c-42c2-872e-5d1437f14abd"/>
    <xsd:import namespace="f0c4a336-d05a-40ac-809d-ca4c69d64fe2"/>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8eba22-1c2c-42c2-872e-5d1437f14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c4a336-d05a-40ac-809d-ca4c69d64fe2"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SharingHintHash" ma:index="13"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D84F7F-2C5E-4736-A02D-14488C73D01F}">
  <ds:schemaRefs>
    <ds:schemaRef ds:uri="http://purl.org/dc/terms/"/>
    <ds:schemaRef ds:uri="http://schemas.openxmlformats.org/package/2006/metadata/core-properties"/>
    <ds:schemaRef ds:uri="http://schemas.microsoft.com/office/2006/documentManagement/types"/>
    <ds:schemaRef ds:uri="f0c4a336-d05a-40ac-809d-ca4c69d64fe2"/>
    <ds:schemaRef ds:uri="http://purl.org/dc/elements/1.1/"/>
    <ds:schemaRef ds:uri="http://schemas.microsoft.com/office/2006/metadata/properties"/>
    <ds:schemaRef ds:uri="048eba22-1c2c-42c2-872e-5d1437f14abd"/>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36691BA-D1DD-4E5C-880D-C327FD496089}">
  <ds:schemaRefs>
    <ds:schemaRef ds:uri="http://schemas.microsoft.com/sharepoint/v3/contenttype/forms"/>
  </ds:schemaRefs>
</ds:datastoreItem>
</file>

<file path=customXml/itemProps3.xml><?xml version="1.0" encoding="utf-8"?>
<ds:datastoreItem xmlns:ds="http://schemas.openxmlformats.org/officeDocument/2006/customXml" ds:itemID="{7AEC73BC-565D-4E9A-A3D0-54BCC5DAD2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8eba22-1c2c-42c2-872e-5d1437f14abd"/>
    <ds:schemaRef ds:uri="f0c4a336-d05a-40ac-809d-ca4c69d64f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D71BD18-E715-4257-A686-4EE6A1B93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1591</Words>
  <Characters>8834</Characters>
  <Application>Microsoft Office Word</Application>
  <DocSecurity>0</DocSecurity>
  <Lines>368</Lines>
  <Paragraphs>372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Gavin Smith</dc:creator>
  <cp:keywords/>
  <dc:description/>
  <cp:lastModifiedBy>Gavin Smith</cp:lastModifiedBy>
  <cp:revision>2</cp:revision>
  <dcterms:created xsi:type="dcterms:W3CDTF">2022-06-14T23:47:00Z</dcterms:created>
  <dcterms:modified xsi:type="dcterms:W3CDTF">2022-06-14T23:47:00Z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0x010100215C350B75FC894CB944E723B996998F</vt:lpwstr>
  </property>
</Properties>
</file>