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40B7E" w14:textId="731BC5E3" w:rsidR="00520F08" w:rsidRDefault="00E04A8D" w:rsidP="00E04A8D">
      <w:pPr>
        <w:pStyle w:val="Heading1"/>
        <w:jc w:val="center"/>
      </w:pPr>
      <w:r>
        <w:t>School of Law, Western Sydney University</w:t>
      </w:r>
    </w:p>
    <w:p w14:paraId="36D2E37D" w14:textId="452E482F" w:rsidR="00803EA3" w:rsidRDefault="009A563C" w:rsidP="00E04A8D">
      <w:pPr>
        <w:pStyle w:val="Heading1"/>
        <w:jc w:val="center"/>
      </w:pPr>
      <w:r>
        <w:t xml:space="preserve">200700 Law Honours Dissertation </w:t>
      </w:r>
      <w:r w:rsidR="00B718B4">
        <w:t>2021 –</w:t>
      </w:r>
      <w:r>
        <w:t xml:space="preserve"> </w:t>
      </w:r>
      <w:r w:rsidR="00B718B4">
        <w:t>Nomination of Topics</w:t>
      </w:r>
    </w:p>
    <w:p w14:paraId="536DF58C" w14:textId="77777777" w:rsidR="00803EA3" w:rsidRDefault="00803EA3"/>
    <w:p w14:paraId="0CC30030" w14:textId="4E51C185" w:rsidR="004D49C0" w:rsidRPr="009F05EE" w:rsidRDefault="00803EA3">
      <w:pPr>
        <w:rPr>
          <w:i/>
          <w:iCs/>
        </w:rPr>
      </w:pPr>
      <w:r w:rsidRPr="009F05EE">
        <w:rPr>
          <w:i/>
          <w:iCs/>
        </w:rPr>
        <w:t xml:space="preserve">{Instructions: </w:t>
      </w:r>
      <w:r w:rsidR="009F05EE">
        <w:rPr>
          <w:i/>
          <w:iCs/>
        </w:rPr>
        <w:t xml:space="preserve">this form </w:t>
      </w:r>
      <w:r w:rsidR="00636A11" w:rsidRPr="009F05EE">
        <w:rPr>
          <w:i/>
          <w:iCs/>
        </w:rPr>
        <w:t>enables the School to allocate prospective Honours students to a topic and supervisor. You are invited to nominate up to 5 topics, one of which can be self-defined.</w:t>
      </w:r>
    </w:p>
    <w:p w14:paraId="37E3415E" w14:textId="77777777" w:rsidR="004D49C0" w:rsidRPr="009F05EE" w:rsidRDefault="00636A11" w:rsidP="009F05EE">
      <w:pPr>
        <w:spacing w:before="240"/>
        <w:rPr>
          <w:i/>
          <w:iCs/>
        </w:rPr>
      </w:pPr>
      <w:r w:rsidRPr="009F05EE">
        <w:rPr>
          <w:i/>
          <w:iCs/>
        </w:rPr>
        <w:t xml:space="preserve">For </w:t>
      </w:r>
      <w:r w:rsidRPr="009F05EE">
        <w:rPr>
          <w:b/>
          <w:bCs/>
          <w:i/>
          <w:iCs/>
        </w:rPr>
        <w:t>staff-defined topics</w:t>
      </w:r>
      <w:r w:rsidRPr="009F05EE">
        <w:rPr>
          <w:i/>
          <w:iCs/>
        </w:rPr>
        <w:t xml:space="preserve"> you can nominate no more than two with the same </w:t>
      </w:r>
      <w:r w:rsidR="004D49C0" w:rsidRPr="009F05EE">
        <w:rPr>
          <w:i/>
          <w:iCs/>
        </w:rPr>
        <w:t>supervisor; and you have the opportunity (in Part B) to demonstrate existing interest or expertise relevant to the topic</w:t>
      </w:r>
      <w:r w:rsidRPr="009F05EE">
        <w:rPr>
          <w:i/>
          <w:iCs/>
        </w:rPr>
        <w:t xml:space="preserve">. </w:t>
      </w:r>
      <w:r w:rsidR="004D49C0" w:rsidRPr="009F05EE">
        <w:rPr>
          <w:i/>
          <w:iCs/>
        </w:rPr>
        <w:t>You need not complete Part B if you have no information to provide.</w:t>
      </w:r>
    </w:p>
    <w:p w14:paraId="02C78594" w14:textId="30AB2DBB" w:rsidR="004D49C0" w:rsidRPr="009F05EE" w:rsidRDefault="00636A11" w:rsidP="009F05EE">
      <w:pPr>
        <w:spacing w:before="240"/>
        <w:rPr>
          <w:i/>
          <w:iCs/>
        </w:rPr>
      </w:pPr>
      <w:r w:rsidRPr="009F05EE">
        <w:rPr>
          <w:i/>
          <w:iCs/>
        </w:rPr>
        <w:t xml:space="preserve">For </w:t>
      </w:r>
      <w:r w:rsidR="004D49C0" w:rsidRPr="009F05EE">
        <w:rPr>
          <w:b/>
          <w:bCs/>
          <w:i/>
          <w:iCs/>
        </w:rPr>
        <w:t>student</w:t>
      </w:r>
      <w:r w:rsidRPr="009F05EE">
        <w:rPr>
          <w:b/>
          <w:bCs/>
          <w:i/>
          <w:iCs/>
        </w:rPr>
        <w:t>-defined topics</w:t>
      </w:r>
      <w:r w:rsidRPr="009F05EE">
        <w:rPr>
          <w:i/>
          <w:iCs/>
        </w:rPr>
        <w:t xml:space="preserve"> you are asked </w:t>
      </w:r>
      <w:r w:rsidR="004D49C0" w:rsidRPr="009F05EE">
        <w:rPr>
          <w:i/>
          <w:iCs/>
        </w:rPr>
        <w:t xml:space="preserve">(in Part C) </w:t>
      </w:r>
      <w:r w:rsidRPr="009F05EE">
        <w:rPr>
          <w:i/>
          <w:iCs/>
        </w:rPr>
        <w:t xml:space="preserve">to provide </w:t>
      </w:r>
      <w:r w:rsidR="009A563C" w:rsidRPr="009F05EE">
        <w:rPr>
          <w:i/>
          <w:iCs/>
        </w:rPr>
        <w:t xml:space="preserve">a brief outline of the proposed topic area and general method to be used for </w:t>
      </w:r>
      <w:r w:rsidRPr="009F05EE">
        <w:rPr>
          <w:i/>
          <w:iCs/>
        </w:rPr>
        <w:t>H</w:t>
      </w:r>
      <w:r w:rsidR="009A563C" w:rsidRPr="009F05EE">
        <w:rPr>
          <w:i/>
          <w:iCs/>
        </w:rPr>
        <w:t>onours research study.</w:t>
      </w:r>
    </w:p>
    <w:p w14:paraId="3C71CC1C" w14:textId="7A8C3261" w:rsidR="00803EA3" w:rsidRPr="009F05EE" w:rsidRDefault="00636A11" w:rsidP="009F05EE">
      <w:pPr>
        <w:spacing w:before="240"/>
        <w:rPr>
          <w:i/>
          <w:iCs/>
        </w:rPr>
      </w:pPr>
      <w:r w:rsidRPr="009F05EE">
        <w:rPr>
          <w:i/>
          <w:iCs/>
        </w:rPr>
        <w:t xml:space="preserve">In due course all students in the Honours program will be required to provide </w:t>
      </w:r>
      <w:r w:rsidR="009A563C" w:rsidRPr="009F05EE">
        <w:rPr>
          <w:i/>
          <w:iCs/>
        </w:rPr>
        <w:t>a more detailed statement</w:t>
      </w:r>
      <w:r w:rsidRPr="009F05EE">
        <w:rPr>
          <w:i/>
          <w:iCs/>
        </w:rPr>
        <w:t>, or research proposal,</w:t>
      </w:r>
      <w:r w:rsidR="009A563C" w:rsidRPr="009F05EE">
        <w:rPr>
          <w:i/>
          <w:iCs/>
        </w:rPr>
        <w:t xml:space="preserve"> that that outlines the research question, method, background scope and significance of a research study or equivalent.</w:t>
      </w:r>
    </w:p>
    <w:p w14:paraId="7383534C" w14:textId="77777777" w:rsidR="009A563C" w:rsidRPr="009F05EE" w:rsidRDefault="009A563C">
      <w:pPr>
        <w:rPr>
          <w:i/>
          <w:iCs/>
        </w:rPr>
      </w:pPr>
    </w:p>
    <w:p w14:paraId="2B2197EB" w14:textId="388A7A63" w:rsidR="00636A11" w:rsidRDefault="00636A11">
      <w:pPr>
        <w:rPr>
          <w:i/>
          <w:iCs/>
        </w:rPr>
      </w:pPr>
      <w:r w:rsidRPr="009F05EE">
        <w:rPr>
          <w:i/>
          <w:iCs/>
        </w:rPr>
        <w:t xml:space="preserve">Please </w:t>
      </w:r>
      <w:r w:rsidR="002838A8" w:rsidRPr="009F05EE">
        <w:rPr>
          <w:i/>
          <w:iCs/>
        </w:rPr>
        <w:t>delete the</w:t>
      </w:r>
      <w:r w:rsidRPr="009F05EE">
        <w:rPr>
          <w:i/>
          <w:iCs/>
        </w:rPr>
        <w:t>se</w:t>
      </w:r>
      <w:r w:rsidR="002838A8" w:rsidRPr="009F05EE">
        <w:rPr>
          <w:i/>
          <w:iCs/>
        </w:rPr>
        <w:t xml:space="preserve"> </w:t>
      </w:r>
      <w:r w:rsidRPr="009F05EE">
        <w:rPr>
          <w:i/>
          <w:iCs/>
        </w:rPr>
        <w:t>i</w:t>
      </w:r>
      <w:r w:rsidR="002838A8" w:rsidRPr="009F05EE">
        <w:rPr>
          <w:i/>
          <w:iCs/>
        </w:rPr>
        <w:t>nstructions before submitting the Statement of Intent.</w:t>
      </w:r>
      <w:r w:rsidR="004D49C0" w:rsidRPr="009F05EE">
        <w:rPr>
          <w:i/>
          <w:iCs/>
        </w:rPr>
        <w:t>}</w:t>
      </w:r>
    </w:p>
    <w:p w14:paraId="338603E7" w14:textId="375089E3" w:rsidR="00EB3AC2" w:rsidRDefault="00EB3AC2">
      <w:pPr>
        <w:rPr>
          <w:i/>
          <w:iCs/>
        </w:rPr>
      </w:pPr>
      <w:r>
        <w:rPr>
          <w:i/>
          <w:iCs/>
        </w:rPr>
        <w:br w:type="page"/>
      </w:r>
    </w:p>
    <w:p w14:paraId="590D4847" w14:textId="6EE3DFC0" w:rsidR="00636A11" w:rsidRDefault="00636A11" w:rsidP="00636A11">
      <w:pPr>
        <w:pStyle w:val="Heading1"/>
      </w:pPr>
      <w:r>
        <w:lastRenderedPageBreak/>
        <w:t>Part A</w:t>
      </w:r>
      <w:r w:rsidR="009F05EE">
        <w:t>: Topic Preferences</w:t>
      </w:r>
    </w:p>
    <w:p w14:paraId="1BE49B99" w14:textId="5E1C1F07" w:rsidR="00636A11" w:rsidRPr="004D49C0" w:rsidRDefault="005208E6" w:rsidP="00636A11">
      <w:pPr>
        <w:rPr>
          <w:i/>
          <w:iCs/>
          <w:sz w:val="20"/>
          <w:szCs w:val="20"/>
        </w:rPr>
      </w:pPr>
      <w:r w:rsidRPr="004D49C0">
        <w:rPr>
          <w:i/>
          <w:iCs/>
          <w:sz w:val="20"/>
          <w:szCs w:val="20"/>
        </w:rPr>
        <w:t xml:space="preserve">Please indicate up to 5 preferences of topic, by inserting the numbers 1-5 </w:t>
      </w:r>
      <w:r w:rsidR="00496BBE">
        <w:rPr>
          <w:i/>
          <w:iCs/>
          <w:sz w:val="20"/>
          <w:szCs w:val="20"/>
        </w:rPr>
        <w:t xml:space="preserve">(as appropriate) </w:t>
      </w:r>
      <w:r w:rsidRPr="004D49C0">
        <w:rPr>
          <w:i/>
          <w:iCs/>
          <w:sz w:val="20"/>
          <w:szCs w:val="20"/>
        </w:rPr>
        <w:t xml:space="preserve">in the right-hand column. Please number </w:t>
      </w:r>
      <w:r w:rsidRPr="008603A6">
        <w:rPr>
          <w:i/>
          <w:iCs/>
          <w:sz w:val="20"/>
          <w:szCs w:val="20"/>
        </w:rPr>
        <w:t>no more than two topics</w:t>
      </w:r>
      <w:r w:rsidRPr="004D49C0">
        <w:rPr>
          <w:i/>
          <w:iCs/>
          <w:sz w:val="20"/>
          <w:szCs w:val="20"/>
        </w:rPr>
        <w:t xml:space="preserve"> for any one supervisor.</w:t>
      </w:r>
    </w:p>
    <w:p w14:paraId="1422D794" w14:textId="77777777" w:rsidR="005208E6" w:rsidRPr="00636A11" w:rsidRDefault="005208E6" w:rsidP="00636A11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270"/>
        <w:gridCol w:w="6306"/>
        <w:gridCol w:w="1213"/>
      </w:tblGrid>
      <w:tr w:rsidR="005208E6" w:rsidRPr="00B718B4" w14:paraId="72D5142F" w14:textId="2AEB23B7" w:rsidTr="009F0283">
        <w:tc>
          <w:tcPr>
            <w:tcW w:w="1270" w:type="dxa"/>
          </w:tcPr>
          <w:p w14:paraId="5CD6AE6B" w14:textId="58F8B9C4" w:rsidR="005208E6" w:rsidRPr="00B718B4" w:rsidRDefault="005208E6" w:rsidP="00636A11">
            <w:pPr>
              <w:rPr>
                <w:b/>
                <w:bCs/>
              </w:rPr>
            </w:pPr>
            <w:r w:rsidRPr="00B718B4">
              <w:rPr>
                <w:b/>
                <w:bCs/>
              </w:rPr>
              <w:t>Supervisor</w:t>
            </w:r>
          </w:p>
        </w:tc>
        <w:tc>
          <w:tcPr>
            <w:tcW w:w="6306" w:type="dxa"/>
          </w:tcPr>
          <w:p w14:paraId="32EE162A" w14:textId="2074EDAD" w:rsidR="005208E6" w:rsidRPr="00B718B4" w:rsidRDefault="005208E6" w:rsidP="00636A11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</w:rPr>
            </w:pPr>
            <w:r w:rsidRPr="00B718B4">
              <w:rPr>
                <w:rFonts w:eastAsia="Times New Roman"/>
                <w:b/>
                <w:bCs/>
                <w:color w:val="000000"/>
              </w:rPr>
              <w:t>Topic</w:t>
            </w:r>
          </w:p>
        </w:tc>
        <w:tc>
          <w:tcPr>
            <w:tcW w:w="1213" w:type="dxa"/>
          </w:tcPr>
          <w:p w14:paraId="19C5F754" w14:textId="2735DB93" w:rsidR="005208E6" w:rsidRPr="00B718B4" w:rsidRDefault="005208E6" w:rsidP="00636A11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</w:rPr>
            </w:pPr>
            <w:r w:rsidRPr="00B718B4">
              <w:rPr>
                <w:rFonts w:eastAsia="Times New Roman"/>
                <w:b/>
                <w:bCs/>
                <w:color w:val="000000"/>
              </w:rPr>
              <w:t>Preference</w:t>
            </w:r>
          </w:p>
        </w:tc>
      </w:tr>
      <w:tr w:rsidR="004F75E8" w:rsidRPr="00513010" w14:paraId="71E6F895" w14:textId="5AAE0ECE" w:rsidTr="009F0283">
        <w:tc>
          <w:tcPr>
            <w:tcW w:w="1270" w:type="dxa"/>
            <w:vMerge w:val="restart"/>
          </w:tcPr>
          <w:p w14:paraId="75C99C4F" w14:textId="77777777" w:rsidR="004F75E8" w:rsidRPr="00513010" w:rsidRDefault="006A51C6" w:rsidP="003042DF">
            <w:hyperlink r:id="rId7" w:history="1">
              <w:r w:rsidR="004F75E8" w:rsidRPr="00513010">
                <w:rPr>
                  <w:rStyle w:val="Hyperlink"/>
                </w:rPr>
                <w:t>Dr Amira Aftab</w:t>
              </w:r>
            </w:hyperlink>
          </w:p>
        </w:tc>
        <w:tc>
          <w:tcPr>
            <w:tcW w:w="6306" w:type="dxa"/>
          </w:tcPr>
          <w:p w14:paraId="3AD0A8C2" w14:textId="61474E01" w:rsidR="004F75E8" w:rsidRPr="005208E6" w:rsidRDefault="004F75E8" w:rsidP="009F05EE">
            <w:pPr>
              <w:numPr>
                <w:ilvl w:val="0"/>
                <w:numId w:val="4"/>
              </w:numPr>
              <w:spacing w:before="100" w:beforeAutospacing="1"/>
              <w:ind w:left="357" w:hanging="357"/>
              <w:rPr>
                <w:color w:val="000000"/>
                <w:sz w:val="20"/>
                <w:szCs w:val="20"/>
              </w:rPr>
            </w:pPr>
            <w:r w:rsidRPr="00A32EEB">
              <w:rPr>
                <w:rFonts w:eastAsia="Times New Roman"/>
                <w:color w:val="000000"/>
              </w:rPr>
              <w:t>Family law: domestic/family violence provisions and the legislative presumption of shared parental responsibility</w:t>
            </w:r>
          </w:p>
        </w:tc>
        <w:tc>
          <w:tcPr>
            <w:tcW w:w="1213" w:type="dxa"/>
          </w:tcPr>
          <w:p w14:paraId="627AE500" w14:textId="77777777" w:rsidR="004F75E8" w:rsidRPr="00A32EEB" w:rsidRDefault="004F75E8" w:rsidP="00636A11">
            <w:pPr>
              <w:spacing w:before="100" w:beforeAutospacing="1" w:after="100" w:afterAutospacing="1"/>
              <w:ind w:left="360"/>
              <w:rPr>
                <w:rFonts w:eastAsia="Times New Roman"/>
                <w:color w:val="000000"/>
              </w:rPr>
            </w:pPr>
          </w:p>
        </w:tc>
      </w:tr>
      <w:tr w:rsidR="004F75E8" w:rsidRPr="00513010" w14:paraId="7D63BBDE" w14:textId="77777777" w:rsidTr="009F0283">
        <w:tc>
          <w:tcPr>
            <w:tcW w:w="1270" w:type="dxa"/>
            <w:vMerge/>
          </w:tcPr>
          <w:p w14:paraId="4EC37F98" w14:textId="77777777" w:rsidR="004F75E8" w:rsidRDefault="004F75E8" w:rsidP="003042DF"/>
        </w:tc>
        <w:tc>
          <w:tcPr>
            <w:tcW w:w="6306" w:type="dxa"/>
          </w:tcPr>
          <w:p w14:paraId="3D02C3E9" w14:textId="5715B506" w:rsidR="004F75E8" w:rsidRPr="005208E6" w:rsidRDefault="004F75E8" w:rsidP="000E257C">
            <w:pPr>
              <w:numPr>
                <w:ilvl w:val="0"/>
                <w:numId w:val="4"/>
              </w:numPr>
              <w:ind w:left="357" w:hanging="357"/>
              <w:rPr>
                <w:rFonts w:eastAsia="Times New Roman"/>
                <w:color w:val="000000"/>
              </w:rPr>
            </w:pPr>
            <w:r w:rsidRPr="00A32EEB">
              <w:rPr>
                <w:rFonts w:eastAsia="Times New Roman"/>
                <w:color w:val="000000"/>
              </w:rPr>
              <w:t>The criminal law's treatment of sexual offences (for instance, conception of consent)</w:t>
            </w:r>
          </w:p>
        </w:tc>
        <w:tc>
          <w:tcPr>
            <w:tcW w:w="1213" w:type="dxa"/>
          </w:tcPr>
          <w:p w14:paraId="2E228562" w14:textId="77777777" w:rsidR="004F75E8" w:rsidRPr="00A32EEB" w:rsidRDefault="004F75E8" w:rsidP="00636A11">
            <w:pPr>
              <w:spacing w:before="100" w:beforeAutospacing="1" w:after="100" w:afterAutospacing="1"/>
              <w:ind w:left="360"/>
              <w:rPr>
                <w:rFonts w:eastAsia="Times New Roman"/>
                <w:color w:val="000000"/>
              </w:rPr>
            </w:pPr>
          </w:p>
        </w:tc>
      </w:tr>
      <w:tr w:rsidR="004F75E8" w:rsidRPr="00513010" w14:paraId="48ED0917" w14:textId="77777777" w:rsidTr="009F0283">
        <w:tc>
          <w:tcPr>
            <w:tcW w:w="1270" w:type="dxa"/>
            <w:vMerge/>
          </w:tcPr>
          <w:p w14:paraId="6A865717" w14:textId="77777777" w:rsidR="004F75E8" w:rsidRDefault="004F75E8" w:rsidP="003042DF"/>
        </w:tc>
        <w:tc>
          <w:tcPr>
            <w:tcW w:w="6306" w:type="dxa"/>
          </w:tcPr>
          <w:p w14:paraId="3EC80C70" w14:textId="083CD05A" w:rsidR="004F75E8" w:rsidRPr="005208E6" w:rsidRDefault="004F75E8" w:rsidP="000E257C">
            <w:pPr>
              <w:numPr>
                <w:ilvl w:val="0"/>
                <w:numId w:val="4"/>
              </w:numPr>
              <w:spacing w:before="100" w:beforeAutospacing="1"/>
              <w:ind w:left="357" w:hanging="357"/>
              <w:rPr>
                <w:rFonts w:eastAsia="Times New Roman"/>
                <w:color w:val="000000"/>
                <w:sz w:val="20"/>
                <w:szCs w:val="20"/>
              </w:rPr>
            </w:pPr>
            <w:r w:rsidRPr="00A32EEB">
              <w:rPr>
                <w:rFonts w:eastAsia="Times New Roman"/>
                <w:color w:val="000000"/>
              </w:rPr>
              <w:t>Sex discrimination laws: gaps in the recognition/protection of LGBTI+ rights</w:t>
            </w:r>
          </w:p>
        </w:tc>
        <w:tc>
          <w:tcPr>
            <w:tcW w:w="1213" w:type="dxa"/>
          </w:tcPr>
          <w:p w14:paraId="1B91F191" w14:textId="77777777" w:rsidR="004F75E8" w:rsidRPr="00A32EEB" w:rsidRDefault="004F75E8" w:rsidP="00636A11">
            <w:pPr>
              <w:spacing w:before="100" w:beforeAutospacing="1" w:after="100" w:afterAutospacing="1"/>
              <w:ind w:left="360"/>
              <w:rPr>
                <w:rFonts w:eastAsia="Times New Roman"/>
                <w:color w:val="000000"/>
              </w:rPr>
            </w:pPr>
          </w:p>
        </w:tc>
      </w:tr>
      <w:tr w:rsidR="004F75E8" w:rsidRPr="00513010" w14:paraId="6393AF25" w14:textId="77777777" w:rsidTr="009F0283">
        <w:tc>
          <w:tcPr>
            <w:tcW w:w="1270" w:type="dxa"/>
            <w:vMerge/>
          </w:tcPr>
          <w:p w14:paraId="535DDBC8" w14:textId="77777777" w:rsidR="004F75E8" w:rsidRDefault="004F75E8" w:rsidP="003042DF"/>
        </w:tc>
        <w:tc>
          <w:tcPr>
            <w:tcW w:w="6306" w:type="dxa"/>
          </w:tcPr>
          <w:p w14:paraId="52C5744D" w14:textId="77A0413D" w:rsidR="004F75E8" w:rsidRPr="00A32EEB" w:rsidRDefault="004F75E8" w:rsidP="000E257C">
            <w:pPr>
              <w:numPr>
                <w:ilvl w:val="0"/>
                <w:numId w:val="4"/>
              </w:numPr>
              <w:spacing w:before="100" w:beforeAutospacing="1"/>
              <w:ind w:left="357" w:hanging="357"/>
              <w:rPr>
                <w:rFonts w:eastAsia="Times New Roman"/>
                <w:color w:val="000000"/>
              </w:rPr>
            </w:pPr>
            <w:r w:rsidRPr="00A32EEB">
              <w:rPr>
                <w:rFonts w:eastAsia="Times New Roman"/>
                <w:color w:val="000000"/>
              </w:rPr>
              <w:t>Sexual harassment: issues with the complaints-based model</w:t>
            </w:r>
          </w:p>
        </w:tc>
        <w:tc>
          <w:tcPr>
            <w:tcW w:w="1213" w:type="dxa"/>
          </w:tcPr>
          <w:p w14:paraId="7C0B9658" w14:textId="77777777" w:rsidR="004F75E8" w:rsidRPr="00A32EEB" w:rsidRDefault="004F75E8" w:rsidP="00636A11">
            <w:pPr>
              <w:spacing w:before="100" w:beforeAutospacing="1" w:after="100" w:afterAutospacing="1"/>
              <w:ind w:left="360"/>
              <w:rPr>
                <w:rFonts w:eastAsia="Times New Roman"/>
                <w:color w:val="000000"/>
              </w:rPr>
            </w:pPr>
          </w:p>
        </w:tc>
      </w:tr>
      <w:tr w:rsidR="004F75E8" w:rsidRPr="00513010" w14:paraId="2DB6D5DD" w14:textId="1FB02DFC" w:rsidTr="009F0283">
        <w:tc>
          <w:tcPr>
            <w:tcW w:w="1270" w:type="dxa"/>
            <w:vMerge w:val="restart"/>
          </w:tcPr>
          <w:p w14:paraId="31A6C151" w14:textId="77777777" w:rsidR="004F75E8" w:rsidRPr="00513010" w:rsidRDefault="006A51C6" w:rsidP="003042DF">
            <w:hyperlink r:id="rId8" w:history="1">
              <w:r w:rsidR="004F75E8" w:rsidRPr="00AE0DAD">
                <w:rPr>
                  <w:rStyle w:val="Hyperlink"/>
                </w:rPr>
                <w:t>Dr John Azzi</w:t>
              </w:r>
            </w:hyperlink>
          </w:p>
        </w:tc>
        <w:tc>
          <w:tcPr>
            <w:tcW w:w="6306" w:type="dxa"/>
          </w:tcPr>
          <w:p w14:paraId="3CE4B9C0" w14:textId="48F590C8" w:rsidR="004F75E8" w:rsidRPr="005208E6" w:rsidRDefault="004F75E8" w:rsidP="005208E6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eastAsia="Times New Roman"/>
                <w:color w:val="000000"/>
              </w:rPr>
            </w:pPr>
            <w:r w:rsidRPr="009B0908">
              <w:rPr>
                <w:rFonts w:eastAsia="Times New Roman"/>
                <w:color w:val="000000"/>
              </w:rPr>
              <w:t xml:space="preserve">What is </w:t>
            </w:r>
            <w:r>
              <w:rPr>
                <w:rFonts w:eastAsia="Times New Roman"/>
                <w:color w:val="000000"/>
              </w:rPr>
              <w:t>‘</w:t>
            </w:r>
            <w:r w:rsidRPr="009B0908">
              <w:rPr>
                <w:rFonts w:eastAsia="Times New Roman"/>
                <w:color w:val="000000"/>
              </w:rPr>
              <w:t>good faith</w:t>
            </w:r>
            <w:r>
              <w:rPr>
                <w:rFonts w:eastAsia="Times New Roman"/>
                <w:color w:val="000000"/>
              </w:rPr>
              <w:t>’</w:t>
            </w:r>
            <w:r w:rsidRPr="009B0908">
              <w:rPr>
                <w:rFonts w:eastAsia="Times New Roman"/>
                <w:color w:val="000000"/>
              </w:rPr>
              <w:t xml:space="preserve"> in the context of performance of international conventions?</w:t>
            </w:r>
          </w:p>
        </w:tc>
        <w:tc>
          <w:tcPr>
            <w:tcW w:w="1213" w:type="dxa"/>
          </w:tcPr>
          <w:p w14:paraId="44E0CF20" w14:textId="77777777" w:rsidR="004F75E8" w:rsidRPr="00636A11" w:rsidRDefault="004F75E8" w:rsidP="00636A11">
            <w:pPr>
              <w:ind w:left="360"/>
              <w:rPr>
                <w:rFonts w:eastAsia="Times New Roman"/>
                <w:color w:val="000000"/>
              </w:rPr>
            </w:pPr>
          </w:p>
        </w:tc>
      </w:tr>
      <w:tr w:rsidR="004F75E8" w:rsidRPr="00513010" w14:paraId="414295BA" w14:textId="77777777" w:rsidTr="009F0283">
        <w:tc>
          <w:tcPr>
            <w:tcW w:w="1270" w:type="dxa"/>
            <w:vMerge/>
          </w:tcPr>
          <w:p w14:paraId="53921342" w14:textId="77777777" w:rsidR="004F75E8" w:rsidRDefault="004F75E8" w:rsidP="003042DF"/>
        </w:tc>
        <w:tc>
          <w:tcPr>
            <w:tcW w:w="6306" w:type="dxa"/>
          </w:tcPr>
          <w:p w14:paraId="25F9AD36" w14:textId="74A6DA10" w:rsidR="004F75E8" w:rsidRPr="009B0908" w:rsidRDefault="004F75E8" w:rsidP="00636A1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eastAsia="Times New Roman"/>
                <w:color w:val="000000"/>
              </w:rPr>
            </w:pPr>
            <w:r w:rsidRPr="009B0908">
              <w:rPr>
                <w:rFonts w:eastAsia="Times New Roman"/>
                <w:color w:val="000000"/>
              </w:rPr>
              <w:t xml:space="preserve">How and/or whether Australian courts give force to the </w:t>
            </w:r>
            <w:r>
              <w:rPr>
                <w:rFonts w:eastAsia="Times New Roman"/>
                <w:color w:val="000000"/>
              </w:rPr>
              <w:t>‘</w:t>
            </w:r>
            <w:r w:rsidRPr="009B0908">
              <w:rPr>
                <w:rFonts w:eastAsia="Times New Roman"/>
                <w:color w:val="000000"/>
              </w:rPr>
              <w:t>good faith</w:t>
            </w:r>
            <w:r>
              <w:rPr>
                <w:rFonts w:eastAsia="Times New Roman"/>
                <w:color w:val="000000"/>
              </w:rPr>
              <w:t>’</w:t>
            </w:r>
            <w:r w:rsidRPr="009B0908">
              <w:rPr>
                <w:rFonts w:eastAsia="Times New Roman"/>
                <w:color w:val="000000"/>
              </w:rPr>
              <w:t xml:space="preserve"> obligation when interpreting international treaties</w:t>
            </w:r>
          </w:p>
        </w:tc>
        <w:tc>
          <w:tcPr>
            <w:tcW w:w="1213" w:type="dxa"/>
          </w:tcPr>
          <w:p w14:paraId="7676A91C" w14:textId="77777777" w:rsidR="004F75E8" w:rsidRPr="00636A11" w:rsidRDefault="004F75E8" w:rsidP="00636A11">
            <w:pPr>
              <w:ind w:left="360"/>
              <w:rPr>
                <w:rFonts w:eastAsia="Times New Roman"/>
                <w:color w:val="000000"/>
              </w:rPr>
            </w:pPr>
          </w:p>
        </w:tc>
      </w:tr>
      <w:tr w:rsidR="004F75E8" w:rsidRPr="00513010" w14:paraId="7C17925A" w14:textId="7F76C966" w:rsidTr="009F0283">
        <w:tc>
          <w:tcPr>
            <w:tcW w:w="1270" w:type="dxa"/>
            <w:vMerge w:val="restart"/>
          </w:tcPr>
          <w:p w14:paraId="17AAFA94" w14:textId="77777777" w:rsidR="004F75E8" w:rsidRPr="00513010" w:rsidRDefault="006A51C6" w:rsidP="003042DF">
            <w:hyperlink r:id="rId9" w:history="1">
              <w:r w:rsidR="004F75E8" w:rsidRPr="00513010">
                <w:rPr>
                  <w:rStyle w:val="Hyperlink"/>
                </w:rPr>
                <w:t>Professor Sonia Allan</w:t>
              </w:r>
            </w:hyperlink>
          </w:p>
        </w:tc>
        <w:tc>
          <w:tcPr>
            <w:tcW w:w="6306" w:type="dxa"/>
          </w:tcPr>
          <w:p w14:paraId="223C3DB2" w14:textId="31C565DF" w:rsidR="004F75E8" w:rsidRPr="005208E6" w:rsidRDefault="004F75E8" w:rsidP="000E257C">
            <w:pPr>
              <w:numPr>
                <w:ilvl w:val="0"/>
                <w:numId w:val="10"/>
              </w:numPr>
              <w:spacing w:before="100" w:beforeAutospacing="1"/>
              <w:ind w:left="357" w:hanging="357"/>
              <w:rPr>
                <w:rFonts w:eastAsia="Times New Roman"/>
                <w:color w:val="000000"/>
              </w:rPr>
            </w:pPr>
            <w:r w:rsidRPr="00513010">
              <w:rPr>
                <w:rFonts w:eastAsia="Times New Roman"/>
                <w:color w:val="000000"/>
              </w:rPr>
              <w:t xml:space="preserve">Public health law, social determinants of health and/or the </w:t>
            </w:r>
            <w:hyperlink r:id="rId10" w:history="1">
              <w:r w:rsidRPr="00513010">
                <w:rPr>
                  <w:rStyle w:val="Hyperlink"/>
                  <w:rFonts w:eastAsia="Times New Roman"/>
                </w:rPr>
                <w:t>sustainable development goals</w:t>
              </w:r>
            </w:hyperlink>
          </w:p>
        </w:tc>
        <w:tc>
          <w:tcPr>
            <w:tcW w:w="1213" w:type="dxa"/>
          </w:tcPr>
          <w:p w14:paraId="0B1958E6" w14:textId="77777777" w:rsidR="004F75E8" w:rsidRPr="00513010" w:rsidRDefault="004F75E8" w:rsidP="00636A11">
            <w:pPr>
              <w:spacing w:before="100" w:beforeAutospacing="1" w:after="100" w:afterAutospacing="1"/>
              <w:ind w:left="360"/>
              <w:rPr>
                <w:rFonts w:eastAsia="Times New Roman"/>
                <w:color w:val="000000"/>
              </w:rPr>
            </w:pPr>
          </w:p>
        </w:tc>
      </w:tr>
      <w:tr w:rsidR="004F75E8" w:rsidRPr="00513010" w14:paraId="7D9952E5" w14:textId="77777777" w:rsidTr="009F0283">
        <w:tc>
          <w:tcPr>
            <w:tcW w:w="1270" w:type="dxa"/>
            <w:vMerge/>
          </w:tcPr>
          <w:p w14:paraId="61917817" w14:textId="77777777" w:rsidR="004F75E8" w:rsidRDefault="004F75E8" w:rsidP="003042DF"/>
        </w:tc>
        <w:tc>
          <w:tcPr>
            <w:tcW w:w="6306" w:type="dxa"/>
          </w:tcPr>
          <w:p w14:paraId="24B90491" w14:textId="6064F414" w:rsidR="004F75E8" w:rsidRPr="005208E6" w:rsidRDefault="004F75E8" w:rsidP="000E257C">
            <w:pPr>
              <w:numPr>
                <w:ilvl w:val="0"/>
                <w:numId w:val="10"/>
              </w:numPr>
              <w:spacing w:before="100" w:beforeAutospacing="1"/>
              <w:ind w:left="357" w:hanging="357"/>
              <w:rPr>
                <w:rFonts w:eastAsia="Times New Roman"/>
                <w:color w:val="000000"/>
              </w:rPr>
            </w:pPr>
            <w:r w:rsidRPr="00513010">
              <w:rPr>
                <w:rFonts w:eastAsia="Times New Roman"/>
                <w:color w:val="000000"/>
              </w:rPr>
              <w:t>The right to health</w:t>
            </w:r>
          </w:p>
        </w:tc>
        <w:tc>
          <w:tcPr>
            <w:tcW w:w="1213" w:type="dxa"/>
          </w:tcPr>
          <w:p w14:paraId="68F0EBF7" w14:textId="77777777" w:rsidR="004F75E8" w:rsidRPr="00513010" w:rsidRDefault="004F75E8" w:rsidP="00636A11">
            <w:pPr>
              <w:spacing w:before="100" w:beforeAutospacing="1" w:after="100" w:afterAutospacing="1"/>
              <w:ind w:left="360"/>
              <w:rPr>
                <w:rFonts w:eastAsia="Times New Roman"/>
                <w:color w:val="000000"/>
              </w:rPr>
            </w:pPr>
          </w:p>
        </w:tc>
      </w:tr>
      <w:tr w:rsidR="004F75E8" w:rsidRPr="00513010" w14:paraId="204E8206" w14:textId="77777777" w:rsidTr="009F0283">
        <w:tc>
          <w:tcPr>
            <w:tcW w:w="1270" w:type="dxa"/>
            <w:vMerge/>
          </w:tcPr>
          <w:p w14:paraId="3D0B030D" w14:textId="77777777" w:rsidR="004F75E8" w:rsidRDefault="004F75E8" w:rsidP="003042DF"/>
        </w:tc>
        <w:tc>
          <w:tcPr>
            <w:tcW w:w="6306" w:type="dxa"/>
          </w:tcPr>
          <w:p w14:paraId="6A80CFA1" w14:textId="05BBE9B8" w:rsidR="004F75E8" w:rsidRPr="005208E6" w:rsidRDefault="004F75E8" w:rsidP="000E257C">
            <w:pPr>
              <w:numPr>
                <w:ilvl w:val="0"/>
                <w:numId w:val="10"/>
              </w:numPr>
              <w:spacing w:before="100" w:beforeAutospacing="1"/>
              <w:ind w:left="357" w:hanging="357"/>
              <w:rPr>
                <w:rFonts w:eastAsia="Times New Roman"/>
                <w:color w:val="000000"/>
              </w:rPr>
            </w:pPr>
            <w:r w:rsidRPr="00513010">
              <w:rPr>
                <w:rFonts w:eastAsia="Times New Roman"/>
                <w:color w:val="000000"/>
              </w:rPr>
              <w:t>Artificial intelligence, health and the law – risk and liability</w:t>
            </w:r>
          </w:p>
        </w:tc>
        <w:tc>
          <w:tcPr>
            <w:tcW w:w="1213" w:type="dxa"/>
          </w:tcPr>
          <w:p w14:paraId="6AAA3F62" w14:textId="77777777" w:rsidR="004F75E8" w:rsidRPr="00513010" w:rsidRDefault="004F75E8" w:rsidP="00636A11">
            <w:pPr>
              <w:spacing w:before="100" w:beforeAutospacing="1" w:after="100" w:afterAutospacing="1"/>
              <w:ind w:left="360"/>
              <w:rPr>
                <w:rFonts w:eastAsia="Times New Roman"/>
                <w:color w:val="000000"/>
              </w:rPr>
            </w:pPr>
          </w:p>
        </w:tc>
      </w:tr>
      <w:tr w:rsidR="004F75E8" w:rsidRPr="00513010" w14:paraId="3FA6DDF5" w14:textId="77777777" w:rsidTr="009F0283">
        <w:tc>
          <w:tcPr>
            <w:tcW w:w="1270" w:type="dxa"/>
            <w:vMerge/>
          </w:tcPr>
          <w:p w14:paraId="3C73F16F" w14:textId="77777777" w:rsidR="004F75E8" w:rsidRDefault="004F75E8" w:rsidP="003042DF"/>
        </w:tc>
        <w:tc>
          <w:tcPr>
            <w:tcW w:w="6306" w:type="dxa"/>
          </w:tcPr>
          <w:p w14:paraId="4702044B" w14:textId="1B9DF3AA" w:rsidR="004F75E8" w:rsidRPr="00513010" w:rsidRDefault="004F75E8" w:rsidP="000E257C">
            <w:pPr>
              <w:numPr>
                <w:ilvl w:val="0"/>
                <w:numId w:val="10"/>
              </w:numPr>
              <w:spacing w:before="100" w:beforeAutospacing="1"/>
              <w:ind w:left="357" w:hanging="357"/>
              <w:rPr>
                <w:rFonts w:eastAsia="Times New Roman"/>
                <w:color w:val="000000"/>
              </w:rPr>
            </w:pPr>
            <w:r w:rsidRPr="00513010">
              <w:rPr>
                <w:rFonts w:eastAsia="Times New Roman"/>
                <w:color w:val="000000"/>
              </w:rPr>
              <w:t>Donor-conceived people – access to information about biological heritage</w:t>
            </w:r>
          </w:p>
        </w:tc>
        <w:tc>
          <w:tcPr>
            <w:tcW w:w="1213" w:type="dxa"/>
          </w:tcPr>
          <w:p w14:paraId="336B8A56" w14:textId="77777777" w:rsidR="004F75E8" w:rsidRPr="00513010" w:rsidRDefault="004F75E8" w:rsidP="00636A11">
            <w:pPr>
              <w:spacing w:before="100" w:beforeAutospacing="1" w:after="100" w:afterAutospacing="1"/>
              <w:ind w:left="360"/>
              <w:rPr>
                <w:rFonts w:eastAsia="Times New Roman"/>
                <w:color w:val="000000"/>
              </w:rPr>
            </w:pPr>
          </w:p>
        </w:tc>
      </w:tr>
      <w:tr w:rsidR="009F0283" w:rsidRPr="00513010" w14:paraId="74C0D99A" w14:textId="77777777" w:rsidTr="009F0283">
        <w:trPr>
          <w:trHeight w:val="355"/>
        </w:trPr>
        <w:tc>
          <w:tcPr>
            <w:tcW w:w="1270" w:type="dxa"/>
            <w:vMerge w:val="restart"/>
          </w:tcPr>
          <w:p w14:paraId="73DBA0BC" w14:textId="48F7B260" w:rsidR="009F0283" w:rsidRDefault="006A51C6" w:rsidP="003042DF">
            <w:hyperlink r:id="rId11" w:history="1">
              <w:r w:rsidR="004E403E" w:rsidRPr="004E403E">
                <w:rPr>
                  <w:rStyle w:val="Hyperlink"/>
                </w:rPr>
                <w:t xml:space="preserve">Ms </w:t>
              </w:r>
              <w:r w:rsidR="009F0283" w:rsidRPr="004E403E">
                <w:rPr>
                  <w:rStyle w:val="Hyperlink"/>
                </w:rPr>
                <w:t>Grace Borsellino</w:t>
              </w:r>
            </w:hyperlink>
          </w:p>
        </w:tc>
        <w:tc>
          <w:tcPr>
            <w:tcW w:w="6306" w:type="dxa"/>
          </w:tcPr>
          <w:p w14:paraId="4BB25304" w14:textId="64E22BED" w:rsidR="009F0283" w:rsidRPr="009F0283" w:rsidRDefault="009F0283" w:rsidP="009F028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Regulating in the </w:t>
            </w:r>
            <w:r w:rsidR="009A41EC">
              <w:rPr>
                <w:rFonts w:eastAsia="Times New Roman"/>
              </w:rPr>
              <w:t>d</w:t>
            </w:r>
            <w:r>
              <w:rPr>
                <w:rFonts w:eastAsia="Times New Roman"/>
              </w:rPr>
              <w:t>igital</w:t>
            </w:r>
            <w:r w:rsidR="009A41EC">
              <w:rPr>
                <w:rFonts w:eastAsia="Times New Roman"/>
              </w:rPr>
              <w:t xml:space="preserve"> e</w:t>
            </w:r>
            <w:r>
              <w:rPr>
                <w:rFonts w:eastAsia="Times New Roman"/>
              </w:rPr>
              <w:t xml:space="preserve">conomy: </w:t>
            </w:r>
            <w:r w:rsidR="009A41EC">
              <w:rPr>
                <w:rFonts w:eastAsia="Times New Roman"/>
              </w:rPr>
              <w:t>f</w:t>
            </w:r>
            <w:r>
              <w:rPr>
                <w:rFonts w:eastAsia="Times New Roman"/>
              </w:rPr>
              <w:t xml:space="preserve">intech, </w:t>
            </w:r>
            <w:r w:rsidR="009A41EC">
              <w:rPr>
                <w:rFonts w:eastAsia="Times New Roman"/>
              </w:rPr>
              <w:t>b</w:t>
            </w:r>
            <w:r>
              <w:rPr>
                <w:rFonts w:eastAsia="Times New Roman"/>
              </w:rPr>
              <w:t xml:space="preserve">lockchain, </w:t>
            </w:r>
            <w:r w:rsidR="009A41EC">
              <w:rPr>
                <w:rFonts w:eastAsia="Times New Roman"/>
              </w:rPr>
              <w:t>c</w:t>
            </w:r>
            <w:r>
              <w:rPr>
                <w:rFonts w:eastAsia="Times New Roman"/>
              </w:rPr>
              <w:t xml:space="preserve">ryptocurrencies and </w:t>
            </w:r>
            <w:r w:rsidR="009A41EC">
              <w:rPr>
                <w:rFonts w:eastAsia="Times New Roman"/>
              </w:rPr>
              <w:t>i</w:t>
            </w:r>
            <w:r>
              <w:rPr>
                <w:rFonts w:eastAsia="Times New Roman"/>
              </w:rPr>
              <w:t xml:space="preserve">nitial </w:t>
            </w:r>
            <w:r w:rsidR="009A41EC">
              <w:rPr>
                <w:rFonts w:eastAsia="Times New Roman"/>
              </w:rPr>
              <w:t>c</w:t>
            </w:r>
            <w:r>
              <w:rPr>
                <w:rFonts w:eastAsia="Times New Roman"/>
              </w:rPr>
              <w:t xml:space="preserve">oin </w:t>
            </w:r>
            <w:r w:rsidR="009A41EC">
              <w:rPr>
                <w:rFonts w:eastAsia="Times New Roman"/>
              </w:rPr>
              <w:t>o</w:t>
            </w:r>
            <w:r>
              <w:rPr>
                <w:rFonts w:eastAsia="Times New Roman"/>
              </w:rPr>
              <w:t>fferings</w:t>
            </w:r>
          </w:p>
        </w:tc>
        <w:tc>
          <w:tcPr>
            <w:tcW w:w="1213" w:type="dxa"/>
          </w:tcPr>
          <w:p w14:paraId="1327B113" w14:textId="77777777" w:rsidR="009F0283" w:rsidRPr="00636A11" w:rsidRDefault="009F0283" w:rsidP="00636A11">
            <w:pPr>
              <w:ind w:left="360"/>
              <w:rPr>
                <w:rFonts w:eastAsia="Times New Roman"/>
                <w:color w:val="000000"/>
              </w:rPr>
            </w:pPr>
          </w:p>
        </w:tc>
      </w:tr>
      <w:tr w:rsidR="009F0283" w:rsidRPr="00513010" w14:paraId="0658B88E" w14:textId="77777777" w:rsidTr="009F0283">
        <w:trPr>
          <w:trHeight w:val="355"/>
        </w:trPr>
        <w:tc>
          <w:tcPr>
            <w:tcW w:w="1270" w:type="dxa"/>
            <w:vMerge/>
          </w:tcPr>
          <w:p w14:paraId="54591D28" w14:textId="77777777" w:rsidR="009F0283" w:rsidRDefault="009F0283" w:rsidP="003042DF"/>
        </w:tc>
        <w:tc>
          <w:tcPr>
            <w:tcW w:w="6306" w:type="dxa"/>
          </w:tcPr>
          <w:p w14:paraId="79C06377" w14:textId="703099AD" w:rsidR="009F0283" w:rsidRPr="009F0283" w:rsidRDefault="009F0283" w:rsidP="009F028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Corporate </w:t>
            </w:r>
            <w:r w:rsidR="009A41EC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ocial </w:t>
            </w:r>
            <w:r w:rsidR="009A41EC">
              <w:rPr>
                <w:rFonts w:eastAsia="Times New Roman"/>
              </w:rPr>
              <w:t>r</w:t>
            </w:r>
            <w:r>
              <w:rPr>
                <w:rFonts w:eastAsia="Times New Roman"/>
              </w:rPr>
              <w:t>esponsibility</w:t>
            </w:r>
            <w:r w:rsidR="00605FD5">
              <w:rPr>
                <w:rFonts w:eastAsia="Times New Roman"/>
              </w:rPr>
              <w:t xml:space="preserve"> and </w:t>
            </w:r>
            <w:r w:rsidR="009A41EC">
              <w:rPr>
                <w:rFonts w:eastAsia="Times New Roman"/>
              </w:rPr>
              <w:t>s</w:t>
            </w:r>
            <w:r w:rsidR="00C41B51">
              <w:rPr>
                <w:rFonts w:eastAsia="Times New Roman"/>
              </w:rPr>
              <w:t>ustainability:</w:t>
            </w:r>
            <w:r>
              <w:rPr>
                <w:rFonts w:eastAsia="Times New Roman"/>
              </w:rPr>
              <w:t xml:space="preserve"> </w:t>
            </w:r>
            <w:r w:rsidR="009A41EC">
              <w:rPr>
                <w:rFonts w:eastAsia="Times New Roman"/>
              </w:rPr>
              <w:t>t</w:t>
            </w:r>
            <w:r>
              <w:rPr>
                <w:rFonts w:eastAsia="Times New Roman"/>
              </w:rPr>
              <w:t xml:space="preserve">he </w:t>
            </w:r>
            <w:r w:rsidR="009A41EC">
              <w:rPr>
                <w:rFonts w:eastAsia="Times New Roman"/>
              </w:rPr>
              <w:t>r</w:t>
            </w:r>
            <w:r>
              <w:rPr>
                <w:rFonts w:eastAsia="Times New Roman"/>
              </w:rPr>
              <w:t xml:space="preserve">egulation of </w:t>
            </w:r>
            <w:r w:rsidR="009A41EC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ocially </w:t>
            </w:r>
            <w:r w:rsidR="009A41EC">
              <w:rPr>
                <w:rFonts w:eastAsia="Times New Roman"/>
              </w:rPr>
              <w:t>r</w:t>
            </w:r>
            <w:r>
              <w:rPr>
                <w:rFonts w:eastAsia="Times New Roman"/>
              </w:rPr>
              <w:t xml:space="preserve">esponsible </w:t>
            </w:r>
            <w:r w:rsidR="009A41EC">
              <w:rPr>
                <w:rFonts w:eastAsia="Times New Roman"/>
              </w:rPr>
              <w:t>b</w:t>
            </w:r>
            <w:r>
              <w:rPr>
                <w:rFonts w:eastAsia="Times New Roman"/>
              </w:rPr>
              <w:t xml:space="preserve">usiness </w:t>
            </w:r>
            <w:r w:rsidR="009A41EC">
              <w:rPr>
                <w:rFonts w:eastAsia="Times New Roman"/>
              </w:rPr>
              <w:t>p</w:t>
            </w:r>
            <w:r>
              <w:rPr>
                <w:rFonts w:eastAsia="Times New Roman"/>
              </w:rPr>
              <w:t>ractices</w:t>
            </w:r>
          </w:p>
        </w:tc>
        <w:tc>
          <w:tcPr>
            <w:tcW w:w="1213" w:type="dxa"/>
          </w:tcPr>
          <w:p w14:paraId="64B4C78F" w14:textId="77777777" w:rsidR="009F0283" w:rsidRPr="00636A11" w:rsidRDefault="009F0283" w:rsidP="00636A11">
            <w:pPr>
              <w:ind w:left="360"/>
              <w:rPr>
                <w:rFonts w:eastAsia="Times New Roman"/>
                <w:color w:val="000000"/>
              </w:rPr>
            </w:pPr>
          </w:p>
        </w:tc>
      </w:tr>
      <w:tr w:rsidR="009F0283" w:rsidRPr="00513010" w14:paraId="2C9B6D96" w14:textId="77777777" w:rsidTr="009F0283">
        <w:trPr>
          <w:trHeight w:val="355"/>
        </w:trPr>
        <w:tc>
          <w:tcPr>
            <w:tcW w:w="1270" w:type="dxa"/>
            <w:vMerge/>
          </w:tcPr>
          <w:p w14:paraId="14ACDFE1" w14:textId="77777777" w:rsidR="009F0283" w:rsidRDefault="009F0283" w:rsidP="003042DF"/>
        </w:tc>
        <w:tc>
          <w:tcPr>
            <w:tcW w:w="6306" w:type="dxa"/>
          </w:tcPr>
          <w:p w14:paraId="4715685F" w14:textId="487C3327" w:rsidR="009F0283" w:rsidRPr="009F0283" w:rsidRDefault="009F0283" w:rsidP="009F028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Directors</w:t>
            </w:r>
            <w:r w:rsidR="00C41B51">
              <w:rPr>
                <w:rFonts w:eastAsia="Times New Roman"/>
              </w:rPr>
              <w:t>’</w:t>
            </w:r>
            <w:r>
              <w:rPr>
                <w:rFonts w:eastAsia="Times New Roman"/>
              </w:rPr>
              <w:t xml:space="preserve"> </w:t>
            </w:r>
            <w:r w:rsidR="009A41EC">
              <w:rPr>
                <w:rFonts w:eastAsia="Times New Roman"/>
              </w:rPr>
              <w:t>d</w:t>
            </w:r>
            <w:r>
              <w:rPr>
                <w:rFonts w:eastAsia="Times New Roman"/>
              </w:rPr>
              <w:t xml:space="preserve">uties: </w:t>
            </w:r>
            <w:r w:rsidR="009A41EC">
              <w:rPr>
                <w:rFonts w:eastAsia="Times New Roman"/>
              </w:rPr>
              <w:t>b</w:t>
            </w:r>
            <w:r>
              <w:rPr>
                <w:rFonts w:eastAsia="Times New Roman"/>
              </w:rPr>
              <w:t xml:space="preserve">est </w:t>
            </w:r>
            <w:r w:rsidR="009A41EC">
              <w:rPr>
                <w:rFonts w:eastAsia="Times New Roman"/>
              </w:rPr>
              <w:t>i</w:t>
            </w:r>
            <w:r>
              <w:rPr>
                <w:rFonts w:eastAsia="Times New Roman"/>
              </w:rPr>
              <w:t xml:space="preserve">nterests </w:t>
            </w:r>
            <w:r w:rsidR="009A41EC">
              <w:rPr>
                <w:rFonts w:eastAsia="Times New Roman"/>
              </w:rPr>
              <w:t>d</w:t>
            </w:r>
            <w:r>
              <w:rPr>
                <w:rFonts w:eastAsia="Times New Roman"/>
              </w:rPr>
              <w:t xml:space="preserve">uty and </w:t>
            </w:r>
            <w:r w:rsidR="009A41EC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on-</w:t>
            </w:r>
            <w:r w:rsidR="009A41EC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hareholder </w:t>
            </w:r>
            <w:r w:rsidR="009A41EC">
              <w:rPr>
                <w:rFonts w:eastAsia="Times New Roman"/>
              </w:rPr>
              <w:t>i</w:t>
            </w:r>
            <w:r>
              <w:rPr>
                <w:rFonts w:eastAsia="Times New Roman"/>
              </w:rPr>
              <w:t>nterests</w:t>
            </w:r>
          </w:p>
        </w:tc>
        <w:tc>
          <w:tcPr>
            <w:tcW w:w="1213" w:type="dxa"/>
          </w:tcPr>
          <w:p w14:paraId="1B51CFBE" w14:textId="77777777" w:rsidR="009F0283" w:rsidRPr="00636A11" w:rsidRDefault="009F0283" w:rsidP="00636A11">
            <w:pPr>
              <w:ind w:left="360"/>
              <w:rPr>
                <w:rFonts w:eastAsia="Times New Roman"/>
                <w:color w:val="000000"/>
              </w:rPr>
            </w:pPr>
          </w:p>
        </w:tc>
      </w:tr>
      <w:tr w:rsidR="009F0283" w:rsidRPr="00513010" w14:paraId="1CB7EF92" w14:textId="77777777" w:rsidTr="009F0283">
        <w:trPr>
          <w:trHeight w:val="355"/>
        </w:trPr>
        <w:tc>
          <w:tcPr>
            <w:tcW w:w="1270" w:type="dxa"/>
            <w:vMerge/>
          </w:tcPr>
          <w:p w14:paraId="61C7EADB" w14:textId="77777777" w:rsidR="009F0283" w:rsidRDefault="009F0283" w:rsidP="003042DF"/>
        </w:tc>
        <w:tc>
          <w:tcPr>
            <w:tcW w:w="6306" w:type="dxa"/>
          </w:tcPr>
          <w:p w14:paraId="4D89CBD1" w14:textId="75EDEB3E" w:rsidR="009F0283" w:rsidRDefault="009F0283" w:rsidP="009F028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Corporations and the UN Sustainable Development Goals (Goal</w:t>
            </w:r>
            <w:r w:rsidR="004E403E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5 Gender Equality</w:t>
            </w:r>
            <w:r w:rsidR="007F2F7D"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Goal 13 Climate Action)</w:t>
            </w:r>
          </w:p>
        </w:tc>
        <w:tc>
          <w:tcPr>
            <w:tcW w:w="1213" w:type="dxa"/>
          </w:tcPr>
          <w:p w14:paraId="3A5CFF39" w14:textId="77777777" w:rsidR="009F0283" w:rsidRPr="00636A11" w:rsidRDefault="009F0283" w:rsidP="00636A11">
            <w:pPr>
              <w:ind w:left="360"/>
              <w:rPr>
                <w:rFonts w:eastAsia="Times New Roman"/>
                <w:color w:val="000000"/>
              </w:rPr>
            </w:pPr>
          </w:p>
        </w:tc>
      </w:tr>
      <w:tr w:rsidR="00D43DF4" w:rsidRPr="00513010" w14:paraId="2EC2D11B" w14:textId="6674395B" w:rsidTr="009F0283">
        <w:tc>
          <w:tcPr>
            <w:tcW w:w="1270" w:type="dxa"/>
            <w:vMerge w:val="restart"/>
          </w:tcPr>
          <w:p w14:paraId="263FAEC5" w14:textId="77777777" w:rsidR="00D43DF4" w:rsidRPr="00513010" w:rsidRDefault="006A51C6" w:rsidP="003042DF">
            <w:hyperlink r:id="rId12" w:history="1">
              <w:r w:rsidR="00D43DF4" w:rsidRPr="00CF7F87">
                <w:rPr>
                  <w:rStyle w:val="Hyperlink"/>
                </w:rPr>
                <w:t>Dr Caroline Compton</w:t>
              </w:r>
            </w:hyperlink>
          </w:p>
        </w:tc>
        <w:tc>
          <w:tcPr>
            <w:tcW w:w="6306" w:type="dxa"/>
          </w:tcPr>
          <w:p w14:paraId="1BC6A55E" w14:textId="02BD1F2F" w:rsidR="00D43DF4" w:rsidRPr="005208E6" w:rsidRDefault="00271CCB" w:rsidP="00605FD5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eastAsia="Times New Roman"/>
                <w:color w:val="000000"/>
              </w:rPr>
            </w:pPr>
            <w:r>
              <w:t>The impact of climate change on property arrangements in Western Sydney</w:t>
            </w:r>
            <w:r w:rsidRPr="0051301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13" w:type="dxa"/>
          </w:tcPr>
          <w:p w14:paraId="13C9550B" w14:textId="77777777" w:rsidR="00D43DF4" w:rsidRPr="00636A11" w:rsidRDefault="00D43DF4" w:rsidP="00636A11">
            <w:pPr>
              <w:ind w:left="360"/>
              <w:rPr>
                <w:rFonts w:eastAsia="Times New Roman"/>
                <w:color w:val="000000"/>
              </w:rPr>
            </w:pPr>
          </w:p>
        </w:tc>
      </w:tr>
      <w:tr w:rsidR="00D43DF4" w:rsidRPr="00513010" w14:paraId="432C2004" w14:textId="77777777" w:rsidTr="009F0283">
        <w:tc>
          <w:tcPr>
            <w:tcW w:w="1270" w:type="dxa"/>
            <w:vMerge/>
          </w:tcPr>
          <w:p w14:paraId="4823F495" w14:textId="77777777" w:rsidR="00D43DF4" w:rsidRDefault="00D43DF4" w:rsidP="003042DF"/>
        </w:tc>
        <w:tc>
          <w:tcPr>
            <w:tcW w:w="6306" w:type="dxa"/>
          </w:tcPr>
          <w:p w14:paraId="266AD0FF" w14:textId="2C61F4BD" w:rsidR="00D43DF4" w:rsidRPr="00513010" w:rsidRDefault="00271CCB" w:rsidP="00605FD5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eastAsia="Times New Roman"/>
                <w:color w:val="000000"/>
              </w:rPr>
            </w:pPr>
            <w:r w:rsidRPr="00513010">
              <w:rPr>
                <w:rFonts w:eastAsia="Times New Roman"/>
                <w:color w:val="000000"/>
              </w:rPr>
              <w:t>How institutions construct truth/make meaning (would suit a student with a background in statistics/public health/machine learning)</w:t>
            </w:r>
          </w:p>
        </w:tc>
        <w:tc>
          <w:tcPr>
            <w:tcW w:w="1213" w:type="dxa"/>
          </w:tcPr>
          <w:p w14:paraId="6AE08A72" w14:textId="77777777" w:rsidR="00D43DF4" w:rsidRPr="00636A11" w:rsidRDefault="00D43DF4" w:rsidP="00636A11">
            <w:pPr>
              <w:ind w:left="360"/>
              <w:rPr>
                <w:rFonts w:eastAsia="Times New Roman"/>
                <w:color w:val="000000"/>
              </w:rPr>
            </w:pPr>
          </w:p>
        </w:tc>
      </w:tr>
      <w:tr w:rsidR="00D43DF4" w:rsidRPr="00513010" w14:paraId="2A9E4F86" w14:textId="77777777" w:rsidTr="009F0283">
        <w:tc>
          <w:tcPr>
            <w:tcW w:w="1270" w:type="dxa"/>
            <w:vMerge/>
          </w:tcPr>
          <w:p w14:paraId="6C20063D" w14:textId="77777777" w:rsidR="00D43DF4" w:rsidRDefault="00D43DF4" w:rsidP="003042DF"/>
        </w:tc>
        <w:tc>
          <w:tcPr>
            <w:tcW w:w="6306" w:type="dxa"/>
          </w:tcPr>
          <w:p w14:paraId="239C3943" w14:textId="641C961A" w:rsidR="00D43DF4" w:rsidRDefault="00271CCB" w:rsidP="00605FD5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COVID-19 response and the rule of law in the global South</w:t>
            </w:r>
          </w:p>
        </w:tc>
        <w:tc>
          <w:tcPr>
            <w:tcW w:w="1213" w:type="dxa"/>
          </w:tcPr>
          <w:p w14:paraId="3B4D96C8" w14:textId="77777777" w:rsidR="00D43DF4" w:rsidRPr="00636A11" w:rsidRDefault="00D43DF4" w:rsidP="00636A11">
            <w:pPr>
              <w:ind w:left="360"/>
              <w:rPr>
                <w:rFonts w:eastAsia="Times New Roman"/>
                <w:color w:val="000000"/>
              </w:rPr>
            </w:pPr>
          </w:p>
        </w:tc>
      </w:tr>
      <w:tr w:rsidR="004F75E8" w:rsidRPr="00513010" w14:paraId="7CB91B5B" w14:textId="2DD03993" w:rsidTr="009F0283">
        <w:tc>
          <w:tcPr>
            <w:tcW w:w="1270" w:type="dxa"/>
            <w:vMerge w:val="restart"/>
          </w:tcPr>
          <w:p w14:paraId="68654BB2" w14:textId="77777777" w:rsidR="004F75E8" w:rsidRPr="00513010" w:rsidRDefault="006A51C6" w:rsidP="003042DF">
            <w:hyperlink r:id="rId13" w:history="1">
              <w:r w:rsidR="004F75E8" w:rsidRPr="00513010">
                <w:rPr>
                  <w:rStyle w:val="Hyperlink"/>
                </w:rPr>
                <w:t>Dr Meda Couzens</w:t>
              </w:r>
            </w:hyperlink>
          </w:p>
        </w:tc>
        <w:tc>
          <w:tcPr>
            <w:tcW w:w="6306" w:type="dxa"/>
          </w:tcPr>
          <w:p w14:paraId="0EE18507" w14:textId="0B1E4DD8" w:rsidR="004F75E8" w:rsidRPr="005208E6" w:rsidRDefault="004F75E8" w:rsidP="000E257C">
            <w:pPr>
              <w:numPr>
                <w:ilvl w:val="0"/>
                <w:numId w:val="7"/>
              </w:numPr>
              <w:spacing w:before="100" w:beforeAutospacing="1"/>
              <w:ind w:left="357" w:hanging="357"/>
              <w:rPr>
                <w:rFonts w:eastAsia="Times New Roman"/>
                <w:color w:val="000000"/>
              </w:rPr>
            </w:pPr>
            <w:r w:rsidRPr="00513010">
              <w:rPr>
                <w:rFonts w:eastAsia="Times New Roman"/>
                <w:color w:val="000000"/>
              </w:rPr>
              <w:t>Criminal law responses to female genital mutilation</w:t>
            </w:r>
          </w:p>
        </w:tc>
        <w:tc>
          <w:tcPr>
            <w:tcW w:w="1213" w:type="dxa"/>
          </w:tcPr>
          <w:p w14:paraId="283D872F" w14:textId="77777777" w:rsidR="004F75E8" w:rsidRPr="00513010" w:rsidRDefault="004F75E8" w:rsidP="00636A11">
            <w:pPr>
              <w:spacing w:before="100" w:beforeAutospacing="1" w:after="100" w:afterAutospacing="1"/>
              <w:ind w:left="360"/>
              <w:rPr>
                <w:rFonts w:eastAsia="Times New Roman"/>
                <w:color w:val="000000"/>
              </w:rPr>
            </w:pPr>
          </w:p>
        </w:tc>
      </w:tr>
      <w:tr w:rsidR="004F75E8" w:rsidRPr="00513010" w14:paraId="19BA6832" w14:textId="77777777" w:rsidTr="009F0283">
        <w:tc>
          <w:tcPr>
            <w:tcW w:w="1270" w:type="dxa"/>
            <w:vMerge/>
          </w:tcPr>
          <w:p w14:paraId="49C0D2C2" w14:textId="77777777" w:rsidR="004F75E8" w:rsidRDefault="004F75E8" w:rsidP="003042DF"/>
        </w:tc>
        <w:tc>
          <w:tcPr>
            <w:tcW w:w="6306" w:type="dxa"/>
          </w:tcPr>
          <w:p w14:paraId="05623891" w14:textId="4F539791" w:rsidR="004F75E8" w:rsidRPr="00513010" w:rsidRDefault="004F75E8" w:rsidP="000E257C">
            <w:pPr>
              <w:numPr>
                <w:ilvl w:val="0"/>
                <w:numId w:val="7"/>
              </w:numPr>
              <w:spacing w:before="100" w:beforeAutospacing="1"/>
              <w:ind w:left="357" w:hanging="357"/>
              <w:rPr>
                <w:rFonts w:eastAsia="Times New Roman"/>
                <w:color w:val="000000"/>
              </w:rPr>
            </w:pPr>
            <w:r w:rsidRPr="00513010">
              <w:rPr>
                <w:rFonts w:eastAsia="Times New Roman"/>
                <w:color w:val="000000"/>
              </w:rPr>
              <w:t>ACT human rights legislation and children’s rights</w:t>
            </w:r>
          </w:p>
        </w:tc>
        <w:tc>
          <w:tcPr>
            <w:tcW w:w="1213" w:type="dxa"/>
          </w:tcPr>
          <w:p w14:paraId="2420CF38" w14:textId="77777777" w:rsidR="004F75E8" w:rsidRPr="00513010" w:rsidRDefault="004F75E8" w:rsidP="00636A11">
            <w:pPr>
              <w:spacing w:before="100" w:beforeAutospacing="1" w:after="100" w:afterAutospacing="1"/>
              <w:ind w:left="360"/>
              <w:rPr>
                <w:rFonts w:eastAsia="Times New Roman"/>
                <w:color w:val="000000"/>
              </w:rPr>
            </w:pPr>
          </w:p>
        </w:tc>
      </w:tr>
      <w:tr w:rsidR="004F75E8" w:rsidRPr="00513010" w14:paraId="2C9B90AC" w14:textId="5B77D430" w:rsidTr="009F0283">
        <w:tc>
          <w:tcPr>
            <w:tcW w:w="1270" w:type="dxa"/>
            <w:vMerge w:val="restart"/>
          </w:tcPr>
          <w:p w14:paraId="2263AFB7" w14:textId="77777777" w:rsidR="004F75E8" w:rsidRPr="00513010" w:rsidRDefault="006A51C6" w:rsidP="003042DF">
            <w:hyperlink r:id="rId14" w:history="1">
              <w:r w:rsidR="004F75E8" w:rsidRPr="00B61D01">
                <w:rPr>
                  <w:rStyle w:val="Hyperlink"/>
                </w:rPr>
                <w:t>Associate Professor Azadeh Dastyari</w:t>
              </w:r>
            </w:hyperlink>
          </w:p>
        </w:tc>
        <w:tc>
          <w:tcPr>
            <w:tcW w:w="6306" w:type="dxa"/>
          </w:tcPr>
          <w:p w14:paraId="77525534" w14:textId="7384BD60" w:rsidR="004F75E8" w:rsidRPr="005208E6" w:rsidRDefault="004F75E8" w:rsidP="005208E6">
            <w:pPr>
              <w:pStyle w:val="ListParagraph"/>
              <w:numPr>
                <w:ilvl w:val="0"/>
                <w:numId w:val="13"/>
              </w:numPr>
              <w:spacing w:line="252" w:lineRule="auto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COVID-19 restrictions and the human rights of older Australians</w:t>
            </w:r>
          </w:p>
        </w:tc>
        <w:tc>
          <w:tcPr>
            <w:tcW w:w="1213" w:type="dxa"/>
          </w:tcPr>
          <w:p w14:paraId="1F142588" w14:textId="77777777" w:rsidR="004F75E8" w:rsidRPr="00636A11" w:rsidRDefault="004F75E8" w:rsidP="00636A11">
            <w:pPr>
              <w:spacing w:line="252" w:lineRule="auto"/>
              <w:ind w:left="360"/>
              <w:rPr>
                <w:rFonts w:eastAsia="Times New Roman"/>
              </w:rPr>
            </w:pPr>
          </w:p>
        </w:tc>
      </w:tr>
      <w:tr w:rsidR="004F75E8" w:rsidRPr="00513010" w14:paraId="0EA2308E" w14:textId="77777777" w:rsidTr="009F0283">
        <w:tc>
          <w:tcPr>
            <w:tcW w:w="1270" w:type="dxa"/>
            <w:vMerge/>
          </w:tcPr>
          <w:p w14:paraId="10DA2885" w14:textId="77777777" w:rsidR="004F75E8" w:rsidRDefault="004F75E8" w:rsidP="003042DF"/>
        </w:tc>
        <w:tc>
          <w:tcPr>
            <w:tcW w:w="6306" w:type="dxa"/>
          </w:tcPr>
          <w:p w14:paraId="1C513F86" w14:textId="2F16DEB0" w:rsidR="004F75E8" w:rsidRPr="005208E6" w:rsidRDefault="004F75E8" w:rsidP="005208E6">
            <w:pPr>
              <w:pStyle w:val="ListParagraph"/>
              <w:numPr>
                <w:ilvl w:val="0"/>
                <w:numId w:val="13"/>
              </w:numPr>
              <w:spacing w:line="252" w:lineRule="auto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COVID-19 restrictions and the human rights of children</w:t>
            </w:r>
          </w:p>
        </w:tc>
        <w:tc>
          <w:tcPr>
            <w:tcW w:w="1213" w:type="dxa"/>
          </w:tcPr>
          <w:p w14:paraId="73FEBCE9" w14:textId="77777777" w:rsidR="004F75E8" w:rsidRPr="00636A11" w:rsidRDefault="004F75E8" w:rsidP="00636A11">
            <w:pPr>
              <w:spacing w:line="252" w:lineRule="auto"/>
              <w:ind w:left="360"/>
              <w:rPr>
                <w:rFonts w:eastAsia="Times New Roman"/>
              </w:rPr>
            </w:pPr>
          </w:p>
        </w:tc>
      </w:tr>
      <w:tr w:rsidR="004F75E8" w:rsidRPr="00513010" w14:paraId="146D65D5" w14:textId="77777777" w:rsidTr="009F0283">
        <w:tc>
          <w:tcPr>
            <w:tcW w:w="1270" w:type="dxa"/>
            <w:vMerge/>
          </w:tcPr>
          <w:p w14:paraId="6F39BACD" w14:textId="77777777" w:rsidR="004F75E8" w:rsidRDefault="004F75E8" w:rsidP="003042DF"/>
        </w:tc>
        <w:tc>
          <w:tcPr>
            <w:tcW w:w="6306" w:type="dxa"/>
          </w:tcPr>
          <w:p w14:paraId="14C04BE0" w14:textId="4B4F4CC0" w:rsidR="004F75E8" w:rsidRPr="005208E6" w:rsidRDefault="004F75E8" w:rsidP="005208E6">
            <w:pPr>
              <w:pStyle w:val="ListParagraph"/>
              <w:numPr>
                <w:ilvl w:val="0"/>
                <w:numId w:val="13"/>
              </w:numPr>
              <w:spacing w:line="252" w:lineRule="auto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COVID-19 restrictions and the human rights of Indigenous Australians</w:t>
            </w:r>
          </w:p>
        </w:tc>
        <w:tc>
          <w:tcPr>
            <w:tcW w:w="1213" w:type="dxa"/>
          </w:tcPr>
          <w:p w14:paraId="302B9E87" w14:textId="77777777" w:rsidR="004F75E8" w:rsidRPr="00636A11" w:rsidRDefault="004F75E8" w:rsidP="00636A11">
            <w:pPr>
              <w:spacing w:line="252" w:lineRule="auto"/>
              <w:ind w:left="360"/>
              <w:rPr>
                <w:rFonts w:eastAsia="Times New Roman"/>
              </w:rPr>
            </w:pPr>
          </w:p>
        </w:tc>
      </w:tr>
      <w:tr w:rsidR="004F75E8" w:rsidRPr="00513010" w14:paraId="01F264C1" w14:textId="77777777" w:rsidTr="009F0283">
        <w:tc>
          <w:tcPr>
            <w:tcW w:w="1270" w:type="dxa"/>
            <w:vMerge/>
          </w:tcPr>
          <w:p w14:paraId="34F5446D" w14:textId="77777777" w:rsidR="004F75E8" w:rsidRDefault="004F75E8" w:rsidP="003042DF"/>
        </w:tc>
        <w:tc>
          <w:tcPr>
            <w:tcW w:w="6306" w:type="dxa"/>
          </w:tcPr>
          <w:p w14:paraId="404EE589" w14:textId="49CE2099" w:rsidR="004F75E8" w:rsidRPr="005208E6" w:rsidRDefault="004F75E8" w:rsidP="005208E6">
            <w:pPr>
              <w:pStyle w:val="ListParagraph"/>
              <w:numPr>
                <w:ilvl w:val="0"/>
                <w:numId w:val="13"/>
              </w:numPr>
              <w:spacing w:line="252" w:lineRule="auto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Is there a human right to internet access?</w:t>
            </w:r>
          </w:p>
        </w:tc>
        <w:tc>
          <w:tcPr>
            <w:tcW w:w="1213" w:type="dxa"/>
          </w:tcPr>
          <w:p w14:paraId="2DC88DBD" w14:textId="77777777" w:rsidR="004F75E8" w:rsidRPr="00636A11" w:rsidRDefault="004F75E8" w:rsidP="00636A11">
            <w:pPr>
              <w:spacing w:line="252" w:lineRule="auto"/>
              <w:ind w:left="360"/>
              <w:rPr>
                <w:rFonts w:eastAsia="Times New Roman"/>
              </w:rPr>
            </w:pPr>
          </w:p>
        </w:tc>
      </w:tr>
      <w:tr w:rsidR="004F75E8" w:rsidRPr="00513010" w14:paraId="56284238" w14:textId="77777777" w:rsidTr="009F0283">
        <w:tc>
          <w:tcPr>
            <w:tcW w:w="1270" w:type="dxa"/>
            <w:vMerge/>
          </w:tcPr>
          <w:p w14:paraId="4D5A6D47" w14:textId="77777777" w:rsidR="004F75E8" w:rsidRDefault="004F75E8" w:rsidP="003042DF"/>
        </w:tc>
        <w:tc>
          <w:tcPr>
            <w:tcW w:w="6306" w:type="dxa"/>
          </w:tcPr>
          <w:p w14:paraId="211F0A32" w14:textId="2D8E7BEA" w:rsidR="004F75E8" w:rsidRDefault="004F75E8" w:rsidP="00636A11">
            <w:pPr>
              <w:pStyle w:val="ListParagraph"/>
              <w:numPr>
                <w:ilvl w:val="0"/>
                <w:numId w:val="13"/>
              </w:numPr>
              <w:spacing w:line="252" w:lineRule="auto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Access to technology and the human right to education</w:t>
            </w:r>
          </w:p>
        </w:tc>
        <w:tc>
          <w:tcPr>
            <w:tcW w:w="1213" w:type="dxa"/>
          </w:tcPr>
          <w:p w14:paraId="3ED6EBFE" w14:textId="77777777" w:rsidR="004F75E8" w:rsidRPr="00636A11" w:rsidRDefault="004F75E8" w:rsidP="00636A11">
            <w:pPr>
              <w:spacing w:line="252" w:lineRule="auto"/>
              <w:ind w:left="360"/>
              <w:rPr>
                <w:rFonts w:eastAsia="Times New Roman"/>
              </w:rPr>
            </w:pPr>
          </w:p>
        </w:tc>
      </w:tr>
      <w:tr w:rsidR="00E95C8B" w:rsidRPr="00513010" w14:paraId="12E771CE" w14:textId="77777777" w:rsidTr="009F0283">
        <w:tc>
          <w:tcPr>
            <w:tcW w:w="1270" w:type="dxa"/>
          </w:tcPr>
          <w:p w14:paraId="1DC41C3F" w14:textId="001B10CE" w:rsidR="00E95C8B" w:rsidRDefault="006A51C6" w:rsidP="003042DF">
            <w:hyperlink r:id="rId15" w:history="1">
              <w:r w:rsidR="00C426CD" w:rsidRPr="00C71C15">
                <w:rPr>
                  <w:rStyle w:val="Hyperlink"/>
                </w:rPr>
                <w:t>Dr Jason Donnelly</w:t>
              </w:r>
            </w:hyperlink>
          </w:p>
        </w:tc>
        <w:tc>
          <w:tcPr>
            <w:tcW w:w="6306" w:type="dxa"/>
          </w:tcPr>
          <w:p w14:paraId="077C511E" w14:textId="53DDB163" w:rsidR="00E95C8B" w:rsidRPr="00C426CD" w:rsidRDefault="00C426CD" w:rsidP="00C71C15">
            <w:pPr>
              <w:pStyle w:val="ListParagraph"/>
              <w:numPr>
                <w:ilvl w:val="0"/>
                <w:numId w:val="25"/>
              </w:numPr>
              <w:spacing w:line="252" w:lineRule="auto"/>
              <w:ind w:left="360"/>
            </w:pPr>
            <w:r w:rsidRPr="00C426CD">
              <w:t xml:space="preserve">Deportation and the character powers in the </w:t>
            </w:r>
            <w:r w:rsidRPr="00C71C15">
              <w:rPr>
                <w:i/>
                <w:iCs/>
              </w:rPr>
              <w:t>Migration Act 1958</w:t>
            </w:r>
            <w:r w:rsidRPr="00C426CD">
              <w:t xml:space="preserve"> (</w:t>
            </w:r>
            <w:proofErr w:type="spellStart"/>
            <w:r w:rsidRPr="00C426CD">
              <w:t>Cth</w:t>
            </w:r>
            <w:proofErr w:type="spellEnd"/>
            <w:r w:rsidRPr="00C426CD">
              <w:t>)</w:t>
            </w:r>
          </w:p>
        </w:tc>
        <w:tc>
          <w:tcPr>
            <w:tcW w:w="1213" w:type="dxa"/>
          </w:tcPr>
          <w:p w14:paraId="4740902A" w14:textId="77777777" w:rsidR="00E95C8B" w:rsidRPr="00636A11" w:rsidRDefault="00E95C8B" w:rsidP="00636A11">
            <w:pPr>
              <w:spacing w:line="252" w:lineRule="auto"/>
              <w:ind w:left="360"/>
              <w:rPr>
                <w:rFonts w:eastAsia="Times New Roman"/>
              </w:rPr>
            </w:pPr>
          </w:p>
        </w:tc>
      </w:tr>
      <w:tr w:rsidR="004F75E8" w:rsidRPr="00513010" w14:paraId="109BF6B6" w14:textId="62F0A20E" w:rsidTr="009F0283">
        <w:tc>
          <w:tcPr>
            <w:tcW w:w="1270" w:type="dxa"/>
            <w:vMerge w:val="restart"/>
          </w:tcPr>
          <w:p w14:paraId="7F5BDF9A" w14:textId="77777777" w:rsidR="004F75E8" w:rsidRPr="00513010" w:rsidRDefault="006A51C6" w:rsidP="003042DF">
            <w:hyperlink r:id="rId16" w:history="1">
              <w:r w:rsidR="004F75E8" w:rsidRPr="00513010">
                <w:rPr>
                  <w:rStyle w:val="Hyperlink"/>
                </w:rPr>
                <w:t>Dr Patrick Foong</w:t>
              </w:r>
            </w:hyperlink>
          </w:p>
        </w:tc>
        <w:tc>
          <w:tcPr>
            <w:tcW w:w="6306" w:type="dxa"/>
          </w:tcPr>
          <w:p w14:paraId="0601DD85" w14:textId="16367AAF" w:rsidR="004F75E8" w:rsidRPr="005208E6" w:rsidRDefault="004F75E8" w:rsidP="005208E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eastAsia="Times New Roman"/>
                <w:color w:val="000000"/>
              </w:rPr>
            </w:pPr>
            <w:r w:rsidRPr="00513010">
              <w:rPr>
                <w:rFonts w:eastAsia="Times New Roman"/>
                <w:color w:val="000000"/>
              </w:rPr>
              <w:t>Regulating unproven stem cell therapies</w:t>
            </w:r>
          </w:p>
        </w:tc>
        <w:tc>
          <w:tcPr>
            <w:tcW w:w="1213" w:type="dxa"/>
          </w:tcPr>
          <w:p w14:paraId="4485D026" w14:textId="77777777" w:rsidR="004F75E8" w:rsidRPr="00636A11" w:rsidRDefault="004F75E8" w:rsidP="00636A11">
            <w:pPr>
              <w:ind w:left="360"/>
              <w:rPr>
                <w:rFonts w:eastAsia="Times New Roman"/>
                <w:color w:val="000000"/>
              </w:rPr>
            </w:pPr>
          </w:p>
        </w:tc>
      </w:tr>
      <w:tr w:rsidR="004F75E8" w:rsidRPr="00513010" w14:paraId="145A2326" w14:textId="77777777" w:rsidTr="009F0283">
        <w:tc>
          <w:tcPr>
            <w:tcW w:w="1270" w:type="dxa"/>
            <w:vMerge/>
          </w:tcPr>
          <w:p w14:paraId="7D917B20" w14:textId="77777777" w:rsidR="004F75E8" w:rsidRDefault="004F75E8" w:rsidP="003042DF"/>
        </w:tc>
        <w:tc>
          <w:tcPr>
            <w:tcW w:w="6306" w:type="dxa"/>
          </w:tcPr>
          <w:p w14:paraId="512D6506" w14:textId="26661A21" w:rsidR="004F75E8" w:rsidRPr="00513010" w:rsidRDefault="004F75E8" w:rsidP="00636A11">
            <w:pPr>
              <w:pStyle w:val="ListParagraph"/>
              <w:numPr>
                <w:ilvl w:val="0"/>
                <w:numId w:val="5"/>
              </w:numPr>
              <w:ind w:left="360"/>
              <w:rPr>
                <w:rFonts w:eastAsia="Times New Roman"/>
                <w:color w:val="000000"/>
              </w:rPr>
            </w:pPr>
            <w:r w:rsidRPr="00513010">
              <w:rPr>
                <w:rFonts w:eastAsia="Times New Roman"/>
                <w:color w:val="000000"/>
              </w:rPr>
              <w:t>Regulating germline gene editing</w:t>
            </w:r>
          </w:p>
        </w:tc>
        <w:tc>
          <w:tcPr>
            <w:tcW w:w="1213" w:type="dxa"/>
          </w:tcPr>
          <w:p w14:paraId="55896E52" w14:textId="77777777" w:rsidR="004F75E8" w:rsidRPr="00636A11" w:rsidRDefault="004F75E8" w:rsidP="00636A11">
            <w:pPr>
              <w:ind w:left="360"/>
              <w:rPr>
                <w:rFonts w:eastAsia="Times New Roman"/>
                <w:color w:val="000000"/>
              </w:rPr>
            </w:pPr>
          </w:p>
        </w:tc>
      </w:tr>
      <w:tr w:rsidR="008E19AA" w:rsidRPr="00513010" w14:paraId="72716C8F" w14:textId="77777777" w:rsidTr="009F0283">
        <w:tc>
          <w:tcPr>
            <w:tcW w:w="1270" w:type="dxa"/>
          </w:tcPr>
          <w:p w14:paraId="24883A95" w14:textId="64289E7C" w:rsidR="008E19AA" w:rsidRPr="00AA2DC8" w:rsidRDefault="00AA2DC8" w:rsidP="003042DF">
            <w:pPr>
              <w:rPr>
                <w:lang w:val="fr-FR"/>
              </w:rPr>
            </w:pPr>
            <w:hyperlink r:id="rId17" w:history="1">
              <w:r w:rsidR="008E19AA" w:rsidRPr="00AA2DC8">
                <w:rPr>
                  <w:rStyle w:val="Hyperlink"/>
                  <w:lang w:val="fr-FR"/>
                </w:rPr>
                <w:t>Dr Beatriz Garcia</w:t>
              </w:r>
              <w:r w:rsidRPr="00AA2DC8">
                <w:rPr>
                  <w:rStyle w:val="Hyperlink"/>
                  <w:lang w:val="fr-FR"/>
                </w:rPr>
                <w:t xml:space="preserve"> de Oliveira</w:t>
              </w:r>
            </w:hyperlink>
          </w:p>
        </w:tc>
        <w:tc>
          <w:tcPr>
            <w:tcW w:w="6306" w:type="dxa"/>
          </w:tcPr>
          <w:p w14:paraId="193C3E9F" w14:textId="3449BD09" w:rsidR="008E19AA" w:rsidRPr="009253C4" w:rsidRDefault="009253C4" w:rsidP="005208E6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="Times New Roman"/>
                <w:color w:val="000000"/>
              </w:rPr>
            </w:pPr>
            <w:r w:rsidRPr="009253C4">
              <w:rPr>
                <w:rFonts w:eastAsia="Times New Roman"/>
              </w:rPr>
              <w:t xml:space="preserve">The role of </w:t>
            </w:r>
            <w:r>
              <w:rPr>
                <w:rFonts w:eastAsia="Times New Roman"/>
              </w:rPr>
              <w:t>e</w:t>
            </w:r>
            <w:r w:rsidRPr="009253C4">
              <w:rPr>
                <w:rFonts w:eastAsia="Times New Roman"/>
              </w:rPr>
              <w:t xml:space="preserve">nvironmental </w:t>
            </w:r>
            <w:r>
              <w:rPr>
                <w:rFonts w:eastAsia="Times New Roman"/>
              </w:rPr>
              <w:t>l</w:t>
            </w:r>
            <w:r w:rsidRPr="009253C4">
              <w:rPr>
                <w:rFonts w:eastAsia="Times New Roman"/>
              </w:rPr>
              <w:t>aw in regulating sustainable consumer behaviour</w:t>
            </w:r>
          </w:p>
        </w:tc>
        <w:tc>
          <w:tcPr>
            <w:tcW w:w="1213" w:type="dxa"/>
          </w:tcPr>
          <w:p w14:paraId="373B2118" w14:textId="77777777" w:rsidR="008E19AA" w:rsidRPr="00636A11" w:rsidRDefault="008E19AA" w:rsidP="00636A11">
            <w:pPr>
              <w:ind w:left="360"/>
              <w:rPr>
                <w:rFonts w:eastAsia="Times New Roman"/>
                <w:color w:val="000000"/>
              </w:rPr>
            </w:pPr>
          </w:p>
        </w:tc>
      </w:tr>
      <w:tr w:rsidR="004F75E8" w:rsidRPr="00513010" w14:paraId="5DA7F78A" w14:textId="460BDCF3" w:rsidTr="009F0283">
        <w:tc>
          <w:tcPr>
            <w:tcW w:w="1270" w:type="dxa"/>
            <w:vMerge w:val="restart"/>
          </w:tcPr>
          <w:p w14:paraId="4BA7C6E8" w14:textId="77777777" w:rsidR="004F75E8" w:rsidRDefault="006A51C6" w:rsidP="003042DF">
            <w:hyperlink r:id="rId18" w:history="1">
              <w:r w:rsidR="004F75E8" w:rsidRPr="00EA73FE">
                <w:rPr>
                  <w:rStyle w:val="Hyperlink"/>
                </w:rPr>
                <w:t>Mr Bradley Gooding</w:t>
              </w:r>
            </w:hyperlink>
          </w:p>
        </w:tc>
        <w:tc>
          <w:tcPr>
            <w:tcW w:w="6306" w:type="dxa"/>
          </w:tcPr>
          <w:p w14:paraId="3A68B301" w14:textId="5042A63E" w:rsidR="004F75E8" w:rsidRPr="005208E6" w:rsidRDefault="004F75E8" w:rsidP="005208E6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="Times New Roman"/>
                <w:color w:val="000000"/>
              </w:rPr>
            </w:pPr>
            <w:r w:rsidRPr="00FC1A69">
              <w:rPr>
                <w:rFonts w:eastAsia="Times New Roman"/>
                <w:color w:val="000000"/>
              </w:rPr>
              <w:t xml:space="preserve">The role of </w:t>
            </w:r>
            <w:hyperlink r:id="rId19" w:history="1">
              <w:r w:rsidRPr="009E0347">
                <w:rPr>
                  <w:rStyle w:val="Hyperlink"/>
                  <w:rFonts w:eastAsia="Times New Roman"/>
                </w:rPr>
                <w:t>incommensurability</w:t>
              </w:r>
            </w:hyperlink>
            <w:r w:rsidRPr="00FC1A69">
              <w:rPr>
                <w:rFonts w:eastAsia="Times New Roman"/>
                <w:color w:val="000000"/>
              </w:rPr>
              <w:t xml:space="preserve"> in judicial reasoning</w:t>
            </w:r>
          </w:p>
        </w:tc>
        <w:tc>
          <w:tcPr>
            <w:tcW w:w="1213" w:type="dxa"/>
          </w:tcPr>
          <w:p w14:paraId="50282421" w14:textId="77777777" w:rsidR="004F75E8" w:rsidRPr="00636A11" w:rsidRDefault="004F75E8" w:rsidP="00636A11">
            <w:pPr>
              <w:ind w:left="360"/>
              <w:rPr>
                <w:rFonts w:eastAsia="Times New Roman"/>
                <w:color w:val="000000"/>
              </w:rPr>
            </w:pPr>
          </w:p>
        </w:tc>
      </w:tr>
      <w:tr w:rsidR="004F75E8" w:rsidRPr="00513010" w14:paraId="64325696" w14:textId="77777777" w:rsidTr="009F0283">
        <w:tc>
          <w:tcPr>
            <w:tcW w:w="1270" w:type="dxa"/>
            <w:vMerge/>
          </w:tcPr>
          <w:p w14:paraId="57D7FC12" w14:textId="77777777" w:rsidR="004F75E8" w:rsidRDefault="004F75E8" w:rsidP="003042DF"/>
        </w:tc>
        <w:tc>
          <w:tcPr>
            <w:tcW w:w="6306" w:type="dxa"/>
          </w:tcPr>
          <w:p w14:paraId="13EE232C" w14:textId="37DF58F2" w:rsidR="004F75E8" w:rsidRPr="005208E6" w:rsidRDefault="004F75E8" w:rsidP="005208E6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="Times New Roman"/>
                <w:color w:val="000000"/>
              </w:rPr>
            </w:pPr>
            <w:r w:rsidRPr="00FC1A69">
              <w:rPr>
                <w:rFonts w:eastAsia="Times New Roman"/>
                <w:color w:val="000000"/>
              </w:rPr>
              <w:t xml:space="preserve">The </w:t>
            </w:r>
            <w:hyperlink r:id="rId20" w:history="1">
              <w:r w:rsidRPr="00A955E1">
                <w:rPr>
                  <w:rStyle w:val="Hyperlink"/>
                  <w:rFonts w:eastAsia="Times New Roman"/>
                </w:rPr>
                <w:t>epistemology</w:t>
              </w:r>
            </w:hyperlink>
            <w:r w:rsidRPr="00FC1A69">
              <w:rPr>
                <w:rFonts w:eastAsia="Times New Roman"/>
                <w:color w:val="000000"/>
              </w:rPr>
              <w:t xml:space="preserve"> of law </w:t>
            </w:r>
            <w:r>
              <w:rPr>
                <w:rFonts w:eastAsia="Times New Roman"/>
                <w:color w:val="000000"/>
              </w:rPr>
              <w:t>–</w:t>
            </w:r>
            <w:r w:rsidRPr="00FC1A69">
              <w:rPr>
                <w:rFonts w:eastAsia="Times New Roman"/>
                <w:color w:val="000000"/>
              </w:rPr>
              <w:t xml:space="preserve"> what is law's relationship with </w:t>
            </w:r>
            <w:r>
              <w:rPr>
                <w:rFonts w:eastAsia="Times New Roman"/>
                <w:color w:val="000000"/>
              </w:rPr>
              <w:t>t</w:t>
            </w:r>
            <w:r w:rsidRPr="00FC1A69">
              <w:rPr>
                <w:rFonts w:eastAsia="Times New Roman"/>
                <w:color w:val="000000"/>
              </w:rPr>
              <w:t>ruth?</w:t>
            </w:r>
          </w:p>
        </w:tc>
        <w:tc>
          <w:tcPr>
            <w:tcW w:w="1213" w:type="dxa"/>
          </w:tcPr>
          <w:p w14:paraId="31C8174B" w14:textId="77777777" w:rsidR="004F75E8" w:rsidRPr="00636A11" w:rsidRDefault="004F75E8" w:rsidP="00636A11">
            <w:pPr>
              <w:ind w:left="360"/>
              <w:rPr>
                <w:rFonts w:eastAsia="Times New Roman"/>
                <w:color w:val="000000"/>
              </w:rPr>
            </w:pPr>
          </w:p>
        </w:tc>
      </w:tr>
      <w:tr w:rsidR="004F75E8" w:rsidRPr="00513010" w14:paraId="2252DFDB" w14:textId="77777777" w:rsidTr="009F0283">
        <w:tc>
          <w:tcPr>
            <w:tcW w:w="1270" w:type="dxa"/>
            <w:vMerge/>
          </w:tcPr>
          <w:p w14:paraId="47608BBA" w14:textId="77777777" w:rsidR="004F75E8" w:rsidRDefault="004F75E8" w:rsidP="003042DF"/>
        </w:tc>
        <w:tc>
          <w:tcPr>
            <w:tcW w:w="6306" w:type="dxa"/>
          </w:tcPr>
          <w:p w14:paraId="5DDD29A6" w14:textId="44B62FA7" w:rsidR="004F75E8" w:rsidRPr="00FC1A69" w:rsidRDefault="004F75E8" w:rsidP="00636A11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="Times New Roman"/>
                <w:color w:val="000000"/>
              </w:rPr>
            </w:pPr>
            <w:r w:rsidRPr="00FC1A69">
              <w:rPr>
                <w:rFonts w:eastAsia="Times New Roman"/>
                <w:color w:val="000000"/>
              </w:rPr>
              <w:t>The role of legal positivism in legal pluralism (Conceptual guidepost? Antagonist?)</w:t>
            </w:r>
          </w:p>
        </w:tc>
        <w:tc>
          <w:tcPr>
            <w:tcW w:w="1213" w:type="dxa"/>
          </w:tcPr>
          <w:p w14:paraId="08939F4C" w14:textId="77777777" w:rsidR="004F75E8" w:rsidRPr="00636A11" w:rsidRDefault="004F75E8" w:rsidP="00636A11">
            <w:pPr>
              <w:ind w:left="360"/>
              <w:rPr>
                <w:rFonts w:eastAsia="Times New Roman"/>
                <w:color w:val="000000"/>
              </w:rPr>
            </w:pPr>
          </w:p>
        </w:tc>
      </w:tr>
      <w:tr w:rsidR="004F75E8" w:rsidRPr="00513010" w14:paraId="751030B2" w14:textId="2EFED544" w:rsidTr="009F0283">
        <w:tc>
          <w:tcPr>
            <w:tcW w:w="1270" w:type="dxa"/>
            <w:vMerge w:val="restart"/>
          </w:tcPr>
          <w:p w14:paraId="4863258E" w14:textId="77777777" w:rsidR="004F75E8" w:rsidRPr="00513010" w:rsidRDefault="006A51C6" w:rsidP="004E403E">
            <w:hyperlink r:id="rId21" w:history="1">
              <w:r w:rsidR="004F75E8" w:rsidRPr="00513010">
                <w:rPr>
                  <w:rStyle w:val="Hyperlink"/>
                </w:rPr>
                <w:t>Professor Elizabeth Handsley</w:t>
              </w:r>
            </w:hyperlink>
          </w:p>
        </w:tc>
        <w:tc>
          <w:tcPr>
            <w:tcW w:w="6306" w:type="dxa"/>
          </w:tcPr>
          <w:p w14:paraId="28984808" w14:textId="47840BF1" w:rsidR="004F75E8" w:rsidRPr="005208E6" w:rsidRDefault="004F75E8" w:rsidP="00295A01">
            <w:pPr>
              <w:pStyle w:val="ListParagraph"/>
              <w:keepNext/>
              <w:numPr>
                <w:ilvl w:val="0"/>
                <w:numId w:val="11"/>
              </w:numPr>
              <w:ind w:left="357" w:hanging="357"/>
              <w:rPr>
                <w:rFonts w:eastAsia="Times New Roman"/>
                <w:color w:val="000000"/>
              </w:rPr>
            </w:pPr>
            <w:r w:rsidRPr="00513010">
              <w:rPr>
                <w:rFonts w:eastAsia="Times New Roman"/>
                <w:color w:val="000000"/>
              </w:rPr>
              <w:t>Children’s privacy as users of online apps</w:t>
            </w:r>
          </w:p>
        </w:tc>
        <w:tc>
          <w:tcPr>
            <w:tcW w:w="1213" w:type="dxa"/>
          </w:tcPr>
          <w:p w14:paraId="01484BED" w14:textId="77777777" w:rsidR="004F75E8" w:rsidRPr="00636A11" w:rsidRDefault="004F75E8" w:rsidP="00636A11">
            <w:pPr>
              <w:ind w:left="360"/>
              <w:rPr>
                <w:rFonts w:eastAsia="Times New Roman"/>
                <w:color w:val="000000"/>
              </w:rPr>
            </w:pPr>
          </w:p>
        </w:tc>
      </w:tr>
      <w:tr w:rsidR="004F75E8" w:rsidRPr="00513010" w14:paraId="4DA7307C" w14:textId="77777777" w:rsidTr="009F0283">
        <w:tc>
          <w:tcPr>
            <w:tcW w:w="1270" w:type="dxa"/>
            <w:vMerge/>
          </w:tcPr>
          <w:p w14:paraId="0380E6AF" w14:textId="77777777" w:rsidR="004F75E8" w:rsidRDefault="004F75E8" w:rsidP="003042DF"/>
        </w:tc>
        <w:tc>
          <w:tcPr>
            <w:tcW w:w="6306" w:type="dxa"/>
          </w:tcPr>
          <w:p w14:paraId="031E749C" w14:textId="40FAE152" w:rsidR="004F75E8" w:rsidRPr="00513010" w:rsidRDefault="004F75E8" w:rsidP="00636A11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eastAsia="Times New Roman"/>
                <w:color w:val="000000"/>
              </w:rPr>
            </w:pPr>
            <w:r w:rsidRPr="00513010">
              <w:rPr>
                <w:rFonts w:eastAsia="Times New Roman"/>
                <w:color w:val="000000"/>
              </w:rPr>
              <w:t>Regulation of gambling advertising</w:t>
            </w:r>
          </w:p>
        </w:tc>
        <w:tc>
          <w:tcPr>
            <w:tcW w:w="1213" w:type="dxa"/>
          </w:tcPr>
          <w:p w14:paraId="426C3E84" w14:textId="77777777" w:rsidR="004F75E8" w:rsidRPr="00636A11" w:rsidRDefault="004F75E8" w:rsidP="00636A11">
            <w:pPr>
              <w:ind w:left="360"/>
              <w:rPr>
                <w:rFonts w:eastAsia="Times New Roman"/>
                <w:color w:val="000000"/>
              </w:rPr>
            </w:pPr>
          </w:p>
        </w:tc>
      </w:tr>
      <w:tr w:rsidR="004F75E8" w:rsidRPr="00513010" w14:paraId="0D8B9F77" w14:textId="4D957BBE" w:rsidTr="009F0283">
        <w:tc>
          <w:tcPr>
            <w:tcW w:w="1270" w:type="dxa"/>
            <w:vMerge w:val="restart"/>
          </w:tcPr>
          <w:p w14:paraId="0925A3BF" w14:textId="77777777" w:rsidR="004F75E8" w:rsidRDefault="006A51C6" w:rsidP="003042DF">
            <w:hyperlink r:id="rId22" w:history="1">
              <w:r w:rsidR="004F75E8" w:rsidRPr="00CF7F87">
                <w:rPr>
                  <w:rStyle w:val="Hyperlink"/>
                </w:rPr>
                <w:t>Associate Professor Daud Hassan</w:t>
              </w:r>
            </w:hyperlink>
          </w:p>
        </w:tc>
        <w:tc>
          <w:tcPr>
            <w:tcW w:w="6306" w:type="dxa"/>
          </w:tcPr>
          <w:p w14:paraId="15BCF83B" w14:textId="6D260397" w:rsidR="004F75E8" w:rsidRPr="00757586" w:rsidRDefault="004F75E8" w:rsidP="005208E6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eastAsia="Times New Roman"/>
              </w:rPr>
            </w:pPr>
            <w:r w:rsidRPr="00757586">
              <w:rPr>
                <w:rFonts w:eastAsia="Times New Roman"/>
              </w:rPr>
              <w:t>Climate Change and its Impact on Marine Fisheries in the Southern Ocean</w:t>
            </w:r>
          </w:p>
        </w:tc>
        <w:tc>
          <w:tcPr>
            <w:tcW w:w="1213" w:type="dxa"/>
          </w:tcPr>
          <w:p w14:paraId="7AB90E26" w14:textId="77777777" w:rsidR="004F75E8" w:rsidRPr="00636A11" w:rsidRDefault="004F75E8" w:rsidP="00636A11">
            <w:pPr>
              <w:ind w:left="360"/>
              <w:rPr>
                <w:rFonts w:eastAsia="Times New Roman"/>
              </w:rPr>
            </w:pPr>
          </w:p>
        </w:tc>
      </w:tr>
      <w:tr w:rsidR="004F75E8" w:rsidRPr="00513010" w14:paraId="7DF5A95D" w14:textId="77777777" w:rsidTr="009F0283">
        <w:tc>
          <w:tcPr>
            <w:tcW w:w="1270" w:type="dxa"/>
            <w:vMerge/>
          </w:tcPr>
          <w:p w14:paraId="103E8D6B" w14:textId="77777777" w:rsidR="004F75E8" w:rsidRDefault="004F75E8" w:rsidP="003042DF"/>
        </w:tc>
        <w:tc>
          <w:tcPr>
            <w:tcW w:w="6306" w:type="dxa"/>
          </w:tcPr>
          <w:p w14:paraId="4AC40143" w14:textId="0D6E4918" w:rsidR="004F75E8" w:rsidRPr="00757586" w:rsidRDefault="004F75E8" w:rsidP="00636A11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eastAsia="Times New Roman"/>
              </w:rPr>
            </w:pPr>
            <w:r w:rsidRPr="00757586">
              <w:rPr>
                <w:rFonts w:eastAsia="Times New Roman"/>
              </w:rPr>
              <w:t>Land Based Sources of Marine Pollution Control Activities in the Asia Pacific</w:t>
            </w:r>
          </w:p>
        </w:tc>
        <w:tc>
          <w:tcPr>
            <w:tcW w:w="1213" w:type="dxa"/>
          </w:tcPr>
          <w:p w14:paraId="5C713471" w14:textId="77777777" w:rsidR="004F75E8" w:rsidRPr="00636A11" w:rsidRDefault="004F75E8" w:rsidP="00636A11">
            <w:pPr>
              <w:ind w:left="360"/>
              <w:rPr>
                <w:rFonts w:eastAsia="Times New Roman"/>
              </w:rPr>
            </w:pPr>
          </w:p>
        </w:tc>
      </w:tr>
      <w:tr w:rsidR="004F75E8" w:rsidRPr="00513010" w14:paraId="4B9301B1" w14:textId="77777777" w:rsidTr="009F0283">
        <w:tc>
          <w:tcPr>
            <w:tcW w:w="1270" w:type="dxa"/>
            <w:vMerge/>
          </w:tcPr>
          <w:p w14:paraId="33EA8D87" w14:textId="77777777" w:rsidR="004F75E8" w:rsidRDefault="004F75E8" w:rsidP="003042DF"/>
        </w:tc>
        <w:tc>
          <w:tcPr>
            <w:tcW w:w="6306" w:type="dxa"/>
          </w:tcPr>
          <w:p w14:paraId="48444AE2" w14:textId="7C24A32E" w:rsidR="004F75E8" w:rsidRPr="00757586" w:rsidRDefault="004F75E8" w:rsidP="00636A11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eastAsia="Times New Roman"/>
              </w:rPr>
            </w:pPr>
            <w:r w:rsidRPr="00757586">
              <w:rPr>
                <w:rFonts w:eastAsia="Times New Roman"/>
              </w:rPr>
              <w:t>The significance of sustainable ocean governance for blue economy</w:t>
            </w:r>
          </w:p>
        </w:tc>
        <w:tc>
          <w:tcPr>
            <w:tcW w:w="1213" w:type="dxa"/>
          </w:tcPr>
          <w:p w14:paraId="7EF9ADF1" w14:textId="77777777" w:rsidR="004F75E8" w:rsidRPr="00636A11" w:rsidRDefault="004F75E8" w:rsidP="00636A11">
            <w:pPr>
              <w:ind w:left="360"/>
              <w:rPr>
                <w:rFonts w:eastAsia="Times New Roman"/>
              </w:rPr>
            </w:pPr>
          </w:p>
        </w:tc>
      </w:tr>
      <w:tr w:rsidR="004F75E8" w:rsidRPr="00513010" w14:paraId="4EE88B12" w14:textId="77777777" w:rsidTr="009F0283">
        <w:tc>
          <w:tcPr>
            <w:tcW w:w="1270" w:type="dxa"/>
            <w:vMerge/>
          </w:tcPr>
          <w:p w14:paraId="315173A5" w14:textId="77777777" w:rsidR="004F75E8" w:rsidRDefault="004F75E8" w:rsidP="003042DF"/>
        </w:tc>
        <w:tc>
          <w:tcPr>
            <w:tcW w:w="6306" w:type="dxa"/>
          </w:tcPr>
          <w:p w14:paraId="1CCE4F05" w14:textId="6B70E28A" w:rsidR="004F75E8" w:rsidRPr="00757586" w:rsidRDefault="004F75E8" w:rsidP="00636A11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eastAsia="Times New Roman"/>
              </w:rPr>
            </w:pPr>
            <w:r w:rsidRPr="00757586">
              <w:rPr>
                <w:rFonts w:eastAsia="Times New Roman"/>
              </w:rPr>
              <w:t>Sustainable shipping and port system in the Asia Pacific</w:t>
            </w:r>
          </w:p>
        </w:tc>
        <w:tc>
          <w:tcPr>
            <w:tcW w:w="1213" w:type="dxa"/>
          </w:tcPr>
          <w:p w14:paraId="31BA30A2" w14:textId="77777777" w:rsidR="004F75E8" w:rsidRPr="00636A11" w:rsidRDefault="004F75E8" w:rsidP="00636A11">
            <w:pPr>
              <w:ind w:left="360"/>
              <w:rPr>
                <w:rFonts w:eastAsia="Times New Roman"/>
              </w:rPr>
            </w:pPr>
          </w:p>
        </w:tc>
      </w:tr>
      <w:tr w:rsidR="004F75E8" w:rsidRPr="00513010" w14:paraId="1808D2C3" w14:textId="77777777" w:rsidTr="009F0283">
        <w:tc>
          <w:tcPr>
            <w:tcW w:w="1270" w:type="dxa"/>
            <w:vMerge/>
          </w:tcPr>
          <w:p w14:paraId="29EB84A9" w14:textId="77777777" w:rsidR="004F75E8" w:rsidRDefault="004F75E8" w:rsidP="003042DF"/>
        </w:tc>
        <w:tc>
          <w:tcPr>
            <w:tcW w:w="6306" w:type="dxa"/>
          </w:tcPr>
          <w:p w14:paraId="4B4D17CB" w14:textId="62FC6D77" w:rsidR="004F75E8" w:rsidRPr="00757586" w:rsidRDefault="004F75E8" w:rsidP="00636A11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eastAsia="Times New Roman"/>
              </w:rPr>
            </w:pPr>
            <w:r w:rsidRPr="00757586">
              <w:rPr>
                <w:rFonts w:eastAsia="Times New Roman"/>
              </w:rPr>
              <w:t>COVID 19 and application of the law of the sea</w:t>
            </w:r>
          </w:p>
        </w:tc>
        <w:tc>
          <w:tcPr>
            <w:tcW w:w="1213" w:type="dxa"/>
          </w:tcPr>
          <w:p w14:paraId="67969CC3" w14:textId="77777777" w:rsidR="004F75E8" w:rsidRPr="00636A11" w:rsidRDefault="004F75E8" w:rsidP="00636A11">
            <w:pPr>
              <w:ind w:left="360"/>
              <w:rPr>
                <w:rFonts w:eastAsia="Times New Roman"/>
              </w:rPr>
            </w:pPr>
          </w:p>
        </w:tc>
      </w:tr>
      <w:tr w:rsidR="004F75E8" w:rsidRPr="00513010" w14:paraId="2425B9E5" w14:textId="2860C337" w:rsidTr="009F0283">
        <w:tc>
          <w:tcPr>
            <w:tcW w:w="1270" w:type="dxa"/>
            <w:vMerge w:val="restart"/>
          </w:tcPr>
          <w:p w14:paraId="57ED73D8" w14:textId="77777777" w:rsidR="004F75E8" w:rsidRPr="00513010" w:rsidRDefault="006A51C6" w:rsidP="003042DF">
            <w:hyperlink r:id="rId23" w:history="1">
              <w:r w:rsidR="004F75E8" w:rsidRPr="00513010">
                <w:rPr>
                  <w:rStyle w:val="Hyperlink"/>
                </w:rPr>
                <w:t>Professor Michael Head</w:t>
              </w:r>
            </w:hyperlink>
          </w:p>
        </w:tc>
        <w:tc>
          <w:tcPr>
            <w:tcW w:w="6306" w:type="dxa"/>
          </w:tcPr>
          <w:p w14:paraId="5442DD04" w14:textId="126C67B6" w:rsidR="004F75E8" w:rsidRPr="00695CA4" w:rsidRDefault="004F75E8" w:rsidP="00695CA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eastAsia="Times New Roman"/>
                <w:color w:val="000000"/>
              </w:rPr>
            </w:pPr>
            <w:r w:rsidRPr="00513010">
              <w:rPr>
                <w:rFonts w:eastAsia="Times New Roman"/>
                <w:color w:val="000000"/>
              </w:rPr>
              <w:t>The right to protest/anti-protest laws</w:t>
            </w:r>
          </w:p>
        </w:tc>
        <w:tc>
          <w:tcPr>
            <w:tcW w:w="1213" w:type="dxa"/>
          </w:tcPr>
          <w:p w14:paraId="232DCEC1" w14:textId="77777777" w:rsidR="004F75E8" w:rsidRPr="00636A11" w:rsidRDefault="004F75E8" w:rsidP="00636A11">
            <w:pPr>
              <w:ind w:left="360"/>
              <w:rPr>
                <w:rFonts w:eastAsia="Times New Roman"/>
                <w:color w:val="000000"/>
              </w:rPr>
            </w:pPr>
          </w:p>
        </w:tc>
      </w:tr>
      <w:tr w:rsidR="004F75E8" w:rsidRPr="00513010" w14:paraId="357B583C" w14:textId="77777777" w:rsidTr="009F0283">
        <w:tc>
          <w:tcPr>
            <w:tcW w:w="1270" w:type="dxa"/>
            <w:vMerge/>
          </w:tcPr>
          <w:p w14:paraId="1E58CBAD" w14:textId="77777777" w:rsidR="004F75E8" w:rsidRDefault="004F75E8" w:rsidP="003042DF"/>
        </w:tc>
        <w:tc>
          <w:tcPr>
            <w:tcW w:w="6306" w:type="dxa"/>
          </w:tcPr>
          <w:p w14:paraId="4F8A676A" w14:textId="67E5E9E9" w:rsidR="004F75E8" w:rsidRPr="00695CA4" w:rsidRDefault="004F75E8" w:rsidP="00695CA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eastAsia="Times New Roman"/>
                <w:color w:val="000000"/>
              </w:rPr>
            </w:pPr>
            <w:r w:rsidRPr="00513010">
              <w:rPr>
                <w:rFonts w:eastAsia="Times New Roman"/>
                <w:color w:val="000000"/>
              </w:rPr>
              <w:t>Domestic deployment of the military</w:t>
            </w:r>
          </w:p>
        </w:tc>
        <w:tc>
          <w:tcPr>
            <w:tcW w:w="1213" w:type="dxa"/>
          </w:tcPr>
          <w:p w14:paraId="0BAE36DC" w14:textId="77777777" w:rsidR="004F75E8" w:rsidRPr="00636A11" w:rsidRDefault="004F75E8" w:rsidP="00636A11">
            <w:pPr>
              <w:ind w:left="360"/>
              <w:rPr>
                <w:rFonts w:eastAsia="Times New Roman"/>
                <w:color w:val="000000"/>
              </w:rPr>
            </w:pPr>
          </w:p>
        </w:tc>
      </w:tr>
      <w:tr w:rsidR="004F75E8" w:rsidRPr="00513010" w14:paraId="3EF77814" w14:textId="77777777" w:rsidTr="009F0283">
        <w:tc>
          <w:tcPr>
            <w:tcW w:w="1270" w:type="dxa"/>
            <w:vMerge/>
          </w:tcPr>
          <w:p w14:paraId="0E3BD24E" w14:textId="77777777" w:rsidR="004F75E8" w:rsidRDefault="004F75E8" w:rsidP="003042DF"/>
        </w:tc>
        <w:tc>
          <w:tcPr>
            <w:tcW w:w="6306" w:type="dxa"/>
          </w:tcPr>
          <w:p w14:paraId="27FFB2AF" w14:textId="2149286D" w:rsidR="004F75E8" w:rsidRPr="00513010" w:rsidRDefault="004F75E8" w:rsidP="00636A11">
            <w:pPr>
              <w:pStyle w:val="ListParagraph"/>
              <w:numPr>
                <w:ilvl w:val="0"/>
                <w:numId w:val="8"/>
              </w:numPr>
              <w:ind w:left="360"/>
              <w:rPr>
                <w:rFonts w:eastAsia="Times New Roman"/>
                <w:color w:val="000000"/>
              </w:rPr>
            </w:pPr>
            <w:r w:rsidRPr="00513010">
              <w:rPr>
                <w:rFonts w:eastAsia="Times New Roman"/>
                <w:color w:val="000000"/>
              </w:rPr>
              <w:t>Emergency powers in light of the COVID-19 pandemic</w:t>
            </w:r>
          </w:p>
        </w:tc>
        <w:tc>
          <w:tcPr>
            <w:tcW w:w="1213" w:type="dxa"/>
          </w:tcPr>
          <w:p w14:paraId="1776ADD5" w14:textId="77777777" w:rsidR="004F75E8" w:rsidRPr="00636A11" w:rsidRDefault="004F75E8" w:rsidP="00636A11">
            <w:pPr>
              <w:ind w:left="360"/>
              <w:rPr>
                <w:rFonts w:eastAsia="Times New Roman"/>
                <w:color w:val="000000"/>
              </w:rPr>
            </w:pPr>
          </w:p>
        </w:tc>
      </w:tr>
      <w:tr w:rsidR="0014083A" w:rsidRPr="00513010" w14:paraId="70A41586" w14:textId="77777777" w:rsidTr="0014083A">
        <w:trPr>
          <w:trHeight w:val="268"/>
        </w:trPr>
        <w:tc>
          <w:tcPr>
            <w:tcW w:w="1270" w:type="dxa"/>
            <w:vMerge w:val="restart"/>
          </w:tcPr>
          <w:p w14:paraId="66078448" w14:textId="56936205" w:rsidR="0014083A" w:rsidRDefault="006A51C6" w:rsidP="003042DF">
            <w:hyperlink r:id="rId24" w:history="1">
              <w:r w:rsidR="0014083A" w:rsidRPr="004C213E">
                <w:rPr>
                  <w:rStyle w:val="Hyperlink"/>
                </w:rPr>
                <w:t>Dr Sarah Hook</w:t>
              </w:r>
            </w:hyperlink>
          </w:p>
        </w:tc>
        <w:tc>
          <w:tcPr>
            <w:tcW w:w="6306" w:type="dxa"/>
          </w:tcPr>
          <w:p w14:paraId="496AB897" w14:textId="43158305" w:rsidR="0014083A" w:rsidRPr="0014083A" w:rsidRDefault="0014083A" w:rsidP="004C213E">
            <w:pPr>
              <w:numPr>
                <w:ilvl w:val="0"/>
                <w:numId w:val="17"/>
              </w:numPr>
              <w:spacing w:before="100" w:beforeAutospacing="1"/>
              <w:ind w:left="357" w:hanging="357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Whether Australia should consider a right to be forgotten</w:t>
            </w:r>
          </w:p>
        </w:tc>
        <w:tc>
          <w:tcPr>
            <w:tcW w:w="1213" w:type="dxa"/>
          </w:tcPr>
          <w:p w14:paraId="1E384B0E" w14:textId="77777777" w:rsidR="0014083A" w:rsidRPr="00636A11" w:rsidRDefault="0014083A" w:rsidP="00636A11">
            <w:pPr>
              <w:ind w:left="360"/>
              <w:rPr>
                <w:rFonts w:eastAsia="Times New Roman"/>
                <w:color w:val="000000"/>
              </w:rPr>
            </w:pPr>
          </w:p>
        </w:tc>
      </w:tr>
      <w:tr w:rsidR="0014083A" w:rsidRPr="00513010" w14:paraId="47E5A1B8" w14:textId="77777777" w:rsidTr="0014083A">
        <w:trPr>
          <w:trHeight w:val="265"/>
        </w:trPr>
        <w:tc>
          <w:tcPr>
            <w:tcW w:w="1270" w:type="dxa"/>
            <w:vMerge/>
          </w:tcPr>
          <w:p w14:paraId="75E66AD4" w14:textId="77777777" w:rsidR="0014083A" w:rsidRDefault="0014083A" w:rsidP="003042DF"/>
        </w:tc>
        <w:tc>
          <w:tcPr>
            <w:tcW w:w="6306" w:type="dxa"/>
          </w:tcPr>
          <w:p w14:paraId="239D50D0" w14:textId="2AA91227" w:rsidR="0014083A" w:rsidRPr="0014083A" w:rsidRDefault="0014083A" w:rsidP="004F3F32">
            <w:pPr>
              <w:numPr>
                <w:ilvl w:val="0"/>
                <w:numId w:val="17"/>
              </w:numPr>
              <w:spacing w:before="100" w:beforeAutospacing="1"/>
              <w:ind w:left="357" w:hanging="357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Moral rights, copyright, and music in political campaigns</w:t>
            </w:r>
          </w:p>
        </w:tc>
        <w:tc>
          <w:tcPr>
            <w:tcW w:w="1213" w:type="dxa"/>
          </w:tcPr>
          <w:p w14:paraId="6531F089" w14:textId="77777777" w:rsidR="0014083A" w:rsidRPr="00636A11" w:rsidRDefault="0014083A" w:rsidP="00636A11">
            <w:pPr>
              <w:ind w:left="360"/>
              <w:rPr>
                <w:rFonts w:eastAsia="Times New Roman"/>
                <w:color w:val="000000"/>
              </w:rPr>
            </w:pPr>
          </w:p>
        </w:tc>
      </w:tr>
      <w:tr w:rsidR="0014083A" w:rsidRPr="00513010" w14:paraId="62EAD364" w14:textId="77777777" w:rsidTr="0014083A">
        <w:trPr>
          <w:trHeight w:val="265"/>
        </w:trPr>
        <w:tc>
          <w:tcPr>
            <w:tcW w:w="1270" w:type="dxa"/>
            <w:vMerge/>
          </w:tcPr>
          <w:p w14:paraId="4F79E38A" w14:textId="77777777" w:rsidR="0014083A" w:rsidRDefault="0014083A" w:rsidP="003042DF"/>
        </w:tc>
        <w:tc>
          <w:tcPr>
            <w:tcW w:w="6306" w:type="dxa"/>
          </w:tcPr>
          <w:p w14:paraId="121AFADB" w14:textId="72369978" w:rsidR="0014083A" w:rsidRPr="0014083A" w:rsidRDefault="0014083A" w:rsidP="004F3F32">
            <w:pPr>
              <w:numPr>
                <w:ilvl w:val="0"/>
                <w:numId w:val="17"/>
              </w:numPr>
              <w:spacing w:before="100" w:beforeAutospacing="1"/>
              <w:ind w:left="357" w:hanging="357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Fan fiction and fair use in copyright</w:t>
            </w:r>
          </w:p>
        </w:tc>
        <w:tc>
          <w:tcPr>
            <w:tcW w:w="1213" w:type="dxa"/>
          </w:tcPr>
          <w:p w14:paraId="30164F3E" w14:textId="77777777" w:rsidR="0014083A" w:rsidRPr="00636A11" w:rsidRDefault="0014083A" w:rsidP="00636A11">
            <w:pPr>
              <w:ind w:left="360"/>
              <w:rPr>
                <w:rFonts w:eastAsia="Times New Roman"/>
                <w:color w:val="000000"/>
              </w:rPr>
            </w:pPr>
          </w:p>
        </w:tc>
      </w:tr>
      <w:tr w:rsidR="0014083A" w:rsidRPr="00513010" w14:paraId="5187F611" w14:textId="77777777" w:rsidTr="0014083A">
        <w:trPr>
          <w:trHeight w:val="265"/>
        </w:trPr>
        <w:tc>
          <w:tcPr>
            <w:tcW w:w="1270" w:type="dxa"/>
            <w:vMerge/>
          </w:tcPr>
          <w:p w14:paraId="65BC834F" w14:textId="77777777" w:rsidR="0014083A" w:rsidRDefault="0014083A" w:rsidP="003042DF"/>
        </w:tc>
        <w:tc>
          <w:tcPr>
            <w:tcW w:w="6306" w:type="dxa"/>
          </w:tcPr>
          <w:p w14:paraId="0C0661B1" w14:textId="4F2320CF" w:rsidR="0014083A" w:rsidRDefault="0014083A" w:rsidP="004F3F32">
            <w:pPr>
              <w:numPr>
                <w:ilvl w:val="0"/>
                <w:numId w:val="17"/>
              </w:numPr>
              <w:spacing w:before="100" w:beforeAutospacing="1"/>
              <w:ind w:left="357" w:hanging="357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The right of publicity</w:t>
            </w:r>
          </w:p>
        </w:tc>
        <w:tc>
          <w:tcPr>
            <w:tcW w:w="1213" w:type="dxa"/>
          </w:tcPr>
          <w:p w14:paraId="6BDE7DAB" w14:textId="77777777" w:rsidR="0014083A" w:rsidRPr="00636A11" w:rsidRDefault="0014083A" w:rsidP="00636A11">
            <w:pPr>
              <w:ind w:left="360"/>
              <w:rPr>
                <w:rFonts w:eastAsia="Times New Roman"/>
                <w:color w:val="000000"/>
              </w:rPr>
            </w:pPr>
          </w:p>
        </w:tc>
      </w:tr>
      <w:tr w:rsidR="004F75E8" w:rsidRPr="00513010" w14:paraId="10DE56A1" w14:textId="2F617750" w:rsidTr="009F0283">
        <w:tc>
          <w:tcPr>
            <w:tcW w:w="1270" w:type="dxa"/>
            <w:vMerge w:val="restart"/>
          </w:tcPr>
          <w:p w14:paraId="3DA08643" w14:textId="77777777" w:rsidR="004F75E8" w:rsidRPr="00513010" w:rsidRDefault="006A51C6" w:rsidP="003042DF">
            <w:hyperlink r:id="rId25" w:history="1">
              <w:r w:rsidR="004F75E8" w:rsidRPr="00697C99">
                <w:rPr>
                  <w:rStyle w:val="Hyperlink"/>
                </w:rPr>
                <w:t>Ms Sandy Noakes</w:t>
              </w:r>
            </w:hyperlink>
          </w:p>
        </w:tc>
        <w:tc>
          <w:tcPr>
            <w:tcW w:w="6306" w:type="dxa"/>
          </w:tcPr>
          <w:p w14:paraId="03C3FD70" w14:textId="29D0773A" w:rsidR="004F75E8" w:rsidRPr="00695CA4" w:rsidRDefault="004F75E8" w:rsidP="000C078A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eastAsia="Times New Roman"/>
                <w:color w:val="000000"/>
              </w:rPr>
            </w:pPr>
            <w:r w:rsidRPr="006F12A7">
              <w:rPr>
                <w:rFonts w:eastAsia="Times New Roman"/>
                <w:color w:val="000000"/>
              </w:rPr>
              <w:t>Law relating to intersections between employees</w:t>
            </w:r>
            <w:r>
              <w:rPr>
                <w:rFonts w:eastAsia="Times New Roman"/>
                <w:color w:val="000000"/>
              </w:rPr>
              <w:t>’</w:t>
            </w:r>
            <w:r w:rsidRPr="006F12A7">
              <w:rPr>
                <w:rFonts w:eastAsia="Times New Roman"/>
                <w:color w:val="000000"/>
              </w:rPr>
              <w:t xml:space="preserve"> work and personal lives</w:t>
            </w:r>
          </w:p>
        </w:tc>
        <w:tc>
          <w:tcPr>
            <w:tcW w:w="1213" w:type="dxa"/>
          </w:tcPr>
          <w:p w14:paraId="492B108D" w14:textId="77777777" w:rsidR="004F75E8" w:rsidRPr="00636A11" w:rsidRDefault="004F75E8" w:rsidP="00636A11">
            <w:pPr>
              <w:ind w:left="360"/>
              <w:rPr>
                <w:rFonts w:eastAsia="Times New Roman"/>
                <w:color w:val="000000"/>
              </w:rPr>
            </w:pPr>
          </w:p>
        </w:tc>
      </w:tr>
      <w:tr w:rsidR="004F75E8" w:rsidRPr="00513010" w14:paraId="4062C22F" w14:textId="77777777" w:rsidTr="009F0283">
        <w:tc>
          <w:tcPr>
            <w:tcW w:w="1270" w:type="dxa"/>
            <w:vMerge/>
          </w:tcPr>
          <w:p w14:paraId="4433A0B7" w14:textId="77777777" w:rsidR="004F75E8" w:rsidRDefault="004F75E8" w:rsidP="003042DF"/>
        </w:tc>
        <w:tc>
          <w:tcPr>
            <w:tcW w:w="6306" w:type="dxa"/>
          </w:tcPr>
          <w:p w14:paraId="0BA96C8B" w14:textId="0F8AD96D" w:rsidR="004F75E8" w:rsidRPr="00695CA4" w:rsidRDefault="004F75E8" w:rsidP="000C078A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eastAsia="Times New Roman"/>
                <w:color w:val="000000"/>
              </w:rPr>
            </w:pPr>
            <w:r w:rsidRPr="006F12A7">
              <w:rPr>
                <w:rFonts w:eastAsia="Times New Roman"/>
                <w:color w:val="000000"/>
              </w:rPr>
              <w:t>Employer surveillance of employees</w:t>
            </w:r>
          </w:p>
        </w:tc>
        <w:tc>
          <w:tcPr>
            <w:tcW w:w="1213" w:type="dxa"/>
          </w:tcPr>
          <w:p w14:paraId="7DB5BEB9" w14:textId="77777777" w:rsidR="004F75E8" w:rsidRPr="00636A11" w:rsidRDefault="004F75E8" w:rsidP="00636A11">
            <w:pPr>
              <w:ind w:left="360"/>
              <w:rPr>
                <w:rFonts w:eastAsia="Times New Roman"/>
                <w:color w:val="000000"/>
              </w:rPr>
            </w:pPr>
          </w:p>
        </w:tc>
      </w:tr>
      <w:tr w:rsidR="004F75E8" w:rsidRPr="00513010" w14:paraId="1745B344" w14:textId="77777777" w:rsidTr="009F0283">
        <w:tc>
          <w:tcPr>
            <w:tcW w:w="1270" w:type="dxa"/>
            <w:vMerge/>
          </w:tcPr>
          <w:p w14:paraId="6BDF836A" w14:textId="77777777" w:rsidR="004F75E8" w:rsidRDefault="004F75E8" w:rsidP="003042DF"/>
        </w:tc>
        <w:tc>
          <w:tcPr>
            <w:tcW w:w="6306" w:type="dxa"/>
          </w:tcPr>
          <w:p w14:paraId="78C15870" w14:textId="051C5B08" w:rsidR="004F75E8" w:rsidRPr="006F12A7" w:rsidRDefault="004F75E8" w:rsidP="000C078A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eastAsia="Times New Roman"/>
                <w:color w:val="000000"/>
              </w:rPr>
            </w:pPr>
            <w:r w:rsidRPr="006F12A7">
              <w:rPr>
                <w:rFonts w:eastAsia="Times New Roman"/>
                <w:color w:val="000000"/>
              </w:rPr>
              <w:t>Workplace health and safety (WHS) law reform</w:t>
            </w:r>
          </w:p>
        </w:tc>
        <w:tc>
          <w:tcPr>
            <w:tcW w:w="1213" w:type="dxa"/>
          </w:tcPr>
          <w:p w14:paraId="2C6AC649" w14:textId="77777777" w:rsidR="004F75E8" w:rsidRPr="00636A11" w:rsidRDefault="004F75E8" w:rsidP="00636A11">
            <w:pPr>
              <w:ind w:left="360"/>
              <w:rPr>
                <w:rFonts w:eastAsia="Times New Roman"/>
                <w:color w:val="000000"/>
              </w:rPr>
            </w:pPr>
          </w:p>
        </w:tc>
      </w:tr>
      <w:tr w:rsidR="004F75E8" w:rsidRPr="00513010" w14:paraId="7F54CFC6" w14:textId="1426DEEC" w:rsidTr="009F0283">
        <w:tc>
          <w:tcPr>
            <w:tcW w:w="1270" w:type="dxa"/>
            <w:vMerge w:val="restart"/>
          </w:tcPr>
          <w:p w14:paraId="001BBE11" w14:textId="77777777" w:rsidR="004F75E8" w:rsidRPr="00513010" w:rsidRDefault="006A51C6" w:rsidP="003042DF">
            <w:hyperlink r:id="rId26" w:history="1">
              <w:r w:rsidR="004F75E8" w:rsidRPr="00513010">
                <w:rPr>
                  <w:rStyle w:val="Hyperlink"/>
                </w:rPr>
                <w:t>Dr Ludmilla (Lucy) Robinson</w:t>
              </w:r>
            </w:hyperlink>
          </w:p>
        </w:tc>
        <w:tc>
          <w:tcPr>
            <w:tcW w:w="6306" w:type="dxa"/>
          </w:tcPr>
          <w:p w14:paraId="46FD528D" w14:textId="1875784F" w:rsidR="004F75E8" w:rsidRPr="00695CA4" w:rsidRDefault="004F75E8" w:rsidP="00695CA4">
            <w:pPr>
              <w:pStyle w:val="ListParagraph"/>
              <w:numPr>
                <w:ilvl w:val="0"/>
                <w:numId w:val="9"/>
              </w:numPr>
              <w:ind w:left="360"/>
              <w:rPr>
                <w:rFonts w:eastAsia="Times New Roman"/>
                <w:color w:val="000000"/>
              </w:rPr>
            </w:pPr>
            <w:r w:rsidRPr="00513010">
              <w:rPr>
                <w:rFonts w:eastAsia="Times New Roman"/>
                <w:color w:val="000000"/>
              </w:rPr>
              <w:t>Is equity male-centric?</w:t>
            </w:r>
          </w:p>
        </w:tc>
        <w:tc>
          <w:tcPr>
            <w:tcW w:w="1213" w:type="dxa"/>
          </w:tcPr>
          <w:p w14:paraId="3242B437" w14:textId="77777777" w:rsidR="004F75E8" w:rsidRPr="00636A11" w:rsidRDefault="004F75E8" w:rsidP="00636A11">
            <w:pPr>
              <w:ind w:left="360"/>
              <w:rPr>
                <w:rFonts w:eastAsia="Times New Roman"/>
                <w:color w:val="000000"/>
              </w:rPr>
            </w:pPr>
          </w:p>
        </w:tc>
      </w:tr>
      <w:tr w:rsidR="004F75E8" w:rsidRPr="00513010" w14:paraId="1B09E63A" w14:textId="77777777" w:rsidTr="009F0283">
        <w:tc>
          <w:tcPr>
            <w:tcW w:w="1270" w:type="dxa"/>
            <w:vMerge/>
          </w:tcPr>
          <w:p w14:paraId="61AFA5A9" w14:textId="77777777" w:rsidR="004F75E8" w:rsidRDefault="004F75E8" w:rsidP="003042DF"/>
        </w:tc>
        <w:tc>
          <w:tcPr>
            <w:tcW w:w="6306" w:type="dxa"/>
          </w:tcPr>
          <w:p w14:paraId="2A732D25" w14:textId="0EED913A" w:rsidR="004F75E8" w:rsidRPr="00695CA4" w:rsidRDefault="006A51C6" w:rsidP="00695CA4">
            <w:pPr>
              <w:pStyle w:val="ListParagraph"/>
              <w:numPr>
                <w:ilvl w:val="0"/>
                <w:numId w:val="9"/>
              </w:numPr>
              <w:ind w:left="360"/>
              <w:rPr>
                <w:rFonts w:eastAsia="Times New Roman"/>
                <w:color w:val="000000"/>
              </w:rPr>
            </w:pPr>
            <w:hyperlink r:id="rId27" w:history="1">
              <w:proofErr w:type="spellStart"/>
              <w:r w:rsidR="004F75E8" w:rsidRPr="00513010">
                <w:rPr>
                  <w:rStyle w:val="Hyperlink"/>
                  <w:rFonts w:eastAsia="Times New Roman"/>
                </w:rPr>
                <w:t>Quistclose</w:t>
              </w:r>
              <w:proofErr w:type="spellEnd"/>
              <w:r w:rsidR="004F75E8" w:rsidRPr="00513010">
                <w:rPr>
                  <w:rStyle w:val="Hyperlink"/>
                  <w:rFonts w:eastAsia="Times New Roman"/>
                </w:rPr>
                <w:t xml:space="preserve"> trusts</w:t>
              </w:r>
            </w:hyperlink>
            <w:r w:rsidR="004F75E8" w:rsidRPr="00513010">
              <w:rPr>
                <w:rFonts w:eastAsia="Times New Roman"/>
                <w:color w:val="000000"/>
              </w:rPr>
              <w:t xml:space="preserve"> and bailed-in depositor accounts with banks</w:t>
            </w:r>
          </w:p>
        </w:tc>
        <w:tc>
          <w:tcPr>
            <w:tcW w:w="1213" w:type="dxa"/>
          </w:tcPr>
          <w:p w14:paraId="1F97BBBC" w14:textId="77777777" w:rsidR="004F75E8" w:rsidRPr="00636A11" w:rsidRDefault="004F75E8" w:rsidP="00636A11">
            <w:pPr>
              <w:ind w:left="360"/>
              <w:rPr>
                <w:rFonts w:eastAsia="Times New Roman"/>
                <w:color w:val="000000"/>
              </w:rPr>
            </w:pPr>
          </w:p>
        </w:tc>
      </w:tr>
      <w:tr w:rsidR="004F75E8" w:rsidRPr="00513010" w14:paraId="24A3F7FB" w14:textId="77777777" w:rsidTr="009F0283">
        <w:tc>
          <w:tcPr>
            <w:tcW w:w="1270" w:type="dxa"/>
            <w:vMerge/>
          </w:tcPr>
          <w:p w14:paraId="280FE3C1" w14:textId="77777777" w:rsidR="004F75E8" w:rsidRDefault="004F75E8" w:rsidP="003042DF"/>
        </w:tc>
        <w:tc>
          <w:tcPr>
            <w:tcW w:w="6306" w:type="dxa"/>
          </w:tcPr>
          <w:p w14:paraId="04A133E4" w14:textId="40EAFDDE" w:rsidR="004F75E8" w:rsidRPr="00695CA4" w:rsidRDefault="004F75E8" w:rsidP="00695CA4">
            <w:pPr>
              <w:pStyle w:val="ListParagraph"/>
              <w:numPr>
                <w:ilvl w:val="0"/>
                <w:numId w:val="9"/>
              </w:numPr>
              <w:ind w:left="360"/>
              <w:rPr>
                <w:rFonts w:eastAsia="Times New Roman"/>
                <w:color w:val="000000"/>
              </w:rPr>
            </w:pPr>
            <w:r w:rsidRPr="00513010">
              <w:rPr>
                <w:rFonts w:eastAsia="Times New Roman"/>
                <w:color w:val="000000"/>
              </w:rPr>
              <w:t>Adverse event clauses in consumer loan contracts</w:t>
            </w:r>
          </w:p>
        </w:tc>
        <w:tc>
          <w:tcPr>
            <w:tcW w:w="1213" w:type="dxa"/>
          </w:tcPr>
          <w:p w14:paraId="375074F7" w14:textId="77777777" w:rsidR="004F75E8" w:rsidRPr="00636A11" w:rsidRDefault="004F75E8" w:rsidP="00636A11">
            <w:pPr>
              <w:ind w:left="360"/>
              <w:rPr>
                <w:rFonts w:eastAsia="Times New Roman"/>
                <w:color w:val="000000"/>
              </w:rPr>
            </w:pPr>
          </w:p>
        </w:tc>
      </w:tr>
      <w:tr w:rsidR="004F75E8" w:rsidRPr="00513010" w14:paraId="02F8BB0A" w14:textId="77777777" w:rsidTr="009F0283">
        <w:tc>
          <w:tcPr>
            <w:tcW w:w="1270" w:type="dxa"/>
            <w:vMerge/>
          </w:tcPr>
          <w:p w14:paraId="69BCD0DF" w14:textId="77777777" w:rsidR="004F75E8" w:rsidRDefault="004F75E8" w:rsidP="003042DF"/>
        </w:tc>
        <w:tc>
          <w:tcPr>
            <w:tcW w:w="6306" w:type="dxa"/>
          </w:tcPr>
          <w:p w14:paraId="0BA5F0F4" w14:textId="23D9CFAD" w:rsidR="004F75E8" w:rsidRPr="00513010" w:rsidRDefault="004F75E8" w:rsidP="00636A1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eastAsia="Times New Roman"/>
                <w:color w:val="000000"/>
              </w:rPr>
            </w:pPr>
            <w:r w:rsidRPr="00513010">
              <w:rPr>
                <w:rFonts w:eastAsia="Times New Roman"/>
                <w:color w:val="000000"/>
              </w:rPr>
              <w:t>Unit trusts: the rights of unit holders compared to the rights of ordinary beneficiaries</w:t>
            </w:r>
          </w:p>
        </w:tc>
        <w:tc>
          <w:tcPr>
            <w:tcW w:w="1213" w:type="dxa"/>
          </w:tcPr>
          <w:p w14:paraId="7819705E" w14:textId="77777777" w:rsidR="004F75E8" w:rsidRPr="00636A11" w:rsidRDefault="004F75E8" w:rsidP="00636A11">
            <w:pPr>
              <w:ind w:left="360"/>
              <w:rPr>
                <w:rFonts w:eastAsia="Times New Roman"/>
                <w:color w:val="000000"/>
              </w:rPr>
            </w:pPr>
          </w:p>
        </w:tc>
      </w:tr>
      <w:tr w:rsidR="000E257C" w:rsidRPr="00513010" w14:paraId="63203E88" w14:textId="44086976" w:rsidTr="009F0283">
        <w:tc>
          <w:tcPr>
            <w:tcW w:w="1270" w:type="dxa"/>
            <w:vMerge w:val="restart"/>
          </w:tcPr>
          <w:p w14:paraId="55253CE0" w14:textId="77777777" w:rsidR="000E257C" w:rsidRPr="00513010" w:rsidRDefault="006A51C6" w:rsidP="003042DF">
            <w:hyperlink r:id="rId28" w:history="1">
              <w:r w:rsidR="000E257C" w:rsidRPr="00881D58">
                <w:rPr>
                  <w:rStyle w:val="Hyperlink"/>
                </w:rPr>
                <w:t>Associate Professor June Wang</w:t>
              </w:r>
            </w:hyperlink>
          </w:p>
        </w:tc>
        <w:tc>
          <w:tcPr>
            <w:tcW w:w="6306" w:type="dxa"/>
          </w:tcPr>
          <w:p w14:paraId="7BF43849" w14:textId="3B1D6F3E" w:rsidR="000E257C" w:rsidRPr="00695CA4" w:rsidRDefault="000E257C" w:rsidP="00695CA4">
            <w:pPr>
              <w:pStyle w:val="ListParagraph"/>
              <w:numPr>
                <w:ilvl w:val="0"/>
                <w:numId w:val="14"/>
              </w:numPr>
              <w:spacing w:line="252" w:lineRule="auto"/>
              <w:ind w:left="3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8131F">
              <w:rPr>
                <w:rFonts w:eastAsia="Times New Roman" w:cstheme="minorHAnsi"/>
              </w:rPr>
              <w:t xml:space="preserve">COVID-19 &amp; </w:t>
            </w:r>
            <w:r>
              <w:rPr>
                <w:rFonts w:eastAsia="Times New Roman" w:cstheme="minorHAnsi"/>
              </w:rPr>
              <w:t xml:space="preserve">the </w:t>
            </w:r>
            <w:r w:rsidRPr="00F8131F">
              <w:rPr>
                <w:rFonts w:eastAsia="Times New Roman" w:cstheme="minorHAnsi"/>
              </w:rPr>
              <w:t>international economic order (with focus on Australia, China, USA, ASEAN or WTO)</w:t>
            </w:r>
          </w:p>
        </w:tc>
        <w:tc>
          <w:tcPr>
            <w:tcW w:w="1213" w:type="dxa"/>
          </w:tcPr>
          <w:p w14:paraId="11C2B8A6" w14:textId="77777777" w:rsidR="000E257C" w:rsidRPr="00636A11" w:rsidRDefault="000E257C" w:rsidP="00636A11">
            <w:pPr>
              <w:spacing w:line="252" w:lineRule="auto"/>
              <w:ind w:left="360"/>
              <w:rPr>
                <w:rFonts w:eastAsia="Times New Roman" w:cstheme="minorHAnsi"/>
              </w:rPr>
            </w:pPr>
          </w:p>
        </w:tc>
      </w:tr>
      <w:tr w:rsidR="000E257C" w:rsidRPr="00513010" w14:paraId="41CD71F0" w14:textId="77777777" w:rsidTr="009F0283">
        <w:tc>
          <w:tcPr>
            <w:tcW w:w="1270" w:type="dxa"/>
            <w:vMerge/>
          </w:tcPr>
          <w:p w14:paraId="42E00D0B" w14:textId="77777777" w:rsidR="000E257C" w:rsidRDefault="000E257C" w:rsidP="003042DF"/>
        </w:tc>
        <w:tc>
          <w:tcPr>
            <w:tcW w:w="6306" w:type="dxa"/>
          </w:tcPr>
          <w:p w14:paraId="286127AE" w14:textId="20B28ABD" w:rsidR="000E257C" w:rsidRPr="00F8131F" w:rsidRDefault="000E257C" w:rsidP="00636A11">
            <w:pPr>
              <w:pStyle w:val="ListParagraph"/>
              <w:numPr>
                <w:ilvl w:val="0"/>
                <w:numId w:val="14"/>
              </w:numPr>
              <w:spacing w:line="252" w:lineRule="auto"/>
              <w:ind w:left="360"/>
              <w:rPr>
                <w:rFonts w:eastAsia="Times New Roman" w:cstheme="minorHAnsi"/>
              </w:rPr>
            </w:pPr>
            <w:r w:rsidRPr="00F8131F">
              <w:rPr>
                <w:rFonts w:eastAsia="Times New Roman" w:cstheme="minorHAnsi"/>
              </w:rPr>
              <w:t>Regulating Cryptocurrencies</w:t>
            </w:r>
          </w:p>
        </w:tc>
        <w:tc>
          <w:tcPr>
            <w:tcW w:w="1213" w:type="dxa"/>
          </w:tcPr>
          <w:p w14:paraId="323BF908" w14:textId="77777777" w:rsidR="000E257C" w:rsidRPr="00636A11" w:rsidRDefault="000E257C" w:rsidP="00636A11">
            <w:pPr>
              <w:spacing w:line="252" w:lineRule="auto"/>
              <w:ind w:left="360"/>
              <w:rPr>
                <w:rFonts w:eastAsia="Times New Roman" w:cstheme="minorHAnsi"/>
              </w:rPr>
            </w:pPr>
          </w:p>
        </w:tc>
      </w:tr>
      <w:tr w:rsidR="000E257C" w:rsidRPr="00513010" w14:paraId="3644646A" w14:textId="7632778B" w:rsidTr="009F0283">
        <w:tc>
          <w:tcPr>
            <w:tcW w:w="7576" w:type="dxa"/>
            <w:gridSpan w:val="2"/>
          </w:tcPr>
          <w:p w14:paraId="096657D6" w14:textId="205D1A41" w:rsidR="000E257C" w:rsidRPr="00636A11" w:rsidRDefault="000E257C" w:rsidP="000E257C">
            <w:pPr>
              <w:spacing w:line="252" w:lineRule="auto"/>
              <w:ind w:left="144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Student-defined topic</w:t>
            </w:r>
            <w:r>
              <w:rPr>
                <w:rFonts w:eastAsia="Times New Roman" w:cstheme="minorHAnsi"/>
              </w:rPr>
              <w:br/>
            </w:r>
            <w:r w:rsidRPr="004F75E8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If you nominate this option, </w:t>
            </w:r>
            <w:r w:rsidRPr="004F75E8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please complete Part C </w:t>
            </w:r>
            <w:r w:rsidRPr="004F75E8">
              <w:rPr>
                <w:rFonts w:eastAsia="Times New Roman" w:cstheme="minorHAnsi"/>
                <w:i/>
                <w:iCs/>
                <w:sz w:val="20"/>
                <w:szCs w:val="20"/>
              </w:rPr>
              <w:t>of the form</w:t>
            </w:r>
          </w:p>
        </w:tc>
        <w:tc>
          <w:tcPr>
            <w:tcW w:w="1213" w:type="dxa"/>
          </w:tcPr>
          <w:p w14:paraId="0920F507" w14:textId="77777777" w:rsidR="000E257C" w:rsidRPr="00636A11" w:rsidRDefault="000E257C" w:rsidP="00636A11">
            <w:pPr>
              <w:spacing w:line="252" w:lineRule="auto"/>
              <w:ind w:left="360"/>
              <w:rPr>
                <w:rFonts w:eastAsia="Times New Roman" w:cstheme="minorHAnsi"/>
              </w:rPr>
            </w:pPr>
          </w:p>
        </w:tc>
      </w:tr>
    </w:tbl>
    <w:p w14:paraId="32A3DB61" w14:textId="6FEC267D" w:rsidR="00695CA4" w:rsidRDefault="00695CA4" w:rsidP="005208E6">
      <w:pPr>
        <w:pStyle w:val="Heading1"/>
      </w:pPr>
      <w:r>
        <w:t>Part B</w:t>
      </w:r>
      <w:r w:rsidR="004D49C0">
        <w:t xml:space="preserve">: Demonstration of </w:t>
      </w:r>
      <w:r w:rsidR="009F05EE">
        <w:t>I</w:t>
      </w:r>
      <w:r w:rsidR="004D49C0">
        <w:t>nterest/</w:t>
      </w:r>
      <w:r w:rsidR="009F05EE">
        <w:t>E</w:t>
      </w:r>
      <w:r w:rsidR="004D49C0">
        <w:t>xpertise (if any)</w:t>
      </w:r>
    </w:p>
    <w:p w14:paraId="259E2573" w14:textId="244F7DC7" w:rsidR="00695CA4" w:rsidRPr="004F75E8" w:rsidRDefault="004F75E8" w:rsidP="00695CA4">
      <w:pPr>
        <w:rPr>
          <w:sz w:val="20"/>
          <w:szCs w:val="20"/>
        </w:rPr>
      </w:pPr>
      <w:r w:rsidRPr="004F75E8">
        <w:rPr>
          <w:i/>
          <w:iCs/>
          <w:sz w:val="20"/>
          <w:szCs w:val="20"/>
        </w:rPr>
        <w:t xml:space="preserve">Please insert here any information to demonstrate your existing interest/expertise in any of the staff-defined topics </w:t>
      </w:r>
      <w:r w:rsidR="00B718B4">
        <w:rPr>
          <w:i/>
          <w:iCs/>
          <w:sz w:val="20"/>
          <w:szCs w:val="20"/>
        </w:rPr>
        <w:t xml:space="preserve">you have </w:t>
      </w:r>
      <w:r w:rsidRPr="004F75E8">
        <w:rPr>
          <w:i/>
          <w:iCs/>
          <w:sz w:val="20"/>
          <w:szCs w:val="20"/>
        </w:rPr>
        <w:t>nominated above.</w:t>
      </w:r>
      <w:r w:rsidR="004D49C0">
        <w:rPr>
          <w:i/>
          <w:iCs/>
          <w:sz w:val="20"/>
          <w:szCs w:val="20"/>
        </w:rPr>
        <w:t xml:space="preserve"> This information will be used in selecting students for topics where more than one has expressed an interest. Maximum 500 words total.</w:t>
      </w:r>
    </w:p>
    <w:p w14:paraId="4C7F1D2E" w14:textId="438F570F" w:rsidR="004F75E8" w:rsidRDefault="004F75E8" w:rsidP="00695CA4"/>
    <w:p w14:paraId="6D0BC31F" w14:textId="774972F2" w:rsidR="004F75E8" w:rsidRDefault="004F75E8" w:rsidP="00695CA4"/>
    <w:p w14:paraId="57CBA353" w14:textId="3A459945" w:rsidR="004F75E8" w:rsidRDefault="004F75E8" w:rsidP="00695CA4"/>
    <w:p w14:paraId="26D68B24" w14:textId="54DA219D" w:rsidR="004F75E8" w:rsidRPr="004F75E8" w:rsidRDefault="004F75E8" w:rsidP="004F75E8">
      <w:pPr>
        <w:pStyle w:val="Heading2"/>
        <w:tabs>
          <w:tab w:val="right" w:leader="dot" w:pos="4253"/>
        </w:tabs>
      </w:pPr>
      <w:r>
        <w:t>Final word count:</w:t>
      </w:r>
      <w:r w:rsidR="000E257C">
        <w:t xml:space="preserve"> </w:t>
      </w:r>
      <w:r>
        <w:tab/>
      </w:r>
    </w:p>
    <w:p w14:paraId="215BE55C" w14:textId="77777777" w:rsidR="00695CA4" w:rsidRDefault="00695CA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A81ADB0" w14:textId="0739CA4E" w:rsidR="00636A11" w:rsidRDefault="00636A11" w:rsidP="004F75E8">
      <w:pPr>
        <w:pStyle w:val="Heading1"/>
        <w:pageBreakBefore/>
      </w:pPr>
      <w:r>
        <w:lastRenderedPageBreak/>
        <w:t xml:space="preserve">Part </w:t>
      </w:r>
      <w:r w:rsidR="00695CA4">
        <w:t>C</w:t>
      </w:r>
      <w:r w:rsidR="00B718B4">
        <w:t>: Statement of Intent</w:t>
      </w:r>
    </w:p>
    <w:p w14:paraId="4F12C85C" w14:textId="626D7DEA" w:rsidR="00B718B4" w:rsidRPr="00B718B4" w:rsidRDefault="00B718B4" w:rsidP="00B718B4">
      <w:pPr>
        <w:rPr>
          <w:i/>
          <w:iCs/>
          <w:sz w:val="20"/>
          <w:szCs w:val="20"/>
        </w:rPr>
      </w:pPr>
      <w:r w:rsidRPr="00B718B4">
        <w:rPr>
          <w:i/>
          <w:iCs/>
          <w:sz w:val="20"/>
          <w:szCs w:val="20"/>
        </w:rPr>
        <w:t xml:space="preserve">Please complete this Part </w:t>
      </w:r>
      <w:r w:rsidRPr="00B718B4">
        <w:rPr>
          <w:b/>
          <w:bCs/>
          <w:i/>
          <w:iCs/>
          <w:sz w:val="20"/>
          <w:szCs w:val="20"/>
        </w:rPr>
        <w:t>only</w:t>
      </w:r>
      <w:r w:rsidRPr="00B718B4">
        <w:rPr>
          <w:i/>
          <w:iCs/>
          <w:sz w:val="20"/>
          <w:szCs w:val="20"/>
        </w:rPr>
        <w:t xml:space="preserve"> if you have nominated a student-defined topic</w:t>
      </w:r>
    </w:p>
    <w:p w14:paraId="3DD80664" w14:textId="2AD3BE5B" w:rsidR="002838A8" w:rsidRDefault="002838A8" w:rsidP="00B718B4">
      <w:pPr>
        <w:pStyle w:val="Heading2"/>
      </w:pPr>
      <w:r>
        <w:t xml:space="preserve">Area of Research/Research </w:t>
      </w:r>
      <w:r w:rsidR="00B718B4">
        <w:t>Question (if developed)</w:t>
      </w:r>
      <w:r>
        <w:t>:</w:t>
      </w:r>
    </w:p>
    <w:p w14:paraId="237A0C69" w14:textId="77777777" w:rsidR="002838A8" w:rsidRDefault="002838A8"/>
    <w:p w14:paraId="1C3AE912" w14:textId="77777777" w:rsidR="002838A8" w:rsidRDefault="002838A8"/>
    <w:p w14:paraId="40C5CF23" w14:textId="1BA3359C" w:rsidR="00695CA4" w:rsidRDefault="00695CA4" w:rsidP="002838A8">
      <w:pPr>
        <w:pStyle w:val="Heading2"/>
      </w:pPr>
      <w:r>
        <w:t>Proposed supervisor</w:t>
      </w:r>
    </w:p>
    <w:p w14:paraId="5F4C518D" w14:textId="608BF9AC" w:rsidR="00695CA4" w:rsidRPr="00695CA4" w:rsidRDefault="004F75E8" w:rsidP="004F75E8">
      <w:pPr>
        <w:tabs>
          <w:tab w:val="right" w:leader="dot" w:pos="8505"/>
        </w:tabs>
      </w:pPr>
      <w:r>
        <w:t xml:space="preserve">Name: </w:t>
      </w:r>
      <w:r>
        <w:tab/>
      </w:r>
    </w:p>
    <w:p w14:paraId="1BC69AF6" w14:textId="5AD6246E" w:rsidR="00695CA4" w:rsidRPr="000E257C" w:rsidRDefault="00695CA4" w:rsidP="004F75E8">
      <w:pPr>
        <w:spacing w:before="240"/>
        <w:rPr>
          <w:i/>
          <w:iCs/>
          <w:sz w:val="20"/>
          <w:szCs w:val="20"/>
        </w:rPr>
      </w:pPr>
      <w:r w:rsidRPr="000E257C">
        <w:rPr>
          <w:i/>
          <w:iCs/>
          <w:sz w:val="20"/>
          <w:szCs w:val="20"/>
        </w:rPr>
        <w:t>* If you have discussed the topic with your proposed supervisor, please attach any correspondence</w:t>
      </w:r>
    </w:p>
    <w:p w14:paraId="6440891E" w14:textId="77777777" w:rsidR="00695CA4" w:rsidRPr="00695CA4" w:rsidRDefault="00695CA4" w:rsidP="00695CA4"/>
    <w:p w14:paraId="1B0C119C" w14:textId="6EE9541D" w:rsidR="002838A8" w:rsidRDefault="002838A8" w:rsidP="002838A8">
      <w:pPr>
        <w:pStyle w:val="Heading2"/>
      </w:pPr>
      <w:r>
        <w:t>Significance</w:t>
      </w:r>
    </w:p>
    <w:p w14:paraId="390C5EBF" w14:textId="31651A7D" w:rsidR="002838A8" w:rsidRPr="00B718B4" w:rsidRDefault="00B718B4" w:rsidP="002838A8">
      <w:pPr>
        <w:rPr>
          <w:i/>
          <w:iCs/>
          <w:sz w:val="20"/>
          <w:szCs w:val="20"/>
        </w:rPr>
      </w:pPr>
      <w:r w:rsidRPr="00B718B4">
        <w:rPr>
          <w:i/>
          <w:iCs/>
          <w:sz w:val="20"/>
          <w:szCs w:val="20"/>
        </w:rPr>
        <w:t>Why this research is important to do now</w:t>
      </w:r>
    </w:p>
    <w:p w14:paraId="2A9B8D65" w14:textId="77777777" w:rsidR="002838A8" w:rsidRDefault="002838A8"/>
    <w:p w14:paraId="2C8C2486" w14:textId="084CD0D4" w:rsidR="002838A8" w:rsidRDefault="002838A8" w:rsidP="002838A8">
      <w:pPr>
        <w:pStyle w:val="Heading2"/>
      </w:pPr>
      <w:r>
        <w:t>Brief Literature Review</w:t>
      </w:r>
    </w:p>
    <w:p w14:paraId="1761F170" w14:textId="771B680F" w:rsidR="002838A8" w:rsidRPr="00B718B4" w:rsidRDefault="00B718B4" w:rsidP="002838A8">
      <w:pPr>
        <w:rPr>
          <w:i/>
          <w:iCs/>
          <w:sz w:val="20"/>
          <w:szCs w:val="20"/>
        </w:rPr>
      </w:pPr>
      <w:r w:rsidRPr="00B718B4">
        <w:rPr>
          <w:i/>
          <w:iCs/>
          <w:sz w:val="20"/>
          <w:szCs w:val="20"/>
        </w:rPr>
        <w:t xml:space="preserve">Discuss and explain five legal sources </w:t>
      </w:r>
      <w:r>
        <w:rPr>
          <w:i/>
          <w:iCs/>
          <w:sz w:val="20"/>
          <w:szCs w:val="20"/>
        </w:rPr>
        <w:t>(</w:t>
      </w:r>
      <w:r w:rsidRPr="00B718B4">
        <w:rPr>
          <w:i/>
          <w:iCs/>
          <w:sz w:val="20"/>
          <w:szCs w:val="20"/>
        </w:rPr>
        <w:t>articles, cases, etc</w:t>
      </w:r>
      <w:r>
        <w:rPr>
          <w:i/>
          <w:iCs/>
          <w:sz w:val="20"/>
          <w:szCs w:val="20"/>
        </w:rPr>
        <w:t>)</w:t>
      </w:r>
      <w:r w:rsidRPr="00B718B4">
        <w:rPr>
          <w:i/>
          <w:iCs/>
          <w:sz w:val="20"/>
          <w:szCs w:val="20"/>
        </w:rPr>
        <w:t xml:space="preserve"> relevant to your area of research or research topic</w:t>
      </w:r>
    </w:p>
    <w:p w14:paraId="2378177A" w14:textId="77777777" w:rsidR="002838A8" w:rsidRDefault="002838A8" w:rsidP="002838A8"/>
    <w:p w14:paraId="775854C3" w14:textId="77777777" w:rsidR="00D12621" w:rsidRPr="004F75E8" w:rsidRDefault="00D12621" w:rsidP="00D12621">
      <w:pPr>
        <w:pStyle w:val="Heading2"/>
        <w:tabs>
          <w:tab w:val="right" w:leader="dot" w:pos="4253"/>
        </w:tabs>
      </w:pPr>
      <w:r>
        <w:t xml:space="preserve">Final word count: </w:t>
      </w:r>
      <w:r>
        <w:tab/>
      </w:r>
    </w:p>
    <w:p w14:paraId="3CB6C1F8" w14:textId="77777777" w:rsidR="002838A8" w:rsidRDefault="002838A8"/>
    <w:p w14:paraId="1D51C809" w14:textId="77777777" w:rsidR="00803EA3" w:rsidRDefault="00803EA3"/>
    <w:sectPr w:rsidR="00803EA3" w:rsidSect="006C366B">
      <w:headerReference w:type="default" r:id="rId29"/>
      <w:footerReference w:type="even" r:id="rId30"/>
      <w:footerReference w:type="default" r:id="rId3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A49F5" w14:textId="77777777" w:rsidR="006A51C6" w:rsidRDefault="006A51C6" w:rsidP="002838A8">
      <w:r>
        <w:separator/>
      </w:r>
    </w:p>
  </w:endnote>
  <w:endnote w:type="continuationSeparator" w:id="0">
    <w:p w14:paraId="2BB673F9" w14:textId="77777777" w:rsidR="006A51C6" w:rsidRDefault="006A51C6" w:rsidP="0028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42853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B803E8" w14:textId="77777777" w:rsidR="002838A8" w:rsidRDefault="002838A8" w:rsidP="003679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7AC130" w14:textId="77777777" w:rsidR="002838A8" w:rsidRDefault="002838A8" w:rsidP="002838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052710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4E3D9D" w14:textId="76950CCC" w:rsidR="002838A8" w:rsidRDefault="002838A8" w:rsidP="003679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D0C3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99E6E01" w14:textId="77777777" w:rsidR="002838A8" w:rsidRDefault="002838A8" w:rsidP="002838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6CD78" w14:textId="77777777" w:rsidR="006A51C6" w:rsidRDefault="006A51C6" w:rsidP="002838A8">
      <w:r>
        <w:separator/>
      </w:r>
    </w:p>
  </w:footnote>
  <w:footnote w:type="continuationSeparator" w:id="0">
    <w:p w14:paraId="3FA2D263" w14:textId="77777777" w:rsidR="006A51C6" w:rsidRDefault="006A51C6" w:rsidP="00283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B6134" w14:textId="0E57463D" w:rsidR="002838A8" w:rsidRDefault="002838A8">
    <w:pPr>
      <w:pStyle w:val="Header"/>
    </w:pPr>
    <w:r>
      <w:t>[Student Name, Student Number]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1190"/>
    <w:multiLevelType w:val="hybridMultilevel"/>
    <w:tmpl w:val="FF3C53F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28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72568"/>
    <w:multiLevelType w:val="hybridMultilevel"/>
    <w:tmpl w:val="675E1F9A"/>
    <w:lvl w:ilvl="0" w:tplc="DDDE34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16063"/>
    <w:multiLevelType w:val="hybridMultilevel"/>
    <w:tmpl w:val="F7E839B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D5FD1"/>
    <w:multiLevelType w:val="hybridMultilevel"/>
    <w:tmpl w:val="3F9EEC6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23285"/>
    <w:multiLevelType w:val="hybridMultilevel"/>
    <w:tmpl w:val="C0F280AA"/>
    <w:lvl w:ilvl="0" w:tplc="0B0C2D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35AB7"/>
    <w:multiLevelType w:val="hybridMultilevel"/>
    <w:tmpl w:val="F2AA0984"/>
    <w:lvl w:ilvl="0" w:tplc="1714A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73489"/>
    <w:multiLevelType w:val="hybridMultilevel"/>
    <w:tmpl w:val="7778C132"/>
    <w:lvl w:ilvl="0" w:tplc="1AF81D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211B7"/>
    <w:multiLevelType w:val="hybridMultilevel"/>
    <w:tmpl w:val="82465EA0"/>
    <w:lvl w:ilvl="0" w:tplc="0C986B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54528"/>
    <w:multiLevelType w:val="hybridMultilevel"/>
    <w:tmpl w:val="C1AEE2EA"/>
    <w:lvl w:ilvl="0" w:tplc="15C69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B66B2"/>
    <w:multiLevelType w:val="hybridMultilevel"/>
    <w:tmpl w:val="20420C22"/>
    <w:lvl w:ilvl="0" w:tplc="0C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F116E"/>
    <w:multiLevelType w:val="hybridMultilevel"/>
    <w:tmpl w:val="D10415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04AD7"/>
    <w:multiLevelType w:val="hybridMultilevel"/>
    <w:tmpl w:val="99CA62E2"/>
    <w:lvl w:ilvl="0" w:tplc="773CB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5672F"/>
    <w:multiLevelType w:val="hybridMultilevel"/>
    <w:tmpl w:val="603660F8"/>
    <w:lvl w:ilvl="0" w:tplc="A6F0AE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D4566"/>
    <w:multiLevelType w:val="hybridMultilevel"/>
    <w:tmpl w:val="4202C54A"/>
    <w:lvl w:ilvl="0" w:tplc="B114F5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63979"/>
    <w:multiLevelType w:val="hybridMultilevel"/>
    <w:tmpl w:val="178A88B6"/>
    <w:lvl w:ilvl="0" w:tplc="0C986B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60334"/>
    <w:multiLevelType w:val="hybridMultilevel"/>
    <w:tmpl w:val="1FD0DA7C"/>
    <w:lvl w:ilvl="0" w:tplc="0C986B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A64D4"/>
    <w:multiLevelType w:val="hybridMultilevel"/>
    <w:tmpl w:val="E7F66E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F5616"/>
    <w:multiLevelType w:val="multilevel"/>
    <w:tmpl w:val="996068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F1698C"/>
    <w:multiLevelType w:val="hybridMultilevel"/>
    <w:tmpl w:val="FC8627F8"/>
    <w:lvl w:ilvl="0" w:tplc="0C986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44561A"/>
    <w:multiLevelType w:val="hybridMultilevel"/>
    <w:tmpl w:val="3EB4D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6016F"/>
    <w:multiLevelType w:val="hybridMultilevel"/>
    <w:tmpl w:val="4A4CAF9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860DF"/>
    <w:multiLevelType w:val="hybridMultilevel"/>
    <w:tmpl w:val="AE0807C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D1DB4"/>
    <w:multiLevelType w:val="hybridMultilevel"/>
    <w:tmpl w:val="64BE2CD8"/>
    <w:lvl w:ilvl="0" w:tplc="0C986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7B0C2A"/>
    <w:multiLevelType w:val="hybridMultilevel"/>
    <w:tmpl w:val="B630EE4C"/>
    <w:lvl w:ilvl="0" w:tplc="7E3AD9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2"/>
  </w:num>
  <w:num w:numId="4">
    <w:abstractNumId w:val="10"/>
  </w:num>
  <w:num w:numId="5">
    <w:abstractNumId w:val="9"/>
  </w:num>
  <w:num w:numId="6">
    <w:abstractNumId w:val="6"/>
  </w:num>
  <w:num w:numId="7">
    <w:abstractNumId w:val="13"/>
  </w:num>
  <w:num w:numId="8">
    <w:abstractNumId w:val="21"/>
  </w:num>
  <w:num w:numId="9">
    <w:abstractNumId w:val="4"/>
  </w:num>
  <w:num w:numId="10">
    <w:abstractNumId w:val="7"/>
  </w:num>
  <w:num w:numId="11">
    <w:abstractNumId w:val="12"/>
  </w:num>
  <w:num w:numId="12">
    <w:abstractNumId w:val="8"/>
  </w:num>
  <w:num w:numId="13">
    <w:abstractNumId w:val="24"/>
  </w:num>
  <w:num w:numId="14">
    <w:abstractNumId w:val="19"/>
  </w:num>
  <w:num w:numId="15">
    <w:abstractNumId w:val="15"/>
  </w:num>
  <w:num w:numId="16">
    <w:abstractNumId w:val="16"/>
  </w:num>
  <w:num w:numId="17">
    <w:abstractNumId w:val="23"/>
  </w:num>
  <w:num w:numId="18">
    <w:abstractNumId w:val="3"/>
  </w:num>
  <w:num w:numId="19">
    <w:abstractNumId w:val="17"/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EA3"/>
    <w:rsid w:val="000C078A"/>
    <w:rsid w:val="000E257C"/>
    <w:rsid w:val="000F7520"/>
    <w:rsid w:val="001236C5"/>
    <w:rsid w:val="0014083A"/>
    <w:rsid w:val="001C0CCD"/>
    <w:rsid w:val="00271CCB"/>
    <w:rsid w:val="002838A8"/>
    <w:rsid w:val="00295A01"/>
    <w:rsid w:val="003323A1"/>
    <w:rsid w:val="003E529C"/>
    <w:rsid w:val="00456D93"/>
    <w:rsid w:val="00496BBE"/>
    <w:rsid w:val="004C213E"/>
    <w:rsid w:val="004D49C0"/>
    <w:rsid w:val="004E403E"/>
    <w:rsid w:val="004F3F32"/>
    <w:rsid w:val="004F75E8"/>
    <w:rsid w:val="005208E6"/>
    <w:rsid w:val="00520F08"/>
    <w:rsid w:val="00571380"/>
    <w:rsid w:val="00605FD5"/>
    <w:rsid w:val="006222CD"/>
    <w:rsid w:val="00636A11"/>
    <w:rsid w:val="00695CA4"/>
    <w:rsid w:val="006A4DB6"/>
    <w:rsid w:val="006A51C6"/>
    <w:rsid w:val="006C366B"/>
    <w:rsid w:val="006F1283"/>
    <w:rsid w:val="00725FE3"/>
    <w:rsid w:val="007331F8"/>
    <w:rsid w:val="00765F13"/>
    <w:rsid w:val="007B0CA7"/>
    <w:rsid w:val="007F2F7D"/>
    <w:rsid w:val="00803EA3"/>
    <w:rsid w:val="00821411"/>
    <w:rsid w:val="00822F58"/>
    <w:rsid w:val="008603A6"/>
    <w:rsid w:val="008D1711"/>
    <w:rsid w:val="008E19AA"/>
    <w:rsid w:val="00910D9D"/>
    <w:rsid w:val="009253C4"/>
    <w:rsid w:val="00943541"/>
    <w:rsid w:val="009A41EC"/>
    <w:rsid w:val="009A563C"/>
    <w:rsid w:val="009D37E0"/>
    <w:rsid w:val="009F0283"/>
    <w:rsid w:val="009F05EE"/>
    <w:rsid w:val="00AA2DC8"/>
    <w:rsid w:val="00B718B4"/>
    <w:rsid w:val="00BA471F"/>
    <w:rsid w:val="00BD5ADC"/>
    <w:rsid w:val="00C41B51"/>
    <w:rsid w:val="00C426CD"/>
    <w:rsid w:val="00C71C15"/>
    <w:rsid w:val="00D12621"/>
    <w:rsid w:val="00D43DF4"/>
    <w:rsid w:val="00D75692"/>
    <w:rsid w:val="00E04A8D"/>
    <w:rsid w:val="00E119EB"/>
    <w:rsid w:val="00E122D3"/>
    <w:rsid w:val="00E95C8B"/>
    <w:rsid w:val="00EB3AC2"/>
    <w:rsid w:val="00ED0C3A"/>
    <w:rsid w:val="00F225BD"/>
    <w:rsid w:val="00FA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5E940"/>
  <w15:chartTrackingRefBased/>
  <w15:docId w15:val="{F4E61CB3-6337-2B4B-81B8-FB4541A2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3E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8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A563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38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8A8"/>
  </w:style>
  <w:style w:type="character" w:styleId="PageNumber">
    <w:name w:val="page number"/>
    <w:basedOn w:val="DefaultParagraphFont"/>
    <w:uiPriority w:val="99"/>
    <w:semiHidden/>
    <w:unhideWhenUsed/>
    <w:rsid w:val="002838A8"/>
  </w:style>
  <w:style w:type="paragraph" w:styleId="Header">
    <w:name w:val="header"/>
    <w:basedOn w:val="Normal"/>
    <w:link w:val="HeaderChar"/>
    <w:uiPriority w:val="99"/>
    <w:unhideWhenUsed/>
    <w:rsid w:val="002838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8A8"/>
  </w:style>
  <w:style w:type="character" w:customStyle="1" w:styleId="Heading2Char">
    <w:name w:val="Heading 2 Char"/>
    <w:basedOn w:val="DefaultParagraphFont"/>
    <w:link w:val="Heading2"/>
    <w:uiPriority w:val="9"/>
    <w:rsid w:val="002838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D9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36A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A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ernsydney.edu.au/staff_profiles/uws_profiles/doctor_john_azzi" TargetMode="External"/><Relationship Id="rId13" Type="http://schemas.openxmlformats.org/officeDocument/2006/relationships/hyperlink" Target="https://www.westernsydney.edu.au/staff_profiles/WSU/mrs_meda_couzens" TargetMode="External"/><Relationship Id="rId18" Type="http://schemas.openxmlformats.org/officeDocument/2006/relationships/hyperlink" Target="https://www.westernsydney.edu.au/staff_profiles/WSU/mr_bradley_gooding" TargetMode="External"/><Relationship Id="rId26" Type="http://schemas.openxmlformats.org/officeDocument/2006/relationships/hyperlink" Target="https://www.westernsydney.edu.au/staff_profiles/WSU/doctor_ludmilla_robins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esternsydney.edu.au/staff_profiles/WSU/professor_elizabeth_handsley" TargetMode="External"/><Relationship Id="rId7" Type="http://schemas.openxmlformats.org/officeDocument/2006/relationships/hyperlink" Target="https://www.westernsydney.edu.au/staff_profiles/WSU/doctor_amira_aftab" TargetMode="External"/><Relationship Id="rId12" Type="http://schemas.openxmlformats.org/officeDocument/2006/relationships/hyperlink" Target="https://www.westernsydney.edu.au/staff_profiles/WSU/doctor_caroline_compton" TargetMode="External"/><Relationship Id="rId17" Type="http://schemas.openxmlformats.org/officeDocument/2006/relationships/hyperlink" Target="https://www.westernsydney.edu.au/staff_profiles/uws_profiles/doctor_beatriz_garcia_de_oliveira" TargetMode="External"/><Relationship Id="rId25" Type="http://schemas.openxmlformats.org/officeDocument/2006/relationships/hyperlink" Target="https://www.westernsydney.edu.au/staff_profiles/WSU/ms_sandy_noake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westernsydney.edu.au/staff_profiles/uws_profiles/doctor_patrick_foong" TargetMode="External"/><Relationship Id="rId20" Type="http://schemas.openxmlformats.org/officeDocument/2006/relationships/hyperlink" Target="https://plato.stanford.edu/entries/epistemology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esternsydney.edu.au/staff_profiles/uws_profiles/mrs_grace_borsellino" TargetMode="External"/><Relationship Id="rId24" Type="http://schemas.openxmlformats.org/officeDocument/2006/relationships/hyperlink" Target="https://www.westernsydney.edu.au/staff_profiles/uws_profiles/doctor_sarah_hook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westernsydney.edu.au/staff_profiles/WSU/doctor_jason_donnelly" TargetMode="External"/><Relationship Id="rId23" Type="http://schemas.openxmlformats.org/officeDocument/2006/relationships/hyperlink" Target="https://www.westernsydney.edu.au/staff_profiles/WSU/professor_michael_head" TargetMode="External"/><Relationship Id="rId28" Type="http://schemas.openxmlformats.org/officeDocument/2006/relationships/hyperlink" Target="https://www.westernsydney.edu.au/staff_profiles/WSU/associate_professor_june_wang" TargetMode="External"/><Relationship Id="rId10" Type="http://schemas.openxmlformats.org/officeDocument/2006/relationships/hyperlink" Target="https://sdgs.un.org/goals" TargetMode="External"/><Relationship Id="rId19" Type="http://schemas.openxmlformats.org/officeDocument/2006/relationships/hyperlink" Target="https://plato.stanford.edu/entries/value-incommensurable/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westernsydney.edu.au/staff_profiles/WSU/doctor_sonia_allan" TargetMode="External"/><Relationship Id="rId14" Type="http://schemas.openxmlformats.org/officeDocument/2006/relationships/hyperlink" Target="https://www.westernsydney.edu.au/staff_profiles/WSU/doctor_azadeh_dastyari" TargetMode="External"/><Relationship Id="rId22" Type="http://schemas.openxmlformats.org/officeDocument/2006/relationships/hyperlink" Target="https://www.westernsydney.edu.au/staff_profiles/WSU/associate_professor_daud_sm_hassan" TargetMode="External"/><Relationship Id="rId27" Type="http://schemas.openxmlformats.org/officeDocument/2006/relationships/hyperlink" Target="https://en.wikipedia.org/wiki/Quistclose_trusts_in_English_law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Kozlina</dc:creator>
  <cp:keywords/>
  <dc:description/>
  <cp:lastModifiedBy>Elizabeth Handsley</cp:lastModifiedBy>
  <cp:revision>35</cp:revision>
  <dcterms:created xsi:type="dcterms:W3CDTF">2020-11-08T23:18:00Z</dcterms:created>
  <dcterms:modified xsi:type="dcterms:W3CDTF">2020-12-18T00:06:00Z</dcterms:modified>
</cp:coreProperties>
</file>