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1A" w:rsidRDefault="00B5201A" w:rsidP="00B5201A">
      <w:pPr>
        <w:shd w:val="clear" w:color="auto" w:fill="595959"/>
        <w:jc w:val="center"/>
        <w:rPr>
          <w:rFonts w:ascii="Times New Roman" w:hAnsi="Times New Roman"/>
          <w:b/>
          <w:bCs/>
          <w:color w:val="FFFFFF"/>
          <w:sz w:val="40"/>
          <w:szCs w:val="40"/>
        </w:rPr>
      </w:pPr>
      <w:r>
        <w:rPr>
          <w:rFonts w:ascii="Times New Roman" w:hAnsi="Times New Roman"/>
          <w:b/>
          <w:bCs/>
          <w:color w:val="FFFFFF"/>
          <w:sz w:val="40"/>
          <w:szCs w:val="40"/>
        </w:rPr>
        <w:t>KNOWING ASIA: ASIAN STUDIES IN AN ASIAN CENTURY</w:t>
      </w:r>
    </w:p>
    <w:p w:rsidR="00B5201A" w:rsidRDefault="00B5201A" w:rsidP="00B5201A">
      <w:pPr>
        <w:shd w:val="clear" w:color="auto" w:fill="595959"/>
        <w:jc w:val="center"/>
        <w:rPr>
          <w:rFonts w:ascii="Times New Roman" w:hAnsi="Times New Roman"/>
          <w:b/>
          <w:bCs/>
          <w:color w:val="FFFFFF"/>
          <w:sz w:val="28"/>
          <w:szCs w:val="28"/>
        </w:rPr>
      </w:pPr>
      <w:r>
        <w:rPr>
          <w:rFonts w:ascii="Times New Roman" w:hAnsi="Times New Roman"/>
          <w:b/>
          <w:bCs/>
          <w:color w:val="FFFFFF"/>
          <w:sz w:val="28"/>
          <w:szCs w:val="28"/>
        </w:rPr>
        <w:t>19</w:t>
      </w:r>
      <w:r>
        <w:rPr>
          <w:rFonts w:ascii="Times New Roman" w:hAnsi="Times New Roman"/>
          <w:b/>
          <w:bCs/>
          <w:color w:val="FFFFFF"/>
          <w:sz w:val="28"/>
          <w:szCs w:val="28"/>
          <w:vertAlign w:val="superscript"/>
        </w:rPr>
        <w:t>th</w:t>
      </w:r>
      <w:r>
        <w:rPr>
          <w:rFonts w:ascii="Times New Roman" w:hAnsi="Times New Roman"/>
          <w:b/>
          <w:bCs/>
          <w:color w:val="FFFFFF"/>
          <w:sz w:val="28"/>
          <w:szCs w:val="28"/>
        </w:rPr>
        <w:t xml:space="preserve"> Biennial Conference, Asian Studies Association of Australia</w:t>
      </w:r>
    </w:p>
    <w:p w:rsidR="00B5201A" w:rsidRDefault="00B5201A" w:rsidP="00B5201A">
      <w:pPr>
        <w:shd w:val="clear" w:color="auto" w:fill="595959"/>
        <w:jc w:val="center"/>
        <w:rPr>
          <w:rFonts w:ascii="Times New Roman" w:hAnsi="Times New Roman"/>
          <w:b/>
          <w:bCs/>
          <w:color w:val="FFFFFF"/>
          <w:sz w:val="28"/>
          <w:szCs w:val="28"/>
        </w:rPr>
      </w:pPr>
      <w:r>
        <w:rPr>
          <w:rFonts w:ascii="Times New Roman" w:hAnsi="Times New Roman"/>
          <w:b/>
          <w:bCs/>
          <w:color w:val="FFFFFF"/>
          <w:sz w:val="28"/>
          <w:szCs w:val="28"/>
        </w:rPr>
        <w:t>The University of Western Sydney (Parramatta South Campus) – 11 to 13 July, 2012</w:t>
      </w:r>
    </w:p>
    <w:p w:rsidR="00B5201A" w:rsidRDefault="00B5201A" w:rsidP="00B5201A">
      <w:pPr>
        <w:rPr>
          <w:rFonts w:ascii="Arial Narrow" w:hAnsi="Arial Narrow"/>
        </w:rPr>
      </w:pPr>
    </w:p>
    <w:p w:rsidR="00B5201A" w:rsidRDefault="00B5201A" w:rsidP="00B5201A">
      <w:pPr>
        <w:jc w:val="center"/>
        <w:rPr>
          <w:rFonts w:ascii="Arial Narrow" w:hAnsi="Arial Narrow"/>
        </w:rPr>
      </w:pPr>
      <w:r>
        <w:rPr>
          <w:rFonts w:ascii="Arial Narrow" w:hAnsi="Arial Narrow"/>
          <w:b/>
          <w:bCs/>
        </w:rPr>
        <w:t>Deadline for submissions of abstracts (individual paper or panel proposals):</w:t>
      </w:r>
    </w:p>
    <w:p w:rsidR="00B5201A" w:rsidRDefault="00B5201A" w:rsidP="00B5201A">
      <w:pPr>
        <w:jc w:val="center"/>
        <w:rPr>
          <w:rFonts w:ascii="Arial Narrow" w:hAnsi="Arial Narrow"/>
          <w:sz w:val="28"/>
          <w:szCs w:val="28"/>
        </w:rPr>
      </w:pPr>
      <w:r>
        <w:rPr>
          <w:rFonts w:ascii="Arial Narrow" w:hAnsi="Arial Narrow"/>
          <w:color w:val="FF0000"/>
          <w:sz w:val="28"/>
          <w:szCs w:val="28"/>
        </w:rPr>
        <w:t xml:space="preserve">Tuesday </w:t>
      </w:r>
      <w:r w:rsidR="00787985">
        <w:rPr>
          <w:rFonts w:ascii="Arial Narrow" w:hAnsi="Arial Narrow"/>
          <w:color w:val="FF0000"/>
          <w:sz w:val="28"/>
          <w:szCs w:val="28"/>
        </w:rPr>
        <w:t>13</w:t>
      </w:r>
      <w:r w:rsidR="000E0A38">
        <w:rPr>
          <w:rFonts w:ascii="Arial Narrow" w:hAnsi="Arial Narrow"/>
          <w:color w:val="FF0000"/>
          <w:sz w:val="28"/>
          <w:szCs w:val="28"/>
        </w:rPr>
        <w:t xml:space="preserve"> March</w:t>
      </w:r>
      <w:r>
        <w:rPr>
          <w:rFonts w:ascii="Arial Narrow" w:hAnsi="Arial Narrow"/>
          <w:color w:val="FF0000"/>
          <w:sz w:val="28"/>
          <w:szCs w:val="28"/>
        </w:rPr>
        <w:t>, 2012</w:t>
      </w:r>
    </w:p>
    <w:p w:rsidR="00B5201A" w:rsidRDefault="00B5201A" w:rsidP="00B5201A">
      <w:pPr>
        <w:rPr>
          <w:rFonts w:ascii="Arial Narrow" w:hAnsi="Arial Narrow"/>
        </w:rPr>
      </w:pPr>
    </w:p>
    <w:p w:rsidR="00B5201A" w:rsidRDefault="00B5201A" w:rsidP="00B5201A">
      <w:pPr>
        <w:rPr>
          <w:rFonts w:ascii="Arial Narrow" w:hAnsi="Arial Narrow"/>
        </w:rPr>
      </w:pPr>
    </w:p>
    <w:p w:rsidR="00B5201A" w:rsidRDefault="00B5201A" w:rsidP="00B5201A">
      <w:pPr>
        <w:jc w:val="center"/>
        <w:rPr>
          <w:rFonts w:ascii="Arial Narrow" w:hAnsi="Arial Narrow"/>
          <w:b/>
          <w:bCs/>
          <w:color w:val="548DD4"/>
          <w:sz w:val="24"/>
          <w:szCs w:val="24"/>
        </w:rPr>
      </w:pPr>
      <w:r>
        <w:rPr>
          <w:rFonts w:ascii="Arial Narrow" w:hAnsi="Arial Narrow"/>
          <w:b/>
          <w:bCs/>
          <w:color w:val="548DD4"/>
          <w:sz w:val="24"/>
          <w:szCs w:val="24"/>
        </w:rPr>
        <w:t>Confirmed Keynote Speakers</w:t>
      </w:r>
    </w:p>
    <w:p w:rsidR="00B5201A" w:rsidRDefault="00B5201A" w:rsidP="00B5201A">
      <w:pPr>
        <w:jc w:val="center"/>
        <w:rPr>
          <w:rFonts w:ascii="Arial Narrow" w:hAnsi="Arial Narrow"/>
          <w:b/>
          <w:bCs/>
          <w:color w:val="548DD4"/>
          <w:sz w:val="24"/>
          <w:szCs w:val="24"/>
        </w:rPr>
      </w:pPr>
    </w:p>
    <w:p w:rsidR="00B5201A" w:rsidRDefault="00B5201A" w:rsidP="00B5201A">
      <w:pPr>
        <w:jc w:val="center"/>
        <w:rPr>
          <w:rFonts w:ascii="Arial Narrow" w:hAnsi="Arial Narrow"/>
        </w:rPr>
      </w:pPr>
      <w:r>
        <w:rPr>
          <w:rFonts w:ascii="Arial Narrow" w:hAnsi="Arial Narrow"/>
          <w:b/>
          <w:bCs/>
        </w:rPr>
        <w:t xml:space="preserve">Professor Lily Kong - </w:t>
      </w:r>
      <w:r>
        <w:rPr>
          <w:rFonts w:ascii="Arial Narrow" w:hAnsi="Arial Narrow"/>
        </w:rPr>
        <w:t>Vice-President (University and Global Relations), and Acting Exec Vice-President (Academic Affairs), Yale-NUS College, National University of Singapore, Singapore</w:t>
      </w:r>
    </w:p>
    <w:p w:rsidR="00B5201A" w:rsidRDefault="00B5201A" w:rsidP="00B5201A">
      <w:pPr>
        <w:jc w:val="center"/>
        <w:rPr>
          <w:rFonts w:ascii="Arial Narrow" w:hAnsi="Arial Narrow"/>
        </w:rPr>
      </w:pPr>
      <w:r>
        <w:rPr>
          <w:rFonts w:ascii="Arial Narrow" w:hAnsi="Arial Narrow"/>
          <w:b/>
          <w:bCs/>
        </w:rPr>
        <w:t>Professor Ji</w:t>
      </w:r>
      <w:r w:rsidR="009672D3">
        <w:rPr>
          <w:rFonts w:ascii="Arial Narrow" w:hAnsi="Arial Narrow"/>
          <w:b/>
          <w:bCs/>
        </w:rPr>
        <w:t>e</w:t>
      </w:r>
      <w:r>
        <w:rPr>
          <w:rFonts w:ascii="Arial Narrow" w:hAnsi="Arial Narrow"/>
          <w:b/>
          <w:bCs/>
        </w:rPr>
        <w:t xml:space="preserve">-Hyun Lim - </w:t>
      </w:r>
      <w:r>
        <w:rPr>
          <w:rFonts w:ascii="Arial Narrow" w:hAnsi="Arial Narrow"/>
        </w:rPr>
        <w:t>Professor of History, Director of the Research Institute of Comparative History and Culture, Hanyang University, Seoul</w:t>
      </w:r>
    </w:p>
    <w:p w:rsidR="00B5201A" w:rsidRDefault="00B5201A" w:rsidP="00B5201A">
      <w:pPr>
        <w:jc w:val="center"/>
        <w:rPr>
          <w:rFonts w:ascii="Arial Narrow" w:hAnsi="Arial Narrow"/>
        </w:rPr>
      </w:pPr>
      <w:r>
        <w:rPr>
          <w:rFonts w:ascii="Arial Narrow" w:hAnsi="Arial Narrow"/>
          <w:b/>
          <w:bCs/>
        </w:rPr>
        <w:t xml:space="preserve">Professor Prasenjit Duara - </w:t>
      </w:r>
      <w:r>
        <w:rPr>
          <w:rFonts w:ascii="Arial Narrow" w:hAnsi="Arial Narrow"/>
        </w:rPr>
        <w:t>Raffles Professor of Humanities, Director, Asia Research Institute, and Director of Research, Humanities &amp; Social Sciences, National University of Singapore, Singapore</w:t>
      </w:r>
    </w:p>
    <w:p w:rsidR="00B5201A" w:rsidRDefault="00B5201A" w:rsidP="00B5201A">
      <w:pPr>
        <w:rPr>
          <w:rFonts w:ascii="Arial Narrow" w:hAnsi="Arial Narrow"/>
          <w:b/>
          <w:bCs/>
        </w:rPr>
      </w:pPr>
    </w:p>
    <w:p w:rsidR="00B5201A" w:rsidRDefault="00B5201A" w:rsidP="00B5201A">
      <w:pPr>
        <w:rPr>
          <w:rFonts w:ascii="Arial Narrow" w:hAnsi="Arial Narrow"/>
        </w:rPr>
      </w:pPr>
    </w:p>
    <w:p w:rsidR="00B5201A" w:rsidRDefault="00B5201A" w:rsidP="00B5201A">
      <w:pPr>
        <w:jc w:val="center"/>
        <w:rPr>
          <w:rFonts w:ascii="Arial Narrow" w:hAnsi="Arial Narrow"/>
          <w:b/>
          <w:bCs/>
          <w:color w:val="548DD4"/>
          <w:sz w:val="24"/>
          <w:szCs w:val="24"/>
        </w:rPr>
      </w:pPr>
      <w:r>
        <w:rPr>
          <w:rFonts w:ascii="Arial Narrow" w:hAnsi="Arial Narrow"/>
          <w:b/>
          <w:bCs/>
          <w:color w:val="548DD4"/>
          <w:sz w:val="24"/>
          <w:szCs w:val="24"/>
        </w:rPr>
        <w:t>Call for Individual or Panel Presentations</w:t>
      </w:r>
    </w:p>
    <w:p w:rsidR="00B5201A" w:rsidRDefault="00B5201A" w:rsidP="00B5201A">
      <w:pPr>
        <w:jc w:val="center"/>
        <w:rPr>
          <w:rFonts w:ascii="Arial Narrow" w:hAnsi="Arial Narrow"/>
          <w:b/>
          <w:bCs/>
          <w:color w:val="548DD4"/>
          <w:sz w:val="24"/>
          <w:szCs w:val="24"/>
        </w:rPr>
      </w:pPr>
    </w:p>
    <w:p w:rsidR="00B5201A" w:rsidRDefault="00B5201A" w:rsidP="00B5201A">
      <w:pPr>
        <w:rPr>
          <w:rFonts w:ascii="Arial Narrow" w:hAnsi="Arial Narrow"/>
        </w:rPr>
      </w:pPr>
      <w:r>
        <w:rPr>
          <w:rFonts w:ascii="Arial Narrow" w:hAnsi="Arial Narrow"/>
        </w:rPr>
        <w:t>In the past few decades massive economic, political, social and cultural transformations have taken place in the region known as Asia. In the process, it has acquired an increasingly prominent place in the world. Whether or not this ‘rise of Asia’ merits talk about a coming ‘Asian century’, it is clear that the historical context for the study of Asia has irrevocably changed.</w:t>
      </w:r>
    </w:p>
    <w:p w:rsidR="00B5201A" w:rsidRDefault="00B5201A" w:rsidP="00B5201A">
      <w:pPr>
        <w:rPr>
          <w:color w:val="1F497D"/>
        </w:rPr>
      </w:pPr>
    </w:p>
    <w:p w:rsidR="00B5201A" w:rsidRDefault="00B5201A" w:rsidP="00B5201A">
      <w:pPr>
        <w:rPr>
          <w:rFonts w:ascii="Arial Narrow" w:hAnsi="Arial Narrow"/>
        </w:rPr>
      </w:pPr>
      <w:r>
        <w:rPr>
          <w:rFonts w:ascii="Arial Narrow" w:hAnsi="Arial Narrow"/>
        </w:rPr>
        <w:t>Four major considerations are at play here</w:t>
      </w:r>
      <w:r>
        <w:rPr>
          <w:rFonts w:ascii="Arial Narrow" w:hAnsi="Arial Narrow"/>
          <w:color w:val="1F497D"/>
        </w:rPr>
        <w:t xml:space="preserve">.  </w:t>
      </w:r>
      <w:r>
        <w:rPr>
          <w:rFonts w:ascii="Arial Narrow" w:hAnsi="Arial Narrow"/>
        </w:rPr>
        <w:t>First, increasing globalisation has led to growing interpenetration and interdependence between different parts of the world. This problematises prevailing boundaries, not least those between ‘Asia’ and ‘the West’.</w:t>
      </w:r>
      <w:r>
        <w:rPr>
          <w:rFonts w:ascii="Arial Narrow" w:hAnsi="Arial Narrow"/>
          <w:color w:val="1F497D"/>
        </w:rPr>
        <w:t xml:space="preserve"> </w:t>
      </w:r>
      <w:r>
        <w:rPr>
          <w:rFonts w:ascii="Arial Narrow" w:hAnsi="Arial Narrow"/>
        </w:rPr>
        <w:t>Cross-border interactions and transnational connections across and beyond the region are now vital determinants of local and national conditions in all parts of Asia. As a consequence, now more than ever, such local and national situations cannot be meaningfully studied without consideration of the constitutive role of the broader regional and global context. At the same time, studies of global significance must increasingly include studies of what is occurring in Asia.</w:t>
      </w:r>
    </w:p>
    <w:p w:rsidR="00B5201A" w:rsidRDefault="00B5201A" w:rsidP="00B5201A">
      <w:pPr>
        <w:rPr>
          <w:color w:val="1F497D"/>
        </w:rPr>
      </w:pPr>
    </w:p>
    <w:p w:rsidR="00B5201A" w:rsidRDefault="00B5201A" w:rsidP="00B5201A">
      <w:pPr>
        <w:rPr>
          <w:rFonts w:ascii="Arial Narrow" w:hAnsi="Arial Narrow"/>
        </w:rPr>
      </w:pPr>
      <w:r>
        <w:rPr>
          <w:rFonts w:ascii="Arial Narrow" w:hAnsi="Arial Narrow"/>
        </w:rPr>
        <w:t>Second, economic development throughout the region has given rise to the emergence of complex and vibrant new societies for which descriptors as ‘traditional’ or ‘postcolonial’ are inadequate, and whose understanding can no longer be pursued through using Western modernity as a benchmark. These societies are becoming modern in their own ways, requiring new concepts and tools for analysis.</w:t>
      </w:r>
    </w:p>
    <w:p w:rsidR="00B5201A" w:rsidRDefault="00B5201A" w:rsidP="00B5201A">
      <w:pPr>
        <w:rPr>
          <w:color w:val="1F497D"/>
        </w:rPr>
      </w:pPr>
    </w:p>
    <w:p w:rsidR="00B5201A" w:rsidRDefault="00B5201A" w:rsidP="00B5201A">
      <w:pPr>
        <w:rPr>
          <w:rFonts w:ascii="Arial Narrow" w:hAnsi="Arial Narrow"/>
        </w:rPr>
      </w:pPr>
      <w:r>
        <w:rPr>
          <w:rFonts w:ascii="Arial Narrow" w:hAnsi="Arial Narrow"/>
        </w:rPr>
        <w:t>Third, these recent transformations have led to a burgeoning interest in studying Asia among scholars who do not call themselves ‘Asianists’, for example in cultural and media studies, gender and sexuality studies, and human and urban geography. Thus, while specialist area studies and the disciplinary cores of political science, history, languages and so forth remain central, intellectual engagement with Asia has widened considerably.</w:t>
      </w:r>
    </w:p>
    <w:p w:rsidR="00B5201A" w:rsidRDefault="00B5201A" w:rsidP="00B5201A">
      <w:pPr>
        <w:rPr>
          <w:color w:val="1F497D"/>
        </w:rPr>
      </w:pPr>
    </w:p>
    <w:p w:rsidR="00B5201A" w:rsidRDefault="00B5201A" w:rsidP="00B5201A">
      <w:pPr>
        <w:rPr>
          <w:rFonts w:ascii="Arial Narrow" w:hAnsi="Arial Narrow"/>
        </w:rPr>
      </w:pPr>
      <w:r>
        <w:rPr>
          <w:rFonts w:ascii="Arial Narrow" w:hAnsi="Arial Narrow"/>
        </w:rPr>
        <w:t>Fourth, and crucially, as modern Asian societies mature there are new generations of Asian scholars who conduct research and scholarship on and within their own societies, establishing their own, intraregional scholarly networks. For these scholars, Asia is not ‘other’, as is still often the case for Western scholars.</w:t>
      </w:r>
    </w:p>
    <w:p w:rsidR="00B5201A" w:rsidRDefault="00B5201A" w:rsidP="00B5201A">
      <w:pPr>
        <w:rPr>
          <w:color w:val="1F497D"/>
        </w:rPr>
      </w:pPr>
    </w:p>
    <w:p w:rsidR="00B5201A" w:rsidRDefault="00B5201A" w:rsidP="00B5201A">
      <w:pPr>
        <w:rPr>
          <w:rFonts w:ascii="Arial Narrow" w:hAnsi="Arial Narrow"/>
        </w:rPr>
      </w:pPr>
      <w:r>
        <w:rPr>
          <w:rFonts w:ascii="Arial Narrow" w:hAnsi="Arial Narrow"/>
        </w:rPr>
        <w:t>In short, as Asia becomes an increasingly prominent, complex and self-confident region in the world, the meanings and potentials of ‘knowing Asia’ require fundamental rethinking at multiple levels.</w:t>
      </w:r>
      <w:r>
        <w:rPr>
          <w:rFonts w:ascii="Arial Narrow" w:hAnsi="Arial Narrow"/>
          <w:color w:val="1F497D"/>
        </w:rPr>
        <w:t xml:space="preserve"> </w:t>
      </w:r>
      <w:r>
        <w:rPr>
          <w:rFonts w:ascii="Arial Narrow" w:hAnsi="Arial Narrow"/>
        </w:rPr>
        <w:t xml:space="preserve">The conference will </w:t>
      </w:r>
      <w:r>
        <w:rPr>
          <w:rFonts w:ascii="Arial Narrow" w:hAnsi="Arial Narrow"/>
        </w:rPr>
        <w:lastRenderedPageBreak/>
        <w:t>encourage reflection on the implications of these shifts on the field of Asian studies, both in Australia and internationally. In this light, we are seeking panel proposals which are organised around themes. At the same time, the conference will be open to general papers as well as area-specific panels.</w:t>
      </w:r>
    </w:p>
    <w:p w:rsidR="00B5201A" w:rsidRDefault="00B5201A" w:rsidP="00B5201A">
      <w:pPr>
        <w:rPr>
          <w:color w:val="1F497D"/>
        </w:rPr>
      </w:pPr>
    </w:p>
    <w:p w:rsidR="00B5201A" w:rsidRDefault="00B5201A" w:rsidP="00B5201A">
      <w:pPr>
        <w:jc w:val="center"/>
        <w:rPr>
          <w:rFonts w:ascii="Arial Narrow" w:hAnsi="Arial Narrow"/>
        </w:rPr>
      </w:pPr>
      <w:r>
        <w:rPr>
          <w:rFonts w:ascii="Arial Narrow" w:hAnsi="Arial Narrow"/>
        </w:rPr>
        <w:t xml:space="preserve">Possible themes (not exclusive, and in no particular order) include: </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‘Chindia’ in the 21st century: myth or reality?</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New Asian hegemonies?</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Transnational Asia: the role of English</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Transport, mobility and tourism</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Australia – Asia interactions</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Translating texts, translating culture</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Nations and their boundaries in a global age</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Gender, sexuality and queer studies</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The politics of heritage, nature and the environment</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Sport and society in Asia</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Urban cultures and social transformation</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Asian regionalism</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Race, ethnicity and multiculturalisms</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Technology and society</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Media and popular culture</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Asian modernities</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Cultural diplomacy and cultural policy</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Religion and secularism</w:t>
      </w:r>
    </w:p>
    <w:p w:rsidR="00B5201A" w:rsidRDefault="00B5201A" w:rsidP="00B5201A">
      <w:pPr>
        <w:numPr>
          <w:ilvl w:val="0"/>
          <w:numId w:val="1"/>
        </w:numPr>
        <w:jc w:val="center"/>
        <w:rPr>
          <w:rFonts w:ascii="Arial Narrow" w:eastAsia="Times New Roman" w:hAnsi="Arial Narrow"/>
        </w:rPr>
      </w:pPr>
      <w:r>
        <w:rPr>
          <w:rFonts w:ascii="Arial Narrow" w:eastAsia="Times New Roman" w:hAnsi="Arial Narrow"/>
        </w:rPr>
        <w:t>Asian Studies in Australian universities.</w:t>
      </w:r>
    </w:p>
    <w:p w:rsidR="00B5201A" w:rsidRDefault="00B5201A" w:rsidP="00B5201A">
      <w:pPr>
        <w:rPr>
          <w:rFonts w:ascii="Arial Narrow" w:hAnsi="Arial Narrow"/>
        </w:rPr>
      </w:pPr>
    </w:p>
    <w:p w:rsidR="00B5201A" w:rsidRDefault="00B5201A" w:rsidP="00B5201A">
      <w:pPr>
        <w:jc w:val="center"/>
        <w:rPr>
          <w:rFonts w:ascii="Arial Narrow" w:hAnsi="Arial Narrow"/>
          <w:b/>
          <w:bCs/>
          <w:color w:val="548DD4"/>
          <w:sz w:val="24"/>
          <w:szCs w:val="24"/>
        </w:rPr>
      </w:pPr>
      <w:r>
        <w:rPr>
          <w:rFonts w:ascii="Arial Narrow" w:hAnsi="Arial Narrow"/>
          <w:b/>
          <w:bCs/>
          <w:color w:val="548DD4"/>
          <w:sz w:val="24"/>
          <w:szCs w:val="24"/>
        </w:rPr>
        <w:t>Paper and Panel Proposals</w:t>
      </w:r>
    </w:p>
    <w:p w:rsidR="00B5201A" w:rsidRDefault="00B5201A" w:rsidP="00B5201A">
      <w:pPr>
        <w:jc w:val="center"/>
        <w:rPr>
          <w:rFonts w:ascii="Arial Narrow" w:hAnsi="Arial Narrow"/>
        </w:rPr>
      </w:pPr>
      <w:r>
        <w:rPr>
          <w:rFonts w:ascii="Arial Narrow" w:hAnsi="Arial Narrow"/>
        </w:rPr>
        <w:t>Paper and panel proposals addressing the conference themes are invited. Proposals spanning one or more themes are especially welcome.</w:t>
      </w:r>
    </w:p>
    <w:p w:rsidR="00B5201A" w:rsidRDefault="00B5201A" w:rsidP="00B5201A">
      <w:pPr>
        <w:numPr>
          <w:ilvl w:val="0"/>
          <w:numId w:val="2"/>
        </w:numPr>
        <w:jc w:val="center"/>
        <w:rPr>
          <w:rFonts w:ascii="Arial Narrow" w:eastAsia="Times New Roman" w:hAnsi="Arial Narrow"/>
        </w:rPr>
      </w:pPr>
      <w:r>
        <w:rPr>
          <w:rFonts w:ascii="Arial Narrow" w:eastAsia="Times New Roman" w:hAnsi="Arial Narrow"/>
        </w:rPr>
        <w:t>Individual paper proposals (200-300 words)</w:t>
      </w:r>
      <w:r w:rsidR="000E0A38">
        <w:rPr>
          <w:rFonts w:ascii="Arial Narrow" w:eastAsia="Times New Roman" w:hAnsi="Arial Narrow"/>
        </w:rPr>
        <w:t xml:space="preserve"> </w:t>
      </w:r>
    </w:p>
    <w:p w:rsidR="00B5201A" w:rsidRDefault="00B5201A" w:rsidP="00B5201A">
      <w:pPr>
        <w:numPr>
          <w:ilvl w:val="0"/>
          <w:numId w:val="2"/>
        </w:numPr>
        <w:jc w:val="center"/>
        <w:rPr>
          <w:rFonts w:ascii="Arial Narrow" w:eastAsia="Times New Roman" w:hAnsi="Arial Narrow"/>
        </w:rPr>
      </w:pPr>
      <w:r>
        <w:rPr>
          <w:rFonts w:ascii="Arial Narrow" w:eastAsia="Times New Roman" w:hAnsi="Arial Narrow"/>
        </w:rPr>
        <w:t>Panel proposals (200 words for the panel concept and 200-300 words on each panel paper)</w:t>
      </w:r>
    </w:p>
    <w:p w:rsidR="00B5201A" w:rsidRDefault="00B5201A" w:rsidP="00B5201A">
      <w:pPr>
        <w:jc w:val="center"/>
        <w:rPr>
          <w:rFonts w:ascii="Arial Narrow" w:hAnsi="Arial Narrow"/>
        </w:rPr>
      </w:pPr>
      <w:r>
        <w:rPr>
          <w:rFonts w:ascii="Arial Narrow" w:hAnsi="Arial Narrow"/>
        </w:rPr>
        <w:t xml:space="preserve">Please </w:t>
      </w:r>
      <w:hyperlink r:id="rId5" w:tgtFrame="_blank" w:history="1">
        <w:r>
          <w:rPr>
            <w:rStyle w:val="Hyperlink"/>
            <w:rFonts w:ascii="Arial Narrow" w:hAnsi="Arial Narrow"/>
          </w:rPr>
          <w:t xml:space="preserve">submit your </w:t>
        </w:r>
        <w:r w:rsidR="000E0A38">
          <w:rPr>
            <w:rStyle w:val="Hyperlink"/>
            <w:rFonts w:ascii="Arial Narrow" w:hAnsi="Arial Narrow"/>
          </w:rPr>
          <w:t>individual paper</w:t>
        </w:r>
        <w:r>
          <w:rPr>
            <w:rStyle w:val="Hyperlink"/>
            <w:rFonts w:ascii="Arial Narrow" w:hAnsi="Arial Narrow"/>
          </w:rPr>
          <w:t xml:space="preserve"> </w:t>
        </w:r>
      </w:hyperlink>
      <w:r w:rsidR="000E0A38">
        <w:rPr>
          <w:rFonts w:ascii="Arial Narrow" w:hAnsi="Arial Narrow"/>
        </w:rPr>
        <w:t xml:space="preserve"> or </w:t>
      </w:r>
      <w:hyperlink r:id="rId6" w:history="1">
        <w:r w:rsidR="000E0A38" w:rsidRPr="000E0A38">
          <w:rPr>
            <w:rStyle w:val="Hyperlink"/>
            <w:rFonts w:ascii="Arial Narrow" w:hAnsi="Arial Narrow"/>
          </w:rPr>
          <w:t>full panel proposal</w:t>
        </w:r>
      </w:hyperlink>
      <w:r w:rsidR="000E0A38">
        <w:rPr>
          <w:rFonts w:ascii="Arial Narrow" w:hAnsi="Arial Narrow"/>
        </w:rPr>
        <w:t xml:space="preserve"> online. </w:t>
      </w:r>
      <w:r>
        <w:rPr>
          <w:rFonts w:ascii="Arial Narrow" w:hAnsi="Arial Narrow"/>
        </w:rPr>
        <w:t xml:space="preserve">Should you have any problems submitting your abstract online, </w:t>
      </w:r>
      <w:r w:rsidR="000E0A38">
        <w:rPr>
          <w:rFonts w:ascii="Arial Narrow" w:hAnsi="Arial Narrow"/>
        </w:rPr>
        <w:t>please contact</w:t>
      </w:r>
      <w:r>
        <w:rPr>
          <w:rFonts w:ascii="Arial Narrow" w:hAnsi="Arial Narrow"/>
        </w:rPr>
        <w:t xml:space="preserve"> </w:t>
      </w:r>
      <w:hyperlink r:id="rId7" w:history="1">
        <w:r>
          <w:rPr>
            <w:rStyle w:val="Hyperlink"/>
            <w:rFonts w:ascii="Arial Narrow" w:hAnsi="Arial Narrow"/>
          </w:rPr>
          <w:t>s.martinez@uws.edu.au</w:t>
        </w:r>
      </w:hyperlink>
    </w:p>
    <w:p w:rsidR="00B5201A" w:rsidRDefault="00B5201A" w:rsidP="00B5201A">
      <w:pPr>
        <w:jc w:val="center"/>
        <w:rPr>
          <w:rFonts w:ascii="Arial Narrow" w:hAnsi="Arial Narrow"/>
        </w:rPr>
      </w:pPr>
      <w:r>
        <w:rPr>
          <w:rFonts w:ascii="Arial Narrow" w:hAnsi="Arial Narrow"/>
        </w:rPr>
        <w:t xml:space="preserve">The deadline for abstract submissions is </w:t>
      </w:r>
      <w:r w:rsidR="00787985">
        <w:rPr>
          <w:rFonts w:ascii="Arial Narrow" w:hAnsi="Arial Narrow"/>
          <w:b/>
          <w:bCs/>
        </w:rPr>
        <w:t>13</w:t>
      </w:r>
      <w:r w:rsidR="000E0A38">
        <w:rPr>
          <w:rFonts w:ascii="Arial Narrow" w:hAnsi="Arial Narrow"/>
          <w:b/>
          <w:bCs/>
        </w:rPr>
        <w:t xml:space="preserve"> March</w:t>
      </w:r>
      <w:r>
        <w:rPr>
          <w:rFonts w:ascii="Arial Narrow" w:hAnsi="Arial Narrow"/>
          <w:b/>
          <w:bCs/>
        </w:rPr>
        <w:t xml:space="preserve"> 2012</w:t>
      </w:r>
      <w:r>
        <w:rPr>
          <w:rFonts w:ascii="Arial Narrow" w:hAnsi="Arial Narrow"/>
        </w:rPr>
        <w:t>.</w:t>
      </w:r>
    </w:p>
    <w:p w:rsidR="00B5201A" w:rsidRDefault="00B5201A" w:rsidP="00B5201A">
      <w:pPr>
        <w:jc w:val="center"/>
        <w:rPr>
          <w:rFonts w:ascii="Arial Narrow" w:hAnsi="Arial Narrow"/>
        </w:rPr>
      </w:pPr>
      <w:r>
        <w:rPr>
          <w:rFonts w:ascii="Arial Narrow" w:hAnsi="Arial Narrow"/>
        </w:rPr>
        <w:t xml:space="preserve">Notification of acceptance will be </w:t>
      </w:r>
      <w:r w:rsidR="00787985" w:rsidRPr="00787985">
        <w:rPr>
          <w:rFonts w:ascii="Arial Narrow" w:hAnsi="Arial Narrow"/>
          <w:bCs/>
        </w:rPr>
        <w:t>in</w:t>
      </w:r>
      <w:r>
        <w:rPr>
          <w:rFonts w:ascii="Arial Narrow" w:hAnsi="Arial Narrow"/>
          <w:b/>
          <w:bCs/>
        </w:rPr>
        <w:t xml:space="preserve"> March 2012</w:t>
      </w:r>
      <w:r>
        <w:rPr>
          <w:rFonts w:ascii="Arial Narrow" w:hAnsi="Arial Narrow"/>
        </w:rPr>
        <w:t>.</w:t>
      </w:r>
    </w:p>
    <w:p w:rsidR="00B5201A" w:rsidRDefault="00B5201A" w:rsidP="00B5201A">
      <w:pPr>
        <w:rPr>
          <w:rFonts w:ascii="Arial Narrow" w:hAnsi="Arial Narrow"/>
        </w:rPr>
      </w:pPr>
    </w:p>
    <w:p w:rsidR="00B5201A" w:rsidRDefault="00B5201A" w:rsidP="00B5201A">
      <w:pPr>
        <w:rPr>
          <w:rFonts w:ascii="Arial Narrow" w:hAnsi="Arial Narrow"/>
        </w:rPr>
      </w:pPr>
    </w:p>
    <w:p w:rsidR="00B5201A" w:rsidRDefault="00B5201A" w:rsidP="00B5201A">
      <w:pPr>
        <w:rPr>
          <w:rFonts w:ascii="Arial Narrow" w:hAnsi="Arial Narrow"/>
        </w:rPr>
      </w:pPr>
      <w:r>
        <w:rPr>
          <w:rFonts w:ascii="Arial Narrow" w:hAnsi="Arial Narrow"/>
        </w:rPr>
        <w:t xml:space="preserve">The 19th Biennial Conference of the Asian Studies Association of Australia (ASAA) will be held on the Parramatta Campus of the University of Western Sydney, Wednesday 11 to Friday 13 July, 2012, hosted by the University's Institute for Culture and Society, the School of Humanities and Communication Arts, and the Centre for the Study of Contemporary Muslim Societies. </w:t>
      </w:r>
      <w:r w:rsidR="000E0A38">
        <w:rPr>
          <w:rFonts w:ascii="Arial Narrow" w:hAnsi="Arial Narrow"/>
        </w:rPr>
        <w:t xml:space="preserve">To read more about the conference, please go to our </w:t>
      </w:r>
      <w:hyperlink r:id="rId8" w:history="1">
        <w:r w:rsidR="000E0A38" w:rsidRPr="000E0A38">
          <w:rPr>
            <w:rStyle w:val="Hyperlink"/>
            <w:rFonts w:ascii="Arial Narrow" w:hAnsi="Arial Narrow"/>
          </w:rPr>
          <w:t>website</w:t>
        </w:r>
      </w:hyperlink>
    </w:p>
    <w:p w:rsidR="00B5201A" w:rsidRDefault="00B5201A" w:rsidP="00B5201A"/>
    <w:p w:rsidR="0068487D" w:rsidRDefault="0068487D"/>
    <w:sectPr w:rsidR="0068487D" w:rsidSect="006848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07C51"/>
    <w:multiLevelType w:val="multilevel"/>
    <w:tmpl w:val="0CF675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5609EB"/>
    <w:multiLevelType w:val="multilevel"/>
    <w:tmpl w:val="5F9083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B5201A"/>
    <w:rsid w:val="000E0A38"/>
    <w:rsid w:val="00112ADC"/>
    <w:rsid w:val="0068487D"/>
    <w:rsid w:val="00787985"/>
    <w:rsid w:val="009672D3"/>
    <w:rsid w:val="009A4844"/>
    <w:rsid w:val="009A5234"/>
    <w:rsid w:val="00B03F46"/>
    <w:rsid w:val="00B5201A"/>
    <w:rsid w:val="00CB0E54"/>
    <w:rsid w:val="00D634F8"/>
    <w:rsid w:val="00F85B05"/>
    <w:rsid w:val="00F92B3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1A"/>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01A"/>
    <w:rPr>
      <w:color w:val="0000FF"/>
      <w:u w:val="single"/>
    </w:rPr>
  </w:style>
  <w:style w:type="paragraph" w:styleId="BalloonText">
    <w:name w:val="Balloon Text"/>
    <w:basedOn w:val="Normal"/>
    <w:link w:val="BalloonTextChar"/>
    <w:uiPriority w:val="99"/>
    <w:semiHidden/>
    <w:unhideWhenUsed/>
    <w:rsid w:val="00B5201A"/>
    <w:rPr>
      <w:rFonts w:ascii="Tahoma" w:hAnsi="Tahoma" w:cs="Tahoma"/>
      <w:sz w:val="16"/>
      <w:szCs w:val="16"/>
    </w:rPr>
  </w:style>
  <w:style w:type="character" w:customStyle="1" w:styleId="BalloonTextChar">
    <w:name w:val="Balloon Text Char"/>
    <w:basedOn w:val="DefaultParagraphFont"/>
    <w:link w:val="BalloonText"/>
    <w:uiPriority w:val="99"/>
    <w:semiHidden/>
    <w:rsid w:val="00B5201A"/>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9924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ws.edu.au/ics/events/asaa_conference" TargetMode="External"/><Relationship Id="rId3" Type="http://schemas.openxmlformats.org/officeDocument/2006/relationships/settings" Target="settings.xml"/><Relationship Id="rId7" Type="http://schemas.openxmlformats.org/officeDocument/2006/relationships/hyperlink" Target="mailto:s.martinez@uws.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ferenceonline.com.au/index.cfm?page=booking&amp;object=abstract&amp;forceHB=1&amp;id=250" TargetMode="External"/><Relationship Id="rId5" Type="http://schemas.openxmlformats.org/officeDocument/2006/relationships/hyperlink" Target="http://www.conferenceonline.com.au/index.cfm?page=booking&amp;object=abstract&amp;forceHB=1&amp;id=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4873</Characters>
  <Application>Microsoft Office Word</Application>
  <DocSecurity>0</DocSecurity>
  <Lines>40</Lines>
  <Paragraphs>11</Paragraphs>
  <ScaleCrop>false</ScaleCrop>
  <Company>UNiversity of Western Sydney</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30011013</dc:creator>
  <cp:lastModifiedBy>30011013</cp:lastModifiedBy>
  <cp:revision>3</cp:revision>
  <dcterms:created xsi:type="dcterms:W3CDTF">2012-02-26T23:25:00Z</dcterms:created>
  <dcterms:modified xsi:type="dcterms:W3CDTF">2012-02-28T00:22:00Z</dcterms:modified>
</cp:coreProperties>
</file>