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3.xml" ContentType="application/vnd.openxmlformats-officedocument.wordprocessingml.header+xml"/>
  <Override PartName="/word/footer40.xml" ContentType="application/vnd.openxmlformats-officedocument.wordprocessingml.footer+xml"/>
  <Override PartName="/word/header4.xml" ContentType="application/vnd.openxmlformats-officedocument.wordprocessingml.header+xml"/>
  <Override PartName="/word/footer41.xml" ContentType="application/vnd.openxmlformats-officedocument.wordprocessingml.footer+xml"/>
  <Override PartName="/word/header5.xml" ContentType="application/vnd.openxmlformats-officedocument.wordprocessingml.header+xml"/>
  <Override PartName="/word/footer42.xml" ContentType="application/vnd.openxmlformats-officedocument.wordprocessingml.footer+xml"/>
  <Override PartName="/word/header6.xml" ContentType="application/vnd.openxmlformats-officedocument.wordprocessingml.header+xml"/>
  <Override PartName="/word/footer4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333616" coordorigin="0,0" coordsize="11906,16838">
            <v:shape style="position:absolute;left:0;top:0;width:11906;height:16838" type="#_x0000_t75" stroked="false">
              <v:imagedata r:id="rId5" o:title=""/>
            </v:shape>
            <v:shape style="position:absolute;left:0;top:12341;width:11906;height:4497" type="#_x0000_t75" stroked="false">
              <v:imagedata r:id="rId6" o:title=""/>
            </v:shape>
            <v:shape style="position:absolute;left:4855;top:1134;width:2095;height:509" type="#_x0000_t75" stroked="false">
              <v:imagedata r:id="rId7" o:title=""/>
            </v:shape>
            <v:shape style="position:absolute;left:4536;top:1136;width:318;height:244" coordorigin="4536,1136" coordsize="318,244" path="m4589,1137l4536,1137,4605,1379,4650,1379,4674,1296,4629,1296,4589,1137xm4742,1226l4694,1226,4738,1379,4784,1379,4808,1296,4761,1296,4742,1226xm4717,1136l4673,1136,4629,1296,4674,1296,4694,1226,4742,1226,4717,1136xm4853,1137l4801,1137,4761,1296,4808,1296,4853,1137xe" filled="true" fillcolor="#000000" stroked="false">
              <v:path arrowok="t"/>
              <v:fill type="solid"/>
            </v:shape>
            <v:line style="position:absolute" from="4878,1306" to="4928,1306" stroked="true" strokeweight="2.7pt" strokecolor="#000000"/>
            <v:line style="position:absolute" from="4878,1209" to="4928,1209" stroked="true" strokeweight="2.6pt" strokecolor="#000000"/>
            <v:shape style="position:absolute;left:6962;top:1137;width:408;height:242" type="#_x0000_t75" stroked="false">
              <v:imagedata r:id="rId8" o:title=""/>
            </v:shape>
            <v:shape style="position:absolute;left:3084;top:1840;width:5738;height:10166" coordorigin="3084,1840" coordsize="5738,10166" path="m6112,1840l6079,1840,6079,1904,6026,2130,6017,2125,6006,2121,5995,2117,5984,2115,5951,1975,5917,2115,5906,2117,5895,2121,5885,2125,5875,2130,5822,1904,5855,1904,5896,2073,5936,1904,5965,1904,6006,2073,6046,1904,6079,1904,6079,1840,5790,1840,5790,2082,5815,2145,5870,2196,5925,2230,5951,2243,5976,2230,6031,2196,6087,2145,6093,2130,6112,2082,6112,1904,6112,1840m8821,4833l8243,4833,8243,5981,7295,9998,7229,9962,7160,9928,7089,9896,7017,9865,6942,9837,6866,9811,6788,9787,6708,9764,6626,9745,6543,9727,5950,7248,5359,9727,5276,9745,5195,9764,5115,9787,5037,9811,4960,9837,4886,9865,4813,9896,4743,9928,4674,9962,4607,9998,3658,5981,4254,5981,4978,8989,5697,5981,6204,5981,6938,8989,7649,5981,8243,5981,8243,4833,3084,4833,3084,9147,3087,9228,3094,9307,3106,9387,3122,9465,3142,9543,3167,9620,3196,9697,3228,9772,3264,9847,3303,9922,3346,9995,3392,10068,3440,10139,3492,10210,3546,10280,3602,10349,3661,10417,3722,10484,3784,10549,3849,10614,3915,10678,3983,10740,4051,10802,4121,10862,4192,10921,4264,10979,4336,11035,4408,11090,4481,11144,4554,11197,4627,11248,4699,11298,4772,11346,4843,11393,4914,11438,4984,11482,5053,11524,5120,11565,5186,11604,5251,11641,5314,11677,5433,11744,5544,11803,5644,11855,5733,11900,5808,11937,5894,11978,5943,12001,5950,12004,5953,12005,5955,12004,5963,12001,6012,11978,6097,11937,6173,11900,6261,11855,6362,11803,6472,11744,6592,11677,6655,11641,6719,11604,6785,11565,6853,11524,6922,11482,6992,11438,7062,11393,7134,11346,7206,11298,7279,11248,7352,11197,7424,11144,7497,11090,7570,11035,7642,10979,7713,10921,7784,10862,7854,10802,7923,10740,7990,10678,8057,10614,8121,10549,8184,10484,8245,10417,8303,10349,8360,10280,8414,10210,8465,10139,8514,10068,8558,9998,8560,9995,8602,9922,8642,9847,8678,9772,8710,9697,8739,9620,8763,9543,8784,9465,8800,9387,8812,9307,8819,9228,8821,9147,8821,5981,8821,4833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300" w:lineRule="exact" w:before="219"/>
        <w:ind w:left="3188" w:right="3186" w:firstLine="0"/>
        <w:jc w:val="center"/>
        <w:rPr>
          <w:sz w:val="28"/>
        </w:rPr>
      </w:pPr>
      <w:r>
        <w:rPr>
          <w:sz w:val="28"/>
        </w:rPr>
        <w:t>ANNUAL REPORT 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pict>
          <v:shapetype id="_x0000_t202" o:spt="202" coordsize="21600,21600" path="m,l,21600r21600,l21600,xe">
            <v:stroke joinstyle="miter"/>
            <v:path gradientshapeok="t" o:connecttype="rect"/>
          </v:shapetype>
          <v:shape style="position:absolute;margin-left:140.975998pt;margin-top:12.905205pt;width:313.6pt;height:92.9pt;mso-position-horizontal-relative:page;mso-position-vertical-relative:paragraph;z-index:0;mso-wrap-distance-left:0;mso-wrap-distance-right:0" type="#_x0000_t202" filled="true" fillcolor="#000000" stroked="false">
            <v:textbox inset="0,0,0,0">
              <w:txbxContent>
                <w:p>
                  <w:pPr>
                    <w:spacing w:before="109"/>
                    <w:ind w:left="133" w:right="135" w:firstLine="0"/>
                    <w:jc w:val="center"/>
                    <w:rPr>
                      <w:rFonts w:ascii="Chronicle Text G1"/>
                      <w:b w:val="0"/>
                      <w:sz w:val="72"/>
                    </w:rPr>
                  </w:pPr>
                  <w:r>
                    <w:rPr>
                      <w:rFonts w:ascii="Chronicle Text G1"/>
                      <w:b w:val="0"/>
                      <w:color w:val="FFFFFF"/>
                      <w:sz w:val="72"/>
                    </w:rPr>
                    <w:t>The Year in Review</w:t>
                  </w:r>
                </w:p>
                <w:p>
                  <w:pPr>
                    <w:spacing w:before="93"/>
                    <w:ind w:left="133" w:right="135" w:firstLine="0"/>
                    <w:jc w:val="center"/>
                    <w:rPr>
                      <w:sz w:val="48"/>
                    </w:rPr>
                  </w:pPr>
                  <w:r>
                    <w:rPr>
                      <w:color w:val="FFFFFF"/>
                      <w:w w:val="90"/>
                      <w:sz w:val="48"/>
                    </w:rPr>
                    <w:t>Volume 1</w:t>
                  </w:r>
                </w:p>
              </w:txbxContent>
            </v:textbox>
            <v:fill type="solid"/>
            <w10:wrap type="topAndBottom"/>
          </v:shape>
        </w:pict>
      </w:r>
    </w:p>
    <w:p>
      <w:pPr>
        <w:spacing w:after="0"/>
        <w:rPr>
          <w:sz w:val="19"/>
        </w:rPr>
        <w:sectPr>
          <w:type w:val="continuous"/>
          <w:pgSz w:w="11910" w:h="16840"/>
          <w:pgMar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even" r:id="rId9"/>
          <w:headerReference w:type="default" r:id="rId10"/>
          <w:footerReference w:type="even" r:id="rId11"/>
          <w:footerReference w:type="default" r:id="rId12"/>
          <w:pgSz w:w="11910" w:h="16840"/>
          <w:pgMar w:header="494" w:footer="473" w:top="680" w:bottom="660" w:left="580" w:right="580"/>
          <w:pgNumType w:start="2"/>
        </w:sectPr>
      </w:pPr>
    </w:p>
    <w:p>
      <w:pPr>
        <w:pStyle w:val="BodyText"/>
        <w:spacing w:before="6"/>
        <w:rPr>
          <w:sz w:val="21"/>
        </w:rPr>
      </w:pPr>
      <w:r>
        <w:rPr/>
        <w:pict>
          <v:rect style="position:absolute;margin-left:34.015999pt;margin-top:45.355015pt;width:527.244pt;height:751.181pt;mso-position-horizontal-relative:page;mso-position-vertical-relative:page;z-index:-333592" filled="true" fillcolor="#e6e7e8" stroked="false">
            <v:fill type="solid"/>
            <w10:wrap type="none"/>
          </v:rect>
        </w:pict>
      </w:r>
    </w:p>
    <w:p>
      <w:pPr>
        <w:pStyle w:val="Heading5"/>
        <w:spacing w:line="260" w:lineRule="exact"/>
        <w:ind w:left="327" w:right="1342"/>
      </w:pPr>
      <w:r>
        <w:rPr/>
        <w:t>ANNUAL </w:t>
      </w:r>
      <w:r>
        <w:rPr>
          <w:w w:val="95"/>
        </w:rPr>
        <w:t>REPORT 2015</w:t>
      </w:r>
    </w:p>
    <w:p>
      <w:pPr>
        <w:pStyle w:val="BodyText"/>
        <w:rPr>
          <w:rFonts w:ascii="Gotham Narrow Bold"/>
          <w:b/>
          <w:sz w:val="24"/>
        </w:rPr>
      </w:pPr>
    </w:p>
    <w:p>
      <w:pPr>
        <w:pStyle w:val="BodyText"/>
        <w:spacing w:before="8"/>
        <w:rPr>
          <w:rFonts w:ascii="Gotham Narrow Bold"/>
          <w:b/>
          <w:sz w:val="24"/>
        </w:rPr>
      </w:pPr>
    </w:p>
    <w:p>
      <w:pPr>
        <w:pStyle w:val="BodyText"/>
        <w:spacing w:line="249" w:lineRule="auto" w:before="1"/>
        <w:ind w:left="327" w:right="73"/>
      </w:pPr>
      <w:r>
        <w:rPr/>
        <w:t>Western</w:t>
      </w:r>
      <w:r>
        <w:rPr>
          <w:spacing w:val="-13"/>
        </w:rPr>
        <w:t> </w:t>
      </w:r>
      <w:r>
        <w:rPr/>
        <w:t>Sydney</w:t>
      </w:r>
      <w:r>
        <w:rPr>
          <w:spacing w:val="-13"/>
        </w:rPr>
        <w:t> </w:t>
      </w:r>
      <w:r>
        <w:rPr/>
        <w:t>University’s</w:t>
      </w:r>
      <w:r>
        <w:rPr>
          <w:spacing w:val="-13"/>
        </w:rPr>
        <w:t> </w:t>
      </w:r>
      <w:r>
        <w:rPr/>
        <w:t>Annual</w:t>
      </w:r>
      <w:r>
        <w:rPr>
          <w:spacing w:val="-13"/>
        </w:rPr>
        <w:t> </w:t>
      </w:r>
      <w:r>
        <w:rPr/>
        <w:t>Report </w:t>
      </w:r>
      <w:r>
        <w:rPr>
          <w:spacing w:val="1"/>
          <w:w w:val="88"/>
        </w:rPr>
        <w:t>2015</w:t>
      </w:r>
      <w:r>
        <w:rPr>
          <w:w w:val="88"/>
        </w:rPr>
        <w:t> </w:t>
      </w:r>
      <w:r>
        <w:rPr>
          <w:spacing w:val="1"/>
          <w:w w:val="95"/>
        </w:rPr>
        <w:t>has</w:t>
      </w:r>
      <w:r>
        <w:rPr>
          <w:w w:val="95"/>
        </w:rPr>
        <w:t> </w:t>
      </w:r>
      <w:r>
        <w:rPr>
          <w:spacing w:val="1"/>
          <w:w w:val="97"/>
        </w:rPr>
        <w:t>been</w:t>
      </w:r>
      <w:r>
        <w:rPr>
          <w:w w:val="97"/>
        </w:rPr>
        <w:t> </w:t>
      </w:r>
      <w:r>
        <w:rPr>
          <w:spacing w:val="1"/>
          <w:w w:val="99"/>
        </w:rPr>
        <w:t>produced</w:t>
      </w:r>
      <w:r>
        <w:rPr>
          <w:w w:val="99"/>
        </w:rPr>
        <w:t> </w:t>
      </w:r>
      <w:r>
        <w:rPr>
          <w:w w:val="95"/>
        </w:rPr>
        <w:t>in </w:t>
      </w:r>
      <w:r>
        <w:rPr>
          <w:w w:val="94"/>
        </w:rPr>
        <w:t>a </w:t>
      </w:r>
      <w:r>
        <w:rPr>
          <w:w w:val="101"/>
        </w:rPr>
        <w:t>two </w:t>
      </w:r>
      <w:r>
        <w:rPr>
          <w:w w:val="97"/>
        </w:rPr>
        <w:t>volume </w:t>
      </w:r>
      <w:r>
        <w:rPr/>
        <w:t>set:</w:t>
      </w:r>
      <w:r>
        <w:rPr>
          <w:spacing w:val="-29"/>
        </w:rPr>
        <w:t> </w:t>
      </w:r>
      <w:r>
        <w:rPr/>
        <w:t>Volume</w:t>
      </w:r>
      <w:r>
        <w:rPr>
          <w:spacing w:val="-29"/>
        </w:rPr>
        <w:t> </w:t>
      </w:r>
      <w:r>
        <w:rPr/>
        <w:t>1,</w:t>
      </w:r>
      <w:r>
        <w:rPr>
          <w:spacing w:val="-29"/>
        </w:rPr>
        <w:t> </w:t>
      </w:r>
      <w:r>
        <w:rPr>
          <w:spacing w:val="2"/>
        </w:rPr>
        <w:t>‘The</w:t>
      </w:r>
      <w:r>
        <w:rPr>
          <w:spacing w:val="-29"/>
        </w:rPr>
        <w:t> </w:t>
      </w:r>
      <w:r>
        <w:rPr/>
        <w:t>Year</w:t>
      </w:r>
      <w:r>
        <w:rPr>
          <w:spacing w:val="-29"/>
        </w:rPr>
        <w:t> </w:t>
      </w:r>
      <w:r>
        <w:rPr/>
        <w:t>in</w:t>
      </w:r>
      <w:r>
        <w:rPr>
          <w:spacing w:val="-29"/>
        </w:rPr>
        <w:t> </w:t>
      </w:r>
      <w:r>
        <w:rPr/>
        <w:t>Review’,</w:t>
      </w:r>
      <w:r>
        <w:rPr>
          <w:spacing w:val="-29"/>
        </w:rPr>
        <w:t> </w:t>
      </w:r>
      <w:r>
        <w:rPr/>
        <w:t>contains statutory</w:t>
      </w:r>
      <w:r>
        <w:rPr>
          <w:spacing w:val="-21"/>
        </w:rPr>
        <w:t> </w:t>
      </w:r>
      <w:r>
        <w:rPr>
          <w:spacing w:val="2"/>
        </w:rPr>
        <w:t>reports,</w:t>
      </w:r>
      <w:r>
        <w:rPr>
          <w:spacing w:val="-21"/>
        </w:rPr>
        <w:t> </w:t>
      </w:r>
      <w:r>
        <w:rPr/>
        <w:t>while</w:t>
      </w:r>
      <w:r>
        <w:rPr>
          <w:spacing w:val="-21"/>
        </w:rPr>
        <w:t> </w:t>
      </w:r>
      <w:r>
        <w:rPr/>
        <w:t>Volume</w:t>
      </w:r>
      <w:r>
        <w:rPr>
          <w:spacing w:val="-21"/>
        </w:rPr>
        <w:t> </w:t>
      </w:r>
      <w:r>
        <w:rPr/>
        <w:t>2,</w:t>
      </w:r>
      <w:r>
        <w:rPr>
          <w:spacing w:val="-21"/>
        </w:rPr>
        <w:t> </w:t>
      </w:r>
      <w:r>
        <w:rPr/>
        <w:t>‘Financial</w:t>
      </w:r>
    </w:p>
    <w:p>
      <w:pPr>
        <w:pStyle w:val="BodyText"/>
        <w:spacing w:line="249" w:lineRule="auto"/>
        <w:ind w:left="327" w:right="-4"/>
      </w:pPr>
      <w:r>
        <w:rPr/>
        <w:t>Statements,’</w:t>
      </w:r>
      <w:r>
        <w:rPr>
          <w:spacing w:val="-24"/>
        </w:rPr>
        <w:t> </w:t>
      </w:r>
      <w:r>
        <w:rPr/>
        <w:t>contains</w:t>
      </w:r>
      <w:r>
        <w:rPr>
          <w:spacing w:val="-24"/>
        </w:rPr>
        <w:t> </w:t>
      </w:r>
      <w:r>
        <w:rPr/>
        <w:t>the</w:t>
      </w:r>
      <w:r>
        <w:rPr>
          <w:spacing w:val="-24"/>
        </w:rPr>
        <w:t> </w:t>
      </w:r>
      <w:r>
        <w:rPr/>
        <w:t>financial</w:t>
      </w:r>
      <w:r>
        <w:rPr>
          <w:spacing w:val="-24"/>
        </w:rPr>
        <w:t> </w:t>
      </w:r>
      <w:r>
        <w:rPr/>
        <w:t>statements of</w:t>
      </w:r>
      <w:r>
        <w:rPr>
          <w:spacing w:val="-20"/>
        </w:rPr>
        <w:t> </w:t>
      </w:r>
      <w:r>
        <w:rPr/>
        <w:t>the</w:t>
      </w:r>
      <w:r>
        <w:rPr>
          <w:spacing w:val="-20"/>
        </w:rPr>
        <w:t> </w:t>
      </w:r>
      <w:r>
        <w:rPr/>
        <w:t>University</w:t>
      </w:r>
      <w:r>
        <w:rPr>
          <w:spacing w:val="-20"/>
        </w:rPr>
        <w:t> </w:t>
      </w:r>
      <w:r>
        <w:rPr/>
        <w:t>and</w:t>
      </w:r>
      <w:r>
        <w:rPr>
          <w:spacing w:val="-20"/>
        </w:rPr>
        <w:t> </w:t>
      </w:r>
      <w:r>
        <w:rPr/>
        <w:t>related</w:t>
      </w:r>
      <w:r>
        <w:rPr>
          <w:spacing w:val="-20"/>
        </w:rPr>
        <w:t> </w:t>
      </w:r>
      <w:r>
        <w:rPr/>
        <w:t>entities.</w:t>
      </w:r>
    </w:p>
    <w:p>
      <w:pPr>
        <w:pStyle w:val="BodyText"/>
        <w:rPr>
          <w:sz w:val="14"/>
        </w:rPr>
      </w:pPr>
    </w:p>
    <w:p>
      <w:pPr>
        <w:pStyle w:val="BodyText"/>
        <w:spacing w:line="249" w:lineRule="auto"/>
        <w:ind w:left="327" w:right="42"/>
      </w:pPr>
      <w:r>
        <w:rPr/>
        <w:t>The cost of production of the Annual Report </w:t>
      </w:r>
      <w:r>
        <w:rPr>
          <w:w w:val="88"/>
        </w:rPr>
        <w:t>2015 </w:t>
      </w:r>
      <w:r>
        <w:rPr>
          <w:w w:val="95"/>
        </w:rPr>
        <w:t>is </w:t>
      </w:r>
      <w:r>
        <w:rPr>
          <w:w w:val="87"/>
        </w:rPr>
        <w:t>$12,500.</w:t>
      </w:r>
    </w:p>
    <w:p>
      <w:pPr>
        <w:pStyle w:val="BodyText"/>
        <w:rPr>
          <w:sz w:val="14"/>
        </w:rPr>
      </w:pPr>
    </w:p>
    <w:p>
      <w:pPr>
        <w:pStyle w:val="BodyText"/>
        <w:spacing w:line="249" w:lineRule="auto"/>
        <w:ind w:left="327" w:right="231"/>
        <w:rPr>
          <w:rFonts w:ascii="Calibri"/>
        </w:rPr>
      </w:pPr>
      <w:r>
        <w:rPr>
          <w:w w:val="105"/>
        </w:rPr>
        <w:t>The University Annual </w:t>
      </w:r>
      <w:r>
        <w:rPr>
          <w:spacing w:val="2"/>
          <w:w w:val="105"/>
        </w:rPr>
        <w:t>Reports </w:t>
      </w:r>
      <w:r>
        <w:rPr>
          <w:w w:val="105"/>
        </w:rPr>
        <w:t>are also available</w:t>
      </w:r>
      <w:r>
        <w:rPr>
          <w:spacing w:val="-40"/>
          <w:w w:val="105"/>
        </w:rPr>
        <w:t> </w:t>
      </w:r>
      <w:r>
        <w:rPr>
          <w:w w:val="105"/>
        </w:rPr>
        <w:t>via</w:t>
      </w:r>
      <w:r>
        <w:rPr>
          <w:spacing w:val="-40"/>
          <w:w w:val="105"/>
        </w:rPr>
        <w:t> </w:t>
      </w:r>
      <w:r>
        <w:rPr>
          <w:w w:val="105"/>
        </w:rPr>
        <w:t>the</w:t>
      </w:r>
      <w:r>
        <w:rPr>
          <w:spacing w:val="-40"/>
          <w:w w:val="105"/>
        </w:rPr>
        <w:t> </w:t>
      </w:r>
      <w:r>
        <w:rPr>
          <w:w w:val="105"/>
        </w:rPr>
        <w:t>Internet</w:t>
      </w:r>
      <w:r>
        <w:rPr>
          <w:spacing w:val="-40"/>
          <w:w w:val="105"/>
        </w:rPr>
        <w:t> </w:t>
      </w:r>
      <w:r>
        <w:rPr>
          <w:w w:val="105"/>
        </w:rPr>
        <w:t>and</w:t>
      </w:r>
      <w:r>
        <w:rPr>
          <w:spacing w:val="-40"/>
          <w:w w:val="105"/>
        </w:rPr>
        <w:t> </w:t>
      </w:r>
      <w:r>
        <w:rPr>
          <w:w w:val="105"/>
        </w:rPr>
        <w:t>can</w:t>
      </w:r>
      <w:r>
        <w:rPr>
          <w:spacing w:val="-40"/>
          <w:w w:val="105"/>
        </w:rPr>
        <w:t> </w:t>
      </w:r>
      <w:r>
        <w:rPr>
          <w:w w:val="105"/>
        </w:rPr>
        <w:t>be</w:t>
      </w:r>
      <w:r>
        <w:rPr>
          <w:spacing w:val="-40"/>
          <w:w w:val="105"/>
        </w:rPr>
        <w:t> </w:t>
      </w:r>
      <w:r>
        <w:rPr>
          <w:w w:val="105"/>
        </w:rPr>
        <w:t>found on</w:t>
      </w:r>
      <w:r>
        <w:rPr>
          <w:spacing w:val="-17"/>
          <w:w w:val="105"/>
        </w:rPr>
        <w:t> </w:t>
      </w:r>
      <w:r>
        <w:rPr>
          <w:w w:val="105"/>
        </w:rPr>
        <w:t>our</w:t>
      </w:r>
      <w:r>
        <w:rPr>
          <w:spacing w:val="-17"/>
          <w:w w:val="105"/>
        </w:rPr>
        <w:t> </w:t>
      </w:r>
      <w:r>
        <w:rPr>
          <w:w w:val="105"/>
        </w:rPr>
        <w:t>website</w:t>
      </w:r>
      <w:r>
        <w:rPr>
          <w:spacing w:val="-17"/>
          <w:w w:val="105"/>
        </w:rPr>
        <w:t> </w:t>
      </w:r>
      <w:r>
        <w:rPr>
          <w:w w:val="105"/>
        </w:rPr>
        <w:t>at</w:t>
      </w:r>
      <w:r>
        <w:rPr>
          <w:spacing w:val="-17"/>
          <w:w w:val="105"/>
        </w:rPr>
        <w:t> </w:t>
      </w:r>
      <w:r>
        <w:rPr>
          <w:rFonts w:ascii="Calibri"/>
          <w:w w:val="105"/>
        </w:rPr>
        <w:t>westernsydney.edu.au</w:t>
      </w:r>
    </w:p>
    <w:p>
      <w:pPr>
        <w:pStyle w:val="BodyText"/>
        <w:rPr>
          <w:rFonts w:ascii="Calibri"/>
        </w:rPr>
      </w:pPr>
    </w:p>
    <w:p>
      <w:pPr>
        <w:pStyle w:val="BodyText"/>
        <w:rPr>
          <w:rFonts w:ascii="Calibri"/>
        </w:rPr>
      </w:pPr>
    </w:p>
    <w:p>
      <w:pPr>
        <w:pStyle w:val="BodyText"/>
        <w:spacing w:before="10"/>
        <w:rPr>
          <w:rFonts w:ascii="Calibri"/>
          <w:sz w:val="18"/>
        </w:rPr>
      </w:pPr>
    </w:p>
    <w:p>
      <w:pPr>
        <w:pStyle w:val="Heading8"/>
        <w:spacing w:line="249" w:lineRule="auto"/>
        <w:ind w:left="327" w:right="73"/>
      </w:pPr>
      <w:r>
        <w:rPr/>
        <w:t>WESTERN SYDNEY UNIVERSITY </w:t>
      </w:r>
      <w:r>
        <w:rPr>
          <w:w w:val="95"/>
        </w:rPr>
        <w:t>ACKNOWLEDGES THE TRADITIONAL </w:t>
      </w:r>
      <w:r>
        <w:rPr/>
        <w:t>OWNERS</w:t>
      </w:r>
    </w:p>
    <w:p>
      <w:pPr>
        <w:pStyle w:val="BodyText"/>
        <w:spacing w:line="249" w:lineRule="auto" w:before="79"/>
        <w:ind w:left="327" w:right="-4"/>
      </w:pPr>
      <w:r>
        <w:rPr/>
        <w:t>With respect to Aboriginal cultural protocol and out of recognition that its campuses occupy Aboriginal traditional lands, the University acknowledges the Darug, Gandangara,</w:t>
      </w:r>
      <w:r>
        <w:rPr>
          <w:spacing w:val="-21"/>
        </w:rPr>
        <w:t> </w:t>
      </w:r>
      <w:r>
        <w:rPr/>
        <w:t>Tharawal</w:t>
      </w:r>
      <w:r>
        <w:rPr>
          <w:spacing w:val="-21"/>
        </w:rPr>
        <w:t> </w:t>
      </w:r>
      <w:r>
        <w:rPr/>
        <w:t>and</w:t>
      </w:r>
      <w:r>
        <w:rPr>
          <w:spacing w:val="-21"/>
        </w:rPr>
        <w:t> </w:t>
      </w:r>
      <w:r>
        <w:rPr/>
        <w:t>Wiradjuri</w:t>
      </w:r>
      <w:r>
        <w:rPr>
          <w:spacing w:val="-21"/>
        </w:rPr>
        <w:t> </w:t>
      </w:r>
      <w:r>
        <w:rPr/>
        <w:t>peoples and</w:t>
      </w:r>
      <w:r>
        <w:rPr>
          <w:spacing w:val="-14"/>
        </w:rPr>
        <w:t> </w:t>
      </w:r>
      <w:r>
        <w:rPr/>
        <w:t>thanks</w:t>
      </w:r>
      <w:r>
        <w:rPr>
          <w:spacing w:val="-14"/>
        </w:rPr>
        <w:t> </w:t>
      </w:r>
      <w:r>
        <w:rPr/>
        <w:t>them</w:t>
      </w:r>
      <w:r>
        <w:rPr>
          <w:spacing w:val="-14"/>
        </w:rPr>
        <w:t> </w:t>
      </w:r>
      <w:r>
        <w:rPr/>
        <w:t>for</w:t>
      </w:r>
      <w:r>
        <w:rPr>
          <w:spacing w:val="-14"/>
        </w:rPr>
        <w:t> </w:t>
      </w:r>
      <w:r>
        <w:rPr/>
        <w:t>their</w:t>
      </w:r>
      <w:r>
        <w:rPr>
          <w:spacing w:val="-14"/>
        </w:rPr>
        <w:t> </w:t>
      </w:r>
      <w:r>
        <w:rPr/>
        <w:t>support</w:t>
      </w:r>
      <w:r>
        <w:rPr>
          <w:spacing w:val="-14"/>
        </w:rPr>
        <w:t> </w:t>
      </w:r>
      <w:r>
        <w:rPr/>
        <w:t>of</w:t>
      </w:r>
      <w:r>
        <w:rPr>
          <w:spacing w:val="-14"/>
        </w:rPr>
        <w:t> </w:t>
      </w:r>
      <w:r>
        <w:rPr/>
        <w:t>its</w:t>
      </w:r>
      <w:r>
        <w:rPr>
          <w:spacing w:val="-14"/>
        </w:rPr>
        <w:t> </w:t>
      </w:r>
      <w:r>
        <w:rPr/>
        <w:t>work on their lands. It is the University’s practice that</w:t>
      </w:r>
      <w:r>
        <w:rPr>
          <w:spacing w:val="-11"/>
        </w:rPr>
        <w:t> </w:t>
      </w:r>
      <w:r>
        <w:rPr/>
        <w:t>appropriate</w:t>
      </w:r>
      <w:r>
        <w:rPr>
          <w:spacing w:val="-11"/>
        </w:rPr>
        <w:t> </w:t>
      </w:r>
      <w:r>
        <w:rPr/>
        <w:t>Aboriginal</w:t>
      </w:r>
      <w:r>
        <w:rPr>
          <w:spacing w:val="-11"/>
        </w:rPr>
        <w:t> </w:t>
      </w:r>
      <w:r>
        <w:rPr/>
        <w:t>cultural</w:t>
      </w:r>
      <w:r>
        <w:rPr>
          <w:spacing w:val="-11"/>
        </w:rPr>
        <w:t> </w:t>
      </w:r>
      <w:r>
        <w:rPr/>
        <w:t>protocols be observed before formal meetings, conferences</w:t>
      </w:r>
      <w:r>
        <w:rPr>
          <w:spacing w:val="-27"/>
        </w:rPr>
        <w:t> </w:t>
      </w:r>
      <w:r>
        <w:rPr/>
        <w:t>or</w:t>
      </w:r>
      <w:r>
        <w:rPr>
          <w:spacing w:val="-27"/>
        </w:rPr>
        <w:t> </w:t>
      </w:r>
      <w:r>
        <w:rPr/>
        <w:t>events.</w:t>
      </w:r>
    </w:p>
    <w:p>
      <w:pPr>
        <w:pStyle w:val="BodyText"/>
        <w:spacing w:before="6"/>
        <w:rPr>
          <w:sz w:val="21"/>
        </w:rPr>
      </w:pPr>
      <w:r>
        <w:rPr/>
        <w:br w:type="column"/>
      </w:r>
      <w:r>
        <w:rPr>
          <w:sz w:val="21"/>
        </w:rPr>
      </w:r>
    </w:p>
    <w:p>
      <w:pPr>
        <w:pStyle w:val="Heading5"/>
        <w:spacing w:line="260" w:lineRule="exact"/>
        <w:ind w:left="227" w:right="5607"/>
      </w:pPr>
      <w:r>
        <w:rPr/>
        <w:t>LETTER OF </w:t>
      </w:r>
      <w:r>
        <w:rPr>
          <w:w w:val="95"/>
        </w:rPr>
        <w:t>SUBMISSION</w:t>
      </w:r>
    </w:p>
    <w:p>
      <w:pPr>
        <w:pStyle w:val="BodyText"/>
        <w:rPr>
          <w:rFonts w:ascii="Gotham Narrow Bold"/>
          <w:b/>
          <w:sz w:val="24"/>
        </w:rPr>
      </w:pPr>
    </w:p>
    <w:p>
      <w:pPr>
        <w:pStyle w:val="BodyText"/>
        <w:spacing w:before="8"/>
        <w:rPr>
          <w:rFonts w:ascii="Gotham Narrow Bold"/>
          <w:b/>
          <w:sz w:val="24"/>
        </w:rPr>
      </w:pPr>
    </w:p>
    <w:p>
      <w:pPr>
        <w:pStyle w:val="BodyText"/>
        <w:spacing w:line="460" w:lineRule="auto" w:before="1"/>
        <w:ind w:left="227" w:right="6028"/>
      </w:pPr>
      <w:r>
        <w:rPr>
          <w:w w:val="91"/>
        </w:rPr>
        <w:t>7 </w:t>
      </w:r>
      <w:r>
        <w:rPr>
          <w:w w:val="100"/>
        </w:rPr>
        <w:t>April </w:t>
      </w:r>
      <w:r>
        <w:rPr>
          <w:w w:val="90"/>
        </w:rPr>
        <w:t>2016 </w:t>
      </w:r>
      <w:r>
        <w:rPr>
          <w:w w:val="95"/>
        </w:rPr>
        <w:t>Dear Minister,</w:t>
      </w:r>
    </w:p>
    <w:p>
      <w:pPr>
        <w:pStyle w:val="BodyText"/>
        <w:spacing w:line="249" w:lineRule="auto"/>
        <w:ind w:left="227" w:right="3970"/>
      </w:pPr>
      <w:r>
        <w:rPr/>
        <w:t>The Board of Trustees of Western Sydney University is pleased to submit the Annual Report</w:t>
      </w:r>
      <w:r>
        <w:rPr>
          <w:spacing w:val="-12"/>
        </w:rPr>
        <w:t> </w:t>
      </w:r>
      <w:r>
        <w:rPr/>
        <w:t>of</w:t>
      </w:r>
      <w:r>
        <w:rPr>
          <w:spacing w:val="-12"/>
        </w:rPr>
        <w:t> </w:t>
      </w:r>
      <w:r>
        <w:rPr/>
        <w:t>the</w:t>
      </w:r>
      <w:r>
        <w:rPr>
          <w:spacing w:val="-12"/>
        </w:rPr>
        <w:t> </w:t>
      </w:r>
      <w:r>
        <w:rPr/>
        <w:t>proceedings</w:t>
      </w:r>
      <w:r>
        <w:rPr>
          <w:spacing w:val="-12"/>
        </w:rPr>
        <w:t> </w:t>
      </w:r>
      <w:r>
        <w:rPr/>
        <w:t>of</w:t>
      </w:r>
      <w:r>
        <w:rPr>
          <w:spacing w:val="-12"/>
        </w:rPr>
        <w:t> </w:t>
      </w:r>
      <w:r>
        <w:rPr/>
        <w:t>the</w:t>
      </w:r>
      <w:r>
        <w:rPr>
          <w:spacing w:val="-12"/>
        </w:rPr>
        <w:t> </w:t>
      </w:r>
      <w:r>
        <w:rPr/>
        <w:t>University and</w:t>
      </w:r>
      <w:r>
        <w:rPr>
          <w:spacing w:val="-16"/>
        </w:rPr>
        <w:t> </w:t>
      </w:r>
      <w:r>
        <w:rPr/>
        <w:t>its</w:t>
      </w:r>
      <w:r>
        <w:rPr>
          <w:spacing w:val="-16"/>
        </w:rPr>
        <w:t> </w:t>
      </w:r>
      <w:r>
        <w:rPr/>
        <w:t>audited</w:t>
      </w:r>
      <w:r>
        <w:rPr>
          <w:spacing w:val="-16"/>
        </w:rPr>
        <w:t> </w:t>
      </w:r>
      <w:r>
        <w:rPr/>
        <w:t>Financial</w:t>
      </w:r>
      <w:r>
        <w:rPr>
          <w:spacing w:val="-16"/>
        </w:rPr>
        <w:t> </w:t>
      </w:r>
      <w:r>
        <w:rPr/>
        <w:t>Statements</w:t>
      </w:r>
      <w:r>
        <w:rPr>
          <w:spacing w:val="-16"/>
        </w:rPr>
        <w:t> </w:t>
      </w:r>
      <w:r>
        <w:rPr/>
        <w:t>for</w:t>
      </w:r>
      <w:r>
        <w:rPr>
          <w:spacing w:val="-7"/>
        </w:rPr>
        <w:t> </w:t>
      </w:r>
      <w:r>
        <w:rPr/>
        <w:t>the</w:t>
      </w:r>
      <w:r>
        <w:rPr>
          <w:spacing w:val="-12"/>
        </w:rPr>
        <w:t> </w:t>
      </w:r>
      <w:r>
        <w:rPr>
          <w:w w:val="97"/>
        </w:rPr>
        <w:t>year </w:t>
      </w:r>
      <w:r>
        <w:rPr>
          <w:spacing w:val="1"/>
          <w:w w:val="98"/>
        </w:rPr>
        <w:t>ended</w:t>
      </w:r>
      <w:r>
        <w:rPr>
          <w:w w:val="98"/>
        </w:rPr>
        <w:t> </w:t>
      </w:r>
      <w:r>
        <w:rPr>
          <w:spacing w:val="2"/>
          <w:w w:val="74"/>
        </w:rPr>
        <w:t>31</w:t>
      </w:r>
      <w:r>
        <w:rPr>
          <w:w w:val="74"/>
        </w:rPr>
        <w:t> </w:t>
      </w:r>
      <w:r>
        <w:rPr>
          <w:spacing w:val="1"/>
          <w:w w:val="98"/>
        </w:rPr>
        <w:t>December</w:t>
      </w:r>
      <w:r>
        <w:rPr>
          <w:w w:val="98"/>
        </w:rPr>
        <w:t> </w:t>
      </w:r>
      <w:r>
        <w:rPr>
          <w:spacing w:val="1"/>
          <w:w w:val="84"/>
        </w:rPr>
        <w:t>2015,</w:t>
      </w:r>
      <w:r>
        <w:rPr>
          <w:spacing w:val="-9"/>
          <w:w w:val="84"/>
        </w:rPr>
        <w:t> </w:t>
      </w:r>
      <w:r>
        <w:rPr>
          <w:w w:val="98"/>
        </w:rPr>
        <w:t>for</w:t>
      </w:r>
    </w:p>
    <w:p>
      <w:pPr>
        <w:pStyle w:val="BodyText"/>
        <w:spacing w:line="249" w:lineRule="auto"/>
        <w:ind w:left="227" w:right="3966"/>
      </w:pPr>
      <w:r>
        <w:rPr/>
        <w:t>your presentation to the New South Wales Parliament.</w:t>
      </w:r>
    </w:p>
    <w:p>
      <w:pPr>
        <w:pStyle w:val="BodyText"/>
        <w:rPr>
          <w:sz w:val="14"/>
        </w:rPr>
      </w:pPr>
    </w:p>
    <w:p>
      <w:pPr>
        <w:spacing w:line="247" w:lineRule="auto" w:before="0"/>
        <w:ind w:left="227" w:right="3610" w:firstLine="0"/>
        <w:jc w:val="left"/>
        <w:rPr>
          <w:rFonts w:ascii="Century Gothic"/>
          <w:i/>
          <w:sz w:val="16"/>
        </w:rPr>
      </w:pPr>
      <w:r>
        <w:rPr>
          <w:sz w:val="16"/>
        </w:rPr>
        <w:t>The</w:t>
      </w:r>
      <w:r>
        <w:rPr>
          <w:spacing w:val="-15"/>
          <w:sz w:val="16"/>
        </w:rPr>
        <w:t> </w:t>
      </w:r>
      <w:r>
        <w:rPr>
          <w:sz w:val="16"/>
        </w:rPr>
        <w:t>Annual</w:t>
      </w:r>
      <w:r>
        <w:rPr>
          <w:spacing w:val="-15"/>
          <w:sz w:val="16"/>
        </w:rPr>
        <w:t> </w:t>
      </w:r>
      <w:r>
        <w:rPr>
          <w:sz w:val="16"/>
        </w:rPr>
        <w:t>Report</w:t>
      </w:r>
      <w:r>
        <w:rPr>
          <w:spacing w:val="-15"/>
          <w:sz w:val="16"/>
        </w:rPr>
        <w:t> </w:t>
      </w:r>
      <w:r>
        <w:rPr>
          <w:sz w:val="16"/>
        </w:rPr>
        <w:t>and</w:t>
      </w:r>
      <w:r>
        <w:rPr>
          <w:spacing w:val="-15"/>
          <w:sz w:val="16"/>
        </w:rPr>
        <w:t> </w:t>
      </w:r>
      <w:r>
        <w:rPr>
          <w:sz w:val="16"/>
        </w:rPr>
        <w:t>Financial</w:t>
      </w:r>
      <w:r>
        <w:rPr>
          <w:spacing w:val="-15"/>
          <w:sz w:val="16"/>
        </w:rPr>
        <w:t> </w:t>
      </w:r>
      <w:r>
        <w:rPr>
          <w:sz w:val="16"/>
        </w:rPr>
        <w:t>Statements have been prepared and submitted in accordance with the </w:t>
      </w:r>
      <w:r>
        <w:rPr>
          <w:rFonts w:ascii="Century Gothic"/>
          <w:i/>
          <w:sz w:val="16"/>
        </w:rPr>
        <w:t>Annual Reports </w:t>
      </w:r>
      <w:r>
        <w:rPr>
          <w:rFonts w:ascii="Century Gothic"/>
          <w:i/>
          <w:sz w:val="16"/>
        </w:rPr>
        <w:t>(Statutory</w:t>
      </w:r>
      <w:r>
        <w:rPr>
          <w:rFonts w:ascii="Century Gothic"/>
          <w:i/>
          <w:spacing w:val="-28"/>
          <w:sz w:val="16"/>
        </w:rPr>
        <w:t> </w:t>
      </w:r>
      <w:r>
        <w:rPr>
          <w:rFonts w:ascii="Century Gothic"/>
          <w:i/>
          <w:sz w:val="16"/>
        </w:rPr>
        <w:t>Bodies)</w:t>
      </w:r>
      <w:r>
        <w:rPr>
          <w:rFonts w:ascii="Century Gothic"/>
          <w:i/>
          <w:spacing w:val="-28"/>
          <w:sz w:val="16"/>
        </w:rPr>
        <w:t> </w:t>
      </w:r>
      <w:r>
        <w:rPr>
          <w:rFonts w:ascii="Century Gothic"/>
          <w:i/>
          <w:sz w:val="16"/>
        </w:rPr>
        <w:t>Act</w:t>
      </w:r>
      <w:r>
        <w:rPr>
          <w:rFonts w:ascii="Century Gothic"/>
          <w:i/>
          <w:spacing w:val="-28"/>
          <w:sz w:val="16"/>
        </w:rPr>
        <w:t> </w:t>
      </w:r>
      <w:r>
        <w:rPr>
          <w:rFonts w:ascii="Century Gothic"/>
          <w:i/>
          <w:spacing w:val="3"/>
          <w:sz w:val="16"/>
        </w:rPr>
        <w:t>1984</w:t>
      </w:r>
      <w:r>
        <w:rPr>
          <w:rFonts w:ascii="Century Gothic"/>
          <w:i/>
          <w:spacing w:val="-28"/>
          <w:sz w:val="16"/>
        </w:rPr>
        <w:t> </w:t>
      </w:r>
      <w:r>
        <w:rPr>
          <w:sz w:val="16"/>
        </w:rPr>
        <w:t>and</w:t>
      </w:r>
      <w:r>
        <w:rPr>
          <w:spacing w:val="-34"/>
          <w:sz w:val="16"/>
        </w:rPr>
        <w:t> </w:t>
      </w:r>
      <w:r>
        <w:rPr>
          <w:sz w:val="16"/>
        </w:rPr>
        <w:t>the</w:t>
      </w:r>
      <w:r>
        <w:rPr>
          <w:spacing w:val="-34"/>
          <w:sz w:val="16"/>
        </w:rPr>
        <w:t> </w:t>
      </w:r>
      <w:r>
        <w:rPr>
          <w:rFonts w:ascii="Century Gothic"/>
          <w:i/>
          <w:sz w:val="16"/>
        </w:rPr>
        <w:t>Public </w:t>
      </w:r>
      <w:r>
        <w:rPr>
          <w:rFonts w:ascii="Century Gothic"/>
          <w:i/>
          <w:w w:val="90"/>
          <w:sz w:val="16"/>
        </w:rPr>
        <w:t>Finance</w:t>
      </w:r>
      <w:r>
        <w:rPr>
          <w:rFonts w:ascii="Century Gothic"/>
          <w:i/>
          <w:spacing w:val="-23"/>
          <w:w w:val="90"/>
          <w:sz w:val="16"/>
        </w:rPr>
        <w:t> </w:t>
      </w:r>
      <w:r>
        <w:rPr>
          <w:rFonts w:ascii="Century Gothic"/>
          <w:i/>
          <w:w w:val="90"/>
          <w:sz w:val="16"/>
        </w:rPr>
        <w:t>and</w:t>
      </w:r>
      <w:r>
        <w:rPr>
          <w:rFonts w:ascii="Century Gothic"/>
          <w:i/>
          <w:spacing w:val="-23"/>
          <w:w w:val="90"/>
          <w:sz w:val="16"/>
        </w:rPr>
        <w:t> </w:t>
      </w:r>
      <w:r>
        <w:rPr>
          <w:rFonts w:ascii="Century Gothic"/>
          <w:i/>
          <w:w w:val="90"/>
          <w:sz w:val="16"/>
        </w:rPr>
        <w:t>Audit</w:t>
      </w:r>
      <w:r>
        <w:rPr>
          <w:rFonts w:ascii="Century Gothic"/>
          <w:i/>
          <w:spacing w:val="-23"/>
          <w:w w:val="90"/>
          <w:sz w:val="16"/>
        </w:rPr>
        <w:t> </w:t>
      </w:r>
      <w:r>
        <w:rPr>
          <w:rFonts w:ascii="Century Gothic"/>
          <w:i/>
          <w:w w:val="90"/>
          <w:sz w:val="16"/>
        </w:rPr>
        <w:t>Act</w:t>
      </w:r>
      <w:r>
        <w:rPr>
          <w:rFonts w:ascii="Century Gothic"/>
          <w:i/>
          <w:spacing w:val="-23"/>
          <w:w w:val="90"/>
          <w:sz w:val="16"/>
        </w:rPr>
        <w:t> </w:t>
      </w:r>
      <w:r>
        <w:rPr>
          <w:rFonts w:ascii="Century Gothic"/>
          <w:i/>
          <w:spacing w:val="3"/>
          <w:w w:val="90"/>
          <w:sz w:val="16"/>
        </w:rPr>
        <w:t>1983.</w:t>
      </w:r>
    </w:p>
    <w:p>
      <w:pPr>
        <w:pStyle w:val="BodyText"/>
        <w:spacing w:before="9"/>
        <w:rPr>
          <w:rFonts w:ascii="Century Gothic"/>
          <w:i/>
          <w:sz w:val="13"/>
        </w:rPr>
      </w:pPr>
    </w:p>
    <w:p>
      <w:pPr>
        <w:pStyle w:val="BodyText"/>
        <w:ind w:left="227" w:right="5607"/>
      </w:pPr>
      <w:r>
        <w:rPr>
          <w:w w:val="95"/>
        </w:rPr>
        <w:t>Yours sincerely,</w:t>
      </w:r>
    </w:p>
    <w:p>
      <w:pPr>
        <w:pStyle w:val="BodyText"/>
        <w:spacing w:before="3"/>
        <w:rPr>
          <w:sz w:val="15"/>
        </w:rPr>
      </w:pPr>
    </w:p>
    <w:p>
      <w:pPr>
        <w:pStyle w:val="BodyText"/>
        <w:spacing w:line="194" w:lineRule="exact"/>
        <w:ind w:left="227" w:right="3970"/>
        <w:rPr>
          <w:rFonts w:ascii="Calibri"/>
        </w:rPr>
      </w:pPr>
      <w:r>
        <w:rPr>
          <w:rFonts w:ascii="Calibri"/>
          <w:w w:val="110"/>
        </w:rPr>
        <w:t>Professor Peter Shergold, AC</w:t>
      </w:r>
    </w:p>
    <w:p>
      <w:pPr>
        <w:pStyle w:val="BodyText"/>
        <w:spacing w:line="192" w:lineRule="exact"/>
        <w:ind w:left="227" w:right="5607"/>
      </w:pPr>
      <w:r>
        <w:rPr/>
        <w:t>Chancellor</w:t>
      </w:r>
    </w:p>
    <w:p>
      <w:pPr>
        <w:pStyle w:val="BodyText"/>
        <w:spacing w:before="3"/>
        <w:rPr>
          <w:sz w:val="15"/>
        </w:rPr>
      </w:pPr>
    </w:p>
    <w:p>
      <w:pPr>
        <w:pStyle w:val="BodyText"/>
        <w:spacing w:line="194" w:lineRule="exact"/>
        <w:ind w:left="227" w:right="3970"/>
        <w:rPr>
          <w:rFonts w:ascii="Calibri"/>
        </w:rPr>
      </w:pPr>
      <w:r>
        <w:rPr>
          <w:rFonts w:ascii="Calibri"/>
          <w:w w:val="110"/>
        </w:rPr>
        <w:t>Professor Barney Glover</w:t>
      </w:r>
    </w:p>
    <w:p>
      <w:pPr>
        <w:pStyle w:val="BodyText"/>
        <w:spacing w:line="192" w:lineRule="exact"/>
        <w:ind w:left="227" w:right="3970"/>
      </w:pPr>
      <w:r>
        <w:rPr/>
        <w:t>Vice-Chancellor and President</w:t>
      </w:r>
    </w:p>
    <w:p>
      <w:pPr>
        <w:spacing w:after="0" w:line="192" w:lineRule="exact"/>
        <w:sectPr>
          <w:type w:val="continuous"/>
          <w:pgSz w:w="11910" w:h="16840"/>
          <w:pgMar w:top="1580" w:bottom="280" w:left="580" w:right="580"/>
          <w:cols w:num="2" w:equalWidth="0">
            <w:col w:w="3499" w:space="40"/>
            <w:col w:w="7211"/>
          </w:cols>
        </w:sectPr>
      </w:pPr>
    </w:p>
    <w:p>
      <w:pPr>
        <w:pStyle w:val="BodyText"/>
        <w:spacing w:before="10"/>
        <w:rPr>
          <w:sz w:val="28"/>
        </w:rPr>
      </w:pPr>
    </w:p>
    <w:p>
      <w:pPr>
        <w:pStyle w:val="Heading2"/>
        <w:spacing w:line="240" w:lineRule="auto" w:before="27"/>
        <w:ind w:right="0"/>
        <w:rPr>
          <w:b w:val="0"/>
        </w:rPr>
      </w:pPr>
      <w:r>
        <w:rPr>
          <w:b w:val="0"/>
        </w:rPr>
        <w:t>Contents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5"/>
        <w:rPr>
          <w:rFonts w:ascii="Chronicle Text G1"/>
          <w:b w:val="0"/>
          <w:sz w:val="25"/>
        </w:rPr>
      </w:pPr>
    </w:p>
    <w:p>
      <w:pPr>
        <w:spacing w:after="0"/>
        <w:rPr>
          <w:rFonts w:ascii="Chronicle Text G1"/>
          <w:sz w:val="25"/>
        </w:rPr>
        <w:sectPr>
          <w:pgSz w:w="11910" w:h="16840"/>
          <w:pgMar w:header="494" w:footer="473" w:top="680" w:bottom="660" w:left="800" w:right="760"/>
        </w:sectPr>
      </w:pPr>
    </w:p>
    <w:sdt>
      <w:sdtPr>
        <w:docPartObj>
          <w:docPartGallery w:val="Table of Contents"/>
          <w:docPartUnique/>
        </w:docPartObj>
      </w:sdtPr>
      <w:sdtEndPr/>
      <w:sdtContent>
        <w:p>
          <w:pPr>
            <w:pStyle w:val="TOC1"/>
            <w:tabs>
              <w:tab w:pos="3319" w:val="right" w:leader="none"/>
            </w:tabs>
            <w:spacing w:before="72"/>
          </w:pPr>
          <w:hyperlink w:history="true" w:anchor="_TOC_250024">
            <w:r>
              <w:rPr>
                <w:spacing w:val="2"/>
              </w:rPr>
              <w:t>THE YEAR</w:t>
            </w:r>
            <w:r>
              <w:rPr>
                <w:spacing w:val="-15"/>
              </w:rPr>
              <w:t> </w:t>
            </w:r>
            <w:r>
              <w:rPr/>
              <w:t>IN</w:t>
            </w:r>
            <w:r>
              <w:rPr>
                <w:spacing w:val="-7"/>
              </w:rPr>
              <w:t> </w:t>
            </w:r>
            <w:r>
              <w:rPr>
                <w:spacing w:val="2"/>
              </w:rPr>
              <w:t>REVIEW</w:t>
              <w:tab/>
            </w:r>
            <w:r>
              <w:rPr/>
              <w:t>4</w:t>
            </w:r>
          </w:hyperlink>
        </w:p>
        <w:p>
          <w:pPr>
            <w:pStyle w:val="TOC1"/>
            <w:tabs>
              <w:tab w:pos="3319" w:val="right" w:leader="none"/>
            </w:tabs>
            <w:spacing w:before="178"/>
          </w:pPr>
          <w:r>
            <w:rPr/>
            <w:t>FIVE </w:t>
          </w:r>
          <w:r>
            <w:rPr>
              <w:spacing w:val="2"/>
            </w:rPr>
            <w:t>YEAR-</w:t>
          </w:r>
          <w:r>
            <w:rPr>
              <w:spacing w:val="-16"/>
            </w:rPr>
            <w:t> </w:t>
          </w:r>
          <w:r>
            <w:rPr>
              <w:spacing w:val="2"/>
            </w:rPr>
            <w:t>KEY</w:t>
          </w:r>
          <w:r>
            <w:rPr>
              <w:spacing w:val="-8"/>
            </w:rPr>
            <w:t> </w:t>
          </w:r>
          <w:r>
            <w:rPr/>
            <w:t>STATISTICS</w:t>
            <w:tab/>
            <w:t>5</w:t>
          </w:r>
        </w:p>
        <w:p>
          <w:pPr>
            <w:pStyle w:val="TOC1"/>
            <w:tabs>
              <w:tab w:pos="3319" w:val="right" w:leader="none"/>
            </w:tabs>
            <w:spacing w:before="178"/>
          </w:pPr>
          <w:hyperlink w:history="true" w:anchor="_TOC_250023">
            <w:r>
              <w:rPr>
                <w:spacing w:val="2"/>
              </w:rPr>
              <w:t>THE</w:t>
            </w:r>
            <w:r>
              <w:rPr>
                <w:spacing w:val="-7"/>
              </w:rPr>
              <w:t> </w:t>
            </w:r>
            <w:r>
              <w:rPr/>
              <w:t>ORGANISATION</w:t>
              <w:tab/>
              <w:t>7</w:t>
            </w:r>
          </w:hyperlink>
        </w:p>
        <w:p>
          <w:pPr>
            <w:pStyle w:val="TOC2"/>
            <w:tabs>
              <w:tab w:pos="3319" w:val="right" w:leader="none"/>
            </w:tabs>
            <w:spacing w:before="115"/>
          </w:pPr>
          <w:hyperlink w:history="true" w:anchor="_TOC_250022">
            <w:r>
              <w:rPr/>
              <w:t>Charter, Purpose</w:t>
            </w:r>
            <w:r>
              <w:rPr>
                <w:spacing w:val="-27"/>
              </w:rPr>
              <w:t> </w:t>
            </w:r>
            <w:r>
              <w:rPr/>
              <w:t>and</w:t>
            </w:r>
            <w:r>
              <w:rPr>
                <w:spacing w:val="-14"/>
              </w:rPr>
              <w:t> </w:t>
            </w:r>
            <w:r>
              <w:rPr/>
              <w:t>Legislation</w:t>
              <w:tab/>
              <w:t>7</w:t>
            </w:r>
          </w:hyperlink>
        </w:p>
        <w:p>
          <w:pPr>
            <w:pStyle w:val="TOC2"/>
            <w:tabs>
              <w:tab w:pos="3319" w:val="right" w:leader="none"/>
            </w:tabs>
          </w:pPr>
          <w:hyperlink w:history="true" w:anchor="_TOC_250021">
            <w:r>
              <w:rPr/>
              <w:t>Board</w:t>
            </w:r>
            <w:r>
              <w:rPr>
                <w:spacing w:val="-13"/>
              </w:rPr>
              <w:t> </w:t>
            </w:r>
            <w:r>
              <w:rPr/>
              <w:t>of</w:t>
            </w:r>
            <w:r>
              <w:rPr>
                <w:spacing w:val="-13"/>
              </w:rPr>
              <w:t> </w:t>
            </w:r>
            <w:r>
              <w:rPr/>
              <w:t>Trustees</w:t>
              <w:tab/>
              <w:t>7</w:t>
            </w:r>
          </w:hyperlink>
        </w:p>
        <w:p>
          <w:pPr>
            <w:pStyle w:val="TOC2"/>
            <w:tabs>
              <w:tab w:pos="3319" w:val="right" w:leader="none"/>
            </w:tabs>
          </w:pPr>
          <w:hyperlink w:history="true" w:anchor="_TOC_250020">
            <w:r>
              <w:rPr/>
              <w:t>Academic</w:t>
            </w:r>
            <w:r>
              <w:rPr>
                <w:spacing w:val="-12"/>
              </w:rPr>
              <w:t> </w:t>
            </w:r>
            <w:r>
              <w:rPr/>
              <w:t>Senate</w:t>
              <w:tab/>
              <w:t>8</w:t>
            </w:r>
          </w:hyperlink>
        </w:p>
        <w:p>
          <w:pPr>
            <w:pStyle w:val="TOC1"/>
            <w:tabs>
              <w:tab w:pos="3323" w:val="right" w:leader="none"/>
            </w:tabs>
          </w:pPr>
          <w:hyperlink w:history="true" w:anchor="_TOC_250019">
            <w:r>
              <w:rPr/>
              <w:t>QUALITY</w:t>
            </w:r>
            <w:r>
              <w:rPr>
                <w:spacing w:val="-19"/>
              </w:rPr>
              <w:t> </w:t>
            </w:r>
            <w:r>
              <w:rPr/>
              <w:t>AND</w:t>
            </w:r>
            <w:r>
              <w:rPr>
                <w:spacing w:val="-19"/>
              </w:rPr>
              <w:t> </w:t>
            </w:r>
            <w:r>
              <w:rPr/>
              <w:t>CONSUMER</w:t>
            </w:r>
            <w:r>
              <w:rPr>
                <w:spacing w:val="-19"/>
              </w:rPr>
              <w:t> </w:t>
            </w:r>
            <w:r>
              <w:rPr/>
              <w:t>RESPONSE</w:t>
              <w:tab/>
            </w:r>
            <w:r>
              <w:rPr>
                <w:spacing w:val="3"/>
              </w:rPr>
              <w:t>10</w:t>
            </w:r>
          </w:hyperlink>
        </w:p>
        <w:p>
          <w:pPr>
            <w:pStyle w:val="TOC2"/>
            <w:tabs>
              <w:tab w:pos="3319" w:val="right" w:leader="none"/>
            </w:tabs>
            <w:spacing w:before="115"/>
          </w:pPr>
          <w:hyperlink w:history="true" w:anchor="_TOC_250018">
            <w:r>
              <w:rPr>
                <w:spacing w:val="4"/>
                <w:w w:val="100"/>
              </w:rPr>
              <w:t>Q</w:t>
            </w:r>
            <w:r>
              <w:rPr>
                <w:spacing w:val="2"/>
                <w:w w:val="95"/>
              </w:rPr>
              <w:t>u</w:t>
            </w:r>
            <w:r>
              <w:rPr>
                <w:spacing w:val="2"/>
                <w:w w:val="94"/>
              </w:rPr>
              <w:t>a</w:t>
            </w:r>
            <w:r>
              <w:rPr>
                <w:w w:val="95"/>
              </w:rPr>
              <w:t>li</w:t>
            </w:r>
            <w:r>
              <w:rPr>
                <w:spacing w:val="4"/>
                <w:w w:val="102"/>
              </w:rPr>
              <w:t>t</w:t>
            </w:r>
            <w:r>
              <w:rPr>
                <w:w w:val="101"/>
              </w:rPr>
              <w:t>y</w:t>
            </w:r>
            <w:r>
              <w:rPr>
                <w:spacing w:val="-12"/>
              </w:rPr>
              <w:t> </w:t>
            </w:r>
            <w:r>
              <w:rPr>
                <w:spacing w:val="2"/>
                <w:w w:val="94"/>
              </w:rPr>
              <w:t>a</w:t>
            </w:r>
            <w:r>
              <w:rPr>
                <w:spacing w:val="2"/>
                <w:w w:val="95"/>
              </w:rPr>
              <w:t>n</w:t>
            </w:r>
            <w:r>
              <w:rPr>
                <w:w w:val="102"/>
              </w:rPr>
              <w:t>d</w:t>
            </w:r>
            <w:r>
              <w:rPr>
                <w:spacing w:val="-12"/>
              </w:rPr>
              <w:t> </w:t>
            </w:r>
            <w:r>
              <w:rPr>
                <w:spacing w:val="1"/>
                <w:w w:val="104"/>
              </w:rPr>
              <w:t>P</w:t>
            </w:r>
            <w:r>
              <w:rPr>
                <w:spacing w:val="2"/>
                <w:w w:val="95"/>
              </w:rPr>
              <w:t>e</w:t>
            </w:r>
            <w:r>
              <w:rPr>
                <w:spacing w:val="5"/>
                <w:w w:val="95"/>
              </w:rPr>
              <w:t>r</w:t>
            </w:r>
            <w:r>
              <w:rPr>
                <w:w w:val="98"/>
              </w:rPr>
              <w:t>f</w:t>
            </w:r>
            <w:r>
              <w:rPr>
                <w:spacing w:val="2"/>
                <w:w w:val="100"/>
              </w:rPr>
              <w:t>o</w:t>
            </w:r>
            <w:r>
              <w:rPr>
                <w:spacing w:val="2"/>
                <w:w w:val="95"/>
              </w:rPr>
              <w:t>r</w:t>
            </w:r>
            <w:r>
              <w:rPr>
                <w:spacing w:val="2"/>
                <w:w w:val="98"/>
              </w:rPr>
              <w:t>m</w:t>
            </w:r>
            <w:r>
              <w:rPr>
                <w:spacing w:val="2"/>
                <w:w w:val="94"/>
              </w:rPr>
              <w:t>a</w:t>
            </w:r>
            <w:r>
              <w:rPr>
                <w:spacing w:val="2"/>
                <w:w w:val="95"/>
              </w:rPr>
              <w:t>n</w:t>
            </w:r>
            <w:r>
              <w:rPr>
                <w:w w:val="102"/>
              </w:rPr>
              <w:t>c</w:t>
            </w:r>
            <w:r>
              <w:rPr>
                <w:w w:val="95"/>
              </w:rPr>
              <w:t>e</w:t>
            </w:r>
            <w:r>
              <w:rPr>
                <w:w w:val="76"/>
              </w:rPr>
              <w:t> </w:t>
            </w:r>
            <w:r>
              <w:rPr/>
              <w:tab/>
            </w:r>
            <w:r>
              <w:rPr>
                <w:spacing w:val="4"/>
                <w:w w:val="54"/>
              </w:rPr>
              <w:t>1</w:t>
            </w:r>
            <w:r>
              <w:rPr>
                <w:w w:val="111"/>
              </w:rPr>
              <w:t>0</w:t>
            </w:r>
          </w:hyperlink>
        </w:p>
        <w:p>
          <w:pPr>
            <w:pStyle w:val="TOC2"/>
          </w:pPr>
          <w:r>
            <w:rPr/>
            <w:t>Office of Higher Education Policy</w:t>
          </w:r>
        </w:p>
        <w:p>
          <w:pPr>
            <w:pStyle w:val="TOC2"/>
            <w:tabs>
              <w:tab w:pos="3319" w:val="right" w:leader="none"/>
            </w:tabs>
            <w:spacing w:before="7"/>
          </w:pPr>
          <w:r>
            <w:rPr>
              <w:w w:val="95"/>
            </w:rPr>
            <w:t>and</w:t>
          </w:r>
          <w:r>
            <w:rPr>
              <w:spacing w:val="-10"/>
              <w:w w:val="95"/>
            </w:rPr>
            <w:t> </w:t>
          </w:r>
          <w:r>
            <w:rPr>
              <w:w w:val="95"/>
            </w:rPr>
            <w:t>Projects</w:t>
            <w:tab/>
            <w:t>11</w:t>
          </w:r>
        </w:p>
        <w:p>
          <w:pPr>
            <w:pStyle w:val="TOC2"/>
            <w:tabs>
              <w:tab w:pos="3319" w:val="right" w:leader="none"/>
            </w:tabs>
          </w:pPr>
          <w:hyperlink w:history="true" w:anchor="_TOC_250017">
            <w:r>
              <w:rPr/>
              <w:t>Code</w:t>
            </w:r>
            <w:r>
              <w:rPr>
                <w:spacing w:val="-13"/>
              </w:rPr>
              <w:t> </w:t>
            </w:r>
            <w:r>
              <w:rPr/>
              <w:t>of</w:t>
            </w:r>
            <w:r>
              <w:rPr>
                <w:spacing w:val="-13"/>
              </w:rPr>
              <w:t> </w:t>
            </w:r>
            <w:r>
              <w:rPr/>
              <w:t>Conduct</w:t>
              <w:tab/>
            </w:r>
            <w:r>
              <w:rPr>
                <w:w w:val="95"/>
              </w:rPr>
              <w:t>11</w:t>
            </w:r>
          </w:hyperlink>
        </w:p>
        <w:p>
          <w:pPr>
            <w:pStyle w:val="TOC1"/>
            <w:tabs>
              <w:tab w:pos="3319" w:val="right" w:leader="none"/>
            </w:tabs>
          </w:pPr>
          <w:hyperlink w:history="true" w:anchor="_TOC_250016">
            <w:r>
              <w:rPr>
                <w:spacing w:val="2"/>
              </w:rPr>
              <w:t>REVIEW</w:t>
            </w:r>
            <w:r>
              <w:rPr>
                <w:spacing w:val="-7"/>
              </w:rPr>
              <w:t> </w:t>
            </w:r>
            <w:r>
              <w:rPr/>
              <w:t>OF</w:t>
            </w:r>
            <w:r>
              <w:rPr>
                <w:spacing w:val="-7"/>
              </w:rPr>
              <w:t> </w:t>
            </w:r>
            <w:r>
              <w:rPr/>
              <w:t>ACTIVITIES</w:t>
              <w:tab/>
              <w:t>12</w:t>
            </w:r>
          </w:hyperlink>
        </w:p>
        <w:p>
          <w:pPr>
            <w:pStyle w:val="TOC2"/>
            <w:tabs>
              <w:tab w:pos="3319" w:val="right" w:leader="none"/>
            </w:tabs>
            <w:spacing w:before="115"/>
          </w:pPr>
          <w:hyperlink w:history="true" w:anchor="_TOC_250015">
            <w:r>
              <w:rPr/>
              <w:t>School</w:t>
            </w:r>
            <w:r>
              <w:rPr>
                <w:spacing w:val="-13"/>
              </w:rPr>
              <w:t> </w:t>
            </w:r>
            <w:r>
              <w:rPr/>
              <w:t>of</w:t>
            </w:r>
            <w:r>
              <w:rPr>
                <w:spacing w:val="-13"/>
              </w:rPr>
              <w:t> </w:t>
            </w:r>
            <w:r>
              <w:rPr/>
              <w:t>Business</w:t>
              <w:tab/>
              <w:t>12</w:t>
            </w:r>
          </w:hyperlink>
        </w:p>
        <w:p>
          <w:pPr>
            <w:pStyle w:val="TOC2"/>
          </w:pPr>
          <w:r>
            <w:rPr/>
            <w:t>School of Computing, Engineering</w:t>
          </w:r>
        </w:p>
        <w:p>
          <w:pPr>
            <w:pStyle w:val="TOC2"/>
            <w:tabs>
              <w:tab w:pos="3319" w:val="right" w:leader="none"/>
            </w:tabs>
            <w:spacing w:before="7"/>
          </w:pPr>
          <w:r>
            <w:rPr/>
            <w:t>and</w:t>
          </w:r>
          <w:r>
            <w:rPr>
              <w:spacing w:val="-13"/>
            </w:rPr>
            <w:t> </w:t>
          </w:r>
          <w:r>
            <w:rPr/>
            <w:t>Mathematics</w:t>
            <w:tab/>
            <w:t>14</w:t>
          </w:r>
        </w:p>
        <w:p>
          <w:pPr>
            <w:pStyle w:val="TOC2"/>
            <w:tabs>
              <w:tab w:pos="3319" w:val="right" w:leader="none"/>
            </w:tabs>
          </w:pPr>
          <w:hyperlink w:history="true" w:anchor="_TOC_250014">
            <w:r>
              <w:rPr/>
              <w:t>School</w:t>
            </w:r>
            <w:r>
              <w:rPr>
                <w:spacing w:val="-13"/>
              </w:rPr>
              <w:t> </w:t>
            </w:r>
            <w:r>
              <w:rPr/>
              <w:t>of</w:t>
            </w:r>
            <w:r>
              <w:rPr>
                <w:spacing w:val="-13"/>
              </w:rPr>
              <w:t> </w:t>
            </w:r>
            <w:r>
              <w:rPr/>
              <w:t>Education</w:t>
              <w:tab/>
              <w:t>17</w:t>
            </w:r>
          </w:hyperlink>
        </w:p>
        <w:p>
          <w:pPr>
            <w:pStyle w:val="TOC2"/>
          </w:pPr>
          <w:r>
            <w:rPr/>
            <w:t>School of Humanities</w:t>
          </w:r>
        </w:p>
        <w:p>
          <w:pPr>
            <w:pStyle w:val="TOC2"/>
            <w:tabs>
              <w:tab w:pos="3319" w:val="right" w:leader="none"/>
            </w:tabs>
            <w:spacing w:before="7"/>
          </w:pPr>
          <w:r>
            <w:rPr/>
            <w:t>and</w:t>
          </w:r>
          <w:r>
            <w:rPr>
              <w:spacing w:val="-13"/>
            </w:rPr>
            <w:t> </w:t>
          </w:r>
          <w:r>
            <w:rPr/>
            <w:t>Communication</w:t>
          </w:r>
          <w:r>
            <w:rPr>
              <w:spacing w:val="-13"/>
            </w:rPr>
            <w:t> </w:t>
          </w:r>
          <w:r>
            <w:rPr>
              <w:spacing w:val="2"/>
            </w:rPr>
            <w:t>Arts</w:t>
            <w:tab/>
          </w:r>
          <w:r>
            <w:rPr/>
            <w:t>19</w:t>
          </w:r>
        </w:p>
        <w:p>
          <w:pPr>
            <w:pStyle w:val="TOC2"/>
            <w:tabs>
              <w:tab w:pos="3319" w:val="right" w:leader="none"/>
            </w:tabs>
          </w:pPr>
          <w:hyperlink w:history="true" w:anchor="_TOC_250013">
            <w:r>
              <w:rPr/>
              <w:t>School</w:t>
            </w:r>
            <w:r>
              <w:rPr>
                <w:spacing w:val="-13"/>
              </w:rPr>
              <w:t> </w:t>
            </w:r>
            <w:r>
              <w:rPr/>
              <w:t>of</w:t>
            </w:r>
            <w:r>
              <w:rPr>
                <w:spacing w:val="-13"/>
              </w:rPr>
              <w:t> </w:t>
            </w:r>
            <w:r>
              <w:rPr/>
              <w:t>Law</w:t>
              <w:tab/>
              <w:t>21</w:t>
            </w:r>
          </w:hyperlink>
        </w:p>
        <w:p>
          <w:pPr>
            <w:pStyle w:val="TOC2"/>
            <w:tabs>
              <w:tab w:pos="3319" w:val="right" w:leader="none"/>
            </w:tabs>
          </w:pPr>
          <w:hyperlink w:history="true" w:anchor="_TOC_250012">
            <w:r>
              <w:rPr/>
              <w:t>School</w:t>
            </w:r>
            <w:r>
              <w:rPr>
                <w:spacing w:val="-13"/>
              </w:rPr>
              <w:t> </w:t>
            </w:r>
            <w:r>
              <w:rPr/>
              <w:t>of</w:t>
            </w:r>
            <w:r>
              <w:rPr>
                <w:spacing w:val="-13"/>
              </w:rPr>
              <w:t> </w:t>
            </w:r>
            <w:r>
              <w:rPr/>
              <w:t>Medicine</w:t>
              <w:tab/>
            </w:r>
            <w:r>
              <w:rPr>
                <w:spacing w:val="2"/>
              </w:rPr>
              <w:t>22</w:t>
            </w:r>
          </w:hyperlink>
        </w:p>
        <w:p>
          <w:pPr>
            <w:pStyle w:val="TOC2"/>
            <w:tabs>
              <w:tab w:pos="3319" w:val="right" w:leader="none"/>
            </w:tabs>
          </w:pPr>
          <w:hyperlink w:history="true" w:anchor="_TOC_250011">
            <w:r>
              <w:rPr/>
              <w:t>School of Nursing</w:t>
            </w:r>
            <w:r>
              <w:rPr>
                <w:spacing w:val="-37"/>
              </w:rPr>
              <w:t> </w:t>
            </w:r>
            <w:r>
              <w:rPr/>
              <w:t>and</w:t>
            </w:r>
            <w:r>
              <w:rPr>
                <w:spacing w:val="-13"/>
              </w:rPr>
              <w:t> </w:t>
            </w:r>
            <w:r>
              <w:rPr/>
              <w:t>Midwifery</w:t>
              <w:tab/>
              <w:t>23</w:t>
            </w:r>
          </w:hyperlink>
        </w:p>
        <w:p>
          <w:pPr>
            <w:pStyle w:val="TOC2"/>
            <w:tabs>
              <w:tab w:pos="3319" w:val="right" w:leader="none"/>
            </w:tabs>
          </w:pPr>
          <w:hyperlink w:history="true" w:anchor="_TOC_250010">
            <w:r>
              <w:rPr/>
              <w:t>School of Science</w:t>
            </w:r>
            <w:r>
              <w:rPr>
                <w:spacing w:val="-38"/>
              </w:rPr>
              <w:t> </w:t>
            </w:r>
            <w:r>
              <w:rPr/>
              <w:t>and</w:t>
            </w:r>
            <w:r>
              <w:rPr>
                <w:spacing w:val="-13"/>
              </w:rPr>
              <w:t> </w:t>
            </w:r>
            <w:r>
              <w:rPr/>
              <w:t>Health</w:t>
              <w:tab/>
              <w:t>28</w:t>
            </w:r>
          </w:hyperlink>
        </w:p>
        <w:p>
          <w:pPr>
            <w:pStyle w:val="TOC2"/>
            <w:tabs>
              <w:tab w:pos="3319" w:val="right" w:leader="none"/>
            </w:tabs>
          </w:pPr>
          <w:hyperlink w:history="true" w:anchor="_TOC_250009">
            <w:r>
              <w:rPr/>
              <w:t>School of Social Sciences</w:t>
            </w:r>
            <w:r>
              <w:rPr>
                <w:spacing w:val="-37"/>
              </w:rPr>
              <w:t> </w:t>
            </w:r>
            <w:r>
              <w:rPr/>
              <w:t>and</w:t>
            </w:r>
            <w:r>
              <w:rPr>
                <w:spacing w:val="-10"/>
              </w:rPr>
              <w:t> </w:t>
            </w:r>
            <w:r>
              <w:rPr/>
              <w:t>Psychology</w:t>
              <w:tab/>
              <w:t>30</w:t>
            </w:r>
          </w:hyperlink>
        </w:p>
        <w:p>
          <w:pPr>
            <w:pStyle w:val="TOC1"/>
            <w:tabs>
              <w:tab w:pos="3319" w:val="right" w:leader="none"/>
            </w:tabs>
          </w:pPr>
          <w:hyperlink w:history="true" w:anchor="_TOC_250008">
            <w:r>
              <w:rPr>
                <w:spacing w:val="2"/>
              </w:rPr>
              <w:t>LEARNING</w:t>
            </w:r>
            <w:r>
              <w:rPr>
                <w:spacing w:val="-8"/>
              </w:rPr>
              <w:t> </w:t>
            </w:r>
            <w:r>
              <w:rPr>
                <w:spacing w:val="2"/>
              </w:rPr>
              <w:t>AND</w:t>
            </w:r>
            <w:r>
              <w:rPr>
                <w:spacing w:val="-8"/>
              </w:rPr>
              <w:t> </w:t>
            </w:r>
            <w:r>
              <w:rPr>
                <w:spacing w:val="2"/>
              </w:rPr>
              <w:t>TEACHING</w:t>
              <w:tab/>
            </w:r>
            <w:r>
              <w:rPr/>
              <w:t>33</w:t>
            </w:r>
          </w:hyperlink>
        </w:p>
        <w:p>
          <w:pPr>
            <w:pStyle w:val="TOC2"/>
            <w:tabs>
              <w:tab w:pos="3319" w:val="right" w:leader="none"/>
            </w:tabs>
            <w:spacing w:before="115"/>
          </w:pPr>
          <w:hyperlink w:history="true" w:anchor="_TOC_250007">
            <w:r>
              <w:rPr/>
              <w:t>Priority</w:t>
            </w:r>
            <w:r>
              <w:rPr>
                <w:spacing w:val="-12"/>
              </w:rPr>
              <w:t> </w:t>
            </w:r>
            <w:r>
              <w:rPr/>
              <w:t>Areas</w:t>
              <w:tab/>
              <w:t>33</w:t>
            </w:r>
          </w:hyperlink>
        </w:p>
        <w:p>
          <w:pPr>
            <w:pStyle w:val="TOC2"/>
            <w:tabs>
              <w:tab w:pos="3319" w:val="right" w:leader="none"/>
            </w:tabs>
          </w:pPr>
          <w:hyperlink w:history="true" w:anchor="_TOC_250006">
            <w:r>
              <w:rPr/>
              <w:t>Library</w:t>
              <w:tab/>
              <w:t>37</w:t>
            </w:r>
          </w:hyperlink>
        </w:p>
        <w:p>
          <w:pPr>
            <w:pStyle w:val="TOC2"/>
          </w:pPr>
          <w:hyperlink w:history="true" w:anchor="_TOC_250005">
            <w:r>
              <w:rPr/>
              <w:t>Office of Aboriginal and Torres Strait</w:t>
            </w:r>
          </w:hyperlink>
        </w:p>
        <w:p>
          <w:pPr>
            <w:pStyle w:val="TOC2"/>
            <w:tabs>
              <w:tab w:pos="3319" w:val="right" w:leader="none"/>
            </w:tabs>
            <w:spacing w:before="7"/>
          </w:pPr>
          <w:hyperlink w:history="true" w:anchor="_TOC_250004">
            <w:r>
              <w:rPr/>
              <w:t>Islander Employment</w:t>
            </w:r>
            <w:r>
              <w:rPr>
                <w:spacing w:val="-29"/>
              </w:rPr>
              <w:t> </w:t>
            </w:r>
            <w:r>
              <w:rPr/>
              <w:t>and</w:t>
            </w:r>
            <w:r>
              <w:rPr>
                <w:spacing w:val="-15"/>
              </w:rPr>
              <w:t> </w:t>
            </w:r>
            <w:r>
              <w:rPr/>
              <w:t>Engagement</w:t>
              <w:tab/>
              <w:t>38</w:t>
            </w:r>
          </w:hyperlink>
        </w:p>
        <w:p>
          <w:pPr>
            <w:pStyle w:val="TOC2"/>
            <w:tabs>
              <w:tab w:pos="3319" w:val="right" w:leader="none"/>
            </w:tabs>
          </w:pPr>
          <w:hyperlink w:history="true" w:anchor="_TOC_250003">
            <w:r>
              <w:rPr/>
              <w:t>Multicultural Policy</w:t>
            </w:r>
            <w:r>
              <w:rPr>
                <w:spacing w:val="-23"/>
              </w:rPr>
              <w:t> </w:t>
            </w:r>
            <w:r>
              <w:rPr/>
              <w:t>and</w:t>
            </w:r>
            <w:r>
              <w:rPr>
                <w:spacing w:val="-12"/>
              </w:rPr>
              <w:t> </w:t>
            </w:r>
            <w:r>
              <w:rPr/>
              <w:t>Services</w:t>
              <w:tab/>
              <w:t>40</w:t>
            </w:r>
          </w:hyperlink>
        </w:p>
        <w:p>
          <w:pPr>
            <w:pStyle w:val="TOC2"/>
            <w:tabs>
              <w:tab w:pos="3319" w:val="right" w:leader="none"/>
            </w:tabs>
          </w:pPr>
          <w:hyperlink w:history="true" w:anchor="_TOC_250002">
            <w:r>
              <w:rPr/>
              <w:t>Equity</w:t>
            </w:r>
            <w:r>
              <w:rPr>
                <w:spacing w:val="-12"/>
              </w:rPr>
              <w:t> </w:t>
            </w:r>
            <w:r>
              <w:rPr/>
              <w:t>and</w:t>
            </w:r>
            <w:r>
              <w:rPr>
                <w:spacing w:val="-12"/>
              </w:rPr>
              <w:t> </w:t>
            </w:r>
            <w:r>
              <w:rPr/>
              <w:t>Diversity</w:t>
              <w:tab/>
              <w:t>40</w:t>
            </w:r>
          </w:hyperlink>
        </w:p>
        <w:p>
          <w:pPr>
            <w:pStyle w:val="TOC1"/>
            <w:tabs>
              <w:tab w:pos="3321" w:val="right" w:leader="none"/>
            </w:tabs>
          </w:pPr>
          <w:hyperlink w:history="true" w:anchor="_TOC_250001">
            <w:r>
              <w:rPr>
                <w:spacing w:val="2"/>
              </w:rPr>
              <w:t>RESEARCH</w:t>
              <w:tab/>
            </w:r>
            <w:r>
              <w:rPr/>
              <w:t>43</w:t>
            </w:r>
          </w:hyperlink>
        </w:p>
        <w:p>
          <w:pPr>
            <w:pStyle w:val="TOC2"/>
            <w:tabs>
              <w:tab w:pos="3319" w:val="right" w:leader="none"/>
            </w:tabs>
            <w:spacing w:before="115"/>
          </w:pPr>
          <w:hyperlink w:history="true" w:anchor="_TOC_250000">
            <w:r>
              <w:rPr/>
              <w:t>Research Strategy</w:t>
            </w:r>
            <w:r>
              <w:rPr>
                <w:spacing w:val="-26"/>
              </w:rPr>
              <w:t> </w:t>
            </w:r>
            <w:r>
              <w:rPr/>
              <w:t>and</w:t>
            </w:r>
            <w:r>
              <w:rPr>
                <w:spacing w:val="-13"/>
              </w:rPr>
              <w:t> </w:t>
            </w:r>
            <w:r>
              <w:rPr/>
              <w:t>Performance</w:t>
              <w:tab/>
              <w:t>43</w:t>
            </w:r>
          </w:hyperlink>
        </w:p>
        <w:p>
          <w:pPr>
            <w:pStyle w:val="TOC2"/>
          </w:pPr>
          <w:r>
            <w:rPr/>
            <w:t>Research, Engagement, Development</w:t>
          </w:r>
        </w:p>
        <w:p>
          <w:pPr>
            <w:pStyle w:val="TOC2"/>
            <w:tabs>
              <w:tab w:pos="3319" w:val="right" w:leader="none"/>
            </w:tabs>
            <w:spacing w:before="7"/>
          </w:pPr>
          <w:r>
            <w:rPr/>
            <w:t>and</w:t>
          </w:r>
          <w:r>
            <w:rPr>
              <w:spacing w:val="-13"/>
            </w:rPr>
            <w:t> </w:t>
          </w:r>
          <w:r>
            <w:rPr/>
            <w:t>Innovation</w:t>
            <w:tab/>
            <w:t>45</w:t>
          </w:r>
        </w:p>
        <w:p>
          <w:pPr>
            <w:pStyle w:val="TOC2"/>
            <w:tabs>
              <w:tab w:pos="3319" w:val="right" w:leader="none"/>
            </w:tabs>
          </w:pPr>
          <w:r>
            <w:rPr/>
            <w:t>Graduate School</w:t>
          </w:r>
          <w:r>
            <w:rPr>
              <w:spacing w:val="-25"/>
            </w:rPr>
            <w:t> </w:t>
          </w:r>
          <w:r>
            <w:rPr/>
            <w:t>of</w:t>
          </w:r>
          <w:r>
            <w:rPr>
              <w:spacing w:val="-13"/>
            </w:rPr>
            <w:t> </w:t>
          </w:r>
          <w:r>
            <w:rPr/>
            <w:t>Research</w:t>
            <w:tab/>
            <w:t>45</w:t>
          </w:r>
        </w:p>
      </w:sdtContent>
    </w:sdt>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5"/>
        <w:rPr>
          <w:sz w:val="13"/>
        </w:rPr>
      </w:pPr>
    </w:p>
    <w:p>
      <w:pPr>
        <w:pStyle w:val="BodyText"/>
        <w:tabs>
          <w:tab w:pos="3140" w:val="left" w:leader="none"/>
        </w:tabs>
        <w:ind w:left="107"/>
      </w:pPr>
      <w:r>
        <w:rPr/>
        <w:pict>
          <v:shape style="position:absolute;margin-left:215.572296pt;margin-top:-66.156357pt;width:336.1pt;height:60.05pt;mso-position-horizontal-relative:page;mso-position-vertical-relative:paragraph;z-index:10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53"/>
                    <w:gridCol w:w="908"/>
                    <w:gridCol w:w="2853"/>
                    <w:gridCol w:w="508"/>
                  </w:tblGrid>
                  <w:tr>
                    <w:trPr>
                      <w:trHeight w:val="338" w:hRule="exact"/>
                    </w:trPr>
                    <w:tc>
                      <w:tcPr>
                        <w:tcW w:w="2453" w:type="dxa"/>
                      </w:tcPr>
                      <w:p>
                        <w:pPr>
                          <w:pStyle w:val="TableParagraph"/>
                          <w:spacing w:before="76"/>
                          <w:ind w:left="35"/>
                          <w:jc w:val="left"/>
                          <w:rPr>
                            <w:rFonts w:ascii="Gotham Narrow Bold"/>
                            <w:b/>
                            <w:sz w:val="16"/>
                          </w:rPr>
                        </w:pPr>
                        <w:r>
                          <w:rPr>
                            <w:rFonts w:ascii="Gotham Narrow Bold"/>
                            <w:b/>
                            <w:w w:val="95"/>
                            <w:sz w:val="16"/>
                          </w:rPr>
                          <w:t>STUDENT RECRUITMENT</w:t>
                        </w:r>
                      </w:p>
                    </w:tc>
                    <w:tc>
                      <w:tcPr>
                        <w:tcW w:w="908" w:type="dxa"/>
                      </w:tcPr>
                      <w:p>
                        <w:pPr>
                          <w:pStyle w:val="TableParagraph"/>
                          <w:spacing w:before="76"/>
                          <w:ind w:right="111"/>
                          <w:rPr>
                            <w:rFonts w:ascii="Gotham Narrow Bold"/>
                            <w:b/>
                            <w:sz w:val="16"/>
                          </w:rPr>
                        </w:pPr>
                        <w:r>
                          <w:rPr>
                            <w:rFonts w:ascii="Gotham Narrow Bold"/>
                            <w:b/>
                            <w:w w:val="95"/>
                            <w:sz w:val="16"/>
                          </w:rPr>
                          <w:t>47</w:t>
                        </w:r>
                      </w:p>
                    </w:tc>
                    <w:tc>
                      <w:tcPr>
                        <w:tcW w:w="2853" w:type="dxa"/>
                      </w:tcPr>
                      <w:p>
                        <w:pPr>
                          <w:pStyle w:val="TableParagraph"/>
                          <w:spacing w:before="71"/>
                          <w:ind w:left="113"/>
                          <w:jc w:val="left"/>
                          <w:rPr>
                            <w:sz w:val="16"/>
                          </w:rPr>
                        </w:pPr>
                        <w:r>
                          <w:rPr>
                            <w:sz w:val="16"/>
                          </w:rPr>
                          <w:t>Environment and Risk Management</w:t>
                        </w:r>
                      </w:p>
                    </w:tc>
                    <w:tc>
                      <w:tcPr>
                        <w:tcW w:w="508" w:type="dxa"/>
                      </w:tcPr>
                      <w:p>
                        <w:pPr>
                          <w:pStyle w:val="TableParagraph"/>
                          <w:spacing w:before="71"/>
                          <w:ind w:right="33"/>
                          <w:rPr>
                            <w:sz w:val="16"/>
                          </w:rPr>
                        </w:pPr>
                        <w:r>
                          <w:rPr>
                            <w:w w:val="95"/>
                            <w:sz w:val="16"/>
                          </w:rPr>
                          <w:t>79</w:t>
                        </w:r>
                      </w:p>
                    </w:tc>
                  </w:tr>
                  <w:tr>
                    <w:trPr>
                      <w:trHeight w:val="311" w:hRule="exact"/>
                    </w:trPr>
                    <w:tc>
                      <w:tcPr>
                        <w:tcW w:w="2453" w:type="dxa"/>
                      </w:tcPr>
                      <w:p>
                        <w:pPr>
                          <w:pStyle w:val="TableParagraph"/>
                          <w:spacing w:before="45"/>
                          <w:ind w:left="35"/>
                          <w:jc w:val="left"/>
                          <w:rPr>
                            <w:sz w:val="16"/>
                          </w:rPr>
                        </w:pPr>
                        <w:r>
                          <w:rPr>
                            <w:sz w:val="16"/>
                          </w:rPr>
                          <w:t>Widening Participation</w:t>
                        </w:r>
                      </w:p>
                    </w:tc>
                    <w:tc>
                      <w:tcPr>
                        <w:tcW w:w="908" w:type="dxa"/>
                      </w:tcPr>
                      <w:p>
                        <w:pPr>
                          <w:pStyle w:val="TableParagraph"/>
                          <w:spacing w:before="45"/>
                          <w:ind w:right="111"/>
                          <w:rPr>
                            <w:sz w:val="16"/>
                          </w:rPr>
                        </w:pPr>
                        <w:r>
                          <w:rPr>
                            <w:w w:val="95"/>
                            <w:sz w:val="16"/>
                          </w:rPr>
                          <w:t>47</w:t>
                        </w:r>
                      </w:p>
                    </w:tc>
                    <w:tc>
                      <w:tcPr>
                        <w:tcW w:w="2853" w:type="dxa"/>
                      </w:tcPr>
                      <w:p>
                        <w:pPr>
                          <w:pStyle w:val="TableParagraph"/>
                          <w:spacing w:before="46"/>
                          <w:ind w:left="113"/>
                          <w:jc w:val="left"/>
                          <w:rPr>
                            <w:sz w:val="16"/>
                          </w:rPr>
                        </w:pPr>
                        <w:r>
                          <w:rPr>
                            <w:sz w:val="16"/>
                          </w:rPr>
                          <w:t>Project Management Office</w:t>
                        </w:r>
                      </w:p>
                    </w:tc>
                    <w:tc>
                      <w:tcPr>
                        <w:tcW w:w="508" w:type="dxa"/>
                      </w:tcPr>
                      <w:p>
                        <w:pPr>
                          <w:pStyle w:val="TableParagraph"/>
                          <w:spacing w:before="46"/>
                          <w:ind w:right="33"/>
                          <w:rPr>
                            <w:sz w:val="16"/>
                          </w:rPr>
                        </w:pPr>
                        <w:r>
                          <w:rPr>
                            <w:w w:val="95"/>
                            <w:sz w:val="16"/>
                          </w:rPr>
                          <w:t>79</w:t>
                        </w:r>
                      </w:p>
                    </w:tc>
                  </w:tr>
                  <w:tr>
                    <w:trPr>
                      <w:trHeight w:val="313" w:hRule="exact"/>
                    </w:trPr>
                    <w:tc>
                      <w:tcPr>
                        <w:tcW w:w="2453" w:type="dxa"/>
                      </w:tcPr>
                      <w:p>
                        <w:pPr>
                          <w:pStyle w:val="TableParagraph"/>
                          <w:spacing w:before="47"/>
                          <w:ind w:left="35"/>
                          <w:jc w:val="left"/>
                          <w:rPr>
                            <w:sz w:val="16"/>
                          </w:rPr>
                        </w:pPr>
                        <w:r>
                          <w:rPr>
                            <w:sz w:val="16"/>
                          </w:rPr>
                          <w:t>Campus Safety &amp; Security</w:t>
                        </w:r>
                      </w:p>
                    </w:tc>
                    <w:tc>
                      <w:tcPr>
                        <w:tcW w:w="908" w:type="dxa"/>
                      </w:tcPr>
                      <w:p>
                        <w:pPr>
                          <w:pStyle w:val="TableParagraph"/>
                          <w:spacing w:before="47"/>
                          <w:ind w:right="111"/>
                          <w:rPr>
                            <w:sz w:val="16"/>
                          </w:rPr>
                        </w:pPr>
                        <w:r>
                          <w:rPr>
                            <w:w w:val="95"/>
                            <w:sz w:val="16"/>
                          </w:rPr>
                          <w:t>47</w:t>
                        </w:r>
                      </w:p>
                    </w:tc>
                    <w:tc>
                      <w:tcPr>
                        <w:tcW w:w="2853" w:type="dxa"/>
                      </w:tcPr>
                      <w:p>
                        <w:pPr>
                          <w:pStyle w:val="TableParagraph"/>
                          <w:spacing w:before="48"/>
                          <w:ind w:left="113"/>
                          <w:jc w:val="left"/>
                          <w:rPr>
                            <w:sz w:val="16"/>
                          </w:rPr>
                        </w:pPr>
                        <w:r>
                          <w:rPr>
                            <w:sz w:val="16"/>
                          </w:rPr>
                          <w:t>Entities</w:t>
                        </w:r>
                      </w:p>
                    </w:tc>
                    <w:tc>
                      <w:tcPr>
                        <w:tcW w:w="508" w:type="dxa"/>
                      </w:tcPr>
                      <w:p>
                        <w:pPr>
                          <w:pStyle w:val="TableParagraph"/>
                          <w:spacing w:before="48"/>
                          <w:ind w:right="33"/>
                          <w:rPr>
                            <w:sz w:val="16"/>
                          </w:rPr>
                        </w:pPr>
                        <w:r>
                          <w:rPr>
                            <w:w w:val="105"/>
                            <w:sz w:val="16"/>
                          </w:rPr>
                          <w:t>80</w:t>
                        </w:r>
                      </w:p>
                    </w:tc>
                  </w:tr>
                  <w:tr>
                    <w:trPr>
                      <w:trHeight w:val="238" w:hRule="exact"/>
                    </w:trPr>
                    <w:tc>
                      <w:tcPr>
                        <w:tcW w:w="2453" w:type="dxa"/>
                      </w:tcPr>
                      <w:p>
                        <w:pPr>
                          <w:pStyle w:val="TableParagraph"/>
                          <w:spacing w:before="47"/>
                          <w:ind w:left="35"/>
                          <w:jc w:val="left"/>
                          <w:rPr>
                            <w:sz w:val="16"/>
                          </w:rPr>
                        </w:pPr>
                        <w:r>
                          <w:rPr>
                            <w:sz w:val="16"/>
                          </w:rPr>
                          <w:t>Careers</w:t>
                        </w:r>
                      </w:p>
                    </w:tc>
                    <w:tc>
                      <w:tcPr>
                        <w:tcW w:w="908" w:type="dxa"/>
                      </w:tcPr>
                      <w:p>
                        <w:pPr>
                          <w:pStyle w:val="TableParagraph"/>
                          <w:spacing w:before="47"/>
                          <w:ind w:right="111"/>
                          <w:rPr>
                            <w:sz w:val="16"/>
                          </w:rPr>
                        </w:pPr>
                        <w:r>
                          <w:rPr>
                            <w:sz w:val="16"/>
                          </w:rPr>
                          <w:t>48</w:t>
                        </w:r>
                      </w:p>
                    </w:tc>
                    <w:tc>
                      <w:tcPr>
                        <w:tcW w:w="2853" w:type="dxa"/>
                      </w:tcPr>
                      <w:p>
                        <w:pPr>
                          <w:pStyle w:val="TableParagraph"/>
                          <w:spacing w:before="48"/>
                          <w:ind w:left="113"/>
                          <w:jc w:val="left"/>
                          <w:rPr>
                            <w:sz w:val="16"/>
                          </w:rPr>
                        </w:pPr>
                        <w:r>
                          <w:rPr>
                            <w:sz w:val="16"/>
                          </w:rPr>
                          <w:t>Risk Management</w:t>
                        </w:r>
                      </w:p>
                    </w:tc>
                    <w:tc>
                      <w:tcPr>
                        <w:tcW w:w="508" w:type="dxa"/>
                      </w:tcPr>
                      <w:p>
                        <w:pPr>
                          <w:pStyle w:val="TableParagraph"/>
                          <w:spacing w:before="48"/>
                          <w:ind w:right="33"/>
                          <w:rPr>
                            <w:sz w:val="16"/>
                          </w:rPr>
                        </w:pPr>
                        <w:r>
                          <w:rPr>
                            <w:w w:val="105"/>
                            <w:sz w:val="16"/>
                          </w:rPr>
                          <w:t>80</w:t>
                        </w:r>
                      </w:p>
                    </w:tc>
                  </w:tr>
                </w:tbl>
                <w:p>
                  <w:pPr>
                    <w:pStyle w:val="BodyText"/>
                  </w:pPr>
                </w:p>
              </w:txbxContent>
            </v:textbox>
            <w10:wrap type="none"/>
          </v:shape>
        </w:pict>
      </w:r>
      <w:r>
        <w:rPr/>
        <w:t>Academic</w:t>
      </w:r>
      <w:r>
        <w:rPr>
          <w:spacing w:val="-9"/>
        </w:rPr>
        <w:t> </w:t>
      </w:r>
      <w:r>
        <w:rPr/>
        <w:t>Registrar’s</w:t>
      </w:r>
      <w:r>
        <w:rPr>
          <w:spacing w:val="-9"/>
        </w:rPr>
        <w:t> </w:t>
      </w:r>
      <w:r>
        <w:rPr/>
        <w:t>Office</w:t>
        <w:tab/>
        <w:t>49</w:t>
      </w:r>
    </w:p>
    <w:p>
      <w:pPr>
        <w:pStyle w:val="BodyText"/>
        <w:tabs>
          <w:tab w:pos="3319" w:val="right" w:leader="none"/>
        </w:tabs>
        <w:spacing w:before="120"/>
        <w:ind w:left="107"/>
      </w:pPr>
      <w:r>
        <w:rPr/>
        <w:t>Schools</w:t>
      </w:r>
      <w:r>
        <w:rPr>
          <w:spacing w:val="-12"/>
        </w:rPr>
        <w:t> </w:t>
      </w:r>
      <w:r>
        <w:rPr/>
        <w:t>Engagement</w:t>
        <w:tab/>
        <w:t>50</w:t>
      </w:r>
    </w:p>
    <w:p>
      <w:pPr>
        <w:pStyle w:val="BodyText"/>
        <w:tabs>
          <w:tab w:pos="3319" w:val="right" w:leader="none"/>
        </w:tabs>
        <w:spacing w:before="120"/>
        <w:ind w:left="107"/>
      </w:pPr>
      <w:r>
        <w:rPr/>
        <w:t>Student</w:t>
      </w:r>
      <w:r>
        <w:rPr>
          <w:spacing w:val="-13"/>
        </w:rPr>
        <w:t> </w:t>
      </w:r>
      <w:r>
        <w:rPr/>
        <w:t>Support</w:t>
      </w:r>
      <w:r>
        <w:rPr>
          <w:spacing w:val="-13"/>
        </w:rPr>
        <w:t> </w:t>
      </w:r>
      <w:r>
        <w:rPr/>
        <w:t>Services</w:t>
        <w:tab/>
        <w:t>51</w:t>
      </w:r>
    </w:p>
    <w:p>
      <w:pPr>
        <w:pStyle w:val="BodyText"/>
        <w:tabs>
          <w:tab w:pos="3319" w:val="right" w:leader="none"/>
        </w:tabs>
        <w:spacing w:before="120"/>
        <w:ind w:left="107"/>
      </w:pPr>
      <w:r>
        <w:rPr/>
        <w:t>Student</w:t>
      </w:r>
      <w:r>
        <w:rPr>
          <w:spacing w:val="-14"/>
        </w:rPr>
        <w:t> </w:t>
      </w:r>
      <w:r>
        <w:rPr/>
        <w:t>Recruitment</w:t>
      </w:r>
      <w:r>
        <w:rPr>
          <w:spacing w:val="-14"/>
        </w:rPr>
        <w:t> </w:t>
      </w:r>
      <w:r>
        <w:rPr/>
        <w:t>Year</w:t>
      </w:r>
      <w:r>
        <w:rPr>
          <w:spacing w:val="-14"/>
        </w:rPr>
        <w:t> </w:t>
      </w:r>
      <w:r>
        <w:rPr/>
        <w:t>in</w:t>
      </w:r>
      <w:r>
        <w:rPr>
          <w:spacing w:val="-14"/>
        </w:rPr>
        <w:t> </w:t>
      </w:r>
      <w:r>
        <w:rPr/>
        <w:t>Review</w:t>
        <w:tab/>
      </w:r>
      <w:r>
        <w:rPr>
          <w:spacing w:val="2"/>
        </w:rPr>
        <w:t>54</w:t>
      </w:r>
    </w:p>
    <w:p>
      <w:pPr>
        <w:pStyle w:val="BodyText"/>
        <w:tabs>
          <w:tab w:pos="3319" w:val="right" w:leader="none"/>
        </w:tabs>
        <w:spacing w:before="120"/>
        <w:ind w:left="107"/>
      </w:pPr>
      <w:r>
        <w:rPr>
          <w:spacing w:val="2"/>
        </w:rPr>
        <w:t>Art</w:t>
      </w:r>
      <w:r>
        <w:rPr>
          <w:spacing w:val="-12"/>
        </w:rPr>
        <w:t> </w:t>
      </w:r>
      <w:r>
        <w:rPr/>
        <w:t>Collection</w:t>
        <w:tab/>
        <w:t>55</w:t>
      </w:r>
    </w:p>
    <w:p>
      <w:pPr>
        <w:pStyle w:val="BodyText"/>
        <w:tabs>
          <w:tab w:pos="3319" w:val="right" w:leader="none"/>
        </w:tabs>
        <w:spacing w:before="120"/>
        <w:ind w:left="107"/>
      </w:pPr>
      <w:r>
        <w:rPr/>
        <w:t>The</w:t>
      </w:r>
      <w:r>
        <w:rPr>
          <w:spacing w:val="-13"/>
        </w:rPr>
        <w:t> </w:t>
      </w:r>
      <w:r>
        <w:rPr/>
        <w:t>Academy</w:t>
        <w:tab/>
        <w:t>57</w:t>
      </w:r>
    </w:p>
    <w:p>
      <w:pPr>
        <w:pStyle w:val="Heading8"/>
        <w:tabs>
          <w:tab w:pos="3319" w:val="right" w:leader="none"/>
        </w:tabs>
        <w:spacing w:before="183"/>
      </w:pPr>
      <w:r>
        <w:rPr/>
        <w:t>INTERNATIONAL</w:t>
        <w:tab/>
        <w:t>60</w:t>
      </w:r>
    </w:p>
    <w:p>
      <w:pPr>
        <w:pStyle w:val="BodyText"/>
        <w:tabs>
          <w:tab w:pos="3319" w:val="right" w:leader="none"/>
        </w:tabs>
        <w:spacing w:before="115"/>
        <w:ind w:left="107"/>
      </w:pPr>
      <w:r>
        <w:rPr/>
        <w:t>International</w:t>
      </w:r>
      <w:r>
        <w:rPr>
          <w:spacing w:val="-13"/>
        </w:rPr>
        <w:t> </w:t>
      </w:r>
      <w:r>
        <w:rPr/>
        <w:t>Student</w:t>
      </w:r>
      <w:r>
        <w:rPr>
          <w:spacing w:val="-13"/>
        </w:rPr>
        <w:t> </w:t>
      </w:r>
      <w:r>
        <w:rPr/>
        <w:t>Experience</w:t>
        <w:tab/>
        <w:t>60</w:t>
      </w:r>
    </w:p>
    <w:p>
      <w:pPr>
        <w:pStyle w:val="BodyText"/>
        <w:tabs>
          <w:tab w:pos="3319" w:val="right" w:leader="none"/>
        </w:tabs>
        <w:spacing w:before="120"/>
        <w:ind w:left="107"/>
      </w:pPr>
      <w:r>
        <w:rPr/>
        <w:t>International</w:t>
      </w:r>
      <w:r>
        <w:rPr>
          <w:spacing w:val="-13"/>
        </w:rPr>
        <w:t> </w:t>
      </w:r>
      <w:r>
        <w:rPr/>
        <w:t>Partnerships</w:t>
        <w:tab/>
        <w:t>60</w:t>
      </w:r>
    </w:p>
    <w:p>
      <w:pPr>
        <w:pStyle w:val="BodyText"/>
        <w:tabs>
          <w:tab w:pos="3319" w:val="right" w:leader="none"/>
        </w:tabs>
        <w:spacing w:before="120"/>
        <w:ind w:left="107"/>
      </w:pPr>
      <w:r>
        <w:rPr/>
        <w:t>Student</w:t>
      </w:r>
      <w:r>
        <w:rPr>
          <w:spacing w:val="-12"/>
        </w:rPr>
        <w:t> </w:t>
      </w:r>
      <w:r>
        <w:rPr/>
        <w:t>Mobility</w:t>
        <w:tab/>
        <w:t>60</w:t>
      </w:r>
    </w:p>
    <w:p>
      <w:pPr>
        <w:pStyle w:val="BodyText"/>
        <w:tabs>
          <w:tab w:pos="3319" w:val="right" w:leader="none"/>
        </w:tabs>
        <w:spacing w:before="120"/>
        <w:ind w:left="107"/>
      </w:pPr>
      <w:r>
        <w:rPr/>
        <w:t>International</w:t>
      </w:r>
      <w:r>
        <w:rPr>
          <w:spacing w:val="-16"/>
        </w:rPr>
        <w:t> </w:t>
      </w:r>
      <w:r>
        <w:rPr/>
        <w:t>Student</w:t>
      </w:r>
      <w:r>
        <w:rPr>
          <w:spacing w:val="-16"/>
        </w:rPr>
        <w:t> </w:t>
      </w:r>
      <w:r>
        <w:rPr/>
        <w:t>Recruitment</w:t>
        <w:tab/>
        <w:t>61</w:t>
      </w:r>
    </w:p>
    <w:p>
      <w:pPr>
        <w:pStyle w:val="Heading8"/>
        <w:spacing w:before="183"/>
      </w:pPr>
      <w:r>
        <w:rPr>
          <w:w w:val="95"/>
        </w:rPr>
        <w:t>COMMUNITY AND REGIONAL</w:t>
      </w:r>
    </w:p>
    <w:p>
      <w:pPr>
        <w:pStyle w:val="Heading8"/>
        <w:tabs>
          <w:tab w:pos="3319" w:val="right" w:leader="none"/>
        </w:tabs>
        <w:spacing w:before="8"/>
      </w:pPr>
      <w:r>
        <w:rPr>
          <w:spacing w:val="2"/>
        </w:rPr>
        <w:t>ENGAGEMENT</w:t>
        <w:tab/>
      </w:r>
      <w:r>
        <w:rPr/>
        <w:t>63</w:t>
      </w:r>
    </w:p>
    <w:p>
      <w:pPr>
        <w:pStyle w:val="BodyText"/>
        <w:tabs>
          <w:tab w:pos="3319" w:val="right" w:leader="none"/>
        </w:tabs>
        <w:spacing w:before="115"/>
        <w:ind w:left="107"/>
      </w:pPr>
      <w:r>
        <w:rPr/>
        <w:t>Office of Advancement</w:t>
      </w:r>
      <w:r>
        <w:rPr>
          <w:spacing w:val="-35"/>
        </w:rPr>
        <w:t> </w:t>
      </w:r>
      <w:r>
        <w:rPr/>
        <w:t>and</w:t>
      </w:r>
      <w:r>
        <w:rPr>
          <w:spacing w:val="-12"/>
        </w:rPr>
        <w:t> </w:t>
      </w:r>
      <w:r>
        <w:rPr/>
        <w:t>Alumni</w:t>
        <w:tab/>
        <w:t>63</w:t>
      </w:r>
    </w:p>
    <w:p>
      <w:pPr>
        <w:pStyle w:val="BodyText"/>
        <w:tabs>
          <w:tab w:pos="3319" w:val="right" w:leader="none"/>
        </w:tabs>
        <w:spacing w:before="120"/>
        <w:ind w:left="107"/>
      </w:pPr>
      <w:r>
        <w:rPr/>
        <w:t>Office</w:t>
      </w:r>
      <w:r>
        <w:rPr>
          <w:spacing w:val="-14"/>
        </w:rPr>
        <w:t> </w:t>
      </w:r>
      <w:r>
        <w:rPr/>
        <w:t>of</w:t>
      </w:r>
      <w:r>
        <w:rPr>
          <w:spacing w:val="-14"/>
        </w:rPr>
        <w:t> </w:t>
      </w:r>
      <w:r>
        <w:rPr/>
        <w:t>Marketing</w:t>
      </w:r>
      <w:r>
        <w:rPr>
          <w:spacing w:val="-14"/>
        </w:rPr>
        <w:t> </w:t>
      </w:r>
      <w:r>
        <w:rPr/>
        <w:t>and</w:t>
      </w:r>
      <w:r>
        <w:rPr>
          <w:spacing w:val="-14"/>
        </w:rPr>
        <w:t> </w:t>
      </w:r>
      <w:r>
        <w:rPr/>
        <w:t>Communications</w:t>
        <w:tab/>
        <w:t>67</w:t>
      </w:r>
    </w:p>
    <w:p>
      <w:pPr>
        <w:pStyle w:val="BodyText"/>
        <w:tabs>
          <w:tab w:pos="3319" w:val="right" w:leader="none"/>
        </w:tabs>
        <w:spacing w:before="120"/>
        <w:ind w:left="107"/>
      </w:pPr>
      <w:r>
        <w:rPr/>
        <w:t>The</w:t>
      </w:r>
      <w:r>
        <w:rPr>
          <w:spacing w:val="-13"/>
        </w:rPr>
        <w:t> </w:t>
      </w:r>
      <w:r>
        <w:rPr/>
        <w:t>Whitlam</w:t>
      </w:r>
      <w:r>
        <w:rPr>
          <w:spacing w:val="-13"/>
        </w:rPr>
        <w:t> </w:t>
      </w:r>
      <w:r>
        <w:rPr/>
        <w:t>Institute</w:t>
        <w:tab/>
        <w:t>68</w:t>
      </w:r>
    </w:p>
    <w:p>
      <w:pPr>
        <w:pStyle w:val="BodyText"/>
        <w:tabs>
          <w:tab w:pos="3319" w:val="right" w:leader="none"/>
        </w:tabs>
        <w:spacing w:before="120"/>
        <w:ind w:left="107"/>
      </w:pPr>
      <w:r>
        <w:rPr/>
        <w:t>The</w:t>
      </w:r>
      <w:r>
        <w:rPr>
          <w:spacing w:val="-13"/>
        </w:rPr>
        <w:t> </w:t>
      </w:r>
      <w:r>
        <w:rPr/>
        <w:t>College</w:t>
        <w:tab/>
        <w:t>70</w:t>
      </w:r>
    </w:p>
    <w:p>
      <w:pPr>
        <w:pStyle w:val="Heading8"/>
        <w:tabs>
          <w:tab w:pos="3319" w:val="right" w:leader="none"/>
        </w:tabs>
        <w:spacing w:before="183"/>
      </w:pPr>
      <w:r>
        <w:rPr/>
        <w:pict>
          <v:shape style="position:absolute;margin-left:215.572296pt;margin-top:25.949753pt;width:336.1pt;height:189.75pt;mso-position-horizontal-relative:page;mso-position-vertical-relative:paragraph;z-index:11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92"/>
                    <w:gridCol w:w="369"/>
                    <w:gridCol w:w="2850"/>
                    <w:gridCol w:w="511"/>
                  </w:tblGrid>
                  <w:tr>
                    <w:trPr>
                      <w:trHeight w:val="237" w:hRule="exact"/>
                    </w:trPr>
                    <w:tc>
                      <w:tcPr>
                        <w:tcW w:w="2992" w:type="dxa"/>
                      </w:tcPr>
                      <w:p>
                        <w:pPr>
                          <w:pStyle w:val="TableParagraph"/>
                          <w:spacing w:line="164" w:lineRule="exact" w:before="0"/>
                          <w:ind w:left="35"/>
                          <w:jc w:val="left"/>
                          <w:rPr>
                            <w:sz w:val="16"/>
                          </w:rPr>
                        </w:pPr>
                        <w:r>
                          <w:rPr>
                            <w:sz w:val="16"/>
                          </w:rPr>
                          <w:t>Office of People and Culture</w:t>
                        </w:r>
                      </w:p>
                    </w:tc>
                    <w:tc>
                      <w:tcPr>
                        <w:tcW w:w="369" w:type="dxa"/>
                      </w:tcPr>
                      <w:p>
                        <w:pPr>
                          <w:pStyle w:val="TableParagraph"/>
                          <w:spacing w:line="164" w:lineRule="exact" w:before="0"/>
                          <w:ind w:left="121"/>
                          <w:jc w:val="left"/>
                          <w:rPr>
                            <w:sz w:val="16"/>
                          </w:rPr>
                        </w:pPr>
                        <w:r>
                          <w:rPr>
                            <w:w w:val="85"/>
                            <w:sz w:val="16"/>
                          </w:rPr>
                          <w:t>71</w:t>
                        </w:r>
                      </w:p>
                    </w:tc>
                    <w:tc>
                      <w:tcPr>
                        <w:tcW w:w="2850" w:type="dxa"/>
                      </w:tcPr>
                      <w:p>
                        <w:pPr>
                          <w:pStyle w:val="TableParagraph"/>
                          <w:spacing w:line="108" w:lineRule="exact" w:before="0"/>
                          <w:ind w:left="113"/>
                          <w:jc w:val="left"/>
                          <w:rPr>
                            <w:sz w:val="16"/>
                          </w:rPr>
                        </w:pPr>
                        <w:r>
                          <w:rPr>
                            <w:sz w:val="16"/>
                          </w:rPr>
                          <w:t>Appendix 12: Governance Structure</w:t>
                        </w:r>
                      </w:p>
                    </w:tc>
                    <w:tc>
                      <w:tcPr>
                        <w:tcW w:w="511" w:type="dxa"/>
                      </w:tcPr>
                      <w:p>
                        <w:pPr>
                          <w:pStyle w:val="TableParagraph"/>
                          <w:spacing w:line="108" w:lineRule="exact" w:before="0"/>
                          <w:ind w:right="32"/>
                          <w:rPr>
                            <w:sz w:val="16"/>
                          </w:rPr>
                        </w:pPr>
                        <w:r>
                          <w:rPr>
                            <w:spacing w:val="4"/>
                            <w:w w:val="54"/>
                            <w:sz w:val="16"/>
                          </w:rPr>
                          <w:t>1</w:t>
                        </w:r>
                        <w:r>
                          <w:rPr>
                            <w:spacing w:val="1"/>
                            <w:w w:val="111"/>
                            <w:sz w:val="16"/>
                          </w:rPr>
                          <w:t>0</w:t>
                        </w:r>
                        <w:r>
                          <w:rPr>
                            <w:w w:val="54"/>
                            <w:sz w:val="16"/>
                          </w:rPr>
                          <w:t>1</w:t>
                        </w:r>
                      </w:p>
                    </w:tc>
                  </w:tr>
                  <w:tr>
                    <w:trPr>
                      <w:trHeight w:val="314" w:hRule="exact"/>
                    </w:trPr>
                    <w:tc>
                      <w:tcPr>
                        <w:tcW w:w="2992" w:type="dxa"/>
                      </w:tcPr>
                      <w:p>
                        <w:pPr>
                          <w:pStyle w:val="TableParagraph"/>
                          <w:spacing w:before="47"/>
                          <w:ind w:left="35"/>
                          <w:jc w:val="left"/>
                          <w:rPr>
                            <w:sz w:val="16"/>
                          </w:rPr>
                        </w:pPr>
                        <w:r>
                          <w:rPr>
                            <w:sz w:val="16"/>
                          </w:rPr>
                          <w:t>Organisational Development</w:t>
                        </w:r>
                      </w:p>
                    </w:tc>
                    <w:tc>
                      <w:tcPr>
                        <w:tcW w:w="369" w:type="dxa"/>
                      </w:tcPr>
                      <w:p>
                        <w:pPr>
                          <w:pStyle w:val="TableParagraph"/>
                          <w:spacing w:before="47"/>
                          <w:ind w:left="90"/>
                          <w:jc w:val="left"/>
                          <w:rPr>
                            <w:sz w:val="16"/>
                          </w:rPr>
                        </w:pPr>
                        <w:r>
                          <w:rPr>
                            <w:sz w:val="16"/>
                          </w:rPr>
                          <w:t>72</w:t>
                        </w:r>
                      </w:p>
                    </w:tc>
                    <w:tc>
                      <w:tcPr>
                        <w:tcW w:w="2850" w:type="dxa"/>
                      </w:tcPr>
                      <w:p>
                        <w:pPr>
                          <w:pStyle w:val="TableParagraph"/>
                          <w:spacing w:before="48"/>
                          <w:ind w:left="113"/>
                          <w:jc w:val="left"/>
                          <w:rPr>
                            <w:sz w:val="16"/>
                          </w:rPr>
                        </w:pPr>
                        <w:r>
                          <w:rPr>
                            <w:sz w:val="16"/>
                          </w:rPr>
                          <w:t>Appendix 13: Organisation Structure</w:t>
                        </w:r>
                      </w:p>
                    </w:tc>
                    <w:tc>
                      <w:tcPr>
                        <w:tcW w:w="511" w:type="dxa"/>
                      </w:tcPr>
                      <w:p>
                        <w:pPr>
                          <w:pStyle w:val="TableParagraph"/>
                          <w:spacing w:before="48"/>
                          <w:ind w:right="33"/>
                          <w:rPr>
                            <w:sz w:val="16"/>
                          </w:rPr>
                        </w:pPr>
                        <w:r>
                          <w:rPr>
                            <w:spacing w:val="4"/>
                            <w:w w:val="54"/>
                            <w:sz w:val="16"/>
                          </w:rPr>
                          <w:t>1</w:t>
                        </w:r>
                        <w:r>
                          <w:rPr>
                            <w:spacing w:val="1"/>
                            <w:w w:val="111"/>
                            <w:sz w:val="16"/>
                          </w:rPr>
                          <w:t>0</w:t>
                        </w:r>
                        <w:r>
                          <w:rPr>
                            <w:w w:val="93"/>
                            <w:sz w:val="16"/>
                          </w:rPr>
                          <w:t>2</w:t>
                        </w:r>
                      </w:p>
                    </w:tc>
                  </w:tr>
                  <w:tr>
                    <w:trPr>
                      <w:trHeight w:val="313" w:hRule="exact"/>
                    </w:trPr>
                    <w:tc>
                      <w:tcPr>
                        <w:tcW w:w="2992" w:type="dxa"/>
                      </w:tcPr>
                      <w:p>
                        <w:pPr>
                          <w:pStyle w:val="TableParagraph"/>
                          <w:spacing w:before="47"/>
                          <w:ind w:left="35"/>
                          <w:jc w:val="left"/>
                          <w:rPr>
                            <w:sz w:val="16"/>
                          </w:rPr>
                        </w:pPr>
                        <w:r>
                          <w:rPr>
                            <w:sz w:val="16"/>
                          </w:rPr>
                          <w:t>Recruitment</w:t>
                        </w:r>
                      </w:p>
                    </w:tc>
                    <w:tc>
                      <w:tcPr>
                        <w:tcW w:w="369" w:type="dxa"/>
                      </w:tcPr>
                      <w:p>
                        <w:pPr>
                          <w:pStyle w:val="TableParagraph"/>
                          <w:spacing w:before="47"/>
                          <w:ind w:left="89"/>
                          <w:jc w:val="left"/>
                          <w:rPr>
                            <w:sz w:val="16"/>
                          </w:rPr>
                        </w:pPr>
                        <w:r>
                          <w:rPr>
                            <w:sz w:val="16"/>
                          </w:rPr>
                          <w:t>73</w:t>
                        </w:r>
                      </w:p>
                    </w:tc>
                    <w:tc>
                      <w:tcPr>
                        <w:tcW w:w="2850" w:type="dxa"/>
                      </w:tcPr>
                      <w:p>
                        <w:pPr/>
                      </w:p>
                    </w:tc>
                    <w:tc>
                      <w:tcPr>
                        <w:tcW w:w="511" w:type="dxa"/>
                      </w:tcPr>
                      <w:p>
                        <w:pPr/>
                      </w:p>
                    </w:tc>
                  </w:tr>
                  <w:tr>
                    <w:trPr>
                      <w:trHeight w:val="313" w:hRule="exact"/>
                    </w:trPr>
                    <w:tc>
                      <w:tcPr>
                        <w:tcW w:w="2992" w:type="dxa"/>
                      </w:tcPr>
                      <w:p>
                        <w:pPr>
                          <w:pStyle w:val="TableParagraph"/>
                          <w:spacing w:before="47"/>
                          <w:ind w:left="35"/>
                          <w:jc w:val="left"/>
                          <w:rPr>
                            <w:sz w:val="16"/>
                          </w:rPr>
                        </w:pPr>
                        <w:r>
                          <w:rPr>
                            <w:sz w:val="16"/>
                          </w:rPr>
                          <w:t>Work Health and Safety</w:t>
                        </w:r>
                      </w:p>
                    </w:tc>
                    <w:tc>
                      <w:tcPr>
                        <w:tcW w:w="369" w:type="dxa"/>
                      </w:tcPr>
                      <w:p>
                        <w:pPr>
                          <w:pStyle w:val="TableParagraph"/>
                          <w:spacing w:before="47"/>
                          <w:ind w:left="89"/>
                          <w:jc w:val="left"/>
                          <w:rPr>
                            <w:sz w:val="16"/>
                          </w:rPr>
                        </w:pPr>
                        <w:r>
                          <w:rPr>
                            <w:sz w:val="16"/>
                          </w:rPr>
                          <w:t>73</w:t>
                        </w:r>
                      </w:p>
                    </w:tc>
                    <w:tc>
                      <w:tcPr>
                        <w:tcW w:w="2850" w:type="dxa"/>
                      </w:tcPr>
                      <w:p>
                        <w:pPr/>
                      </w:p>
                    </w:tc>
                    <w:tc>
                      <w:tcPr>
                        <w:tcW w:w="511" w:type="dxa"/>
                      </w:tcPr>
                      <w:p>
                        <w:pPr/>
                      </w:p>
                    </w:tc>
                  </w:tr>
                  <w:tr>
                    <w:trPr>
                      <w:trHeight w:val="513" w:hRule="exact"/>
                    </w:trPr>
                    <w:tc>
                      <w:tcPr>
                        <w:tcW w:w="2992" w:type="dxa"/>
                      </w:tcPr>
                      <w:p>
                        <w:pPr>
                          <w:pStyle w:val="TableParagraph"/>
                          <w:spacing w:before="47"/>
                          <w:ind w:left="35"/>
                          <w:jc w:val="left"/>
                          <w:rPr>
                            <w:sz w:val="16"/>
                          </w:rPr>
                        </w:pPr>
                        <w:r>
                          <w:rPr>
                            <w:sz w:val="16"/>
                          </w:rPr>
                          <w:t>Workplace Relations</w:t>
                        </w:r>
                      </w:p>
                      <w:p>
                        <w:pPr>
                          <w:pStyle w:val="TableParagraph"/>
                          <w:spacing w:before="7"/>
                          <w:ind w:left="35"/>
                          <w:jc w:val="left"/>
                          <w:rPr>
                            <w:sz w:val="16"/>
                          </w:rPr>
                        </w:pPr>
                        <w:r>
                          <w:rPr>
                            <w:sz w:val="16"/>
                          </w:rPr>
                          <w:t>and Organisational Design</w:t>
                        </w:r>
                      </w:p>
                    </w:tc>
                    <w:tc>
                      <w:tcPr>
                        <w:tcW w:w="369" w:type="dxa"/>
                      </w:tcPr>
                      <w:p>
                        <w:pPr>
                          <w:pStyle w:val="TableParagraph"/>
                          <w:spacing w:before="6"/>
                          <w:jc w:val="left"/>
                          <w:rPr>
                            <w:sz w:val="20"/>
                          </w:rPr>
                        </w:pPr>
                      </w:p>
                      <w:p>
                        <w:pPr>
                          <w:pStyle w:val="TableParagraph"/>
                          <w:spacing w:before="0"/>
                          <w:ind w:left="92"/>
                          <w:jc w:val="left"/>
                          <w:rPr>
                            <w:sz w:val="16"/>
                          </w:rPr>
                        </w:pPr>
                        <w:r>
                          <w:rPr>
                            <w:sz w:val="16"/>
                          </w:rPr>
                          <w:t>74</w:t>
                        </w:r>
                      </w:p>
                    </w:tc>
                    <w:tc>
                      <w:tcPr>
                        <w:tcW w:w="2850" w:type="dxa"/>
                      </w:tcPr>
                      <w:p>
                        <w:pPr/>
                      </w:p>
                    </w:tc>
                    <w:tc>
                      <w:tcPr>
                        <w:tcW w:w="511" w:type="dxa"/>
                      </w:tcPr>
                      <w:p>
                        <w:pPr/>
                      </w:p>
                    </w:tc>
                  </w:tr>
                  <w:tr>
                    <w:trPr>
                      <w:trHeight w:val="313" w:hRule="exact"/>
                    </w:trPr>
                    <w:tc>
                      <w:tcPr>
                        <w:tcW w:w="2992" w:type="dxa"/>
                      </w:tcPr>
                      <w:p>
                        <w:pPr>
                          <w:pStyle w:val="TableParagraph"/>
                          <w:spacing w:before="47"/>
                          <w:ind w:left="35"/>
                          <w:jc w:val="left"/>
                          <w:rPr>
                            <w:sz w:val="16"/>
                          </w:rPr>
                        </w:pPr>
                        <w:r>
                          <w:rPr>
                            <w:sz w:val="16"/>
                          </w:rPr>
                          <w:t>Division of Finance and Resources</w:t>
                        </w:r>
                      </w:p>
                    </w:tc>
                    <w:tc>
                      <w:tcPr>
                        <w:tcW w:w="369" w:type="dxa"/>
                      </w:tcPr>
                      <w:p>
                        <w:pPr>
                          <w:pStyle w:val="TableParagraph"/>
                          <w:spacing w:before="47"/>
                          <w:ind w:left="92"/>
                          <w:jc w:val="left"/>
                          <w:rPr>
                            <w:sz w:val="16"/>
                          </w:rPr>
                        </w:pPr>
                        <w:r>
                          <w:rPr>
                            <w:sz w:val="16"/>
                          </w:rPr>
                          <w:t>74</w:t>
                        </w:r>
                      </w:p>
                    </w:tc>
                    <w:tc>
                      <w:tcPr>
                        <w:tcW w:w="2850" w:type="dxa"/>
                      </w:tcPr>
                      <w:p>
                        <w:pPr/>
                      </w:p>
                    </w:tc>
                    <w:tc>
                      <w:tcPr>
                        <w:tcW w:w="511" w:type="dxa"/>
                      </w:tcPr>
                      <w:p>
                        <w:pPr/>
                      </w:p>
                    </w:tc>
                  </w:tr>
                  <w:tr>
                    <w:trPr>
                      <w:trHeight w:val="513" w:hRule="exact"/>
                    </w:trPr>
                    <w:tc>
                      <w:tcPr>
                        <w:tcW w:w="2992" w:type="dxa"/>
                      </w:tcPr>
                      <w:p>
                        <w:pPr>
                          <w:pStyle w:val="TableParagraph"/>
                          <w:spacing w:line="249" w:lineRule="auto" w:before="47"/>
                          <w:ind w:left="35" w:right="1333"/>
                          <w:jc w:val="left"/>
                          <w:rPr>
                            <w:sz w:val="16"/>
                          </w:rPr>
                        </w:pPr>
                        <w:r>
                          <w:rPr>
                            <w:sz w:val="16"/>
                          </w:rPr>
                          <w:t>Financial Resources and Budget Outcomes</w:t>
                        </w:r>
                      </w:p>
                    </w:tc>
                    <w:tc>
                      <w:tcPr>
                        <w:tcW w:w="369" w:type="dxa"/>
                      </w:tcPr>
                      <w:p>
                        <w:pPr>
                          <w:pStyle w:val="TableParagraph"/>
                          <w:spacing w:before="6"/>
                          <w:jc w:val="left"/>
                          <w:rPr>
                            <w:sz w:val="20"/>
                          </w:rPr>
                        </w:pPr>
                      </w:p>
                      <w:p>
                        <w:pPr>
                          <w:pStyle w:val="TableParagraph"/>
                          <w:spacing w:before="0"/>
                          <w:ind w:left="90"/>
                          <w:jc w:val="left"/>
                          <w:rPr>
                            <w:sz w:val="16"/>
                          </w:rPr>
                        </w:pPr>
                        <w:r>
                          <w:rPr>
                            <w:sz w:val="16"/>
                          </w:rPr>
                          <w:t>75</w:t>
                        </w:r>
                      </w:p>
                    </w:tc>
                    <w:tc>
                      <w:tcPr>
                        <w:tcW w:w="2850" w:type="dxa"/>
                      </w:tcPr>
                      <w:p>
                        <w:pPr/>
                      </w:p>
                    </w:tc>
                    <w:tc>
                      <w:tcPr>
                        <w:tcW w:w="511" w:type="dxa"/>
                      </w:tcPr>
                      <w:p>
                        <w:pPr/>
                      </w:p>
                    </w:tc>
                  </w:tr>
                  <w:tr>
                    <w:trPr>
                      <w:trHeight w:val="313" w:hRule="exact"/>
                    </w:trPr>
                    <w:tc>
                      <w:tcPr>
                        <w:tcW w:w="2992" w:type="dxa"/>
                      </w:tcPr>
                      <w:p>
                        <w:pPr>
                          <w:pStyle w:val="TableParagraph"/>
                          <w:spacing w:before="47"/>
                          <w:ind w:left="35"/>
                          <w:jc w:val="left"/>
                          <w:rPr>
                            <w:sz w:val="16"/>
                          </w:rPr>
                        </w:pPr>
                        <w:r>
                          <w:rPr>
                            <w:sz w:val="16"/>
                          </w:rPr>
                          <w:t>Information Technology Services</w:t>
                        </w:r>
                      </w:p>
                    </w:tc>
                    <w:tc>
                      <w:tcPr>
                        <w:tcW w:w="369" w:type="dxa"/>
                      </w:tcPr>
                      <w:p>
                        <w:pPr>
                          <w:pStyle w:val="TableParagraph"/>
                          <w:spacing w:before="47"/>
                          <w:ind w:left="88"/>
                          <w:jc w:val="left"/>
                          <w:rPr>
                            <w:sz w:val="16"/>
                          </w:rPr>
                        </w:pPr>
                        <w:r>
                          <w:rPr>
                            <w:sz w:val="16"/>
                          </w:rPr>
                          <w:t>76</w:t>
                        </w:r>
                      </w:p>
                    </w:tc>
                    <w:tc>
                      <w:tcPr>
                        <w:tcW w:w="2850" w:type="dxa"/>
                      </w:tcPr>
                      <w:p>
                        <w:pPr/>
                      </w:p>
                    </w:tc>
                    <w:tc>
                      <w:tcPr>
                        <w:tcW w:w="511" w:type="dxa"/>
                      </w:tcPr>
                      <w:p>
                        <w:pPr/>
                      </w:p>
                    </w:tc>
                  </w:tr>
                  <w:tr>
                    <w:trPr>
                      <w:trHeight w:val="313" w:hRule="exact"/>
                    </w:trPr>
                    <w:tc>
                      <w:tcPr>
                        <w:tcW w:w="2992" w:type="dxa"/>
                      </w:tcPr>
                      <w:p>
                        <w:pPr>
                          <w:pStyle w:val="TableParagraph"/>
                          <w:spacing w:before="47"/>
                          <w:ind w:left="35"/>
                          <w:jc w:val="left"/>
                          <w:rPr>
                            <w:sz w:val="16"/>
                          </w:rPr>
                        </w:pPr>
                        <w:r>
                          <w:rPr>
                            <w:sz w:val="16"/>
                          </w:rPr>
                          <w:t>Office of Finance</w:t>
                        </w:r>
                      </w:p>
                    </w:tc>
                    <w:tc>
                      <w:tcPr>
                        <w:tcW w:w="369" w:type="dxa"/>
                      </w:tcPr>
                      <w:p>
                        <w:pPr>
                          <w:pStyle w:val="TableParagraph"/>
                          <w:spacing w:before="47"/>
                          <w:ind w:left="88"/>
                          <w:jc w:val="left"/>
                          <w:rPr>
                            <w:sz w:val="16"/>
                          </w:rPr>
                        </w:pPr>
                        <w:r>
                          <w:rPr>
                            <w:sz w:val="16"/>
                          </w:rPr>
                          <w:t>76</w:t>
                        </w:r>
                      </w:p>
                    </w:tc>
                    <w:tc>
                      <w:tcPr>
                        <w:tcW w:w="2850" w:type="dxa"/>
                      </w:tcPr>
                      <w:p>
                        <w:pPr/>
                      </w:p>
                    </w:tc>
                    <w:tc>
                      <w:tcPr>
                        <w:tcW w:w="511" w:type="dxa"/>
                      </w:tcPr>
                      <w:p>
                        <w:pPr/>
                      </w:p>
                    </w:tc>
                  </w:tr>
                  <w:tr>
                    <w:trPr>
                      <w:trHeight w:val="313" w:hRule="exact"/>
                    </w:trPr>
                    <w:tc>
                      <w:tcPr>
                        <w:tcW w:w="2992" w:type="dxa"/>
                      </w:tcPr>
                      <w:p>
                        <w:pPr>
                          <w:pStyle w:val="TableParagraph"/>
                          <w:spacing w:before="47"/>
                          <w:ind w:left="35"/>
                          <w:jc w:val="left"/>
                          <w:rPr>
                            <w:sz w:val="16"/>
                          </w:rPr>
                        </w:pPr>
                        <w:r>
                          <w:rPr>
                            <w:sz w:val="16"/>
                          </w:rPr>
                          <w:t>Office of Commercial and Estate Planning</w:t>
                        </w:r>
                      </w:p>
                    </w:tc>
                    <w:tc>
                      <w:tcPr>
                        <w:tcW w:w="369" w:type="dxa"/>
                      </w:tcPr>
                      <w:p>
                        <w:pPr>
                          <w:pStyle w:val="TableParagraph"/>
                          <w:spacing w:before="47"/>
                          <w:ind w:left="90"/>
                          <w:jc w:val="left"/>
                          <w:rPr>
                            <w:sz w:val="16"/>
                          </w:rPr>
                        </w:pPr>
                        <w:r>
                          <w:rPr>
                            <w:sz w:val="16"/>
                          </w:rPr>
                          <w:t>77</w:t>
                        </w:r>
                      </w:p>
                    </w:tc>
                    <w:tc>
                      <w:tcPr>
                        <w:tcW w:w="2850" w:type="dxa"/>
                      </w:tcPr>
                      <w:p>
                        <w:pPr/>
                      </w:p>
                    </w:tc>
                    <w:tc>
                      <w:tcPr>
                        <w:tcW w:w="511" w:type="dxa"/>
                      </w:tcPr>
                      <w:p>
                        <w:pPr/>
                      </w:p>
                    </w:tc>
                  </w:tr>
                  <w:tr>
                    <w:trPr>
                      <w:trHeight w:val="337" w:hRule="exact"/>
                    </w:trPr>
                    <w:tc>
                      <w:tcPr>
                        <w:tcW w:w="2992" w:type="dxa"/>
                      </w:tcPr>
                      <w:p>
                        <w:pPr>
                          <w:pStyle w:val="TableParagraph"/>
                          <w:spacing w:before="47"/>
                          <w:ind w:left="35"/>
                          <w:jc w:val="left"/>
                          <w:rPr>
                            <w:sz w:val="16"/>
                          </w:rPr>
                        </w:pPr>
                        <w:r>
                          <w:rPr>
                            <w:sz w:val="16"/>
                          </w:rPr>
                          <w:t>Capital Works and Facilities</w:t>
                        </w:r>
                      </w:p>
                    </w:tc>
                    <w:tc>
                      <w:tcPr>
                        <w:tcW w:w="369" w:type="dxa"/>
                      </w:tcPr>
                      <w:p>
                        <w:pPr>
                          <w:pStyle w:val="TableParagraph"/>
                          <w:spacing w:before="47"/>
                          <w:ind w:left="90"/>
                          <w:jc w:val="left"/>
                          <w:rPr>
                            <w:sz w:val="16"/>
                          </w:rPr>
                        </w:pPr>
                        <w:r>
                          <w:rPr>
                            <w:sz w:val="16"/>
                          </w:rPr>
                          <w:t>77</w:t>
                        </w:r>
                      </w:p>
                    </w:tc>
                    <w:tc>
                      <w:tcPr>
                        <w:tcW w:w="2850" w:type="dxa"/>
                      </w:tcPr>
                      <w:p>
                        <w:pPr/>
                      </w:p>
                    </w:tc>
                    <w:tc>
                      <w:tcPr>
                        <w:tcW w:w="511" w:type="dxa"/>
                      </w:tcPr>
                      <w:p>
                        <w:pPr/>
                      </w:p>
                    </w:tc>
                  </w:tr>
                </w:tbl>
                <w:p>
                  <w:pPr>
                    <w:pStyle w:val="BodyText"/>
                  </w:pPr>
                </w:p>
              </w:txbxContent>
            </v:textbox>
            <w10:wrap type="none"/>
          </v:shape>
        </w:pict>
      </w:r>
      <w:r>
        <w:rPr>
          <w:spacing w:val="2"/>
        </w:rPr>
        <w:t>MANAGEMENT</w:t>
      </w:r>
      <w:r>
        <w:rPr>
          <w:spacing w:val="-10"/>
        </w:rPr>
        <w:t> </w:t>
      </w:r>
      <w:r>
        <w:rPr>
          <w:spacing w:val="2"/>
        </w:rPr>
        <w:t>AND</w:t>
      </w:r>
      <w:r>
        <w:rPr>
          <w:spacing w:val="-10"/>
        </w:rPr>
        <w:t> </w:t>
      </w:r>
      <w:r>
        <w:rPr>
          <w:spacing w:val="2"/>
        </w:rPr>
        <w:t>RESOURCES</w:t>
        <w:tab/>
      </w:r>
      <w:r>
        <w:rPr/>
        <w:t>71</w:t>
      </w:r>
    </w:p>
    <w:p>
      <w:pPr>
        <w:pStyle w:val="BodyText"/>
        <w:rPr>
          <w:rFonts w:ascii="Gotham Narrow Bold"/>
          <w:b/>
        </w:rPr>
      </w:pPr>
      <w:r>
        <w:rPr/>
        <w:br w:type="column"/>
      </w:r>
      <w:r>
        <w:rPr>
          <w:rFonts w:ascii="Gotham Narrow Bold"/>
          <w:b/>
        </w:rPr>
      </w:r>
    </w:p>
    <w:p>
      <w:pPr>
        <w:pStyle w:val="BodyText"/>
        <w:rPr>
          <w:rFonts w:ascii="Gotham Narrow Bold"/>
          <w:b/>
        </w:rPr>
      </w:pPr>
    </w:p>
    <w:p>
      <w:pPr>
        <w:pStyle w:val="BodyText"/>
        <w:rPr>
          <w:rFonts w:ascii="Gotham Narrow Bold"/>
          <w:b/>
        </w:rPr>
      </w:pPr>
    </w:p>
    <w:p>
      <w:pPr>
        <w:pStyle w:val="BodyText"/>
        <w:rPr>
          <w:rFonts w:ascii="Gotham Narrow Bold"/>
          <w:b/>
        </w:rPr>
      </w:pPr>
    </w:p>
    <w:p>
      <w:pPr>
        <w:pStyle w:val="BodyText"/>
        <w:rPr>
          <w:rFonts w:ascii="Gotham Narrow Bold"/>
          <w:b/>
        </w:rPr>
      </w:pPr>
    </w:p>
    <w:p>
      <w:pPr>
        <w:pStyle w:val="BodyText"/>
        <w:rPr>
          <w:rFonts w:ascii="Gotham Narrow Bold"/>
          <w:b/>
        </w:rPr>
      </w:pPr>
    </w:p>
    <w:p>
      <w:pPr>
        <w:pStyle w:val="BodyText"/>
        <w:spacing w:before="5"/>
        <w:rPr>
          <w:rFonts w:ascii="Gotham Narrow Bold"/>
          <w:b/>
          <w:sz w:val="19"/>
        </w:rPr>
      </w:pPr>
    </w:p>
    <w:p>
      <w:pPr>
        <w:pStyle w:val="Heading8"/>
        <w:tabs>
          <w:tab w:pos="3139" w:val="left" w:leader="none"/>
        </w:tabs>
        <w:spacing w:before="1"/>
      </w:pPr>
      <w:r>
        <w:rPr>
          <w:spacing w:val="2"/>
        </w:rPr>
        <w:t>APPENDICES</w:t>
        <w:tab/>
      </w:r>
      <w:r>
        <w:rPr/>
        <w:t>82</w:t>
      </w:r>
    </w:p>
    <w:p>
      <w:pPr>
        <w:pStyle w:val="BodyText"/>
        <w:tabs>
          <w:tab w:pos="3319" w:val="right" w:leader="none"/>
        </w:tabs>
        <w:spacing w:before="171"/>
        <w:ind w:left="107"/>
      </w:pPr>
      <w:r>
        <w:rPr/>
        <w:t>Appendix</w:t>
      </w:r>
      <w:r>
        <w:rPr>
          <w:spacing w:val="-17"/>
        </w:rPr>
        <w:t> </w:t>
      </w:r>
      <w:r>
        <w:rPr>
          <w:w w:val="95"/>
        </w:rPr>
        <w:t>1:</w:t>
      </w:r>
      <w:r>
        <w:rPr>
          <w:spacing w:val="-14"/>
          <w:w w:val="95"/>
        </w:rPr>
        <w:t> </w:t>
      </w:r>
      <w:r>
        <w:rPr/>
        <w:t>Board</w:t>
      </w:r>
      <w:r>
        <w:rPr>
          <w:spacing w:val="-17"/>
        </w:rPr>
        <w:t> </w:t>
      </w:r>
      <w:r>
        <w:rPr/>
        <w:t>of</w:t>
      </w:r>
      <w:r>
        <w:rPr>
          <w:spacing w:val="-17"/>
        </w:rPr>
        <w:t> </w:t>
      </w:r>
      <w:r>
        <w:rPr/>
        <w:t>Trustees</w:t>
      </w:r>
      <w:r>
        <w:rPr>
          <w:spacing w:val="-17"/>
        </w:rPr>
        <w:t> </w:t>
      </w:r>
      <w:r>
        <w:rPr/>
        <w:t>Members</w:t>
        <w:tab/>
        <w:t>82</w:t>
      </w:r>
    </w:p>
    <w:p>
      <w:pPr>
        <w:pStyle w:val="BodyText"/>
        <w:tabs>
          <w:tab w:pos="3319" w:val="right" w:leader="none"/>
        </w:tabs>
        <w:spacing w:before="177"/>
        <w:ind w:left="107"/>
      </w:pPr>
      <w:r>
        <w:rPr/>
        <w:t>Appendix</w:t>
      </w:r>
      <w:r>
        <w:rPr>
          <w:spacing w:val="-15"/>
        </w:rPr>
        <w:t> </w:t>
      </w:r>
      <w:r>
        <w:rPr/>
        <w:t>2:</w:t>
      </w:r>
      <w:r>
        <w:rPr>
          <w:spacing w:val="-15"/>
        </w:rPr>
        <w:t> </w:t>
      </w:r>
      <w:r>
        <w:rPr/>
        <w:t>Board</w:t>
      </w:r>
      <w:r>
        <w:rPr>
          <w:spacing w:val="-15"/>
        </w:rPr>
        <w:t> </w:t>
      </w:r>
      <w:r>
        <w:rPr/>
        <w:t>of</w:t>
      </w:r>
      <w:r>
        <w:rPr>
          <w:spacing w:val="-15"/>
        </w:rPr>
        <w:t> </w:t>
      </w:r>
      <w:r>
        <w:rPr/>
        <w:t>Trustees</w:t>
      </w:r>
      <w:r>
        <w:rPr>
          <w:spacing w:val="-15"/>
        </w:rPr>
        <w:t> </w:t>
      </w:r>
      <w:r>
        <w:rPr/>
        <w:t>Meetings</w:t>
        <w:tab/>
        <w:t>83</w:t>
      </w:r>
    </w:p>
    <w:p>
      <w:pPr>
        <w:pStyle w:val="BodyText"/>
        <w:tabs>
          <w:tab w:pos="3302" w:val="right" w:leader="none"/>
        </w:tabs>
        <w:spacing w:line="249" w:lineRule="auto" w:before="177"/>
        <w:ind w:left="107" w:right="145"/>
      </w:pPr>
      <w:r>
        <w:rPr/>
        <w:t>Appendix 3: Committees and other bodies established</w:t>
      </w:r>
      <w:r>
        <w:rPr>
          <w:spacing w:val="-17"/>
        </w:rPr>
        <w:t> </w:t>
      </w:r>
      <w:r>
        <w:rPr/>
        <w:t>by</w:t>
      </w:r>
      <w:r>
        <w:rPr>
          <w:spacing w:val="-17"/>
        </w:rPr>
        <w:t> </w:t>
      </w:r>
      <w:r>
        <w:rPr/>
        <w:t>the</w:t>
      </w:r>
      <w:r>
        <w:rPr>
          <w:spacing w:val="-17"/>
        </w:rPr>
        <w:t> </w:t>
      </w:r>
      <w:r>
        <w:rPr/>
        <w:t>Board</w:t>
      </w:r>
      <w:r>
        <w:rPr>
          <w:spacing w:val="-17"/>
        </w:rPr>
        <w:t> </w:t>
      </w:r>
      <w:r>
        <w:rPr/>
        <w:t>of</w:t>
      </w:r>
      <w:r>
        <w:rPr>
          <w:spacing w:val="-17"/>
        </w:rPr>
        <w:t> </w:t>
      </w:r>
      <w:r>
        <w:rPr/>
        <w:t>Trustees</w:t>
      </w:r>
      <w:r>
        <w:rPr>
          <w:w w:val="76"/>
        </w:rPr>
        <w:t> </w:t>
      </w:r>
      <w:r>
        <w:rPr/>
        <w:tab/>
      </w:r>
      <w:r>
        <w:rPr>
          <w:w w:val="34"/>
        </w:rPr>
        <w:t> </w:t>
      </w:r>
      <w:r>
        <w:rPr>
          <w:spacing w:val="3"/>
        </w:rPr>
        <w:t>84</w:t>
      </w:r>
    </w:p>
    <w:p>
      <w:pPr>
        <w:pStyle w:val="BodyText"/>
        <w:spacing w:before="112"/>
        <w:ind w:left="107"/>
      </w:pPr>
      <w:r>
        <w:rPr/>
        <w:t>Appendix 4: Academic Senate</w:t>
      </w:r>
    </w:p>
    <w:p>
      <w:pPr>
        <w:pStyle w:val="BodyText"/>
        <w:tabs>
          <w:tab w:pos="3319" w:val="right" w:leader="none"/>
        </w:tabs>
        <w:spacing w:before="7"/>
        <w:ind w:left="107"/>
      </w:pPr>
      <w:r>
        <w:rPr/>
        <w:t>Membership</w:t>
        <w:tab/>
        <w:t>85</w:t>
      </w:r>
    </w:p>
    <w:p>
      <w:pPr>
        <w:pStyle w:val="BodyText"/>
        <w:tabs>
          <w:tab w:pos="3319" w:val="right" w:leader="none"/>
        </w:tabs>
        <w:spacing w:before="177"/>
        <w:ind w:left="107"/>
      </w:pPr>
      <w:r>
        <w:rPr/>
        <w:t>Appendix</w:t>
      </w:r>
      <w:r>
        <w:rPr>
          <w:spacing w:val="-13"/>
        </w:rPr>
        <w:t> </w:t>
      </w:r>
      <w:r>
        <w:rPr/>
        <w:t>5:</w:t>
      </w:r>
      <w:r>
        <w:rPr>
          <w:spacing w:val="-13"/>
        </w:rPr>
        <w:t> </w:t>
      </w:r>
      <w:r>
        <w:rPr/>
        <w:t>Board</w:t>
      </w:r>
      <w:r>
        <w:rPr>
          <w:spacing w:val="-13"/>
        </w:rPr>
        <w:t> </w:t>
      </w:r>
      <w:r>
        <w:rPr/>
        <w:t>of</w:t>
      </w:r>
      <w:r>
        <w:rPr>
          <w:spacing w:val="-13"/>
        </w:rPr>
        <w:t> </w:t>
      </w:r>
      <w:r>
        <w:rPr/>
        <w:t>Trustees</w:t>
      </w:r>
      <w:r>
        <w:rPr>
          <w:spacing w:val="-13"/>
        </w:rPr>
        <w:t> </w:t>
      </w:r>
      <w:r>
        <w:rPr/>
        <w:t>Report</w:t>
        <w:tab/>
      </w:r>
      <w:r>
        <w:rPr>
          <w:spacing w:val="2"/>
        </w:rPr>
        <w:t>86</w:t>
      </w:r>
    </w:p>
    <w:p>
      <w:pPr>
        <w:pStyle w:val="BodyText"/>
        <w:spacing w:before="177"/>
        <w:ind w:left="107"/>
      </w:pPr>
      <w:r>
        <w:rPr/>
        <w:t>Appendix 6: Executive Remuneration</w:t>
      </w:r>
    </w:p>
    <w:p>
      <w:pPr>
        <w:pStyle w:val="BodyText"/>
        <w:tabs>
          <w:tab w:pos="3319" w:val="right" w:leader="none"/>
        </w:tabs>
        <w:spacing w:before="7"/>
        <w:ind w:left="107"/>
      </w:pPr>
      <w:r>
        <w:rPr/>
        <w:t>and</w:t>
      </w:r>
      <w:r>
        <w:rPr>
          <w:spacing w:val="-13"/>
        </w:rPr>
        <w:t> </w:t>
      </w:r>
      <w:r>
        <w:rPr/>
        <w:t>Performance</w:t>
      </w:r>
      <w:r>
        <w:rPr>
          <w:spacing w:val="-13"/>
        </w:rPr>
        <w:t> </w:t>
      </w:r>
      <w:r>
        <w:rPr/>
        <w:t>Data</w:t>
        <w:tab/>
        <w:t>87</w:t>
      </w:r>
    </w:p>
    <w:p>
      <w:pPr>
        <w:pStyle w:val="BodyText"/>
        <w:spacing w:before="177"/>
        <w:ind w:left="107"/>
      </w:pPr>
      <w:r>
        <w:rPr/>
        <w:t>Appendix 7: Principal Officers</w:t>
      </w:r>
    </w:p>
    <w:p>
      <w:pPr>
        <w:pStyle w:val="BodyText"/>
        <w:tabs>
          <w:tab w:pos="3319" w:val="right" w:leader="none"/>
        </w:tabs>
        <w:spacing w:before="7"/>
        <w:ind w:left="107"/>
      </w:pPr>
      <w:r>
        <w:rPr/>
        <w:t>of</w:t>
      </w:r>
      <w:r>
        <w:rPr>
          <w:spacing w:val="-13"/>
        </w:rPr>
        <w:t> </w:t>
      </w:r>
      <w:r>
        <w:rPr/>
        <w:t>the</w:t>
      </w:r>
      <w:r>
        <w:rPr>
          <w:spacing w:val="-13"/>
        </w:rPr>
        <w:t> </w:t>
      </w:r>
      <w:r>
        <w:rPr/>
        <w:t>University</w:t>
        <w:tab/>
      </w:r>
      <w:r>
        <w:rPr>
          <w:spacing w:val="2"/>
        </w:rPr>
        <w:t>88</w:t>
      </w:r>
    </w:p>
    <w:p>
      <w:pPr>
        <w:pStyle w:val="BodyText"/>
        <w:spacing w:before="177"/>
        <w:ind w:left="107"/>
      </w:pPr>
      <w:r>
        <w:rPr/>
        <w:t>Appendix 8: Government Information</w:t>
      </w:r>
    </w:p>
    <w:p>
      <w:pPr>
        <w:pStyle w:val="BodyText"/>
        <w:tabs>
          <w:tab w:pos="3319" w:val="right" w:leader="none"/>
        </w:tabs>
        <w:spacing w:before="7"/>
        <w:ind w:left="107"/>
      </w:pPr>
      <w:r>
        <w:rPr/>
        <w:t>(Public</w:t>
      </w:r>
      <w:r>
        <w:rPr>
          <w:spacing w:val="-12"/>
        </w:rPr>
        <w:t> </w:t>
      </w:r>
      <w:r>
        <w:rPr/>
        <w:t>Access)</w:t>
        <w:tab/>
        <w:t>89</w:t>
      </w:r>
    </w:p>
    <w:p>
      <w:pPr>
        <w:pStyle w:val="BodyText"/>
        <w:tabs>
          <w:tab w:pos="3319" w:val="right" w:leader="none"/>
        </w:tabs>
        <w:spacing w:before="177"/>
        <w:ind w:left="107"/>
      </w:pPr>
      <w:r>
        <w:rPr/>
        <w:t>Appendix</w:t>
      </w:r>
      <w:r>
        <w:rPr>
          <w:spacing w:val="-13"/>
        </w:rPr>
        <w:t> </w:t>
      </w:r>
      <w:r>
        <w:rPr/>
        <w:t>9:</w:t>
      </w:r>
      <w:r>
        <w:rPr>
          <w:spacing w:val="-13"/>
        </w:rPr>
        <w:t> </w:t>
      </w:r>
      <w:r>
        <w:rPr/>
        <w:t>Consultancies</w:t>
        <w:tab/>
        <w:t>93</w:t>
      </w:r>
    </w:p>
    <w:p>
      <w:pPr>
        <w:pStyle w:val="BodyText"/>
        <w:spacing w:before="177"/>
        <w:ind w:left="107"/>
      </w:pPr>
      <w:r>
        <w:rPr>
          <w:spacing w:val="2"/>
          <w:w w:val="112"/>
        </w:rPr>
        <w:t>A</w:t>
      </w:r>
      <w:r>
        <w:rPr>
          <w:spacing w:val="2"/>
          <w:w w:val="102"/>
        </w:rPr>
        <w:t>pp</w:t>
      </w:r>
      <w:r>
        <w:rPr>
          <w:spacing w:val="2"/>
          <w:w w:val="95"/>
        </w:rPr>
        <w:t>e</w:t>
      </w:r>
      <w:r>
        <w:rPr>
          <w:spacing w:val="2"/>
          <w:w w:val="95"/>
        </w:rPr>
        <w:t>n</w:t>
      </w:r>
      <w:r>
        <w:rPr>
          <w:spacing w:val="1"/>
          <w:w w:val="102"/>
        </w:rPr>
        <w:t>d</w:t>
      </w:r>
      <w:r>
        <w:rPr>
          <w:w w:val="95"/>
        </w:rPr>
        <w:t>i</w:t>
      </w:r>
      <w:r>
        <w:rPr>
          <w:w w:val="99"/>
        </w:rPr>
        <w:t>x</w:t>
      </w:r>
      <w:r>
        <w:rPr>
          <w:spacing w:val="-12"/>
        </w:rPr>
        <w:t> </w:t>
      </w:r>
      <w:r>
        <w:rPr>
          <w:spacing w:val="4"/>
          <w:w w:val="54"/>
        </w:rPr>
        <w:t>1</w:t>
      </w:r>
      <w:r>
        <w:rPr>
          <w:spacing w:val="2"/>
          <w:w w:val="111"/>
        </w:rPr>
        <w:t>0</w:t>
      </w:r>
      <w:r>
        <w:rPr>
          <w:w w:val="61"/>
        </w:rPr>
        <w:t>:</w:t>
      </w:r>
      <w:r>
        <w:rPr>
          <w:spacing w:val="-12"/>
        </w:rPr>
        <w:t> </w:t>
      </w:r>
      <w:r>
        <w:rPr>
          <w:w w:val="100"/>
        </w:rPr>
        <w:t>E</w:t>
      </w:r>
      <w:r>
        <w:rPr>
          <w:spacing w:val="2"/>
          <w:w w:val="102"/>
        </w:rPr>
        <w:t>q</w:t>
      </w:r>
      <w:r>
        <w:rPr>
          <w:spacing w:val="1"/>
          <w:w w:val="95"/>
        </w:rPr>
        <w:t>u</w:t>
      </w:r>
      <w:r>
        <w:rPr>
          <w:w w:val="95"/>
        </w:rPr>
        <w:t>i</w:t>
      </w:r>
      <w:r>
        <w:rPr>
          <w:spacing w:val="4"/>
          <w:w w:val="102"/>
        </w:rPr>
        <w:t>t</w:t>
      </w:r>
      <w:r>
        <w:rPr>
          <w:w w:val="101"/>
        </w:rPr>
        <w:t>y</w:t>
      </w:r>
      <w:r>
        <w:rPr>
          <w:spacing w:val="-12"/>
        </w:rPr>
        <w:t> </w:t>
      </w:r>
      <w:r>
        <w:rPr>
          <w:spacing w:val="2"/>
          <w:w w:val="94"/>
        </w:rPr>
        <w:t>a</w:t>
      </w:r>
      <w:r>
        <w:rPr>
          <w:spacing w:val="2"/>
          <w:w w:val="95"/>
        </w:rPr>
        <w:t>n</w:t>
      </w:r>
      <w:r>
        <w:rPr>
          <w:w w:val="102"/>
        </w:rPr>
        <w:t>d</w:t>
      </w:r>
      <w:r>
        <w:rPr>
          <w:spacing w:val="-12"/>
        </w:rPr>
        <w:t> </w:t>
      </w:r>
      <w:r>
        <w:rPr>
          <w:spacing w:val="2"/>
          <w:w w:val="98"/>
        </w:rPr>
        <w:t>D</w:t>
      </w:r>
      <w:r>
        <w:rPr>
          <w:w w:val="95"/>
        </w:rPr>
        <w:t>i</w:t>
      </w:r>
      <w:r>
        <w:rPr>
          <w:spacing w:val="-1"/>
          <w:w w:val="101"/>
        </w:rPr>
        <w:t>v</w:t>
      </w:r>
      <w:r>
        <w:rPr>
          <w:spacing w:val="2"/>
          <w:w w:val="95"/>
        </w:rPr>
        <w:t>e</w:t>
      </w:r>
      <w:r>
        <w:rPr>
          <w:spacing w:val="2"/>
          <w:w w:val="95"/>
        </w:rPr>
        <w:t>r</w:t>
      </w:r>
      <w:r>
        <w:rPr>
          <w:w w:val="95"/>
        </w:rPr>
        <w:t>s</w:t>
      </w:r>
      <w:r>
        <w:rPr>
          <w:w w:val="95"/>
        </w:rPr>
        <w:t>i</w:t>
      </w:r>
      <w:r>
        <w:rPr>
          <w:spacing w:val="4"/>
          <w:w w:val="102"/>
        </w:rPr>
        <w:t>t</w:t>
      </w:r>
      <w:r>
        <w:rPr>
          <w:w w:val="101"/>
        </w:rPr>
        <w:t>y</w:t>
      </w:r>
    </w:p>
    <w:p>
      <w:pPr>
        <w:pStyle w:val="BodyText"/>
        <w:tabs>
          <w:tab w:pos="3319" w:val="right" w:leader="none"/>
        </w:tabs>
        <w:spacing w:before="7"/>
        <w:ind w:left="107"/>
      </w:pPr>
      <w:r>
        <w:rPr/>
        <w:t>Statistics</w:t>
        <w:tab/>
        <w:t>95</w:t>
      </w:r>
    </w:p>
    <w:p>
      <w:pPr>
        <w:pStyle w:val="BodyText"/>
        <w:tabs>
          <w:tab w:pos="3319" w:val="right" w:leader="none"/>
        </w:tabs>
        <w:spacing w:before="177"/>
        <w:ind w:left="107"/>
      </w:pPr>
      <w:r>
        <w:rPr/>
        <w:t>Appendix</w:t>
      </w:r>
      <w:r>
        <w:rPr>
          <w:spacing w:val="-18"/>
        </w:rPr>
        <w:t> </w:t>
      </w:r>
      <w:r>
        <w:rPr>
          <w:w w:val="95"/>
        </w:rPr>
        <w:t>11:</w:t>
      </w:r>
      <w:r>
        <w:rPr>
          <w:spacing w:val="-15"/>
          <w:w w:val="95"/>
        </w:rPr>
        <w:t> </w:t>
      </w:r>
      <w:r>
        <w:rPr/>
        <w:t>Student</w:t>
      </w:r>
      <w:r>
        <w:rPr>
          <w:spacing w:val="-18"/>
        </w:rPr>
        <w:t> </w:t>
      </w:r>
      <w:r>
        <w:rPr/>
        <w:t>Enrolment</w:t>
      </w:r>
      <w:r>
        <w:rPr>
          <w:spacing w:val="-18"/>
        </w:rPr>
        <w:t> </w:t>
      </w:r>
      <w:r>
        <w:rPr/>
        <w:t>Data</w:t>
        <w:tab/>
        <w:t>97</w:t>
      </w:r>
    </w:p>
    <w:p>
      <w:pPr>
        <w:spacing w:after="0"/>
        <w:sectPr>
          <w:type w:val="continuous"/>
          <w:pgSz w:w="11910" w:h="16840"/>
          <w:pgMar w:top="1580" w:bottom="280" w:left="800" w:right="760"/>
          <w:cols w:num="3" w:equalWidth="0">
            <w:col w:w="3324" w:space="116"/>
            <w:col w:w="3320" w:space="119"/>
            <w:col w:w="3471"/>
          </w:cols>
        </w:sectPr>
      </w:pPr>
    </w:p>
    <w:p>
      <w:pPr>
        <w:pStyle w:val="BodyText"/>
        <w:spacing w:before="10"/>
        <w:rPr>
          <w:sz w:val="28"/>
        </w:rPr>
      </w:pPr>
    </w:p>
    <w:p>
      <w:pPr>
        <w:pStyle w:val="Heading2"/>
        <w:spacing w:line="240" w:lineRule="auto" w:before="27"/>
        <w:ind w:right="6642"/>
        <w:rPr>
          <w:b w:val="0"/>
        </w:rPr>
      </w:pPr>
      <w:bookmarkStart w:name="_TOC_250024" w:id="1"/>
      <w:bookmarkEnd w:id="1"/>
      <w:r>
        <w:rPr>
          <w:b w:val="0"/>
        </w:rPr>
        <w:t>The Year in Review</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5"/>
        </w:rPr>
      </w:pPr>
    </w:p>
    <w:p>
      <w:pPr>
        <w:spacing w:after="0"/>
        <w:rPr>
          <w:rFonts w:ascii="Chronicle Text G1"/>
          <w:sz w:val="25"/>
        </w:rPr>
        <w:sectPr>
          <w:pgSz w:w="11910" w:h="16840"/>
          <w:pgMar w:header="494" w:footer="473" w:top="680" w:bottom="660" w:left="800" w:right="800"/>
        </w:sect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rPr>
          <w:rFonts w:ascii="Chronicle Text G1"/>
          <w:b w:val="0"/>
          <w:sz w:val="14"/>
        </w:rPr>
      </w:pPr>
    </w:p>
    <w:p>
      <w:pPr>
        <w:pStyle w:val="BodyText"/>
        <w:spacing w:before="3"/>
        <w:rPr>
          <w:rFonts w:ascii="Chronicle Text G1"/>
          <w:b w:val="0"/>
          <w:sz w:val="20"/>
        </w:rPr>
      </w:pPr>
    </w:p>
    <w:p>
      <w:pPr>
        <w:spacing w:before="0"/>
        <w:ind w:left="107" w:right="0" w:firstLine="0"/>
        <w:jc w:val="left"/>
        <w:rPr>
          <w:sz w:val="14"/>
        </w:rPr>
      </w:pPr>
      <w:r>
        <w:rPr/>
        <w:drawing>
          <wp:anchor distT="0" distB="0" distL="0" distR="0" allowOverlap="1" layoutInCell="1" locked="0" behindDoc="0" simplePos="0" relativeHeight="1168">
            <wp:simplePos x="0" y="0"/>
            <wp:positionH relativeFrom="page">
              <wp:posOffset>576008</wp:posOffset>
            </wp:positionH>
            <wp:positionV relativeFrom="paragraph">
              <wp:posOffset>-2116049</wp:posOffset>
            </wp:positionV>
            <wp:extent cx="2048325" cy="2109216"/>
            <wp:effectExtent l="0" t="0" r="0" b="0"/>
            <wp:wrapNone/>
            <wp:docPr id="1" name="image5.png" descr=""/>
            <wp:cNvGraphicFramePr>
              <a:graphicFrameLocks noChangeAspect="1"/>
            </wp:cNvGraphicFramePr>
            <a:graphic>
              <a:graphicData uri="http://schemas.openxmlformats.org/drawingml/2006/picture">
                <pic:pic>
                  <pic:nvPicPr>
                    <pic:cNvPr id="2" name="image5.png"/>
                    <pic:cNvPicPr/>
                  </pic:nvPicPr>
                  <pic:blipFill>
                    <a:blip r:embed="rId13" cstate="print"/>
                    <a:stretch>
                      <a:fillRect/>
                    </a:stretch>
                  </pic:blipFill>
                  <pic:spPr>
                    <a:xfrm>
                      <a:off x="0" y="0"/>
                      <a:ext cx="2048325" cy="2109216"/>
                    </a:xfrm>
                    <a:prstGeom prst="rect">
                      <a:avLst/>
                    </a:prstGeom>
                  </pic:spPr>
                </pic:pic>
              </a:graphicData>
            </a:graphic>
          </wp:anchor>
        </w:drawing>
      </w:r>
      <w:r>
        <w:rPr>
          <w:sz w:val="14"/>
        </w:rPr>
        <w:t>Professor Peter Shergold AC, Chancellor</w:t>
      </w:r>
    </w:p>
    <w:p>
      <w:pPr>
        <w:pStyle w:val="BodyText"/>
        <w:spacing w:before="10"/>
        <w:rPr>
          <w:sz w:val="13"/>
        </w:rPr>
      </w:pPr>
      <w:r>
        <w:rPr/>
        <w:drawing>
          <wp:anchor distT="0" distB="0" distL="0" distR="0" allowOverlap="1" layoutInCell="1" locked="0" behindDoc="0" simplePos="0" relativeHeight="1144">
            <wp:simplePos x="0" y="0"/>
            <wp:positionH relativeFrom="page">
              <wp:posOffset>576008</wp:posOffset>
            </wp:positionH>
            <wp:positionV relativeFrom="paragraph">
              <wp:posOffset>131225</wp:posOffset>
            </wp:positionV>
            <wp:extent cx="2038693" cy="2099310"/>
            <wp:effectExtent l="0" t="0" r="0" b="0"/>
            <wp:wrapTopAndBottom/>
            <wp:docPr id="3" name="image6.png" descr=""/>
            <wp:cNvGraphicFramePr>
              <a:graphicFrameLocks noChangeAspect="1"/>
            </wp:cNvGraphicFramePr>
            <a:graphic>
              <a:graphicData uri="http://schemas.openxmlformats.org/drawingml/2006/picture">
                <pic:pic>
                  <pic:nvPicPr>
                    <pic:cNvPr id="4" name="image6.png"/>
                    <pic:cNvPicPr/>
                  </pic:nvPicPr>
                  <pic:blipFill>
                    <a:blip r:embed="rId14" cstate="print"/>
                    <a:stretch>
                      <a:fillRect/>
                    </a:stretch>
                  </pic:blipFill>
                  <pic:spPr>
                    <a:xfrm>
                      <a:off x="0" y="0"/>
                      <a:ext cx="2038693" cy="2099310"/>
                    </a:xfrm>
                    <a:prstGeom prst="rect">
                      <a:avLst/>
                    </a:prstGeom>
                  </pic:spPr>
                </pic:pic>
              </a:graphicData>
            </a:graphic>
          </wp:anchor>
        </w:drawing>
      </w:r>
    </w:p>
    <w:p>
      <w:pPr>
        <w:spacing w:line="256" w:lineRule="auto" w:before="0"/>
        <w:ind w:left="107" w:right="795" w:firstLine="0"/>
        <w:jc w:val="left"/>
        <w:rPr>
          <w:sz w:val="14"/>
        </w:rPr>
      </w:pPr>
      <w:r>
        <w:rPr>
          <w:sz w:val="14"/>
        </w:rPr>
        <w:t>Professor</w:t>
      </w:r>
      <w:r>
        <w:rPr>
          <w:spacing w:val="-33"/>
          <w:sz w:val="14"/>
        </w:rPr>
        <w:t> </w:t>
      </w:r>
      <w:r>
        <w:rPr>
          <w:sz w:val="14"/>
        </w:rPr>
        <w:t>Barney</w:t>
      </w:r>
      <w:r>
        <w:rPr>
          <w:spacing w:val="-33"/>
          <w:sz w:val="14"/>
        </w:rPr>
        <w:t> </w:t>
      </w:r>
      <w:r>
        <w:rPr>
          <w:spacing w:val="-3"/>
          <w:sz w:val="14"/>
        </w:rPr>
        <w:t>Glover,</w:t>
      </w:r>
      <w:r>
        <w:rPr>
          <w:spacing w:val="-33"/>
          <w:sz w:val="14"/>
        </w:rPr>
        <w:t> </w:t>
      </w:r>
      <w:r>
        <w:rPr>
          <w:sz w:val="14"/>
        </w:rPr>
        <w:t>Vice-Chancellor </w:t>
      </w:r>
      <w:r>
        <w:rPr>
          <w:w w:val="95"/>
          <w:sz w:val="14"/>
        </w:rPr>
        <w:t>and</w:t>
      </w:r>
      <w:r>
        <w:rPr>
          <w:spacing w:val="1"/>
          <w:w w:val="95"/>
          <w:sz w:val="14"/>
        </w:rPr>
        <w:t> </w:t>
      </w:r>
      <w:r>
        <w:rPr>
          <w:w w:val="95"/>
          <w:sz w:val="14"/>
        </w:rPr>
        <w:t>President</w:t>
      </w:r>
    </w:p>
    <w:p>
      <w:pPr>
        <w:spacing w:line="260" w:lineRule="exact" w:before="87"/>
        <w:ind w:left="107" w:right="788" w:firstLine="0"/>
        <w:jc w:val="left"/>
        <w:rPr>
          <w:rFonts w:ascii="Gotham Narrow Bold"/>
          <w:b/>
          <w:sz w:val="24"/>
        </w:rPr>
      </w:pPr>
      <w:r>
        <w:rPr/>
        <w:br w:type="column"/>
      </w:r>
      <w:r>
        <w:rPr>
          <w:rFonts w:ascii="Gotham Narrow Bold"/>
          <w:b/>
          <w:sz w:val="24"/>
        </w:rPr>
        <w:t>A</w:t>
      </w:r>
      <w:r>
        <w:rPr>
          <w:rFonts w:ascii="Gotham Narrow Bold"/>
          <w:b/>
          <w:spacing w:val="-42"/>
          <w:sz w:val="24"/>
        </w:rPr>
        <w:t> </w:t>
      </w:r>
      <w:r>
        <w:rPr>
          <w:rFonts w:ascii="Gotham Narrow Bold"/>
          <w:b/>
          <w:spacing w:val="-3"/>
          <w:sz w:val="24"/>
        </w:rPr>
        <w:t>MESSAGE</w:t>
      </w:r>
      <w:r>
        <w:rPr>
          <w:rFonts w:ascii="Gotham Narrow Bold"/>
          <w:b/>
          <w:spacing w:val="-42"/>
          <w:sz w:val="24"/>
        </w:rPr>
        <w:t> </w:t>
      </w:r>
      <w:r>
        <w:rPr>
          <w:rFonts w:ascii="Gotham Narrow Bold"/>
          <w:b/>
          <w:spacing w:val="-3"/>
          <w:sz w:val="24"/>
        </w:rPr>
        <w:t>FROM</w:t>
      </w:r>
      <w:r>
        <w:rPr>
          <w:rFonts w:ascii="Gotham Narrow Bold"/>
          <w:b/>
          <w:spacing w:val="-42"/>
          <w:sz w:val="24"/>
        </w:rPr>
        <w:t> </w:t>
      </w:r>
      <w:r>
        <w:rPr>
          <w:rFonts w:ascii="Gotham Narrow Bold"/>
          <w:b/>
          <w:sz w:val="24"/>
        </w:rPr>
        <w:t>THE </w:t>
      </w:r>
      <w:r>
        <w:rPr>
          <w:rFonts w:ascii="Gotham Narrow Bold"/>
          <w:b/>
          <w:spacing w:val="-3"/>
          <w:sz w:val="24"/>
        </w:rPr>
        <w:t>CHANCELLOR </w:t>
      </w:r>
      <w:r>
        <w:rPr>
          <w:rFonts w:ascii="Gotham Narrow Bold"/>
          <w:b/>
          <w:sz w:val="24"/>
        </w:rPr>
        <w:t>AND </w:t>
      </w:r>
      <w:r>
        <w:rPr>
          <w:rFonts w:ascii="Gotham Narrow Bold"/>
          <w:b/>
          <w:spacing w:val="-3"/>
          <w:sz w:val="24"/>
        </w:rPr>
        <w:t>VICE-CHANCELLOR</w:t>
      </w:r>
    </w:p>
    <w:p>
      <w:pPr>
        <w:pStyle w:val="BodyText"/>
        <w:spacing w:line="247" w:lineRule="auto" w:before="215"/>
        <w:ind w:left="107" w:right="173"/>
      </w:pPr>
      <w:r>
        <w:rPr>
          <w:spacing w:val="1"/>
          <w:w w:val="80"/>
        </w:rPr>
        <w:t>In</w:t>
      </w:r>
      <w:r>
        <w:rPr>
          <w:w w:val="80"/>
        </w:rPr>
        <w:t> </w:t>
      </w:r>
      <w:r>
        <w:rPr>
          <w:spacing w:val="1"/>
          <w:w w:val="84"/>
        </w:rPr>
        <w:t>2015,</w:t>
      </w:r>
      <w:r>
        <w:rPr>
          <w:w w:val="84"/>
        </w:rPr>
        <w:t> </w:t>
      </w:r>
      <w:r>
        <w:rPr>
          <w:w w:val="98"/>
        </w:rPr>
        <w:t>Western </w:t>
      </w:r>
      <w:r>
        <w:rPr>
          <w:spacing w:val="-1"/>
          <w:w w:val="99"/>
        </w:rPr>
        <w:t>Sydney</w:t>
      </w:r>
      <w:r>
        <w:rPr>
          <w:w w:val="99"/>
        </w:rPr>
        <w:t> </w:t>
      </w:r>
      <w:r>
        <w:rPr>
          <w:spacing w:val="1"/>
          <w:w w:val="97"/>
        </w:rPr>
        <w:t>University</w:t>
      </w:r>
      <w:r>
        <w:rPr>
          <w:w w:val="97"/>
        </w:rPr>
        <w:t> </w:t>
      </w:r>
      <w:r>
        <w:rPr/>
        <w:t>established</w:t>
      </w:r>
      <w:r>
        <w:rPr>
          <w:spacing w:val="-20"/>
        </w:rPr>
        <w:t> </w:t>
      </w:r>
      <w:r>
        <w:rPr/>
        <w:t>a</w:t>
      </w:r>
      <w:r>
        <w:rPr>
          <w:spacing w:val="-20"/>
        </w:rPr>
        <w:t> </w:t>
      </w:r>
      <w:r>
        <w:rPr/>
        <w:t>clear,</w:t>
      </w:r>
      <w:r>
        <w:rPr>
          <w:spacing w:val="-20"/>
        </w:rPr>
        <w:t> </w:t>
      </w:r>
      <w:r>
        <w:rPr/>
        <w:t>compelling</w:t>
      </w:r>
      <w:r>
        <w:rPr>
          <w:spacing w:val="-20"/>
        </w:rPr>
        <w:t> </w:t>
      </w:r>
      <w:r>
        <w:rPr/>
        <w:t>and</w:t>
      </w:r>
      <w:r>
        <w:rPr>
          <w:spacing w:val="-20"/>
        </w:rPr>
        <w:t> </w:t>
      </w:r>
      <w:r>
        <w:rPr/>
        <w:t>resolute vision</w:t>
      </w:r>
      <w:r>
        <w:rPr>
          <w:spacing w:val="-16"/>
        </w:rPr>
        <w:t> </w:t>
      </w:r>
      <w:r>
        <w:rPr/>
        <w:t>for</w:t>
      </w:r>
      <w:r>
        <w:rPr>
          <w:spacing w:val="-16"/>
        </w:rPr>
        <w:t> </w:t>
      </w:r>
      <w:r>
        <w:rPr/>
        <w:t>the</w:t>
      </w:r>
      <w:r>
        <w:rPr>
          <w:spacing w:val="-16"/>
        </w:rPr>
        <w:t> </w:t>
      </w:r>
      <w:r>
        <w:rPr/>
        <w:t>future</w:t>
      </w:r>
      <w:r>
        <w:rPr>
          <w:spacing w:val="-16"/>
        </w:rPr>
        <w:t> </w:t>
      </w:r>
      <w:r>
        <w:rPr/>
        <w:t>with</w:t>
      </w:r>
      <w:r>
        <w:rPr>
          <w:spacing w:val="-16"/>
        </w:rPr>
        <w:t> </w:t>
      </w:r>
      <w:r>
        <w:rPr/>
        <w:t>the</w:t>
      </w:r>
      <w:r>
        <w:rPr>
          <w:spacing w:val="-16"/>
        </w:rPr>
        <w:t> </w:t>
      </w:r>
      <w:r>
        <w:rPr/>
        <w:t>release</w:t>
      </w:r>
      <w:r>
        <w:rPr>
          <w:spacing w:val="-16"/>
        </w:rPr>
        <w:t> </w:t>
      </w:r>
      <w:r>
        <w:rPr/>
        <w:t>of</w:t>
      </w:r>
      <w:r>
        <w:rPr>
          <w:spacing w:val="-16"/>
        </w:rPr>
        <w:t> </w:t>
      </w:r>
      <w:r>
        <w:rPr/>
        <w:t>the </w:t>
      </w:r>
      <w:r>
        <w:rPr>
          <w:rFonts w:ascii="Century Gothic" w:hAnsi="Century Gothic"/>
          <w:i/>
          <w:w w:val="92"/>
        </w:rPr>
        <w:t>Securing </w:t>
      </w:r>
      <w:r>
        <w:rPr>
          <w:rFonts w:ascii="Century Gothic" w:hAnsi="Century Gothic"/>
          <w:i/>
          <w:spacing w:val="1"/>
          <w:w w:val="89"/>
        </w:rPr>
        <w:t>Success:</w:t>
      </w:r>
      <w:r>
        <w:rPr>
          <w:rFonts w:ascii="Century Gothic" w:hAnsi="Century Gothic"/>
          <w:i/>
          <w:w w:val="89"/>
        </w:rPr>
        <w:t> </w:t>
      </w:r>
      <w:r>
        <w:rPr>
          <w:rFonts w:ascii="Century Gothic" w:hAnsi="Century Gothic"/>
          <w:i/>
          <w:w w:val="94"/>
        </w:rPr>
        <w:t>2015–2020 </w:t>
      </w:r>
      <w:r>
        <w:rPr>
          <w:w w:val="98"/>
        </w:rPr>
        <w:t>strategic </w:t>
      </w:r>
      <w:r>
        <w:rPr/>
        <w:t>plan, following endorsement by the Board of</w:t>
      </w:r>
      <w:r>
        <w:rPr>
          <w:spacing w:val="-31"/>
        </w:rPr>
        <w:t> </w:t>
      </w:r>
      <w:r>
        <w:rPr/>
        <w:t>Trustees</w:t>
      </w:r>
      <w:r>
        <w:rPr>
          <w:spacing w:val="-31"/>
        </w:rPr>
        <w:t> </w:t>
      </w:r>
      <w:r>
        <w:rPr/>
        <w:t>in</w:t>
      </w:r>
      <w:r>
        <w:rPr>
          <w:spacing w:val="-31"/>
        </w:rPr>
        <w:t> </w:t>
      </w:r>
      <w:r>
        <w:rPr/>
        <w:t>February.</w:t>
      </w:r>
      <w:r>
        <w:rPr>
          <w:spacing w:val="-31"/>
        </w:rPr>
        <w:t> </w:t>
      </w:r>
      <w:r>
        <w:rPr>
          <w:rFonts w:ascii="Century Gothic" w:hAnsi="Century Gothic"/>
          <w:i/>
        </w:rPr>
        <w:t>Securing</w:t>
      </w:r>
      <w:r>
        <w:rPr>
          <w:rFonts w:ascii="Century Gothic" w:hAnsi="Century Gothic"/>
          <w:i/>
          <w:spacing w:val="-26"/>
        </w:rPr>
        <w:t> </w:t>
      </w:r>
      <w:r>
        <w:rPr>
          <w:rFonts w:ascii="Century Gothic" w:hAnsi="Century Gothic"/>
          <w:i/>
        </w:rPr>
        <w:t>Success </w:t>
      </w:r>
      <w:r>
        <w:rPr/>
        <w:t>encapsulates</w:t>
      </w:r>
      <w:r>
        <w:rPr>
          <w:spacing w:val="-19"/>
        </w:rPr>
        <w:t> </w:t>
      </w:r>
      <w:r>
        <w:rPr/>
        <w:t>the</w:t>
      </w:r>
      <w:r>
        <w:rPr>
          <w:spacing w:val="-19"/>
        </w:rPr>
        <w:t> </w:t>
      </w:r>
      <w:r>
        <w:rPr/>
        <w:t>rationale</w:t>
      </w:r>
      <w:r>
        <w:rPr>
          <w:spacing w:val="-19"/>
        </w:rPr>
        <w:t> </w:t>
      </w:r>
      <w:r>
        <w:rPr/>
        <w:t>and</w:t>
      </w:r>
      <w:r>
        <w:rPr>
          <w:spacing w:val="-19"/>
        </w:rPr>
        <w:t> </w:t>
      </w:r>
      <w:r>
        <w:rPr/>
        <w:t>provides</w:t>
      </w:r>
      <w:r>
        <w:rPr>
          <w:spacing w:val="-19"/>
        </w:rPr>
        <w:t> </w:t>
      </w:r>
      <w:r>
        <w:rPr/>
        <w:t>the</w:t>
      </w:r>
    </w:p>
    <w:p>
      <w:pPr>
        <w:pStyle w:val="BodyText"/>
        <w:spacing w:line="249" w:lineRule="auto" w:before="1"/>
        <w:ind w:left="107"/>
      </w:pPr>
      <w:r>
        <w:rPr/>
        <w:t>framework for the strategic imperatives that will</w:t>
      </w:r>
      <w:r>
        <w:rPr>
          <w:spacing w:val="-15"/>
        </w:rPr>
        <w:t> </w:t>
      </w:r>
      <w:r>
        <w:rPr/>
        <w:t>shape</w:t>
      </w:r>
      <w:r>
        <w:rPr>
          <w:spacing w:val="-15"/>
        </w:rPr>
        <w:t> </w:t>
      </w:r>
      <w:r>
        <w:rPr/>
        <w:t>the</w:t>
      </w:r>
      <w:r>
        <w:rPr>
          <w:spacing w:val="-15"/>
        </w:rPr>
        <w:t> </w:t>
      </w:r>
      <w:r>
        <w:rPr/>
        <w:t>University</w:t>
      </w:r>
      <w:r>
        <w:rPr>
          <w:spacing w:val="-15"/>
        </w:rPr>
        <w:t> </w:t>
      </w:r>
      <w:r>
        <w:rPr/>
        <w:t>for</w:t>
      </w:r>
      <w:r>
        <w:rPr>
          <w:spacing w:val="-15"/>
        </w:rPr>
        <w:t> </w:t>
      </w:r>
      <w:r>
        <w:rPr/>
        <w:t>a</w:t>
      </w:r>
      <w:r>
        <w:rPr>
          <w:spacing w:val="-15"/>
        </w:rPr>
        <w:t> </w:t>
      </w:r>
      <w:r>
        <w:rPr/>
        <w:t>competitive</w:t>
      </w:r>
      <w:r>
        <w:rPr>
          <w:spacing w:val="-15"/>
        </w:rPr>
        <w:t> </w:t>
      </w:r>
      <w:r>
        <w:rPr/>
        <w:t>and successful future. Importantly, it strengthens the University’s reputation for resilience and flexibility,</w:t>
      </w:r>
      <w:r>
        <w:rPr>
          <w:spacing w:val="-19"/>
        </w:rPr>
        <w:t> </w:t>
      </w:r>
      <w:r>
        <w:rPr/>
        <w:t>and</w:t>
      </w:r>
      <w:r>
        <w:rPr>
          <w:spacing w:val="-19"/>
        </w:rPr>
        <w:t> </w:t>
      </w:r>
      <w:r>
        <w:rPr/>
        <w:t>cements</w:t>
      </w:r>
      <w:r>
        <w:rPr>
          <w:spacing w:val="-19"/>
        </w:rPr>
        <w:t> </w:t>
      </w:r>
      <w:r>
        <w:rPr/>
        <w:t>a</w:t>
      </w:r>
      <w:r>
        <w:rPr>
          <w:spacing w:val="-19"/>
        </w:rPr>
        <w:t> </w:t>
      </w:r>
      <w:r>
        <w:rPr/>
        <w:t>student-centred</w:t>
      </w:r>
      <w:r>
        <w:rPr>
          <w:spacing w:val="-19"/>
        </w:rPr>
        <w:t> </w:t>
      </w:r>
      <w:r>
        <w:rPr/>
        <w:t>and </w:t>
      </w:r>
      <w:r>
        <w:rPr>
          <w:w w:val="95"/>
        </w:rPr>
        <w:t>research-led</w:t>
      </w:r>
      <w:r>
        <w:rPr>
          <w:spacing w:val="33"/>
          <w:w w:val="95"/>
        </w:rPr>
        <w:t> </w:t>
      </w:r>
      <w:r>
        <w:rPr>
          <w:w w:val="95"/>
        </w:rPr>
        <w:t>culture.</w:t>
      </w:r>
    </w:p>
    <w:p>
      <w:pPr>
        <w:pStyle w:val="BodyText"/>
        <w:rPr>
          <w:sz w:val="14"/>
        </w:rPr>
      </w:pPr>
    </w:p>
    <w:p>
      <w:pPr>
        <w:pStyle w:val="BodyText"/>
        <w:spacing w:line="247" w:lineRule="auto"/>
        <w:ind w:left="107" w:right="520"/>
        <w:rPr>
          <w:rFonts w:ascii="Century Gothic"/>
          <w:i/>
        </w:rPr>
      </w:pPr>
      <w:r>
        <w:rPr/>
        <w:t>Plans are also in place to support the </w:t>
      </w:r>
      <w:r>
        <w:rPr>
          <w:w w:val="95"/>
        </w:rPr>
        <w:t>new strategies, notably </w:t>
      </w:r>
      <w:r>
        <w:rPr>
          <w:rFonts w:ascii="Century Gothic"/>
          <w:i/>
          <w:w w:val="95"/>
        </w:rPr>
        <w:t>Research and</w:t>
      </w:r>
    </w:p>
    <w:p>
      <w:pPr>
        <w:spacing w:line="247" w:lineRule="auto" w:before="0"/>
        <w:ind w:left="107" w:right="31" w:firstLine="0"/>
        <w:jc w:val="left"/>
        <w:rPr>
          <w:sz w:val="16"/>
        </w:rPr>
      </w:pPr>
      <w:r>
        <w:rPr>
          <w:rFonts w:ascii="Century Gothic" w:hAnsi="Century Gothic"/>
          <w:i/>
          <w:spacing w:val="1"/>
          <w:w w:val="85"/>
          <w:sz w:val="16"/>
        </w:rPr>
        <w:t>Development</w:t>
      </w:r>
      <w:r>
        <w:rPr>
          <w:rFonts w:ascii="Century Gothic" w:hAnsi="Century Gothic"/>
          <w:i/>
          <w:w w:val="85"/>
          <w:sz w:val="16"/>
        </w:rPr>
        <w:t> </w:t>
      </w:r>
      <w:r>
        <w:rPr>
          <w:rFonts w:ascii="Century Gothic" w:hAnsi="Century Gothic"/>
          <w:i/>
          <w:spacing w:val="1"/>
          <w:w w:val="87"/>
          <w:sz w:val="16"/>
        </w:rPr>
        <w:t>2015–2017</w:t>
      </w:r>
      <w:r>
        <w:rPr>
          <w:rFonts w:ascii="Century Gothic" w:hAnsi="Century Gothic"/>
          <w:i/>
          <w:w w:val="87"/>
          <w:sz w:val="16"/>
        </w:rPr>
        <w:t> </w:t>
      </w:r>
      <w:r>
        <w:rPr>
          <w:spacing w:val="1"/>
          <w:w w:val="97"/>
          <w:sz w:val="16"/>
        </w:rPr>
        <w:t>and</w:t>
      </w:r>
      <w:r>
        <w:rPr>
          <w:w w:val="97"/>
          <w:sz w:val="16"/>
        </w:rPr>
        <w:t> </w:t>
      </w:r>
      <w:r>
        <w:rPr>
          <w:rFonts w:ascii="Century Gothic" w:hAnsi="Century Gothic"/>
          <w:i/>
          <w:spacing w:val="1"/>
          <w:w w:val="85"/>
          <w:sz w:val="16"/>
        </w:rPr>
        <w:t>Global</w:t>
      </w:r>
      <w:r>
        <w:rPr>
          <w:rFonts w:ascii="Century Gothic" w:hAnsi="Century Gothic"/>
          <w:i/>
          <w:w w:val="85"/>
          <w:sz w:val="16"/>
        </w:rPr>
        <w:t> </w:t>
      </w:r>
      <w:r>
        <w:rPr>
          <w:rFonts w:ascii="Century Gothic" w:hAnsi="Century Gothic"/>
          <w:i/>
          <w:w w:val="94"/>
          <w:sz w:val="16"/>
        </w:rPr>
        <w:t>Futures: </w:t>
      </w:r>
      <w:r>
        <w:rPr>
          <w:rFonts w:ascii="Century Gothic" w:hAnsi="Century Gothic"/>
          <w:i/>
          <w:w w:val="94"/>
          <w:sz w:val="16"/>
        </w:rPr>
        <w:t>Internationalising </w:t>
      </w:r>
      <w:r>
        <w:rPr>
          <w:rFonts w:ascii="Century Gothic" w:hAnsi="Century Gothic"/>
          <w:i/>
          <w:spacing w:val="1"/>
          <w:w w:val="101"/>
          <w:sz w:val="16"/>
        </w:rPr>
        <w:t>WSU</w:t>
      </w:r>
      <w:r>
        <w:rPr>
          <w:rFonts w:ascii="Century Gothic" w:hAnsi="Century Gothic"/>
          <w:i/>
          <w:w w:val="101"/>
          <w:sz w:val="16"/>
        </w:rPr>
        <w:t> </w:t>
      </w:r>
      <w:r>
        <w:rPr>
          <w:rFonts w:ascii="Century Gothic" w:hAnsi="Century Gothic"/>
          <w:i/>
          <w:w w:val="91"/>
          <w:sz w:val="16"/>
        </w:rPr>
        <w:t>2015–2020</w:t>
      </w:r>
      <w:r>
        <w:rPr>
          <w:w w:val="91"/>
          <w:sz w:val="16"/>
        </w:rPr>
        <w:t>. </w:t>
      </w:r>
      <w:r>
        <w:rPr>
          <w:spacing w:val="1"/>
          <w:w w:val="99"/>
          <w:sz w:val="16"/>
        </w:rPr>
        <w:t>Another</w:t>
      </w:r>
      <w:r>
        <w:rPr>
          <w:spacing w:val="2"/>
          <w:w w:val="99"/>
          <w:sz w:val="16"/>
        </w:rPr>
        <w:t> </w:t>
      </w:r>
      <w:r>
        <w:rPr>
          <w:spacing w:val="1"/>
          <w:w w:val="97"/>
          <w:sz w:val="16"/>
        </w:rPr>
        <w:t>significant</w:t>
      </w:r>
      <w:r>
        <w:rPr>
          <w:w w:val="97"/>
          <w:sz w:val="16"/>
        </w:rPr>
        <w:t> </w:t>
      </w:r>
      <w:r>
        <w:rPr>
          <w:w w:val="97"/>
          <w:sz w:val="16"/>
        </w:rPr>
        <w:t>achievement </w:t>
      </w:r>
      <w:r>
        <w:rPr>
          <w:w w:val="95"/>
          <w:sz w:val="16"/>
        </w:rPr>
        <w:t>in </w:t>
      </w:r>
      <w:r>
        <w:rPr>
          <w:spacing w:val="1"/>
          <w:w w:val="88"/>
          <w:sz w:val="16"/>
        </w:rPr>
        <w:t>2015</w:t>
      </w:r>
      <w:r>
        <w:rPr>
          <w:w w:val="88"/>
          <w:sz w:val="16"/>
        </w:rPr>
        <w:t> </w:t>
      </w:r>
      <w:r>
        <w:rPr>
          <w:w w:val="96"/>
          <w:sz w:val="16"/>
        </w:rPr>
        <w:t>was </w:t>
      </w:r>
      <w:r>
        <w:rPr>
          <w:w w:val="97"/>
          <w:sz w:val="16"/>
        </w:rPr>
        <w:t>the </w:t>
      </w:r>
      <w:r>
        <w:rPr>
          <w:sz w:val="16"/>
        </w:rPr>
        <w:t>University’s rebrand, which reaffirms its position as a world-class university with international</w:t>
      </w:r>
      <w:r>
        <w:rPr>
          <w:spacing w:val="-20"/>
          <w:sz w:val="16"/>
        </w:rPr>
        <w:t> </w:t>
      </w:r>
      <w:r>
        <w:rPr>
          <w:sz w:val="16"/>
        </w:rPr>
        <w:t>reach,</w:t>
      </w:r>
      <w:r>
        <w:rPr>
          <w:spacing w:val="-20"/>
          <w:sz w:val="16"/>
        </w:rPr>
        <w:t> </w:t>
      </w:r>
      <w:r>
        <w:rPr>
          <w:sz w:val="16"/>
        </w:rPr>
        <w:t>a</w:t>
      </w:r>
      <w:r>
        <w:rPr>
          <w:spacing w:val="-20"/>
          <w:sz w:val="16"/>
        </w:rPr>
        <w:t> </w:t>
      </w:r>
      <w:r>
        <w:rPr>
          <w:sz w:val="16"/>
        </w:rPr>
        <w:t>reputation</w:t>
      </w:r>
      <w:r>
        <w:rPr>
          <w:spacing w:val="-20"/>
          <w:sz w:val="16"/>
        </w:rPr>
        <w:t> </w:t>
      </w:r>
      <w:r>
        <w:rPr>
          <w:sz w:val="16"/>
        </w:rPr>
        <w:t>for</w:t>
      </w:r>
      <w:r>
        <w:rPr>
          <w:spacing w:val="-20"/>
          <w:sz w:val="16"/>
        </w:rPr>
        <w:t> </w:t>
      </w:r>
      <w:r>
        <w:rPr>
          <w:sz w:val="16"/>
        </w:rPr>
        <w:t>academic excellence,</w:t>
      </w:r>
      <w:r>
        <w:rPr>
          <w:spacing w:val="-20"/>
          <w:sz w:val="16"/>
        </w:rPr>
        <w:t> </w:t>
      </w:r>
      <w:r>
        <w:rPr>
          <w:sz w:val="16"/>
        </w:rPr>
        <w:t>a</w:t>
      </w:r>
      <w:r>
        <w:rPr>
          <w:spacing w:val="-20"/>
          <w:sz w:val="16"/>
        </w:rPr>
        <w:t> </w:t>
      </w:r>
      <w:r>
        <w:rPr>
          <w:sz w:val="16"/>
        </w:rPr>
        <w:t>track</w:t>
      </w:r>
      <w:r>
        <w:rPr>
          <w:spacing w:val="-20"/>
          <w:sz w:val="16"/>
        </w:rPr>
        <w:t> </w:t>
      </w:r>
      <w:r>
        <w:rPr>
          <w:sz w:val="16"/>
        </w:rPr>
        <w:t>record</w:t>
      </w:r>
      <w:r>
        <w:rPr>
          <w:spacing w:val="-20"/>
          <w:sz w:val="16"/>
        </w:rPr>
        <w:t> </w:t>
      </w:r>
      <w:r>
        <w:rPr>
          <w:sz w:val="16"/>
        </w:rPr>
        <w:t>in</w:t>
      </w:r>
      <w:r>
        <w:rPr>
          <w:spacing w:val="-20"/>
          <w:sz w:val="16"/>
        </w:rPr>
        <w:t> </w:t>
      </w:r>
      <w:r>
        <w:rPr>
          <w:sz w:val="16"/>
        </w:rPr>
        <w:t>delivering</w:t>
      </w:r>
    </w:p>
    <w:p>
      <w:pPr>
        <w:pStyle w:val="BodyText"/>
        <w:spacing w:line="249" w:lineRule="auto" w:before="1"/>
        <w:ind w:left="107" w:right="124"/>
      </w:pPr>
      <w:r>
        <w:rPr/>
        <w:t>impact-driven research and one that is proudly anchored in Western Sydney. The new brand emphasises the University’s unique geographical position in Australia’s third-largest and fastest growing economy, and helps students, staff and communities tap into a global perspective with unlimited opportunity.</w:t>
      </w:r>
    </w:p>
    <w:p>
      <w:pPr>
        <w:pStyle w:val="BodyText"/>
        <w:rPr>
          <w:sz w:val="14"/>
        </w:rPr>
      </w:pPr>
    </w:p>
    <w:p>
      <w:pPr>
        <w:pStyle w:val="BodyText"/>
        <w:spacing w:line="249" w:lineRule="auto"/>
        <w:ind w:left="107" w:right="27"/>
      </w:pPr>
      <w:r>
        <w:rPr/>
        <w:t>Planning and construction continued on creating an iconic vertical campus in the </w:t>
      </w:r>
      <w:r>
        <w:rPr>
          <w:spacing w:val="2"/>
        </w:rPr>
        <w:t>heart </w:t>
      </w:r>
      <w:r>
        <w:rPr/>
        <w:t>of the Parramatta </w:t>
      </w:r>
      <w:r>
        <w:rPr>
          <w:spacing w:val="2"/>
        </w:rPr>
        <w:t>CBD </w:t>
      </w:r>
      <w:r>
        <w:rPr/>
        <w:t>that </w:t>
      </w:r>
      <w:r>
        <w:rPr>
          <w:spacing w:val="2"/>
        </w:rPr>
        <w:t>connects </w:t>
      </w:r>
      <w:r>
        <w:rPr/>
        <w:t>to</w:t>
      </w:r>
      <w:r>
        <w:rPr>
          <w:spacing w:val="-16"/>
        </w:rPr>
        <w:t> </w:t>
      </w:r>
      <w:r>
        <w:rPr/>
        <w:t>business</w:t>
      </w:r>
      <w:r>
        <w:rPr>
          <w:spacing w:val="-16"/>
        </w:rPr>
        <w:t> </w:t>
      </w:r>
      <w:r>
        <w:rPr/>
        <w:t>and</w:t>
      </w:r>
      <w:r>
        <w:rPr>
          <w:spacing w:val="-16"/>
        </w:rPr>
        <w:t> </w:t>
      </w:r>
      <w:r>
        <w:rPr/>
        <w:t>the</w:t>
      </w:r>
      <w:r>
        <w:rPr>
          <w:spacing w:val="-16"/>
        </w:rPr>
        <w:t> </w:t>
      </w:r>
      <w:r>
        <w:rPr/>
        <w:t>community.</w:t>
      </w:r>
      <w:r>
        <w:rPr>
          <w:spacing w:val="-16"/>
        </w:rPr>
        <w:t> </w:t>
      </w:r>
      <w:r>
        <w:rPr/>
        <w:t>Construction </w:t>
      </w:r>
      <w:r>
        <w:rPr>
          <w:spacing w:val="1"/>
          <w:w w:val="98"/>
        </w:rPr>
        <w:t>began</w:t>
      </w:r>
      <w:r>
        <w:rPr>
          <w:w w:val="98"/>
        </w:rPr>
        <w:t> </w:t>
      </w:r>
      <w:r>
        <w:rPr>
          <w:w w:val="95"/>
        </w:rPr>
        <w:t>in </w:t>
      </w:r>
      <w:r>
        <w:rPr>
          <w:spacing w:val="2"/>
          <w:w w:val="98"/>
        </w:rPr>
        <w:t>February</w:t>
      </w:r>
      <w:r>
        <w:rPr>
          <w:w w:val="98"/>
        </w:rPr>
        <w:t> </w:t>
      </w:r>
      <w:r>
        <w:rPr>
          <w:spacing w:val="1"/>
          <w:w w:val="88"/>
        </w:rPr>
        <w:t>2015</w:t>
      </w:r>
      <w:r>
        <w:rPr>
          <w:w w:val="88"/>
        </w:rPr>
        <w:t> </w:t>
      </w:r>
      <w:r>
        <w:rPr>
          <w:spacing w:val="1"/>
          <w:w w:val="97"/>
        </w:rPr>
        <w:t>and</w:t>
      </w:r>
      <w:r>
        <w:rPr>
          <w:w w:val="97"/>
        </w:rPr>
        <w:t> </w:t>
      </w:r>
      <w:r>
        <w:rPr>
          <w:w w:val="97"/>
        </w:rPr>
        <w:t>the </w:t>
      </w:r>
      <w:r>
        <w:rPr>
          <w:w w:val="97"/>
        </w:rPr>
        <w:t>new </w:t>
      </w:r>
      <w:r>
        <w:rPr>
          <w:spacing w:val="1"/>
          <w:w w:val="98"/>
        </w:rPr>
        <w:t>campus</w:t>
      </w:r>
      <w:r>
        <w:rPr>
          <w:w w:val="98"/>
        </w:rPr>
        <w:t> </w:t>
      </w:r>
      <w:r>
        <w:rPr>
          <w:spacing w:val="1"/>
          <w:w w:val="97"/>
        </w:rPr>
        <w:t>should</w:t>
      </w:r>
      <w:r>
        <w:rPr>
          <w:spacing w:val="-8"/>
          <w:w w:val="97"/>
        </w:rPr>
        <w:t> </w:t>
      </w:r>
      <w:r>
        <w:rPr>
          <w:spacing w:val="1"/>
          <w:w w:val="99"/>
        </w:rPr>
        <w:t>be</w:t>
      </w:r>
      <w:r>
        <w:rPr>
          <w:spacing w:val="-9"/>
          <w:w w:val="99"/>
        </w:rPr>
        <w:t> </w:t>
      </w:r>
      <w:r>
        <w:rPr>
          <w:w w:val="98"/>
        </w:rPr>
        <w:t>ready</w:t>
      </w:r>
      <w:r>
        <w:rPr>
          <w:spacing w:val="-8"/>
          <w:w w:val="98"/>
        </w:rPr>
        <w:t> </w:t>
      </w:r>
      <w:r>
        <w:rPr>
          <w:w w:val="95"/>
        </w:rPr>
        <w:t>in</w:t>
      </w:r>
      <w:r>
        <w:rPr>
          <w:spacing w:val="-7"/>
          <w:w w:val="95"/>
        </w:rPr>
        <w:t> </w:t>
      </w:r>
      <w:r>
        <w:rPr>
          <w:spacing w:val="-2"/>
          <w:w w:val="83"/>
        </w:rPr>
        <w:t>2017.</w:t>
      </w:r>
      <w:r>
        <w:rPr>
          <w:spacing w:val="-1"/>
          <w:w w:val="83"/>
        </w:rPr>
        <w:t> </w:t>
      </w:r>
      <w:r>
        <w:rPr>
          <w:w w:val="83"/>
        </w:rPr>
        <w:t>It</w:t>
      </w:r>
      <w:r>
        <w:rPr>
          <w:spacing w:val="-1"/>
          <w:w w:val="83"/>
        </w:rPr>
        <w:t> </w:t>
      </w:r>
      <w:r>
        <w:rPr>
          <w:w w:val="97"/>
        </w:rPr>
        <w:t>will</w:t>
      </w:r>
      <w:r>
        <w:rPr>
          <w:spacing w:val="-8"/>
          <w:w w:val="97"/>
        </w:rPr>
        <w:t> </w:t>
      </w:r>
      <w:r>
        <w:rPr>
          <w:spacing w:val="1"/>
          <w:w w:val="99"/>
        </w:rPr>
        <w:t>be</w:t>
      </w:r>
      <w:r>
        <w:rPr>
          <w:spacing w:val="-9"/>
          <w:w w:val="99"/>
        </w:rPr>
        <w:t> </w:t>
      </w:r>
      <w:r>
        <w:rPr>
          <w:w w:val="94"/>
        </w:rPr>
        <w:t>a</w:t>
      </w:r>
      <w:r>
        <w:rPr>
          <w:spacing w:val="-7"/>
          <w:w w:val="94"/>
        </w:rPr>
        <w:t> </w:t>
      </w:r>
      <w:r>
        <w:rPr>
          <w:w w:val="98"/>
        </w:rPr>
        <w:t>showpiece </w:t>
      </w:r>
      <w:r>
        <w:rPr/>
        <w:t>for collaborative and blended learning pedagogy</w:t>
      </w:r>
      <w:r>
        <w:rPr>
          <w:spacing w:val="-14"/>
        </w:rPr>
        <w:t> </w:t>
      </w:r>
      <w:r>
        <w:rPr/>
        <w:t>in</w:t>
      </w:r>
      <w:r>
        <w:rPr>
          <w:spacing w:val="-14"/>
        </w:rPr>
        <w:t> </w:t>
      </w:r>
      <w:r>
        <w:rPr/>
        <w:t>a</w:t>
      </w:r>
      <w:r>
        <w:rPr>
          <w:spacing w:val="-14"/>
        </w:rPr>
        <w:t> </w:t>
      </w:r>
      <w:r>
        <w:rPr/>
        <w:t>focused,</w:t>
      </w:r>
      <w:r>
        <w:rPr>
          <w:spacing w:val="-14"/>
        </w:rPr>
        <w:t> </w:t>
      </w:r>
      <w:r>
        <w:rPr/>
        <w:t>diverse</w:t>
      </w:r>
      <w:r>
        <w:rPr>
          <w:spacing w:val="-14"/>
        </w:rPr>
        <w:t> </w:t>
      </w:r>
      <w:r>
        <w:rPr/>
        <w:t>and</w:t>
      </w:r>
      <w:r>
        <w:rPr>
          <w:spacing w:val="-14"/>
        </w:rPr>
        <w:t> </w:t>
      </w:r>
      <w:r>
        <w:rPr/>
        <w:t>student- </w:t>
      </w:r>
      <w:r>
        <w:rPr>
          <w:w w:val="95"/>
        </w:rPr>
        <w:t>centric</w:t>
      </w:r>
      <w:r>
        <w:rPr>
          <w:spacing w:val="33"/>
          <w:w w:val="95"/>
        </w:rPr>
        <w:t> </w:t>
      </w:r>
      <w:r>
        <w:rPr>
          <w:w w:val="95"/>
        </w:rPr>
        <w:t>environment.</w:t>
      </w:r>
    </w:p>
    <w:p>
      <w:pPr>
        <w:pStyle w:val="BodyText"/>
        <w:rPr>
          <w:sz w:val="14"/>
        </w:rPr>
      </w:pPr>
    </w:p>
    <w:p>
      <w:pPr>
        <w:pStyle w:val="BodyText"/>
        <w:spacing w:line="249" w:lineRule="auto"/>
        <w:ind w:left="107" w:right="50"/>
      </w:pPr>
      <w:r>
        <w:rPr/>
        <w:t>The University is committed to expanding the</w:t>
      </w:r>
      <w:r>
        <w:rPr>
          <w:spacing w:val="-13"/>
        </w:rPr>
        <w:t> </w:t>
      </w:r>
      <w:r>
        <w:rPr/>
        <w:t>academic</w:t>
      </w:r>
      <w:r>
        <w:rPr>
          <w:spacing w:val="-13"/>
        </w:rPr>
        <w:t> </w:t>
      </w:r>
      <w:r>
        <w:rPr/>
        <w:t>program</w:t>
      </w:r>
      <w:r>
        <w:rPr>
          <w:spacing w:val="-13"/>
        </w:rPr>
        <w:t> </w:t>
      </w:r>
      <w:r>
        <w:rPr/>
        <w:t>for</w:t>
      </w:r>
      <w:r>
        <w:rPr>
          <w:spacing w:val="-13"/>
        </w:rPr>
        <w:t> </w:t>
      </w:r>
      <w:r>
        <w:rPr/>
        <w:t>postgraduate</w:t>
      </w:r>
      <w:r>
        <w:rPr>
          <w:spacing w:val="-13"/>
        </w:rPr>
        <w:t> </w:t>
      </w:r>
      <w:r>
        <w:rPr/>
        <w:t>and undergraduate</w:t>
      </w:r>
      <w:r>
        <w:rPr>
          <w:spacing w:val="-21"/>
        </w:rPr>
        <w:t> </w:t>
      </w:r>
      <w:r>
        <w:rPr/>
        <w:t>courses,</w:t>
      </w:r>
      <w:r>
        <w:rPr>
          <w:spacing w:val="-21"/>
        </w:rPr>
        <w:t> </w:t>
      </w:r>
      <w:r>
        <w:rPr/>
        <w:t>with</w:t>
      </w:r>
      <w:r>
        <w:rPr>
          <w:spacing w:val="-21"/>
        </w:rPr>
        <w:t> </w:t>
      </w:r>
      <w:r>
        <w:rPr/>
        <w:t>26</w:t>
      </w:r>
      <w:r>
        <w:rPr>
          <w:spacing w:val="-21"/>
        </w:rPr>
        <w:t> </w:t>
      </w:r>
      <w:r>
        <w:rPr/>
        <w:t>new</w:t>
      </w:r>
      <w:r>
        <w:rPr>
          <w:spacing w:val="-21"/>
        </w:rPr>
        <w:t> </w:t>
      </w:r>
      <w:r>
        <w:rPr/>
        <w:t>courses</w:t>
      </w:r>
    </w:p>
    <w:p>
      <w:pPr>
        <w:pStyle w:val="BodyText"/>
        <w:spacing w:line="249" w:lineRule="auto"/>
        <w:ind w:left="107" w:right="1"/>
      </w:pPr>
      <w:r>
        <w:rPr>
          <w:w w:val="99"/>
        </w:rPr>
        <w:t>approved </w:t>
      </w:r>
      <w:r>
        <w:rPr>
          <w:w w:val="98"/>
        </w:rPr>
        <w:t>for </w:t>
      </w:r>
      <w:r>
        <w:rPr>
          <w:w w:val="98"/>
        </w:rPr>
        <w:t>teaching </w:t>
      </w:r>
      <w:r>
        <w:rPr>
          <w:w w:val="95"/>
        </w:rPr>
        <w:t>in </w:t>
      </w:r>
      <w:r>
        <w:rPr>
          <w:w w:val="85"/>
        </w:rPr>
        <w:t>2016. </w:t>
      </w:r>
      <w:r>
        <w:rPr>
          <w:w w:val="80"/>
        </w:rPr>
        <w:t>In </w:t>
      </w:r>
      <w:r>
        <w:rPr>
          <w:w w:val="95"/>
        </w:rPr>
        <w:t>addition, </w:t>
      </w:r>
      <w:r>
        <w:rPr>
          <w:w w:val="97"/>
        </w:rPr>
        <w:t>the </w:t>
      </w:r>
      <w:r>
        <w:rPr/>
        <w:t>University launched the Women in Science and Engineering (WiSE) project to give career assistance to women studying in non- traditional areas. The program has engaged</w:t>
      </w:r>
    </w:p>
    <w:p>
      <w:pPr>
        <w:pStyle w:val="BodyText"/>
        <w:spacing w:line="249" w:lineRule="auto" w:before="71"/>
        <w:ind w:left="107" w:right="112"/>
      </w:pPr>
      <w:r>
        <w:rPr/>
        <w:br w:type="column"/>
      </w:r>
      <w:r>
        <w:rPr>
          <w:w w:val="97"/>
        </w:rPr>
        <w:t>more </w:t>
      </w:r>
      <w:r>
        <w:rPr>
          <w:w w:val="97"/>
        </w:rPr>
        <w:t>than </w:t>
      </w:r>
      <w:r>
        <w:rPr>
          <w:w w:val="88"/>
        </w:rPr>
        <w:t>160 </w:t>
      </w:r>
      <w:r>
        <w:rPr>
          <w:w w:val="94"/>
        </w:rPr>
        <w:t>students, </w:t>
      </w:r>
      <w:r>
        <w:rPr>
          <w:w w:val="99"/>
        </w:rPr>
        <w:t>providing </w:t>
      </w:r>
      <w:r>
        <w:rPr>
          <w:w w:val="95"/>
        </w:rPr>
        <w:t>mentoring, </w:t>
      </w:r>
      <w:r>
        <w:rPr/>
        <w:t>career advice and opportunities for relevant </w:t>
      </w:r>
      <w:r>
        <w:rPr>
          <w:w w:val="98"/>
        </w:rPr>
        <w:t>work </w:t>
      </w:r>
      <w:r>
        <w:rPr>
          <w:w w:val="94"/>
        </w:rPr>
        <w:t>experience. </w:t>
      </w:r>
      <w:r>
        <w:rPr>
          <w:w w:val="80"/>
        </w:rPr>
        <w:t>In </w:t>
      </w:r>
      <w:r>
        <w:rPr>
          <w:w w:val="84"/>
        </w:rPr>
        <w:t>2015, </w:t>
      </w:r>
      <w:r>
        <w:rPr>
          <w:w w:val="97"/>
        </w:rPr>
        <w:t>the </w:t>
      </w:r>
      <w:r>
        <w:rPr>
          <w:w w:val="97"/>
        </w:rPr>
        <w:t>University </w:t>
      </w:r>
      <w:r>
        <w:rPr>
          <w:w w:val="96"/>
        </w:rPr>
        <w:t>also </w:t>
      </w:r>
      <w:r>
        <w:rPr/>
        <w:t>launched Western Sydney University Online, which offers fully online degrees.</w:t>
      </w:r>
    </w:p>
    <w:p>
      <w:pPr>
        <w:pStyle w:val="BodyText"/>
        <w:rPr>
          <w:sz w:val="14"/>
        </w:rPr>
      </w:pPr>
    </w:p>
    <w:p>
      <w:pPr>
        <w:pStyle w:val="BodyText"/>
        <w:spacing w:line="249" w:lineRule="auto"/>
        <w:ind w:left="107" w:right="388"/>
      </w:pPr>
      <w:r>
        <w:rPr>
          <w:w w:val="112"/>
        </w:rPr>
        <w:t>A </w:t>
      </w:r>
      <w:r>
        <w:rPr>
          <w:w w:val="98"/>
        </w:rPr>
        <w:t>key </w:t>
      </w:r>
      <w:r>
        <w:rPr>
          <w:w w:val="98"/>
        </w:rPr>
        <w:t>priority </w:t>
      </w:r>
      <w:r>
        <w:rPr>
          <w:w w:val="95"/>
        </w:rPr>
        <w:t>in </w:t>
      </w:r>
      <w:r>
        <w:rPr>
          <w:w w:val="88"/>
        </w:rPr>
        <w:t>2015 </w:t>
      </w:r>
      <w:r>
        <w:rPr>
          <w:w w:val="96"/>
        </w:rPr>
        <w:t>was </w:t>
      </w:r>
      <w:r>
        <w:rPr>
          <w:w w:val="97"/>
        </w:rPr>
        <w:t>enhancing </w:t>
      </w:r>
      <w:r>
        <w:rPr>
          <w:w w:val="97"/>
        </w:rPr>
        <w:t>and </w:t>
      </w:r>
      <w:r>
        <w:rPr/>
        <w:t>promoting the impact of the University’s research to expand our research capacity through financial and non-financial collaborations with external partners.</w:t>
      </w:r>
    </w:p>
    <w:p>
      <w:pPr>
        <w:pStyle w:val="BodyText"/>
        <w:spacing w:line="249" w:lineRule="auto"/>
        <w:ind w:left="107" w:right="112"/>
      </w:pPr>
      <w:r>
        <w:rPr>
          <w:w w:val="99"/>
        </w:rPr>
        <w:t>Following </w:t>
      </w:r>
      <w:r>
        <w:rPr>
          <w:w w:val="97"/>
        </w:rPr>
        <w:t>its </w:t>
      </w:r>
      <w:r>
        <w:rPr>
          <w:w w:val="97"/>
        </w:rPr>
        <w:t>establishment </w:t>
      </w:r>
      <w:r>
        <w:rPr>
          <w:w w:val="95"/>
        </w:rPr>
        <w:t>in </w:t>
      </w:r>
      <w:r>
        <w:rPr>
          <w:w w:val="91"/>
        </w:rPr>
        <w:t>mid-2014, </w:t>
      </w:r>
      <w:r>
        <w:rPr>
          <w:w w:val="97"/>
        </w:rPr>
        <w:t>the </w:t>
      </w:r>
      <w:r>
        <w:rPr/>
        <w:t>Research Engagement, Development and Innovation (REDI) Business Development team has created more than 90 projects valued at $2.75 million. The creation of</w:t>
      </w:r>
    </w:p>
    <w:p>
      <w:pPr>
        <w:pStyle w:val="BodyText"/>
        <w:spacing w:line="249" w:lineRule="auto"/>
        <w:ind w:left="107" w:right="112"/>
      </w:pPr>
      <w:r>
        <w:rPr/>
        <w:t>the new Graduate Research School, which began operating in February, allowed us to consolidate</w:t>
      </w:r>
      <w:r>
        <w:rPr>
          <w:spacing w:val="-22"/>
        </w:rPr>
        <w:t> </w:t>
      </w:r>
      <w:r>
        <w:rPr/>
        <w:t>the</w:t>
      </w:r>
      <w:r>
        <w:rPr>
          <w:spacing w:val="-22"/>
        </w:rPr>
        <w:t> </w:t>
      </w:r>
      <w:r>
        <w:rPr/>
        <w:t>oversight</w:t>
      </w:r>
      <w:r>
        <w:rPr>
          <w:spacing w:val="-22"/>
        </w:rPr>
        <w:t> </w:t>
      </w:r>
      <w:r>
        <w:rPr/>
        <w:t>of</w:t>
      </w:r>
      <w:r>
        <w:rPr>
          <w:spacing w:val="-22"/>
        </w:rPr>
        <w:t> </w:t>
      </w:r>
      <w:r>
        <w:rPr/>
        <w:t>research</w:t>
      </w:r>
      <w:r>
        <w:rPr>
          <w:spacing w:val="-22"/>
        </w:rPr>
        <w:t> </w:t>
      </w:r>
      <w:r>
        <w:rPr/>
        <w:t>training.</w:t>
      </w:r>
    </w:p>
    <w:p>
      <w:pPr>
        <w:pStyle w:val="BodyText"/>
        <w:rPr>
          <w:sz w:val="14"/>
        </w:rPr>
      </w:pPr>
    </w:p>
    <w:p>
      <w:pPr>
        <w:pStyle w:val="BodyText"/>
        <w:spacing w:line="249" w:lineRule="auto"/>
        <w:ind w:left="107" w:right="174"/>
      </w:pPr>
      <w:r>
        <w:rPr>
          <w:spacing w:val="1"/>
          <w:w w:val="99"/>
        </w:rPr>
        <w:t>Another</w:t>
      </w:r>
      <w:r>
        <w:rPr>
          <w:w w:val="99"/>
        </w:rPr>
        <w:t> </w:t>
      </w:r>
      <w:r>
        <w:rPr>
          <w:spacing w:val="1"/>
          <w:w w:val="97"/>
        </w:rPr>
        <w:t>milestone</w:t>
      </w:r>
      <w:r>
        <w:rPr>
          <w:w w:val="97"/>
        </w:rPr>
        <w:t> </w:t>
      </w:r>
      <w:r>
        <w:rPr>
          <w:w w:val="95"/>
        </w:rPr>
        <w:t>in </w:t>
      </w:r>
      <w:r>
        <w:rPr>
          <w:spacing w:val="1"/>
          <w:w w:val="96"/>
        </w:rPr>
        <w:t>early</w:t>
      </w:r>
      <w:r>
        <w:rPr>
          <w:w w:val="96"/>
        </w:rPr>
        <w:t> </w:t>
      </w:r>
      <w:r>
        <w:rPr>
          <w:spacing w:val="1"/>
          <w:w w:val="88"/>
        </w:rPr>
        <w:t>2015</w:t>
      </w:r>
      <w:r>
        <w:rPr>
          <w:w w:val="88"/>
        </w:rPr>
        <w:t> </w:t>
      </w:r>
      <w:r>
        <w:rPr>
          <w:w w:val="96"/>
        </w:rPr>
        <w:t>was </w:t>
      </w:r>
      <w:r>
        <w:rPr>
          <w:w w:val="97"/>
        </w:rPr>
        <w:t>the </w:t>
      </w:r>
      <w:r>
        <w:rPr/>
        <w:t>establishment of Launch Pad in partnership with the State Government and a range of corporate sponsors. Launch Pad aims to drive innovation in Western Sydney and establish</w:t>
      </w:r>
      <w:r>
        <w:rPr>
          <w:spacing w:val="-15"/>
        </w:rPr>
        <w:t> </w:t>
      </w:r>
      <w:r>
        <w:rPr/>
        <w:t>the</w:t>
      </w:r>
      <w:r>
        <w:rPr>
          <w:spacing w:val="-15"/>
        </w:rPr>
        <w:t> </w:t>
      </w:r>
      <w:r>
        <w:rPr/>
        <w:t>region</w:t>
      </w:r>
      <w:r>
        <w:rPr>
          <w:spacing w:val="-15"/>
        </w:rPr>
        <w:t> </w:t>
      </w:r>
      <w:r>
        <w:rPr/>
        <w:t>as</w:t>
      </w:r>
      <w:r>
        <w:rPr>
          <w:spacing w:val="-15"/>
        </w:rPr>
        <w:t> </w:t>
      </w:r>
      <w:r>
        <w:rPr/>
        <w:t>a</w:t>
      </w:r>
      <w:r>
        <w:rPr>
          <w:spacing w:val="-15"/>
        </w:rPr>
        <w:t> </w:t>
      </w:r>
      <w:r>
        <w:rPr/>
        <w:t>globally</w:t>
      </w:r>
      <w:r>
        <w:rPr>
          <w:spacing w:val="-15"/>
        </w:rPr>
        <w:t> </w:t>
      </w:r>
      <w:r>
        <w:rPr/>
        <w:t>competitive technology and innovation hub. A particular highlight</w:t>
      </w:r>
      <w:r>
        <w:rPr>
          <w:spacing w:val="-13"/>
        </w:rPr>
        <w:t> </w:t>
      </w:r>
      <w:r>
        <w:rPr/>
        <w:t>was</w:t>
      </w:r>
      <w:r>
        <w:rPr>
          <w:spacing w:val="-13"/>
        </w:rPr>
        <w:t> </w:t>
      </w:r>
      <w:r>
        <w:rPr/>
        <w:t>a</w:t>
      </w:r>
      <w:r>
        <w:rPr>
          <w:spacing w:val="-13"/>
        </w:rPr>
        <w:t> </w:t>
      </w:r>
      <w:r>
        <w:rPr/>
        <w:t>visit</w:t>
      </w:r>
      <w:r>
        <w:rPr>
          <w:spacing w:val="-13"/>
        </w:rPr>
        <w:t> </w:t>
      </w:r>
      <w:r>
        <w:rPr/>
        <w:t>to</w:t>
      </w:r>
      <w:r>
        <w:rPr>
          <w:spacing w:val="-13"/>
        </w:rPr>
        <w:t> </w:t>
      </w:r>
      <w:r>
        <w:rPr/>
        <w:t>the</w:t>
      </w:r>
      <w:r>
        <w:rPr>
          <w:spacing w:val="-13"/>
        </w:rPr>
        <w:t> </w:t>
      </w:r>
      <w:r>
        <w:rPr/>
        <w:t>facility</w:t>
      </w:r>
      <w:r>
        <w:rPr>
          <w:spacing w:val="-13"/>
        </w:rPr>
        <w:t> </w:t>
      </w:r>
      <w:r>
        <w:rPr/>
        <w:t>in</w:t>
      </w:r>
      <w:r>
        <w:rPr>
          <w:spacing w:val="-13"/>
        </w:rPr>
        <w:t> </w:t>
      </w:r>
      <w:r>
        <w:rPr/>
        <w:t>October by</w:t>
      </w:r>
      <w:r>
        <w:rPr>
          <w:spacing w:val="-28"/>
        </w:rPr>
        <w:t> </w:t>
      </w:r>
      <w:r>
        <w:rPr/>
        <w:t>Prime</w:t>
      </w:r>
      <w:r>
        <w:rPr>
          <w:spacing w:val="-28"/>
        </w:rPr>
        <w:t> </w:t>
      </w:r>
      <w:r>
        <w:rPr/>
        <w:t>Minister,</w:t>
      </w:r>
      <w:r>
        <w:rPr>
          <w:spacing w:val="-28"/>
        </w:rPr>
        <w:t> </w:t>
      </w:r>
      <w:r>
        <w:rPr/>
        <w:t>the</w:t>
      </w:r>
      <w:r>
        <w:rPr>
          <w:spacing w:val="-28"/>
        </w:rPr>
        <w:t> </w:t>
      </w:r>
      <w:r>
        <w:rPr>
          <w:spacing w:val="2"/>
        </w:rPr>
        <w:t>Hon.</w:t>
      </w:r>
      <w:r>
        <w:rPr>
          <w:spacing w:val="-28"/>
        </w:rPr>
        <w:t> </w:t>
      </w:r>
      <w:r>
        <w:rPr/>
        <w:t>Malcolm</w:t>
      </w:r>
      <w:r>
        <w:rPr>
          <w:spacing w:val="-28"/>
        </w:rPr>
        <w:t> </w:t>
      </w:r>
      <w:r>
        <w:rPr/>
        <w:t>Turnbull.</w:t>
      </w:r>
    </w:p>
    <w:p>
      <w:pPr>
        <w:pStyle w:val="BodyText"/>
        <w:spacing w:before="11"/>
        <w:rPr>
          <w:sz w:val="13"/>
        </w:rPr>
      </w:pPr>
    </w:p>
    <w:p>
      <w:pPr>
        <w:spacing w:line="247" w:lineRule="auto" w:before="0"/>
        <w:ind w:left="107" w:right="265" w:firstLine="0"/>
        <w:jc w:val="left"/>
        <w:rPr>
          <w:sz w:val="16"/>
        </w:rPr>
      </w:pPr>
      <w:r>
        <w:rPr>
          <w:sz w:val="16"/>
        </w:rPr>
        <w:t>Our </w:t>
      </w:r>
      <w:r>
        <w:rPr>
          <w:rFonts w:ascii="Century Gothic" w:hAnsi="Century Gothic"/>
          <w:i/>
          <w:sz w:val="16"/>
        </w:rPr>
        <w:t>Global Futures: 2015–2020 </w:t>
      </w:r>
      <w:r>
        <w:rPr>
          <w:sz w:val="16"/>
        </w:rPr>
        <w:t>strategy will increase focus on internationalising the University. The strategy highlights signing</w:t>
      </w:r>
    </w:p>
    <w:p>
      <w:pPr>
        <w:pStyle w:val="BodyText"/>
        <w:spacing w:line="249" w:lineRule="auto" w:before="1"/>
        <w:ind w:left="107" w:right="112"/>
      </w:pPr>
      <w:r>
        <w:rPr/>
        <w:t>new agreements and strengthening existing agreements with international organisations to facilitate student recruitment and research projects. Scholarships for international students were also offered for the first time, assisting seven students. Another important development was a new partnership with Navitas to establish a pathway college for international students in Parramatta.</w:t>
      </w:r>
    </w:p>
    <w:p>
      <w:pPr>
        <w:pStyle w:val="BodyText"/>
        <w:rPr>
          <w:sz w:val="14"/>
        </w:rPr>
      </w:pPr>
    </w:p>
    <w:p>
      <w:pPr>
        <w:pStyle w:val="BodyText"/>
        <w:spacing w:line="249" w:lineRule="auto"/>
        <w:ind w:left="107" w:right="246"/>
      </w:pPr>
      <w:r>
        <w:rPr/>
        <w:t>The University has continued to perform well</w:t>
      </w:r>
      <w:r>
        <w:rPr>
          <w:spacing w:val="-21"/>
        </w:rPr>
        <w:t> </w:t>
      </w:r>
      <w:r>
        <w:rPr/>
        <w:t>financially</w:t>
      </w:r>
      <w:r>
        <w:rPr>
          <w:spacing w:val="-21"/>
        </w:rPr>
        <w:t> </w:t>
      </w:r>
      <w:r>
        <w:rPr/>
        <w:t>in</w:t>
      </w:r>
      <w:r>
        <w:rPr>
          <w:spacing w:val="-21"/>
        </w:rPr>
        <w:t> </w:t>
      </w:r>
      <w:r>
        <w:rPr/>
        <w:t>a</w:t>
      </w:r>
      <w:r>
        <w:rPr>
          <w:spacing w:val="-21"/>
        </w:rPr>
        <w:t> </w:t>
      </w:r>
      <w:r>
        <w:rPr/>
        <w:t>challenging</w:t>
      </w:r>
      <w:r>
        <w:rPr>
          <w:spacing w:val="-21"/>
        </w:rPr>
        <w:t> </w:t>
      </w:r>
      <w:r>
        <w:rPr/>
        <w:t>environment. Ongoing investment is improving the University’s key financial systems and enhancing financial capabilities and efficiencies</w:t>
      </w:r>
      <w:r>
        <w:rPr>
          <w:spacing w:val="-17"/>
        </w:rPr>
        <w:t> </w:t>
      </w:r>
      <w:r>
        <w:rPr/>
        <w:t>for</w:t>
      </w:r>
      <w:r>
        <w:rPr>
          <w:spacing w:val="-17"/>
        </w:rPr>
        <w:t> </w:t>
      </w:r>
      <w:r>
        <w:rPr/>
        <w:t>better</w:t>
      </w:r>
      <w:r>
        <w:rPr>
          <w:spacing w:val="-17"/>
        </w:rPr>
        <w:t> </w:t>
      </w:r>
      <w:r>
        <w:rPr/>
        <w:t>financial</w:t>
      </w:r>
      <w:r>
        <w:rPr>
          <w:spacing w:val="-17"/>
        </w:rPr>
        <w:t> </w:t>
      </w:r>
      <w:r>
        <w:rPr/>
        <w:t>management </w:t>
      </w:r>
      <w:r>
        <w:rPr>
          <w:w w:val="95"/>
        </w:rPr>
        <w:t>and</w:t>
      </w:r>
      <w:r>
        <w:rPr>
          <w:spacing w:val="23"/>
          <w:w w:val="95"/>
        </w:rPr>
        <w:t> </w:t>
      </w:r>
      <w:r>
        <w:rPr>
          <w:w w:val="95"/>
        </w:rPr>
        <w:t>sustainability.</w:t>
      </w:r>
    </w:p>
    <w:p>
      <w:pPr>
        <w:pStyle w:val="BodyText"/>
        <w:spacing w:before="8"/>
        <w:rPr>
          <w:sz w:val="14"/>
        </w:rPr>
      </w:pPr>
    </w:p>
    <w:p>
      <w:pPr>
        <w:pStyle w:val="BodyText"/>
        <w:spacing w:line="194" w:lineRule="exact"/>
        <w:ind w:left="107" w:right="112"/>
        <w:rPr>
          <w:rFonts w:ascii="Calibri"/>
        </w:rPr>
      </w:pPr>
      <w:r>
        <w:rPr>
          <w:rFonts w:ascii="Calibri"/>
          <w:w w:val="110"/>
        </w:rPr>
        <w:t>Professor Peter Shergold, AC</w:t>
      </w:r>
    </w:p>
    <w:p>
      <w:pPr>
        <w:pStyle w:val="BodyText"/>
        <w:spacing w:line="192" w:lineRule="exact"/>
        <w:ind w:left="107" w:right="112"/>
      </w:pPr>
      <w:r>
        <w:rPr/>
        <w:t>Chancellor</w:t>
      </w:r>
    </w:p>
    <w:p>
      <w:pPr>
        <w:pStyle w:val="BodyText"/>
        <w:spacing w:before="3"/>
        <w:rPr>
          <w:sz w:val="15"/>
        </w:rPr>
      </w:pPr>
    </w:p>
    <w:p>
      <w:pPr>
        <w:pStyle w:val="BodyText"/>
        <w:spacing w:line="194" w:lineRule="exact"/>
        <w:ind w:left="107" w:right="112"/>
        <w:rPr>
          <w:rFonts w:ascii="Calibri"/>
        </w:rPr>
      </w:pPr>
      <w:r>
        <w:rPr>
          <w:rFonts w:ascii="Calibri"/>
          <w:w w:val="110"/>
        </w:rPr>
        <w:t>Professor Barney Glover</w:t>
      </w:r>
    </w:p>
    <w:p>
      <w:pPr>
        <w:pStyle w:val="BodyText"/>
        <w:spacing w:line="192" w:lineRule="exact"/>
        <w:ind w:left="107" w:right="112"/>
      </w:pPr>
      <w:r>
        <w:rPr/>
        <w:t>Vice-Chancellor and President</w:t>
      </w:r>
    </w:p>
    <w:p>
      <w:pPr>
        <w:spacing w:after="0" w:line="192" w:lineRule="exact"/>
        <w:sectPr>
          <w:type w:val="continuous"/>
          <w:pgSz w:w="11910" w:h="16840"/>
          <w:pgMar w:top="1580" w:bottom="280" w:left="800" w:right="800"/>
          <w:cols w:num="3" w:equalWidth="0">
            <w:col w:w="3320" w:space="119"/>
            <w:col w:w="3289" w:space="151"/>
            <w:col w:w="3431"/>
          </w:cols>
        </w:sectPr>
      </w:pPr>
    </w:p>
    <w:p>
      <w:pPr>
        <w:pStyle w:val="BodyText"/>
        <w:spacing w:before="7"/>
        <w:rPr>
          <w:sz w:val="28"/>
        </w:rPr>
      </w:pPr>
      <w:r>
        <w:rPr/>
        <w:pict>
          <v:rect style="position:absolute;margin-left:34.015999pt;margin-top:45.355015pt;width:527.244pt;height:751.181pt;mso-position-horizontal-relative:page;mso-position-vertical-relative:page;z-index:-333472" filled="true" fillcolor="#e6e7e8" stroked="false">
            <v:fill type="solid"/>
            <w10:wrap type="none"/>
          </v:rect>
        </w:pict>
      </w:r>
    </w:p>
    <w:p>
      <w:pPr>
        <w:pStyle w:val="Heading1"/>
        <w:spacing w:line="420" w:lineRule="exact" w:before="78"/>
      </w:pPr>
      <w:r>
        <w:rPr>
          <w:spacing w:val="-5"/>
        </w:rPr>
        <w:t>FIVE </w:t>
      </w:r>
      <w:r>
        <w:rPr>
          <w:spacing w:val="-3"/>
        </w:rPr>
        <w:t>YEARS </w:t>
      </w:r>
      <w:r>
        <w:rPr/>
        <w:t>– </w:t>
      </w:r>
      <w:r>
        <w:rPr>
          <w:w w:val="95"/>
        </w:rPr>
        <w:t>KEY </w:t>
      </w:r>
      <w:r>
        <w:rPr>
          <w:spacing w:val="-10"/>
          <w:w w:val="95"/>
        </w:rPr>
        <w:t>STATISTICS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19"/>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623"/>
        <w:gridCol w:w="964"/>
        <w:gridCol w:w="964"/>
        <w:gridCol w:w="964"/>
        <w:gridCol w:w="964"/>
        <w:gridCol w:w="964"/>
        <w:gridCol w:w="964"/>
        <w:gridCol w:w="689"/>
      </w:tblGrid>
      <w:tr>
        <w:trPr>
          <w:trHeight w:val="436" w:hRule="exact"/>
        </w:trPr>
        <w:tc>
          <w:tcPr>
            <w:tcW w:w="3623" w:type="dxa"/>
            <w:tcBorders>
              <w:bottom w:val="nil"/>
            </w:tcBorders>
            <w:shd w:val="clear" w:color="auto" w:fill="E6E7E8"/>
          </w:tcPr>
          <w:p>
            <w:pPr>
              <w:pStyle w:val="TableParagraph"/>
              <w:spacing w:before="126"/>
              <w:ind w:left="75" w:right="89"/>
              <w:jc w:val="left"/>
              <w:rPr>
                <w:rFonts w:ascii="Gotham Narrow Bold"/>
                <w:b/>
                <w:sz w:val="16"/>
              </w:rPr>
            </w:pPr>
            <w:r>
              <w:rPr>
                <w:rFonts w:ascii="Gotham Narrow Bold"/>
                <w:b/>
                <w:color w:val="636466"/>
                <w:sz w:val="16"/>
              </w:rPr>
              <w:t>CATEGORY</w:t>
            </w:r>
          </w:p>
        </w:tc>
        <w:tc>
          <w:tcPr>
            <w:tcW w:w="964" w:type="dxa"/>
            <w:tcBorders>
              <w:bottom w:val="nil"/>
            </w:tcBorders>
            <w:shd w:val="clear" w:color="auto" w:fill="E6E7E8"/>
          </w:tcPr>
          <w:p>
            <w:pPr>
              <w:pStyle w:val="TableParagraph"/>
              <w:spacing w:before="126"/>
              <w:ind w:right="72"/>
              <w:rPr>
                <w:rFonts w:ascii="Gotham Narrow Bold"/>
                <w:b/>
                <w:sz w:val="16"/>
              </w:rPr>
            </w:pPr>
            <w:r>
              <w:rPr>
                <w:rFonts w:ascii="Gotham Narrow Bold"/>
                <w:b/>
                <w:color w:val="636466"/>
                <w:w w:val="95"/>
                <w:sz w:val="16"/>
              </w:rPr>
              <w:t>2011</w:t>
            </w:r>
          </w:p>
        </w:tc>
        <w:tc>
          <w:tcPr>
            <w:tcW w:w="964" w:type="dxa"/>
            <w:tcBorders>
              <w:bottom w:val="nil"/>
            </w:tcBorders>
            <w:shd w:val="clear" w:color="auto" w:fill="E6E7E8"/>
          </w:tcPr>
          <w:p>
            <w:pPr>
              <w:pStyle w:val="TableParagraph"/>
              <w:spacing w:before="126"/>
              <w:ind w:right="72"/>
              <w:rPr>
                <w:rFonts w:ascii="Gotham Narrow Bold"/>
                <w:b/>
                <w:sz w:val="16"/>
              </w:rPr>
            </w:pPr>
            <w:r>
              <w:rPr>
                <w:rFonts w:ascii="Gotham Narrow Bold"/>
                <w:b/>
                <w:color w:val="636466"/>
                <w:w w:val="95"/>
                <w:sz w:val="16"/>
              </w:rPr>
              <w:t>2012</w:t>
            </w:r>
          </w:p>
        </w:tc>
        <w:tc>
          <w:tcPr>
            <w:tcW w:w="964" w:type="dxa"/>
            <w:tcBorders>
              <w:bottom w:val="nil"/>
            </w:tcBorders>
            <w:shd w:val="clear" w:color="auto" w:fill="E6E7E8"/>
          </w:tcPr>
          <w:p>
            <w:pPr>
              <w:pStyle w:val="TableParagraph"/>
              <w:spacing w:before="126"/>
              <w:ind w:right="74"/>
              <w:rPr>
                <w:rFonts w:ascii="Gotham Narrow Bold"/>
                <w:b/>
                <w:sz w:val="16"/>
              </w:rPr>
            </w:pPr>
            <w:r>
              <w:rPr>
                <w:rFonts w:ascii="Gotham Narrow Bold"/>
                <w:b/>
                <w:color w:val="636466"/>
                <w:w w:val="95"/>
                <w:sz w:val="16"/>
              </w:rPr>
              <w:t>2013</w:t>
            </w:r>
          </w:p>
        </w:tc>
        <w:tc>
          <w:tcPr>
            <w:tcW w:w="964" w:type="dxa"/>
            <w:tcBorders>
              <w:bottom w:val="nil"/>
            </w:tcBorders>
            <w:shd w:val="clear" w:color="auto" w:fill="E6E7E8"/>
          </w:tcPr>
          <w:p>
            <w:pPr>
              <w:pStyle w:val="TableParagraph"/>
              <w:spacing w:before="126"/>
              <w:ind w:right="72"/>
              <w:rPr>
                <w:rFonts w:ascii="Gotham Narrow Bold"/>
                <w:b/>
                <w:sz w:val="16"/>
              </w:rPr>
            </w:pPr>
            <w:r>
              <w:rPr>
                <w:rFonts w:ascii="Gotham Narrow Bold"/>
                <w:b/>
                <w:color w:val="636466"/>
                <w:w w:val="95"/>
                <w:sz w:val="16"/>
              </w:rPr>
              <w:t>2014</w:t>
            </w:r>
          </w:p>
        </w:tc>
        <w:tc>
          <w:tcPr>
            <w:tcW w:w="964" w:type="dxa"/>
            <w:tcBorders>
              <w:bottom w:val="nil"/>
            </w:tcBorders>
            <w:shd w:val="clear" w:color="auto" w:fill="E6E7E8"/>
          </w:tcPr>
          <w:p>
            <w:pPr>
              <w:pStyle w:val="TableParagraph"/>
              <w:spacing w:before="126"/>
              <w:ind w:right="74"/>
              <w:rPr>
                <w:rFonts w:ascii="Gotham Narrow Bold"/>
                <w:b/>
                <w:sz w:val="16"/>
              </w:rPr>
            </w:pPr>
            <w:r>
              <w:rPr>
                <w:rFonts w:ascii="Gotham Narrow Bold"/>
                <w:b/>
                <w:color w:val="636466"/>
                <w:w w:val="95"/>
                <w:sz w:val="16"/>
              </w:rPr>
              <w:t>2015</w:t>
            </w:r>
          </w:p>
        </w:tc>
        <w:tc>
          <w:tcPr>
            <w:tcW w:w="964" w:type="dxa"/>
            <w:tcBorders>
              <w:bottom w:val="nil"/>
            </w:tcBorders>
            <w:shd w:val="clear" w:color="auto" w:fill="E6E7E8"/>
          </w:tcPr>
          <w:p>
            <w:pPr>
              <w:pStyle w:val="TableParagraph"/>
              <w:spacing w:line="249" w:lineRule="auto" w:before="26"/>
              <w:ind w:left="321" w:right="23" w:hanging="228"/>
              <w:jc w:val="left"/>
              <w:rPr>
                <w:rFonts w:ascii="Gotham Narrow Bold"/>
                <w:b/>
                <w:sz w:val="16"/>
              </w:rPr>
            </w:pPr>
            <w:r>
              <w:rPr>
                <w:rFonts w:ascii="Gotham Narrow Bold"/>
                <w:b/>
                <w:color w:val="636466"/>
                <w:sz w:val="16"/>
              </w:rPr>
              <w:t>% CHANGE </w:t>
            </w:r>
            <w:r>
              <w:rPr>
                <w:rFonts w:ascii="Gotham Narrow Bold"/>
                <w:b/>
                <w:color w:val="636466"/>
                <w:w w:val="95"/>
                <w:sz w:val="16"/>
              </w:rPr>
              <w:t>2014-15</w:t>
            </w:r>
          </w:p>
        </w:tc>
        <w:tc>
          <w:tcPr>
            <w:tcW w:w="689" w:type="dxa"/>
            <w:tcBorders>
              <w:bottom w:val="nil"/>
            </w:tcBorders>
            <w:shd w:val="clear" w:color="auto" w:fill="E6E7E8"/>
          </w:tcPr>
          <w:p>
            <w:pPr>
              <w:pStyle w:val="TableParagraph"/>
              <w:spacing w:before="130"/>
              <w:ind w:left="89" w:right="89"/>
              <w:jc w:val="center"/>
              <w:rPr>
                <w:rFonts w:ascii="Microsoft Sans Serif"/>
                <w:sz w:val="16"/>
              </w:rPr>
            </w:pPr>
            <w:r>
              <w:rPr>
                <w:rFonts w:ascii="Microsoft Sans Serif"/>
                <w:w w:val="175"/>
                <w:sz w:val="16"/>
              </w:rPr>
              <w:t>q  p</w:t>
            </w:r>
          </w:p>
        </w:tc>
      </w:tr>
      <w:tr>
        <w:trPr>
          <w:trHeight w:val="279" w:hRule="exact"/>
        </w:trPr>
        <w:tc>
          <w:tcPr>
            <w:tcW w:w="10095" w:type="dxa"/>
            <w:gridSpan w:val="8"/>
            <w:tcBorders>
              <w:top w:val="nil"/>
              <w:left w:val="nil"/>
              <w:bottom w:val="nil"/>
              <w:right w:val="nil"/>
            </w:tcBorders>
            <w:shd w:val="clear" w:color="auto" w:fill="939598"/>
          </w:tcPr>
          <w:p>
            <w:pPr>
              <w:pStyle w:val="TableParagraph"/>
              <w:spacing w:before="50"/>
              <w:ind w:left="79"/>
              <w:jc w:val="left"/>
              <w:rPr>
                <w:rFonts w:ascii="Gotham Narrow Bold"/>
                <w:b/>
                <w:sz w:val="16"/>
              </w:rPr>
            </w:pPr>
            <w:r>
              <w:rPr>
                <w:rFonts w:ascii="Gotham Narrow Bold"/>
                <w:b/>
                <w:color w:val="FFFFFF"/>
                <w:w w:val="95"/>
                <w:sz w:val="16"/>
              </w:rPr>
              <w:t>NUMBER OF STUDENTS</w:t>
            </w:r>
          </w:p>
        </w:tc>
      </w:tr>
      <w:tr>
        <w:trPr>
          <w:trHeight w:val="264" w:hRule="exact"/>
        </w:trPr>
        <w:tc>
          <w:tcPr>
            <w:tcW w:w="3623" w:type="dxa"/>
            <w:tcBorders>
              <w:top w:val="nil"/>
            </w:tcBorders>
            <w:shd w:val="clear" w:color="auto" w:fill="E6E7E8"/>
          </w:tcPr>
          <w:p>
            <w:pPr>
              <w:pStyle w:val="TableParagraph"/>
              <w:spacing w:before="41"/>
              <w:ind w:left="74" w:right="89"/>
              <w:jc w:val="left"/>
              <w:rPr>
                <w:rFonts w:ascii="Calibri"/>
                <w:sz w:val="16"/>
              </w:rPr>
            </w:pPr>
            <w:r>
              <w:rPr>
                <w:rFonts w:ascii="Calibri"/>
                <w:w w:val="110"/>
                <w:sz w:val="16"/>
              </w:rPr>
              <w:t>Total</w:t>
            </w:r>
          </w:p>
        </w:tc>
        <w:tc>
          <w:tcPr>
            <w:tcW w:w="964" w:type="dxa"/>
            <w:tcBorders>
              <w:top w:val="nil"/>
            </w:tcBorders>
            <w:shd w:val="clear" w:color="auto" w:fill="E6E7E8"/>
          </w:tcPr>
          <w:p>
            <w:pPr>
              <w:pStyle w:val="TableParagraph"/>
              <w:spacing w:before="41"/>
              <w:ind w:right="73"/>
              <w:rPr>
                <w:rFonts w:ascii="Calibri"/>
                <w:sz w:val="16"/>
              </w:rPr>
            </w:pPr>
            <w:r>
              <w:rPr>
                <w:rFonts w:ascii="Calibri"/>
                <w:w w:val="105"/>
                <w:sz w:val="16"/>
              </w:rPr>
              <w:t>39,461</w:t>
            </w:r>
          </w:p>
        </w:tc>
        <w:tc>
          <w:tcPr>
            <w:tcW w:w="964" w:type="dxa"/>
            <w:tcBorders>
              <w:top w:val="nil"/>
            </w:tcBorders>
            <w:shd w:val="clear" w:color="auto" w:fill="E6E7E8"/>
          </w:tcPr>
          <w:p>
            <w:pPr>
              <w:pStyle w:val="TableParagraph"/>
              <w:spacing w:before="41"/>
              <w:ind w:right="72"/>
              <w:rPr>
                <w:rFonts w:ascii="Calibri"/>
                <w:sz w:val="16"/>
              </w:rPr>
            </w:pPr>
            <w:r>
              <w:rPr>
                <w:rFonts w:ascii="Calibri"/>
                <w:w w:val="110"/>
                <w:sz w:val="16"/>
              </w:rPr>
              <w:t>40,257</w:t>
            </w:r>
          </w:p>
        </w:tc>
        <w:tc>
          <w:tcPr>
            <w:tcW w:w="964" w:type="dxa"/>
            <w:tcBorders>
              <w:top w:val="nil"/>
            </w:tcBorders>
            <w:shd w:val="clear" w:color="auto" w:fill="E6E7E8"/>
          </w:tcPr>
          <w:p>
            <w:pPr>
              <w:pStyle w:val="TableParagraph"/>
              <w:spacing w:before="41"/>
              <w:ind w:right="73"/>
              <w:rPr>
                <w:rFonts w:ascii="Calibri"/>
                <w:sz w:val="16"/>
              </w:rPr>
            </w:pPr>
            <w:r>
              <w:rPr>
                <w:rFonts w:ascii="Calibri"/>
                <w:sz w:val="16"/>
              </w:rPr>
              <w:t>41,923</w:t>
            </w:r>
          </w:p>
        </w:tc>
        <w:tc>
          <w:tcPr>
            <w:tcW w:w="964" w:type="dxa"/>
            <w:tcBorders>
              <w:top w:val="nil"/>
            </w:tcBorders>
            <w:shd w:val="clear" w:color="auto" w:fill="E6E7E8"/>
          </w:tcPr>
          <w:p>
            <w:pPr>
              <w:pStyle w:val="TableParagraph"/>
              <w:spacing w:before="41"/>
              <w:ind w:right="73"/>
              <w:rPr>
                <w:rFonts w:ascii="Calibri"/>
                <w:sz w:val="16"/>
              </w:rPr>
            </w:pPr>
            <w:r>
              <w:rPr>
                <w:rFonts w:ascii="Calibri"/>
                <w:w w:val="105"/>
                <w:sz w:val="16"/>
              </w:rPr>
              <w:t>43,783</w:t>
            </w:r>
          </w:p>
        </w:tc>
        <w:tc>
          <w:tcPr>
            <w:tcW w:w="964" w:type="dxa"/>
            <w:tcBorders>
              <w:top w:val="nil"/>
            </w:tcBorders>
            <w:shd w:val="clear" w:color="auto" w:fill="E6E7E8"/>
          </w:tcPr>
          <w:p>
            <w:pPr>
              <w:pStyle w:val="TableParagraph"/>
              <w:spacing w:before="41"/>
              <w:ind w:right="72"/>
              <w:rPr>
                <w:rFonts w:ascii="Calibri"/>
                <w:sz w:val="16"/>
              </w:rPr>
            </w:pPr>
            <w:r>
              <w:rPr>
                <w:rFonts w:ascii="Calibri"/>
                <w:w w:val="110"/>
                <w:sz w:val="16"/>
              </w:rPr>
              <w:t>44,934</w:t>
            </w:r>
          </w:p>
        </w:tc>
        <w:tc>
          <w:tcPr>
            <w:tcW w:w="964" w:type="dxa"/>
            <w:tcBorders>
              <w:top w:val="nil"/>
            </w:tcBorders>
            <w:shd w:val="clear" w:color="auto" w:fill="E6E7E8"/>
          </w:tcPr>
          <w:p>
            <w:pPr>
              <w:pStyle w:val="TableParagraph"/>
              <w:spacing w:before="41"/>
              <w:ind w:right="72"/>
              <w:rPr>
                <w:rFonts w:ascii="Calibri"/>
                <w:sz w:val="16"/>
              </w:rPr>
            </w:pPr>
            <w:r>
              <w:rPr>
                <w:rFonts w:ascii="Calibri"/>
                <w:w w:val="105"/>
                <w:sz w:val="16"/>
              </w:rPr>
              <w:t>2.6%</w:t>
            </w:r>
          </w:p>
        </w:tc>
        <w:tc>
          <w:tcPr>
            <w:tcW w:w="689" w:type="dxa"/>
            <w:tcBorders>
              <w:top w:val="nil"/>
            </w:tcBorders>
            <w:shd w:val="clear" w:color="auto" w:fill="E6E7E8"/>
          </w:tcPr>
          <w:p>
            <w:pPr>
              <w:pStyle w:val="TableParagraph"/>
              <w:spacing w:before="43"/>
              <w:jc w:val="center"/>
              <w:rPr>
                <w:rFonts w:ascii="Microsoft Sans Serif"/>
                <w:sz w:val="16"/>
              </w:rPr>
            </w:pPr>
            <w:r>
              <w:rPr>
                <w:rFonts w:ascii="Microsoft Sans Serif"/>
                <w:w w:val="176"/>
                <w:sz w:val="16"/>
              </w:rPr>
              <w:t>p</w:t>
            </w:r>
          </w:p>
        </w:tc>
      </w:tr>
      <w:tr>
        <w:trPr>
          <w:trHeight w:val="269" w:hRule="exact"/>
        </w:trPr>
        <w:tc>
          <w:tcPr>
            <w:tcW w:w="3623" w:type="dxa"/>
            <w:shd w:val="clear" w:color="auto" w:fill="E6E7E8"/>
          </w:tcPr>
          <w:p>
            <w:pPr>
              <w:pStyle w:val="TableParagraph"/>
              <w:spacing w:before="33"/>
              <w:ind w:left="75" w:right="89"/>
              <w:jc w:val="left"/>
              <w:rPr>
                <w:sz w:val="16"/>
              </w:rPr>
            </w:pPr>
            <w:r>
              <w:rPr>
                <w:w w:val="95"/>
                <w:sz w:val="16"/>
              </w:rPr>
              <w:t>Female %</w:t>
            </w:r>
          </w:p>
        </w:tc>
        <w:tc>
          <w:tcPr>
            <w:tcW w:w="964" w:type="dxa"/>
            <w:shd w:val="clear" w:color="auto" w:fill="E6E7E8"/>
          </w:tcPr>
          <w:p>
            <w:pPr>
              <w:pStyle w:val="TableParagraph"/>
              <w:spacing w:before="33"/>
              <w:ind w:right="72"/>
              <w:rPr>
                <w:sz w:val="16"/>
              </w:rPr>
            </w:pPr>
            <w:r>
              <w:rPr>
                <w:w w:val="85"/>
                <w:sz w:val="16"/>
              </w:rPr>
              <w:t>55.4%</w:t>
            </w:r>
          </w:p>
        </w:tc>
        <w:tc>
          <w:tcPr>
            <w:tcW w:w="964" w:type="dxa"/>
            <w:shd w:val="clear" w:color="auto" w:fill="E6E7E8"/>
          </w:tcPr>
          <w:p>
            <w:pPr>
              <w:pStyle w:val="TableParagraph"/>
              <w:spacing w:before="33"/>
              <w:ind w:right="71"/>
              <w:rPr>
                <w:sz w:val="16"/>
              </w:rPr>
            </w:pPr>
            <w:r>
              <w:rPr>
                <w:w w:val="85"/>
                <w:sz w:val="16"/>
              </w:rPr>
              <w:t>55.6%</w:t>
            </w:r>
          </w:p>
        </w:tc>
        <w:tc>
          <w:tcPr>
            <w:tcW w:w="964" w:type="dxa"/>
            <w:shd w:val="clear" w:color="auto" w:fill="E6E7E8"/>
          </w:tcPr>
          <w:p>
            <w:pPr>
              <w:pStyle w:val="TableParagraph"/>
              <w:spacing w:before="33"/>
              <w:ind w:right="72"/>
              <w:rPr>
                <w:sz w:val="16"/>
              </w:rPr>
            </w:pPr>
            <w:r>
              <w:rPr>
                <w:w w:val="75"/>
                <w:sz w:val="16"/>
              </w:rPr>
              <w:t>55.1%</w:t>
            </w:r>
          </w:p>
        </w:tc>
        <w:tc>
          <w:tcPr>
            <w:tcW w:w="964" w:type="dxa"/>
            <w:shd w:val="clear" w:color="auto" w:fill="E6E7E8"/>
          </w:tcPr>
          <w:p>
            <w:pPr>
              <w:pStyle w:val="TableParagraph"/>
              <w:spacing w:before="33"/>
              <w:ind w:right="72"/>
              <w:rPr>
                <w:sz w:val="16"/>
              </w:rPr>
            </w:pPr>
            <w:r>
              <w:rPr>
                <w:w w:val="90"/>
                <w:sz w:val="16"/>
              </w:rPr>
              <w:t>55.0%</w:t>
            </w:r>
          </w:p>
        </w:tc>
        <w:tc>
          <w:tcPr>
            <w:tcW w:w="964" w:type="dxa"/>
            <w:shd w:val="clear" w:color="auto" w:fill="E6E7E8"/>
          </w:tcPr>
          <w:p>
            <w:pPr>
              <w:pStyle w:val="TableParagraph"/>
              <w:spacing w:before="33"/>
              <w:ind w:right="72"/>
              <w:rPr>
                <w:sz w:val="16"/>
              </w:rPr>
            </w:pPr>
            <w:r>
              <w:rPr>
                <w:w w:val="90"/>
                <w:sz w:val="16"/>
              </w:rPr>
              <w:t>54.8%</w:t>
            </w:r>
          </w:p>
        </w:tc>
        <w:tc>
          <w:tcPr>
            <w:tcW w:w="964" w:type="dxa"/>
            <w:shd w:val="clear" w:color="auto" w:fill="E6E7E8"/>
          </w:tcPr>
          <w:p>
            <w:pPr>
              <w:pStyle w:val="TableParagraph"/>
              <w:spacing w:before="33"/>
              <w:ind w:right="72"/>
              <w:rPr>
                <w:sz w:val="16"/>
              </w:rPr>
            </w:pPr>
            <w:r>
              <w:rPr>
                <w:w w:val="90"/>
                <w:sz w:val="16"/>
              </w:rPr>
              <w:t>-0.2%</w:t>
            </w:r>
          </w:p>
        </w:tc>
        <w:tc>
          <w:tcPr>
            <w:tcW w:w="689" w:type="dxa"/>
            <w:shd w:val="clear" w:color="auto" w:fill="E6E7E8"/>
          </w:tcPr>
          <w:p>
            <w:pPr>
              <w:pStyle w:val="TableParagraph"/>
              <w:spacing w:before="43"/>
              <w:jc w:val="center"/>
              <w:rPr>
                <w:rFonts w:ascii="Microsoft Sans Serif"/>
                <w:sz w:val="16"/>
              </w:rPr>
            </w:pPr>
            <w:r>
              <w:rPr>
                <w:rFonts w:ascii="Microsoft Sans Serif"/>
                <w:w w:val="176"/>
                <w:sz w:val="16"/>
              </w:rPr>
              <w:t>q</w:t>
            </w:r>
          </w:p>
        </w:tc>
      </w:tr>
      <w:tr>
        <w:trPr>
          <w:trHeight w:val="269" w:hRule="exact"/>
        </w:trPr>
        <w:tc>
          <w:tcPr>
            <w:tcW w:w="3623" w:type="dxa"/>
            <w:shd w:val="clear" w:color="auto" w:fill="E6E7E8"/>
          </w:tcPr>
          <w:p>
            <w:pPr>
              <w:pStyle w:val="TableParagraph"/>
              <w:spacing w:before="33"/>
              <w:ind w:left="75" w:right="89"/>
              <w:jc w:val="left"/>
              <w:rPr>
                <w:sz w:val="16"/>
              </w:rPr>
            </w:pPr>
            <w:r>
              <w:rPr>
                <w:sz w:val="16"/>
              </w:rPr>
              <w:t>Commencing</w:t>
            </w:r>
          </w:p>
        </w:tc>
        <w:tc>
          <w:tcPr>
            <w:tcW w:w="964" w:type="dxa"/>
            <w:shd w:val="clear" w:color="auto" w:fill="E6E7E8"/>
          </w:tcPr>
          <w:p>
            <w:pPr>
              <w:pStyle w:val="TableParagraph"/>
              <w:spacing w:before="33"/>
              <w:ind w:right="69"/>
              <w:rPr>
                <w:sz w:val="16"/>
              </w:rPr>
            </w:pPr>
            <w:r>
              <w:rPr>
                <w:w w:val="90"/>
                <w:sz w:val="16"/>
              </w:rPr>
              <w:t>15,430</w:t>
            </w:r>
          </w:p>
        </w:tc>
        <w:tc>
          <w:tcPr>
            <w:tcW w:w="964" w:type="dxa"/>
            <w:shd w:val="clear" w:color="auto" w:fill="E6E7E8"/>
          </w:tcPr>
          <w:p>
            <w:pPr>
              <w:pStyle w:val="TableParagraph"/>
              <w:spacing w:before="33"/>
              <w:ind w:right="72"/>
              <w:rPr>
                <w:sz w:val="16"/>
              </w:rPr>
            </w:pPr>
            <w:r>
              <w:rPr>
                <w:w w:val="75"/>
                <w:sz w:val="16"/>
              </w:rPr>
              <w:t>15,156</w:t>
            </w:r>
          </w:p>
        </w:tc>
        <w:tc>
          <w:tcPr>
            <w:tcW w:w="964" w:type="dxa"/>
            <w:shd w:val="clear" w:color="auto" w:fill="E6E7E8"/>
          </w:tcPr>
          <w:p>
            <w:pPr>
              <w:pStyle w:val="TableParagraph"/>
              <w:spacing w:before="33"/>
              <w:ind w:right="72"/>
              <w:rPr>
                <w:sz w:val="16"/>
              </w:rPr>
            </w:pPr>
            <w:r>
              <w:rPr>
                <w:w w:val="85"/>
                <w:sz w:val="16"/>
              </w:rPr>
              <w:t>16,349</w:t>
            </w:r>
          </w:p>
        </w:tc>
        <w:tc>
          <w:tcPr>
            <w:tcW w:w="964" w:type="dxa"/>
            <w:shd w:val="clear" w:color="auto" w:fill="E6E7E8"/>
          </w:tcPr>
          <w:p>
            <w:pPr>
              <w:pStyle w:val="TableParagraph"/>
              <w:spacing w:before="33"/>
              <w:ind w:right="72"/>
              <w:rPr>
                <w:sz w:val="16"/>
              </w:rPr>
            </w:pPr>
            <w:r>
              <w:rPr>
                <w:w w:val="80"/>
                <w:sz w:val="16"/>
              </w:rPr>
              <w:t>17,144</w:t>
            </w:r>
          </w:p>
        </w:tc>
        <w:tc>
          <w:tcPr>
            <w:tcW w:w="964" w:type="dxa"/>
            <w:shd w:val="clear" w:color="auto" w:fill="E6E7E8"/>
          </w:tcPr>
          <w:p>
            <w:pPr>
              <w:pStyle w:val="TableParagraph"/>
              <w:spacing w:before="33"/>
              <w:ind w:right="72"/>
              <w:rPr>
                <w:sz w:val="16"/>
              </w:rPr>
            </w:pPr>
            <w:r>
              <w:rPr>
                <w:w w:val="90"/>
                <w:sz w:val="16"/>
              </w:rPr>
              <w:t>18,098</w:t>
            </w:r>
          </w:p>
        </w:tc>
        <w:tc>
          <w:tcPr>
            <w:tcW w:w="964" w:type="dxa"/>
            <w:shd w:val="clear" w:color="auto" w:fill="E6E7E8"/>
          </w:tcPr>
          <w:p>
            <w:pPr>
              <w:pStyle w:val="TableParagraph"/>
              <w:spacing w:before="33"/>
              <w:ind w:right="71"/>
              <w:rPr>
                <w:sz w:val="16"/>
              </w:rPr>
            </w:pPr>
            <w:r>
              <w:rPr>
                <w:w w:val="85"/>
                <w:sz w:val="16"/>
              </w:rPr>
              <w:t>5.6%</w:t>
            </w:r>
          </w:p>
        </w:tc>
        <w:tc>
          <w:tcPr>
            <w:tcW w:w="689" w:type="dxa"/>
            <w:shd w:val="clear" w:color="auto" w:fill="E6E7E8"/>
          </w:tcPr>
          <w:p>
            <w:pPr>
              <w:pStyle w:val="TableParagraph"/>
              <w:spacing w:before="44"/>
              <w:jc w:val="center"/>
              <w:rPr>
                <w:rFonts w:ascii="Microsoft Sans Serif"/>
                <w:sz w:val="16"/>
              </w:rPr>
            </w:pPr>
            <w:r>
              <w:rPr>
                <w:rFonts w:ascii="Microsoft Sans Serif"/>
                <w:w w:val="176"/>
                <w:sz w:val="16"/>
              </w:rPr>
              <w:t>p</w:t>
            </w:r>
          </w:p>
        </w:tc>
      </w:tr>
      <w:tr>
        <w:trPr>
          <w:trHeight w:val="264" w:hRule="exact"/>
        </w:trPr>
        <w:tc>
          <w:tcPr>
            <w:tcW w:w="3623" w:type="dxa"/>
            <w:tcBorders>
              <w:bottom w:val="nil"/>
            </w:tcBorders>
            <w:shd w:val="clear" w:color="auto" w:fill="E6E7E8"/>
          </w:tcPr>
          <w:p>
            <w:pPr>
              <w:pStyle w:val="TableParagraph"/>
              <w:spacing w:before="33"/>
              <w:ind w:left="75" w:right="89"/>
              <w:jc w:val="left"/>
              <w:rPr>
                <w:sz w:val="16"/>
              </w:rPr>
            </w:pPr>
            <w:r>
              <w:rPr>
                <w:w w:val="95"/>
                <w:sz w:val="16"/>
              </w:rPr>
              <w:t>Female %</w:t>
            </w:r>
          </w:p>
        </w:tc>
        <w:tc>
          <w:tcPr>
            <w:tcW w:w="964" w:type="dxa"/>
            <w:tcBorders>
              <w:bottom w:val="nil"/>
            </w:tcBorders>
            <w:shd w:val="clear" w:color="auto" w:fill="E6E7E8"/>
          </w:tcPr>
          <w:p>
            <w:pPr>
              <w:pStyle w:val="TableParagraph"/>
              <w:spacing w:before="33"/>
              <w:ind w:right="72"/>
              <w:rPr>
                <w:sz w:val="16"/>
              </w:rPr>
            </w:pPr>
            <w:r>
              <w:rPr>
                <w:w w:val="85"/>
                <w:sz w:val="16"/>
              </w:rPr>
              <w:t>55.4%</w:t>
            </w:r>
          </w:p>
        </w:tc>
        <w:tc>
          <w:tcPr>
            <w:tcW w:w="964" w:type="dxa"/>
            <w:tcBorders>
              <w:bottom w:val="nil"/>
            </w:tcBorders>
            <w:shd w:val="clear" w:color="auto" w:fill="E6E7E8"/>
          </w:tcPr>
          <w:p>
            <w:pPr>
              <w:pStyle w:val="TableParagraph"/>
              <w:spacing w:before="33"/>
              <w:ind w:right="72"/>
              <w:rPr>
                <w:sz w:val="16"/>
              </w:rPr>
            </w:pPr>
            <w:r>
              <w:rPr>
                <w:w w:val="85"/>
                <w:sz w:val="16"/>
              </w:rPr>
              <w:t>55.4%</w:t>
            </w:r>
          </w:p>
        </w:tc>
        <w:tc>
          <w:tcPr>
            <w:tcW w:w="964" w:type="dxa"/>
            <w:tcBorders>
              <w:bottom w:val="nil"/>
            </w:tcBorders>
            <w:shd w:val="clear" w:color="auto" w:fill="E6E7E8"/>
          </w:tcPr>
          <w:p>
            <w:pPr>
              <w:pStyle w:val="TableParagraph"/>
              <w:spacing w:before="33"/>
              <w:ind w:right="72"/>
              <w:rPr>
                <w:sz w:val="16"/>
              </w:rPr>
            </w:pPr>
            <w:r>
              <w:rPr>
                <w:w w:val="90"/>
                <w:sz w:val="16"/>
              </w:rPr>
              <w:t>55.0%</w:t>
            </w:r>
          </w:p>
        </w:tc>
        <w:tc>
          <w:tcPr>
            <w:tcW w:w="964" w:type="dxa"/>
            <w:tcBorders>
              <w:bottom w:val="nil"/>
            </w:tcBorders>
            <w:shd w:val="clear" w:color="auto" w:fill="E6E7E8"/>
          </w:tcPr>
          <w:p>
            <w:pPr>
              <w:pStyle w:val="TableParagraph"/>
              <w:spacing w:before="33"/>
              <w:ind w:right="71"/>
              <w:rPr>
                <w:sz w:val="16"/>
              </w:rPr>
            </w:pPr>
            <w:r>
              <w:rPr>
                <w:w w:val="85"/>
                <w:sz w:val="16"/>
              </w:rPr>
              <w:t>54.5%</w:t>
            </w:r>
          </w:p>
        </w:tc>
        <w:tc>
          <w:tcPr>
            <w:tcW w:w="964" w:type="dxa"/>
            <w:tcBorders>
              <w:bottom w:val="nil"/>
            </w:tcBorders>
            <w:shd w:val="clear" w:color="auto" w:fill="E6E7E8"/>
          </w:tcPr>
          <w:p>
            <w:pPr>
              <w:pStyle w:val="TableParagraph"/>
              <w:spacing w:before="33"/>
              <w:ind w:right="72"/>
              <w:rPr>
                <w:sz w:val="16"/>
              </w:rPr>
            </w:pPr>
            <w:r>
              <w:rPr>
                <w:w w:val="85"/>
                <w:sz w:val="16"/>
              </w:rPr>
              <w:t>54.2%</w:t>
            </w:r>
          </w:p>
        </w:tc>
        <w:tc>
          <w:tcPr>
            <w:tcW w:w="964" w:type="dxa"/>
            <w:tcBorders>
              <w:bottom w:val="nil"/>
            </w:tcBorders>
            <w:shd w:val="clear" w:color="auto" w:fill="E6E7E8"/>
          </w:tcPr>
          <w:p>
            <w:pPr>
              <w:pStyle w:val="TableParagraph"/>
              <w:spacing w:before="33"/>
              <w:ind w:right="70"/>
              <w:rPr>
                <w:sz w:val="16"/>
              </w:rPr>
            </w:pPr>
            <w:r>
              <w:rPr>
                <w:w w:val="85"/>
                <w:sz w:val="16"/>
              </w:rPr>
              <w:t>-0.3%</w:t>
            </w:r>
          </w:p>
        </w:tc>
        <w:tc>
          <w:tcPr>
            <w:tcW w:w="689" w:type="dxa"/>
            <w:tcBorders>
              <w:bottom w:val="nil"/>
            </w:tcBorders>
            <w:shd w:val="clear" w:color="auto" w:fill="E6E7E8"/>
          </w:tcPr>
          <w:p>
            <w:pPr>
              <w:pStyle w:val="TableParagraph"/>
              <w:spacing w:before="44"/>
              <w:jc w:val="center"/>
              <w:rPr>
                <w:rFonts w:ascii="Microsoft Sans Serif"/>
                <w:sz w:val="16"/>
              </w:rPr>
            </w:pPr>
            <w:r>
              <w:rPr>
                <w:rFonts w:ascii="Microsoft Sans Serif"/>
                <w:w w:val="176"/>
                <w:sz w:val="16"/>
              </w:rPr>
              <w:t>q</w:t>
            </w:r>
          </w:p>
        </w:tc>
      </w:tr>
      <w:tr>
        <w:trPr>
          <w:trHeight w:val="279" w:hRule="exact"/>
        </w:trPr>
        <w:tc>
          <w:tcPr>
            <w:tcW w:w="10095" w:type="dxa"/>
            <w:gridSpan w:val="8"/>
            <w:tcBorders>
              <w:top w:val="nil"/>
              <w:left w:val="nil"/>
              <w:bottom w:val="nil"/>
              <w:right w:val="nil"/>
            </w:tcBorders>
            <w:shd w:val="clear" w:color="auto" w:fill="939598"/>
          </w:tcPr>
          <w:p>
            <w:pPr>
              <w:pStyle w:val="TableParagraph"/>
              <w:spacing w:before="50"/>
              <w:ind w:left="80"/>
              <w:jc w:val="left"/>
              <w:rPr>
                <w:rFonts w:ascii="Gotham Narrow Bold"/>
                <w:b/>
                <w:sz w:val="16"/>
              </w:rPr>
            </w:pPr>
            <w:r>
              <w:rPr>
                <w:rFonts w:ascii="Gotham Narrow Bold"/>
                <w:b/>
                <w:color w:val="FFFFFF"/>
                <w:w w:val="95"/>
                <w:sz w:val="16"/>
              </w:rPr>
              <w:t>STUDENT LOAD</w:t>
            </w:r>
          </w:p>
        </w:tc>
      </w:tr>
      <w:tr>
        <w:trPr>
          <w:trHeight w:val="264" w:hRule="exact"/>
        </w:trPr>
        <w:tc>
          <w:tcPr>
            <w:tcW w:w="3623" w:type="dxa"/>
            <w:tcBorders>
              <w:top w:val="nil"/>
            </w:tcBorders>
            <w:shd w:val="clear" w:color="auto" w:fill="E6E7E8"/>
          </w:tcPr>
          <w:p>
            <w:pPr>
              <w:pStyle w:val="TableParagraph"/>
              <w:spacing w:before="41"/>
              <w:ind w:left="75" w:right="89"/>
              <w:jc w:val="left"/>
              <w:rPr>
                <w:rFonts w:ascii="Calibri"/>
                <w:sz w:val="16"/>
              </w:rPr>
            </w:pPr>
            <w:r>
              <w:rPr>
                <w:rFonts w:ascii="Calibri"/>
                <w:w w:val="110"/>
                <w:sz w:val="16"/>
              </w:rPr>
              <w:t>Total</w:t>
            </w:r>
          </w:p>
        </w:tc>
        <w:tc>
          <w:tcPr>
            <w:tcW w:w="964" w:type="dxa"/>
            <w:tcBorders>
              <w:top w:val="nil"/>
            </w:tcBorders>
            <w:shd w:val="clear" w:color="auto" w:fill="E6E7E8"/>
          </w:tcPr>
          <w:p>
            <w:pPr>
              <w:pStyle w:val="TableParagraph"/>
              <w:spacing w:before="41"/>
              <w:ind w:right="72"/>
              <w:rPr>
                <w:rFonts w:ascii="Calibri"/>
                <w:sz w:val="16"/>
              </w:rPr>
            </w:pPr>
            <w:r>
              <w:rPr>
                <w:rFonts w:ascii="Calibri"/>
                <w:w w:val="110"/>
                <w:sz w:val="16"/>
              </w:rPr>
              <w:t>29,730</w:t>
            </w:r>
          </w:p>
        </w:tc>
        <w:tc>
          <w:tcPr>
            <w:tcW w:w="964" w:type="dxa"/>
            <w:tcBorders>
              <w:top w:val="nil"/>
            </w:tcBorders>
            <w:shd w:val="clear" w:color="auto" w:fill="E6E7E8"/>
          </w:tcPr>
          <w:p>
            <w:pPr>
              <w:pStyle w:val="TableParagraph"/>
              <w:spacing w:before="41"/>
              <w:ind w:right="72"/>
              <w:rPr>
                <w:rFonts w:ascii="Calibri"/>
                <w:sz w:val="16"/>
              </w:rPr>
            </w:pPr>
            <w:r>
              <w:rPr>
                <w:rFonts w:ascii="Calibri"/>
                <w:w w:val="105"/>
                <w:sz w:val="16"/>
              </w:rPr>
              <w:t>30,194</w:t>
            </w:r>
          </w:p>
        </w:tc>
        <w:tc>
          <w:tcPr>
            <w:tcW w:w="964" w:type="dxa"/>
            <w:tcBorders>
              <w:top w:val="nil"/>
            </w:tcBorders>
            <w:shd w:val="clear" w:color="auto" w:fill="E6E7E8"/>
          </w:tcPr>
          <w:p>
            <w:pPr>
              <w:pStyle w:val="TableParagraph"/>
              <w:spacing w:before="41"/>
              <w:ind w:right="72"/>
              <w:rPr>
                <w:rFonts w:ascii="Calibri"/>
                <w:sz w:val="16"/>
              </w:rPr>
            </w:pPr>
            <w:r>
              <w:rPr>
                <w:rFonts w:ascii="Calibri"/>
                <w:w w:val="90"/>
                <w:sz w:val="16"/>
              </w:rPr>
              <w:t>31,351</w:t>
            </w:r>
          </w:p>
        </w:tc>
        <w:tc>
          <w:tcPr>
            <w:tcW w:w="964" w:type="dxa"/>
            <w:tcBorders>
              <w:top w:val="nil"/>
            </w:tcBorders>
            <w:shd w:val="clear" w:color="auto" w:fill="E6E7E8"/>
          </w:tcPr>
          <w:p>
            <w:pPr>
              <w:pStyle w:val="TableParagraph"/>
              <w:spacing w:before="41"/>
              <w:ind w:right="72"/>
              <w:rPr>
                <w:rFonts w:ascii="Calibri"/>
                <w:sz w:val="16"/>
              </w:rPr>
            </w:pPr>
            <w:r>
              <w:rPr>
                <w:rFonts w:ascii="Calibri"/>
                <w:w w:val="105"/>
                <w:sz w:val="16"/>
              </w:rPr>
              <w:t>32,723</w:t>
            </w:r>
          </w:p>
        </w:tc>
        <w:tc>
          <w:tcPr>
            <w:tcW w:w="964" w:type="dxa"/>
            <w:tcBorders>
              <w:top w:val="nil"/>
            </w:tcBorders>
            <w:shd w:val="clear" w:color="auto" w:fill="E6E7E8"/>
          </w:tcPr>
          <w:p>
            <w:pPr>
              <w:pStyle w:val="TableParagraph"/>
              <w:spacing w:before="41"/>
              <w:ind w:right="72"/>
              <w:rPr>
                <w:rFonts w:ascii="Calibri"/>
                <w:sz w:val="16"/>
              </w:rPr>
            </w:pPr>
            <w:r>
              <w:rPr>
                <w:rFonts w:ascii="Calibri"/>
                <w:w w:val="105"/>
                <w:sz w:val="16"/>
              </w:rPr>
              <w:t>33,673</w:t>
            </w:r>
          </w:p>
        </w:tc>
        <w:tc>
          <w:tcPr>
            <w:tcW w:w="964" w:type="dxa"/>
            <w:tcBorders>
              <w:top w:val="nil"/>
            </w:tcBorders>
            <w:shd w:val="clear" w:color="auto" w:fill="E6E7E8"/>
          </w:tcPr>
          <w:p>
            <w:pPr>
              <w:pStyle w:val="TableParagraph"/>
              <w:spacing w:before="41"/>
              <w:ind w:right="72"/>
              <w:rPr>
                <w:rFonts w:ascii="Calibri"/>
                <w:sz w:val="16"/>
              </w:rPr>
            </w:pPr>
            <w:r>
              <w:rPr>
                <w:rFonts w:ascii="Calibri"/>
                <w:w w:val="105"/>
                <w:sz w:val="16"/>
              </w:rPr>
              <w:t>2.9%</w:t>
            </w:r>
          </w:p>
        </w:tc>
        <w:tc>
          <w:tcPr>
            <w:tcW w:w="689" w:type="dxa"/>
            <w:tcBorders>
              <w:top w:val="nil"/>
            </w:tcBorders>
            <w:shd w:val="clear" w:color="auto" w:fill="E6E7E8"/>
          </w:tcPr>
          <w:p>
            <w:pPr>
              <w:pStyle w:val="TableParagraph"/>
              <w:spacing w:before="44"/>
              <w:ind w:left="1"/>
              <w:jc w:val="center"/>
              <w:rPr>
                <w:rFonts w:ascii="Microsoft Sans Serif"/>
                <w:sz w:val="16"/>
              </w:rPr>
            </w:pPr>
            <w:r>
              <w:rPr>
                <w:rFonts w:ascii="Microsoft Sans Serif"/>
                <w:w w:val="176"/>
                <w:sz w:val="16"/>
              </w:rPr>
              <w:t>p</w:t>
            </w:r>
          </w:p>
        </w:tc>
      </w:tr>
      <w:tr>
        <w:trPr>
          <w:trHeight w:val="269" w:hRule="exact"/>
        </w:trPr>
        <w:tc>
          <w:tcPr>
            <w:tcW w:w="3623" w:type="dxa"/>
            <w:shd w:val="clear" w:color="auto" w:fill="E6E7E8"/>
          </w:tcPr>
          <w:p>
            <w:pPr>
              <w:pStyle w:val="TableParagraph"/>
              <w:spacing w:before="34"/>
              <w:ind w:left="75" w:right="89"/>
              <w:jc w:val="left"/>
              <w:rPr>
                <w:sz w:val="16"/>
              </w:rPr>
            </w:pPr>
            <w:r>
              <w:rPr>
                <w:sz w:val="16"/>
              </w:rPr>
              <w:t>Undergraduate</w:t>
            </w:r>
          </w:p>
        </w:tc>
        <w:tc>
          <w:tcPr>
            <w:tcW w:w="964" w:type="dxa"/>
            <w:shd w:val="clear" w:color="auto" w:fill="E6E7E8"/>
          </w:tcPr>
          <w:p>
            <w:pPr>
              <w:pStyle w:val="TableParagraph"/>
              <w:spacing w:before="34"/>
              <w:ind w:right="72"/>
              <w:rPr>
                <w:sz w:val="16"/>
              </w:rPr>
            </w:pPr>
            <w:r>
              <w:rPr>
                <w:w w:val="85"/>
                <w:sz w:val="16"/>
              </w:rPr>
              <w:t>24,931</w:t>
            </w:r>
          </w:p>
        </w:tc>
        <w:tc>
          <w:tcPr>
            <w:tcW w:w="964" w:type="dxa"/>
            <w:shd w:val="clear" w:color="auto" w:fill="E6E7E8"/>
          </w:tcPr>
          <w:p>
            <w:pPr>
              <w:pStyle w:val="TableParagraph"/>
              <w:spacing w:before="34"/>
              <w:ind w:right="72"/>
              <w:rPr>
                <w:sz w:val="16"/>
              </w:rPr>
            </w:pPr>
            <w:r>
              <w:rPr>
                <w:w w:val="85"/>
                <w:sz w:val="16"/>
              </w:rPr>
              <w:t>25,631</w:t>
            </w:r>
          </w:p>
        </w:tc>
        <w:tc>
          <w:tcPr>
            <w:tcW w:w="964" w:type="dxa"/>
            <w:shd w:val="clear" w:color="auto" w:fill="E6E7E8"/>
          </w:tcPr>
          <w:p>
            <w:pPr>
              <w:pStyle w:val="TableParagraph"/>
              <w:spacing w:before="34"/>
              <w:ind w:right="79"/>
              <w:rPr>
                <w:sz w:val="16"/>
              </w:rPr>
            </w:pPr>
            <w:r>
              <w:rPr>
                <w:w w:val="90"/>
                <w:sz w:val="16"/>
              </w:rPr>
              <w:t>26,474</w:t>
            </w:r>
          </w:p>
        </w:tc>
        <w:tc>
          <w:tcPr>
            <w:tcW w:w="964" w:type="dxa"/>
            <w:shd w:val="clear" w:color="auto" w:fill="E6E7E8"/>
          </w:tcPr>
          <w:p>
            <w:pPr>
              <w:pStyle w:val="TableParagraph"/>
              <w:spacing w:before="34"/>
              <w:ind w:right="72"/>
              <w:rPr>
                <w:sz w:val="16"/>
              </w:rPr>
            </w:pPr>
            <w:r>
              <w:rPr>
                <w:w w:val="90"/>
                <w:sz w:val="16"/>
              </w:rPr>
              <w:t>27,205</w:t>
            </w:r>
          </w:p>
        </w:tc>
        <w:tc>
          <w:tcPr>
            <w:tcW w:w="964" w:type="dxa"/>
            <w:shd w:val="clear" w:color="auto" w:fill="E6E7E8"/>
          </w:tcPr>
          <w:p>
            <w:pPr>
              <w:pStyle w:val="TableParagraph"/>
              <w:spacing w:before="34"/>
              <w:ind w:right="72"/>
              <w:rPr>
                <w:sz w:val="16"/>
              </w:rPr>
            </w:pPr>
            <w:r>
              <w:rPr>
                <w:w w:val="95"/>
                <w:sz w:val="16"/>
              </w:rPr>
              <w:t>28,646</w:t>
            </w:r>
          </w:p>
        </w:tc>
        <w:tc>
          <w:tcPr>
            <w:tcW w:w="964" w:type="dxa"/>
            <w:shd w:val="clear" w:color="auto" w:fill="E6E7E8"/>
          </w:tcPr>
          <w:p>
            <w:pPr>
              <w:pStyle w:val="TableParagraph"/>
              <w:spacing w:before="34"/>
              <w:ind w:right="70"/>
              <w:rPr>
                <w:sz w:val="16"/>
              </w:rPr>
            </w:pPr>
            <w:r>
              <w:rPr>
                <w:w w:val="80"/>
                <w:sz w:val="16"/>
              </w:rPr>
              <w:t>5.3%</w:t>
            </w:r>
          </w:p>
        </w:tc>
        <w:tc>
          <w:tcPr>
            <w:tcW w:w="689" w:type="dxa"/>
            <w:shd w:val="clear" w:color="auto" w:fill="E6E7E8"/>
          </w:tcPr>
          <w:p>
            <w:pPr>
              <w:pStyle w:val="TableParagraph"/>
              <w:spacing w:before="44"/>
              <w:ind w:left="1"/>
              <w:jc w:val="center"/>
              <w:rPr>
                <w:rFonts w:ascii="Microsoft Sans Serif"/>
                <w:sz w:val="16"/>
              </w:rPr>
            </w:pPr>
            <w:r>
              <w:rPr>
                <w:rFonts w:ascii="Microsoft Sans Serif"/>
                <w:w w:val="176"/>
                <w:sz w:val="16"/>
              </w:rPr>
              <w:t>p</w:t>
            </w:r>
          </w:p>
        </w:tc>
      </w:tr>
      <w:tr>
        <w:trPr>
          <w:trHeight w:val="269" w:hRule="exact"/>
        </w:trPr>
        <w:tc>
          <w:tcPr>
            <w:tcW w:w="3623" w:type="dxa"/>
            <w:shd w:val="clear" w:color="auto" w:fill="E6E7E8"/>
          </w:tcPr>
          <w:p>
            <w:pPr>
              <w:pStyle w:val="TableParagraph"/>
              <w:spacing w:before="34"/>
              <w:ind w:left="75" w:right="89"/>
              <w:jc w:val="left"/>
              <w:rPr>
                <w:sz w:val="16"/>
              </w:rPr>
            </w:pPr>
            <w:r>
              <w:rPr>
                <w:sz w:val="16"/>
              </w:rPr>
              <w:t>Postgraduate</w:t>
            </w:r>
          </w:p>
        </w:tc>
        <w:tc>
          <w:tcPr>
            <w:tcW w:w="964" w:type="dxa"/>
            <w:shd w:val="clear" w:color="auto" w:fill="E6E7E8"/>
          </w:tcPr>
          <w:p>
            <w:pPr>
              <w:pStyle w:val="TableParagraph"/>
              <w:spacing w:before="34"/>
              <w:ind w:right="72"/>
              <w:rPr>
                <w:sz w:val="16"/>
              </w:rPr>
            </w:pPr>
            <w:r>
              <w:rPr>
                <w:sz w:val="16"/>
              </w:rPr>
              <w:t>4,200</w:t>
            </w:r>
          </w:p>
        </w:tc>
        <w:tc>
          <w:tcPr>
            <w:tcW w:w="964" w:type="dxa"/>
            <w:shd w:val="clear" w:color="auto" w:fill="E6E7E8"/>
          </w:tcPr>
          <w:p>
            <w:pPr>
              <w:pStyle w:val="TableParagraph"/>
              <w:spacing w:before="34"/>
              <w:ind w:right="72"/>
              <w:rPr>
                <w:sz w:val="16"/>
              </w:rPr>
            </w:pPr>
            <w:r>
              <w:rPr>
                <w:sz w:val="16"/>
              </w:rPr>
              <w:t>4,038</w:t>
            </w:r>
          </w:p>
        </w:tc>
        <w:tc>
          <w:tcPr>
            <w:tcW w:w="964" w:type="dxa"/>
            <w:shd w:val="clear" w:color="auto" w:fill="E6E7E8"/>
          </w:tcPr>
          <w:p>
            <w:pPr>
              <w:pStyle w:val="TableParagraph"/>
              <w:spacing w:before="34"/>
              <w:ind w:right="72"/>
              <w:rPr>
                <w:sz w:val="16"/>
              </w:rPr>
            </w:pPr>
            <w:r>
              <w:rPr>
                <w:w w:val="85"/>
                <w:sz w:val="16"/>
              </w:rPr>
              <w:t>4,177</w:t>
            </w:r>
          </w:p>
        </w:tc>
        <w:tc>
          <w:tcPr>
            <w:tcW w:w="964" w:type="dxa"/>
            <w:shd w:val="clear" w:color="auto" w:fill="E6E7E8"/>
          </w:tcPr>
          <w:p>
            <w:pPr>
              <w:pStyle w:val="TableParagraph"/>
              <w:spacing w:before="34"/>
              <w:ind w:right="72"/>
              <w:rPr>
                <w:sz w:val="16"/>
              </w:rPr>
            </w:pPr>
            <w:r>
              <w:rPr>
                <w:w w:val="90"/>
                <w:sz w:val="16"/>
              </w:rPr>
              <w:t>4,353</w:t>
            </w:r>
          </w:p>
        </w:tc>
        <w:tc>
          <w:tcPr>
            <w:tcW w:w="964" w:type="dxa"/>
            <w:shd w:val="clear" w:color="auto" w:fill="E6E7E8"/>
          </w:tcPr>
          <w:p>
            <w:pPr>
              <w:pStyle w:val="TableParagraph"/>
              <w:spacing w:before="34"/>
              <w:ind w:right="72"/>
              <w:rPr>
                <w:sz w:val="16"/>
              </w:rPr>
            </w:pPr>
            <w:r>
              <w:rPr>
                <w:w w:val="85"/>
                <w:sz w:val="16"/>
              </w:rPr>
              <w:t>4,108</w:t>
            </w:r>
          </w:p>
        </w:tc>
        <w:tc>
          <w:tcPr>
            <w:tcW w:w="964" w:type="dxa"/>
            <w:shd w:val="clear" w:color="auto" w:fill="E6E7E8"/>
          </w:tcPr>
          <w:p>
            <w:pPr>
              <w:pStyle w:val="TableParagraph"/>
              <w:spacing w:before="34"/>
              <w:ind w:right="71"/>
              <w:rPr>
                <w:sz w:val="16"/>
              </w:rPr>
            </w:pPr>
            <w:r>
              <w:rPr>
                <w:w w:val="85"/>
                <w:sz w:val="16"/>
              </w:rPr>
              <w:t>-5.6%</w:t>
            </w:r>
          </w:p>
        </w:tc>
        <w:tc>
          <w:tcPr>
            <w:tcW w:w="689" w:type="dxa"/>
            <w:shd w:val="clear" w:color="auto" w:fill="E6E7E8"/>
          </w:tcPr>
          <w:p>
            <w:pPr>
              <w:pStyle w:val="TableParagraph"/>
              <w:spacing w:before="44"/>
              <w:ind w:left="1"/>
              <w:jc w:val="center"/>
              <w:rPr>
                <w:rFonts w:ascii="Microsoft Sans Serif"/>
                <w:sz w:val="16"/>
              </w:rPr>
            </w:pPr>
            <w:r>
              <w:rPr>
                <w:rFonts w:ascii="Microsoft Sans Serif"/>
                <w:w w:val="176"/>
                <w:sz w:val="16"/>
              </w:rPr>
              <w:t>q</w:t>
            </w:r>
          </w:p>
        </w:tc>
      </w:tr>
      <w:tr>
        <w:trPr>
          <w:trHeight w:val="269" w:hRule="exact"/>
        </w:trPr>
        <w:tc>
          <w:tcPr>
            <w:tcW w:w="3623" w:type="dxa"/>
            <w:shd w:val="clear" w:color="auto" w:fill="E6E7E8"/>
          </w:tcPr>
          <w:p>
            <w:pPr>
              <w:pStyle w:val="TableParagraph"/>
              <w:spacing w:before="34"/>
              <w:ind w:left="75" w:right="89"/>
              <w:jc w:val="left"/>
              <w:rPr>
                <w:sz w:val="16"/>
              </w:rPr>
            </w:pPr>
            <w:r>
              <w:rPr>
                <w:sz w:val="16"/>
              </w:rPr>
              <w:t>Other*</w:t>
            </w:r>
          </w:p>
        </w:tc>
        <w:tc>
          <w:tcPr>
            <w:tcW w:w="964" w:type="dxa"/>
            <w:shd w:val="clear" w:color="auto" w:fill="E6E7E8"/>
          </w:tcPr>
          <w:p>
            <w:pPr>
              <w:pStyle w:val="TableParagraph"/>
              <w:spacing w:before="34"/>
              <w:ind w:right="72"/>
              <w:rPr>
                <w:sz w:val="16"/>
              </w:rPr>
            </w:pPr>
            <w:r>
              <w:rPr>
                <w:sz w:val="16"/>
              </w:rPr>
              <w:t>599</w:t>
            </w:r>
          </w:p>
        </w:tc>
        <w:tc>
          <w:tcPr>
            <w:tcW w:w="964" w:type="dxa"/>
            <w:shd w:val="clear" w:color="auto" w:fill="E6E7E8"/>
          </w:tcPr>
          <w:p>
            <w:pPr>
              <w:pStyle w:val="TableParagraph"/>
              <w:spacing w:before="34"/>
              <w:ind w:right="72"/>
              <w:rPr>
                <w:sz w:val="16"/>
              </w:rPr>
            </w:pPr>
            <w:r>
              <w:rPr>
                <w:w w:val="95"/>
                <w:sz w:val="16"/>
              </w:rPr>
              <w:t>526</w:t>
            </w:r>
          </w:p>
        </w:tc>
        <w:tc>
          <w:tcPr>
            <w:tcW w:w="964" w:type="dxa"/>
            <w:shd w:val="clear" w:color="auto" w:fill="E6E7E8"/>
          </w:tcPr>
          <w:p>
            <w:pPr>
              <w:pStyle w:val="TableParagraph"/>
              <w:spacing w:before="34"/>
              <w:ind w:right="72"/>
              <w:rPr>
                <w:sz w:val="16"/>
              </w:rPr>
            </w:pPr>
            <w:r>
              <w:rPr>
                <w:w w:val="105"/>
                <w:sz w:val="16"/>
              </w:rPr>
              <w:t>700</w:t>
            </w:r>
          </w:p>
        </w:tc>
        <w:tc>
          <w:tcPr>
            <w:tcW w:w="964" w:type="dxa"/>
            <w:shd w:val="clear" w:color="auto" w:fill="E6E7E8"/>
          </w:tcPr>
          <w:p>
            <w:pPr>
              <w:pStyle w:val="TableParagraph"/>
              <w:spacing w:before="34"/>
              <w:ind w:right="72"/>
              <w:rPr>
                <w:sz w:val="16"/>
              </w:rPr>
            </w:pPr>
            <w:r>
              <w:rPr>
                <w:w w:val="75"/>
                <w:sz w:val="16"/>
              </w:rPr>
              <w:t>1,166</w:t>
            </w:r>
          </w:p>
        </w:tc>
        <w:tc>
          <w:tcPr>
            <w:tcW w:w="964" w:type="dxa"/>
            <w:shd w:val="clear" w:color="auto" w:fill="E6E7E8"/>
          </w:tcPr>
          <w:p>
            <w:pPr>
              <w:pStyle w:val="TableParagraph"/>
              <w:spacing w:before="34"/>
              <w:ind w:right="72"/>
              <w:rPr>
                <w:sz w:val="16"/>
              </w:rPr>
            </w:pPr>
            <w:r>
              <w:rPr>
                <w:w w:val="85"/>
                <w:sz w:val="16"/>
              </w:rPr>
              <w:t>919</w:t>
            </w:r>
          </w:p>
        </w:tc>
        <w:tc>
          <w:tcPr>
            <w:tcW w:w="964" w:type="dxa"/>
            <w:shd w:val="clear" w:color="auto" w:fill="E6E7E8"/>
          </w:tcPr>
          <w:p>
            <w:pPr>
              <w:pStyle w:val="TableParagraph"/>
              <w:spacing w:before="34"/>
              <w:ind w:right="67"/>
              <w:rPr>
                <w:sz w:val="16"/>
              </w:rPr>
            </w:pPr>
            <w:r>
              <w:rPr>
                <w:w w:val="80"/>
                <w:sz w:val="16"/>
              </w:rPr>
              <w:t>-21.2%</w:t>
            </w:r>
          </w:p>
        </w:tc>
        <w:tc>
          <w:tcPr>
            <w:tcW w:w="689" w:type="dxa"/>
            <w:shd w:val="clear" w:color="auto" w:fill="E6E7E8"/>
          </w:tcPr>
          <w:p>
            <w:pPr>
              <w:pStyle w:val="TableParagraph"/>
              <w:spacing w:before="44"/>
              <w:ind w:left="1"/>
              <w:jc w:val="center"/>
              <w:rPr>
                <w:rFonts w:ascii="Microsoft Sans Serif"/>
                <w:sz w:val="16"/>
              </w:rPr>
            </w:pPr>
            <w:r>
              <w:rPr>
                <w:rFonts w:ascii="Microsoft Sans Serif"/>
                <w:w w:val="176"/>
                <w:sz w:val="16"/>
              </w:rPr>
              <w:t>q</w:t>
            </w:r>
          </w:p>
        </w:tc>
      </w:tr>
      <w:tr>
        <w:trPr>
          <w:trHeight w:val="264" w:hRule="exact"/>
        </w:trPr>
        <w:tc>
          <w:tcPr>
            <w:tcW w:w="10095" w:type="dxa"/>
            <w:gridSpan w:val="8"/>
            <w:tcBorders>
              <w:bottom w:val="nil"/>
            </w:tcBorders>
            <w:shd w:val="clear" w:color="auto" w:fill="E6E7E8"/>
          </w:tcPr>
          <w:p>
            <w:pPr>
              <w:pStyle w:val="TableParagraph"/>
              <w:spacing w:before="34"/>
              <w:ind w:left="75"/>
              <w:jc w:val="left"/>
              <w:rPr>
                <w:sz w:val="16"/>
              </w:rPr>
            </w:pPr>
            <w:r>
              <w:rPr>
                <w:sz w:val="16"/>
              </w:rPr>
              <w:t>* Other includes enabling, cross institutional and non award</w:t>
            </w:r>
          </w:p>
        </w:tc>
      </w:tr>
      <w:tr>
        <w:trPr>
          <w:trHeight w:val="279" w:hRule="exact"/>
        </w:trPr>
        <w:tc>
          <w:tcPr>
            <w:tcW w:w="10095" w:type="dxa"/>
            <w:gridSpan w:val="8"/>
            <w:tcBorders>
              <w:top w:val="nil"/>
              <w:left w:val="nil"/>
              <w:bottom w:val="nil"/>
              <w:right w:val="nil"/>
            </w:tcBorders>
            <w:shd w:val="clear" w:color="auto" w:fill="939598"/>
          </w:tcPr>
          <w:p>
            <w:pPr>
              <w:pStyle w:val="TableParagraph"/>
              <w:spacing w:before="50"/>
              <w:ind w:left="80"/>
              <w:jc w:val="left"/>
              <w:rPr>
                <w:rFonts w:ascii="Gotham Narrow Bold"/>
                <w:b/>
                <w:sz w:val="16"/>
              </w:rPr>
            </w:pPr>
            <w:r>
              <w:rPr>
                <w:rFonts w:ascii="Gotham Narrow Bold"/>
                <w:b/>
                <w:color w:val="FFFFFF"/>
                <w:w w:val="95"/>
                <w:sz w:val="16"/>
              </w:rPr>
              <w:t>STUDENT LOAD BY FUNDING SOURCE</w:t>
            </w:r>
          </w:p>
        </w:tc>
      </w:tr>
      <w:tr>
        <w:trPr>
          <w:trHeight w:val="264" w:hRule="exact"/>
        </w:trPr>
        <w:tc>
          <w:tcPr>
            <w:tcW w:w="3623" w:type="dxa"/>
            <w:tcBorders>
              <w:top w:val="nil"/>
            </w:tcBorders>
            <w:shd w:val="clear" w:color="auto" w:fill="E6E7E8"/>
          </w:tcPr>
          <w:p>
            <w:pPr>
              <w:pStyle w:val="TableParagraph"/>
              <w:spacing w:before="34"/>
              <w:ind w:left="75" w:right="89"/>
              <w:jc w:val="left"/>
              <w:rPr>
                <w:sz w:val="16"/>
              </w:rPr>
            </w:pPr>
            <w:r>
              <w:rPr>
                <w:sz w:val="16"/>
              </w:rPr>
              <w:t>Commonwealth Supported Places</w:t>
            </w:r>
          </w:p>
        </w:tc>
        <w:tc>
          <w:tcPr>
            <w:tcW w:w="964" w:type="dxa"/>
            <w:tcBorders>
              <w:top w:val="nil"/>
            </w:tcBorders>
            <w:shd w:val="clear" w:color="auto" w:fill="E6E7E8"/>
          </w:tcPr>
          <w:p>
            <w:pPr>
              <w:pStyle w:val="TableParagraph"/>
              <w:spacing w:before="34"/>
              <w:ind w:right="72"/>
              <w:rPr>
                <w:sz w:val="16"/>
              </w:rPr>
            </w:pPr>
            <w:r>
              <w:rPr>
                <w:w w:val="85"/>
                <w:sz w:val="16"/>
              </w:rPr>
              <w:t>25,124</w:t>
            </w:r>
          </w:p>
        </w:tc>
        <w:tc>
          <w:tcPr>
            <w:tcW w:w="964" w:type="dxa"/>
            <w:tcBorders>
              <w:top w:val="nil"/>
            </w:tcBorders>
            <w:shd w:val="clear" w:color="auto" w:fill="E6E7E8"/>
          </w:tcPr>
          <w:p>
            <w:pPr>
              <w:pStyle w:val="TableParagraph"/>
              <w:spacing w:before="34"/>
              <w:ind w:right="72"/>
              <w:rPr>
                <w:sz w:val="16"/>
              </w:rPr>
            </w:pPr>
            <w:r>
              <w:rPr>
                <w:w w:val="90"/>
                <w:sz w:val="16"/>
              </w:rPr>
              <w:t>25,748</w:t>
            </w:r>
          </w:p>
        </w:tc>
        <w:tc>
          <w:tcPr>
            <w:tcW w:w="964" w:type="dxa"/>
            <w:tcBorders>
              <w:top w:val="nil"/>
            </w:tcBorders>
            <w:shd w:val="clear" w:color="auto" w:fill="E6E7E8"/>
          </w:tcPr>
          <w:p>
            <w:pPr>
              <w:pStyle w:val="TableParagraph"/>
              <w:spacing w:before="34"/>
              <w:ind w:right="72"/>
              <w:rPr>
                <w:sz w:val="16"/>
              </w:rPr>
            </w:pPr>
            <w:r>
              <w:rPr>
                <w:w w:val="95"/>
                <w:sz w:val="16"/>
              </w:rPr>
              <w:t>27,039</w:t>
            </w:r>
          </w:p>
        </w:tc>
        <w:tc>
          <w:tcPr>
            <w:tcW w:w="964" w:type="dxa"/>
            <w:tcBorders>
              <w:top w:val="nil"/>
            </w:tcBorders>
            <w:shd w:val="clear" w:color="auto" w:fill="E6E7E8"/>
          </w:tcPr>
          <w:p>
            <w:pPr>
              <w:pStyle w:val="TableParagraph"/>
              <w:spacing w:before="34"/>
              <w:ind w:right="71"/>
              <w:rPr>
                <w:sz w:val="16"/>
              </w:rPr>
            </w:pPr>
            <w:r>
              <w:rPr>
                <w:w w:val="85"/>
                <w:sz w:val="16"/>
              </w:rPr>
              <w:t>28,217</w:t>
            </w:r>
          </w:p>
        </w:tc>
        <w:tc>
          <w:tcPr>
            <w:tcW w:w="964" w:type="dxa"/>
            <w:tcBorders>
              <w:top w:val="nil"/>
            </w:tcBorders>
            <w:shd w:val="clear" w:color="auto" w:fill="E6E7E8"/>
          </w:tcPr>
          <w:p>
            <w:pPr>
              <w:pStyle w:val="TableParagraph"/>
              <w:spacing w:before="34"/>
              <w:ind w:right="72"/>
              <w:rPr>
                <w:sz w:val="16"/>
              </w:rPr>
            </w:pPr>
            <w:r>
              <w:rPr>
                <w:w w:val="85"/>
                <w:sz w:val="16"/>
              </w:rPr>
              <w:t>29,158</w:t>
            </w:r>
          </w:p>
        </w:tc>
        <w:tc>
          <w:tcPr>
            <w:tcW w:w="964" w:type="dxa"/>
            <w:tcBorders>
              <w:top w:val="nil"/>
            </w:tcBorders>
            <w:shd w:val="clear" w:color="auto" w:fill="E6E7E8"/>
          </w:tcPr>
          <w:p>
            <w:pPr>
              <w:pStyle w:val="TableParagraph"/>
              <w:spacing w:before="34"/>
              <w:ind w:right="70"/>
              <w:rPr>
                <w:sz w:val="16"/>
              </w:rPr>
            </w:pPr>
            <w:r>
              <w:rPr>
                <w:w w:val="80"/>
                <w:sz w:val="16"/>
              </w:rPr>
              <w:t>3.3%</w:t>
            </w:r>
          </w:p>
        </w:tc>
        <w:tc>
          <w:tcPr>
            <w:tcW w:w="689" w:type="dxa"/>
            <w:tcBorders>
              <w:top w:val="nil"/>
            </w:tcBorders>
            <w:shd w:val="clear" w:color="auto" w:fill="E6E7E8"/>
          </w:tcPr>
          <w:p>
            <w:pPr>
              <w:pStyle w:val="TableParagraph"/>
              <w:spacing w:before="44"/>
              <w:ind w:left="1"/>
              <w:jc w:val="center"/>
              <w:rPr>
                <w:rFonts w:ascii="Microsoft Sans Serif"/>
                <w:sz w:val="16"/>
              </w:rPr>
            </w:pPr>
            <w:r>
              <w:rPr>
                <w:rFonts w:ascii="Microsoft Sans Serif"/>
                <w:w w:val="176"/>
                <w:sz w:val="16"/>
              </w:rPr>
              <w:t>p</w:t>
            </w:r>
          </w:p>
        </w:tc>
      </w:tr>
      <w:tr>
        <w:trPr>
          <w:trHeight w:val="269" w:hRule="exact"/>
        </w:trPr>
        <w:tc>
          <w:tcPr>
            <w:tcW w:w="3623" w:type="dxa"/>
            <w:shd w:val="clear" w:color="auto" w:fill="E6E7E8"/>
          </w:tcPr>
          <w:p>
            <w:pPr>
              <w:pStyle w:val="TableParagraph"/>
              <w:spacing w:before="34"/>
              <w:ind w:left="75" w:right="89"/>
              <w:jc w:val="left"/>
              <w:rPr>
                <w:sz w:val="16"/>
              </w:rPr>
            </w:pPr>
            <w:r>
              <w:rPr>
                <w:sz w:val="16"/>
              </w:rPr>
              <w:t>Commonwealth Research Training Scheme</w:t>
            </w:r>
          </w:p>
        </w:tc>
        <w:tc>
          <w:tcPr>
            <w:tcW w:w="964" w:type="dxa"/>
            <w:shd w:val="clear" w:color="auto" w:fill="E6E7E8"/>
          </w:tcPr>
          <w:p>
            <w:pPr>
              <w:pStyle w:val="TableParagraph"/>
              <w:spacing w:before="34"/>
              <w:ind w:right="69"/>
              <w:rPr>
                <w:sz w:val="16"/>
              </w:rPr>
            </w:pPr>
            <w:r>
              <w:rPr>
                <w:w w:val="80"/>
                <w:sz w:val="16"/>
              </w:rPr>
              <w:t>519</w:t>
            </w:r>
          </w:p>
        </w:tc>
        <w:tc>
          <w:tcPr>
            <w:tcW w:w="964" w:type="dxa"/>
            <w:shd w:val="clear" w:color="auto" w:fill="E6E7E8"/>
          </w:tcPr>
          <w:p>
            <w:pPr>
              <w:pStyle w:val="TableParagraph"/>
              <w:spacing w:before="34"/>
              <w:ind w:right="72"/>
              <w:rPr>
                <w:sz w:val="16"/>
              </w:rPr>
            </w:pPr>
            <w:r>
              <w:rPr>
                <w:w w:val="95"/>
                <w:sz w:val="16"/>
              </w:rPr>
              <w:t>526</w:t>
            </w:r>
          </w:p>
        </w:tc>
        <w:tc>
          <w:tcPr>
            <w:tcW w:w="964" w:type="dxa"/>
            <w:shd w:val="clear" w:color="auto" w:fill="E6E7E8"/>
          </w:tcPr>
          <w:p>
            <w:pPr>
              <w:pStyle w:val="TableParagraph"/>
              <w:spacing w:before="34"/>
              <w:ind w:right="71"/>
              <w:rPr>
                <w:sz w:val="16"/>
              </w:rPr>
            </w:pPr>
            <w:r>
              <w:rPr>
                <w:w w:val="95"/>
                <w:sz w:val="16"/>
              </w:rPr>
              <w:t>526</w:t>
            </w:r>
          </w:p>
        </w:tc>
        <w:tc>
          <w:tcPr>
            <w:tcW w:w="964" w:type="dxa"/>
            <w:shd w:val="clear" w:color="auto" w:fill="E6E7E8"/>
          </w:tcPr>
          <w:p>
            <w:pPr>
              <w:pStyle w:val="TableParagraph"/>
              <w:spacing w:before="34"/>
              <w:ind w:right="71"/>
              <w:rPr>
                <w:sz w:val="16"/>
              </w:rPr>
            </w:pPr>
            <w:r>
              <w:rPr>
                <w:w w:val="95"/>
                <w:sz w:val="16"/>
              </w:rPr>
              <w:t>493</w:t>
            </w:r>
          </w:p>
        </w:tc>
        <w:tc>
          <w:tcPr>
            <w:tcW w:w="964" w:type="dxa"/>
            <w:shd w:val="clear" w:color="auto" w:fill="E6E7E8"/>
          </w:tcPr>
          <w:p>
            <w:pPr>
              <w:pStyle w:val="TableParagraph"/>
              <w:spacing w:before="34"/>
              <w:ind w:right="71"/>
              <w:rPr>
                <w:sz w:val="16"/>
              </w:rPr>
            </w:pPr>
            <w:r>
              <w:rPr>
                <w:sz w:val="16"/>
              </w:rPr>
              <w:t>494</w:t>
            </w:r>
          </w:p>
        </w:tc>
        <w:tc>
          <w:tcPr>
            <w:tcW w:w="964" w:type="dxa"/>
            <w:shd w:val="clear" w:color="auto" w:fill="E6E7E8"/>
          </w:tcPr>
          <w:p>
            <w:pPr>
              <w:pStyle w:val="TableParagraph"/>
              <w:spacing w:before="34"/>
              <w:ind w:right="70"/>
              <w:rPr>
                <w:sz w:val="16"/>
              </w:rPr>
            </w:pPr>
            <w:r>
              <w:rPr>
                <w:w w:val="85"/>
                <w:sz w:val="16"/>
              </w:rPr>
              <w:t>0.3%</w:t>
            </w:r>
          </w:p>
        </w:tc>
        <w:tc>
          <w:tcPr>
            <w:tcW w:w="689" w:type="dxa"/>
            <w:shd w:val="clear" w:color="auto" w:fill="E6E7E8"/>
          </w:tcPr>
          <w:p>
            <w:pPr>
              <w:pStyle w:val="TableParagraph"/>
              <w:spacing w:before="44"/>
              <w:ind w:left="2"/>
              <w:jc w:val="center"/>
              <w:rPr>
                <w:rFonts w:ascii="Microsoft Sans Serif"/>
                <w:sz w:val="16"/>
              </w:rPr>
            </w:pPr>
            <w:r>
              <w:rPr>
                <w:rFonts w:ascii="Microsoft Sans Serif"/>
                <w:w w:val="176"/>
                <w:sz w:val="16"/>
              </w:rPr>
              <w:t>p</w:t>
            </w:r>
          </w:p>
        </w:tc>
      </w:tr>
      <w:tr>
        <w:trPr>
          <w:trHeight w:val="269" w:hRule="exact"/>
        </w:trPr>
        <w:tc>
          <w:tcPr>
            <w:tcW w:w="3623" w:type="dxa"/>
            <w:shd w:val="clear" w:color="auto" w:fill="E6E7E8"/>
          </w:tcPr>
          <w:p>
            <w:pPr>
              <w:pStyle w:val="TableParagraph"/>
              <w:spacing w:before="34"/>
              <w:ind w:left="76" w:right="89"/>
              <w:jc w:val="left"/>
              <w:rPr>
                <w:sz w:val="16"/>
              </w:rPr>
            </w:pPr>
            <w:r>
              <w:rPr>
                <w:sz w:val="16"/>
              </w:rPr>
              <w:t>Domestic fee-paying (award and non award)</w:t>
            </w:r>
          </w:p>
        </w:tc>
        <w:tc>
          <w:tcPr>
            <w:tcW w:w="964" w:type="dxa"/>
            <w:shd w:val="clear" w:color="auto" w:fill="E6E7E8"/>
          </w:tcPr>
          <w:p>
            <w:pPr>
              <w:pStyle w:val="TableParagraph"/>
              <w:spacing w:before="34"/>
              <w:ind w:right="71"/>
              <w:rPr>
                <w:sz w:val="16"/>
              </w:rPr>
            </w:pPr>
            <w:r>
              <w:rPr>
                <w:w w:val="85"/>
                <w:sz w:val="16"/>
              </w:rPr>
              <w:t>1,028</w:t>
            </w:r>
          </w:p>
        </w:tc>
        <w:tc>
          <w:tcPr>
            <w:tcW w:w="964" w:type="dxa"/>
            <w:shd w:val="clear" w:color="auto" w:fill="E6E7E8"/>
          </w:tcPr>
          <w:p>
            <w:pPr>
              <w:pStyle w:val="TableParagraph"/>
              <w:spacing w:before="34"/>
              <w:ind w:right="71"/>
              <w:rPr>
                <w:sz w:val="16"/>
              </w:rPr>
            </w:pPr>
            <w:r>
              <w:rPr>
                <w:w w:val="95"/>
                <w:sz w:val="16"/>
              </w:rPr>
              <w:t>928</w:t>
            </w:r>
          </w:p>
        </w:tc>
        <w:tc>
          <w:tcPr>
            <w:tcW w:w="964" w:type="dxa"/>
            <w:shd w:val="clear" w:color="auto" w:fill="E6E7E8"/>
          </w:tcPr>
          <w:p>
            <w:pPr>
              <w:pStyle w:val="TableParagraph"/>
              <w:spacing w:before="34"/>
              <w:ind w:right="71"/>
              <w:rPr>
                <w:sz w:val="16"/>
              </w:rPr>
            </w:pPr>
            <w:r>
              <w:rPr>
                <w:w w:val="95"/>
                <w:sz w:val="16"/>
              </w:rPr>
              <w:t>822</w:t>
            </w:r>
          </w:p>
        </w:tc>
        <w:tc>
          <w:tcPr>
            <w:tcW w:w="964" w:type="dxa"/>
            <w:shd w:val="clear" w:color="auto" w:fill="E6E7E8"/>
          </w:tcPr>
          <w:p>
            <w:pPr>
              <w:pStyle w:val="TableParagraph"/>
              <w:spacing w:before="34"/>
              <w:ind w:right="70"/>
              <w:rPr>
                <w:sz w:val="16"/>
              </w:rPr>
            </w:pPr>
            <w:r>
              <w:rPr>
                <w:w w:val="90"/>
                <w:sz w:val="16"/>
              </w:rPr>
              <w:t>727</w:t>
            </w:r>
          </w:p>
        </w:tc>
        <w:tc>
          <w:tcPr>
            <w:tcW w:w="964" w:type="dxa"/>
            <w:shd w:val="clear" w:color="auto" w:fill="E6E7E8"/>
          </w:tcPr>
          <w:p>
            <w:pPr>
              <w:pStyle w:val="TableParagraph"/>
              <w:spacing w:before="34"/>
              <w:ind w:right="71"/>
              <w:rPr>
                <w:sz w:val="16"/>
              </w:rPr>
            </w:pPr>
            <w:r>
              <w:rPr>
                <w:sz w:val="16"/>
              </w:rPr>
              <w:t>704</w:t>
            </w:r>
          </w:p>
        </w:tc>
        <w:tc>
          <w:tcPr>
            <w:tcW w:w="964" w:type="dxa"/>
            <w:shd w:val="clear" w:color="auto" w:fill="E6E7E8"/>
          </w:tcPr>
          <w:p>
            <w:pPr>
              <w:pStyle w:val="TableParagraph"/>
              <w:spacing w:before="34"/>
              <w:ind w:right="71"/>
              <w:rPr>
                <w:sz w:val="16"/>
              </w:rPr>
            </w:pPr>
            <w:r>
              <w:rPr>
                <w:w w:val="85"/>
                <w:sz w:val="16"/>
              </w:rPr>
              <w:t>-3.2%</w:t>
            </w:r>
          </w:p>
        </w:tc>
        <w:tc>
          <w:tcPr>
            <w:tcW w:w="689" w:type="dxa"/>
            <w:shd w:val="clear" w:color="auto" w:fill="E6E7E8"/>
          </w:tcPr>
          <w:p>
            <w:pPr>
              <w:pStyle w:val="TableParagraph"/>
              <w:spacing w:before="44"/>
              <w:ind w:left="2"/>
              <w:jc w:val="center"/>
              <w:rPr>
                <w:rFonts w:ascii="Microsoft Sans Serif"/>
                <w:sz w:val="16"/>
              </w:rPr>
            </w:pPr>
            <w:r>
              <w:rPr>
                <w:rFonts w:ascii="Microsoft Sans Serif"/>
                <w:w w:val="176"/>
                <w:sz w:val="16"/>
              </w:rPr>
              <w:t>q</w:t>
            </w:r>
          </w:p>
        </w:tc>
      </w:tr>
      <w:tr>
        <w:trPr>
          <w:trHeight w:val="264" w:hRule="exact"/>
        </w:trPr>
        <w:tc>
          <w:tcPr>
            <w:tcW w:w="3623" w:type="dxa"/>
            <w:tcBorders>
              <w:bottom w:val="nil"/>
            </w:tcBorders>
            <w:shd w:val="clear" w:color="auto" w:fill="E6E7E8"/>
          </w:tcPr>
          <w:p>
            <w:pPr>
              <w:pStyle w:val="TableParagraph"/>
              <w:spacing w:before="34"/>
              <w:ind w:left="76" w:right="89"/>
              <w:jc w:val="left"/>
              <w:rPr>
                <w:sz w:val="16"/>
              </w:rPr>
            </w:pPr>
            <w:r>
              <w:rPr>
                <w:w w:val="95"/>
                <w:sz w:val="16"/>
              </w:rPr>
              <w:t>International fee-paying</w:t>
            </w:r>
          </w:p>
        </w:tc>
        <w:tc>
          <w:tcPr>
            <w:tcW w:w="964" w:type="dxa"/>
            <w:tcBorders>
              <w:bottom w:val="nil"/>
            </w:tcBorders>
            <w:shd w:val="clear" w:color="auto" w:fill="E6E7E8"/>
          </w:tcPr>
          <w:p>
            <w:pPr>
              <w:pStyle w:val="TableParagraph"/>
              <w:spacing w:before="34"/>
              <w:ind w:right="72"/>
              <w:rPr>
                <w:sz w:val="16"/>
              </w:rPr>
            </w:pPr>
            <w:r>
              <w:rPr>
                <w:w w:val="95"/>
                <w:sz w:val="16"/>
              </w:rPr>
              <w:t>3,059</w:t>
            </w:r>
          </w:p>
        </w:tc>
        <w:tc>
          <w:tcPr>
            <w:tcW w:w="964" w:type="dxa"/>
            <w:tcBorders>
              <w:bottom w:val="nil"/>
            </w:tcBorders>
            <w:shd w:val="clear" w:color="auto" w:fill="E6E7E8"/>
          </w:tcPr>
          <w:p>
            <w:pPr>
              <w:pStyle w:val="TableParagraph"/>
              <w:spacing w:before="34"/>
              <w:ind w:right="69"/>
              <w:rPr>
                <w:sz w:val="16"/>
              </w:rPr>
            </w:pPr>
            <w:r>
              <w:rPr>
                <w:w w:val="90"/>
                <w:sz w:val="16"/>
              </w:rPr>
              <w:t>2,992</w:t>
            </w:r>
          </w:p>
        </w:tc>
        <w:tc>
          <w:tcPr>
            <w:tcW w:w="964" w:type="dxa"/>
            <w:tcBorders>
              <w:bottom w:val="nil"/>
            </w:tcBorders>
            <w:shd w:val="clear" w:color="auto" w:fill="E6E7E8"/>
          </w:tcPr>
          <w:p>
            <w:pPr>
              <w:pStyle w:val="TableParagraph"/>
              <w:spacing w:before="34"/>
              <w:ind w:right="69"/>
              <w:rPr>
                <w:sz w:val="16"/>
              </w:rPr>
            </w:pPr>
            <w:r>
              <w:rPr>
                <w:w w:val="95"/>
                <w:sz w:val="16"/>
              </w:rPr>
              <w:t>2,965</w:t>
            </w:r>
          </w:p>
        </w:tc>
        <w:tc>
          <w:tcPr>
            <w:tcW w:w="964" w:type="dxa"/>
            <w:tcBorders>
              <w:bottom w:val="nil"/>
            </w:tcBorders>
            <w:shd w:val="clear" w:color="auto" w:fill="E6E7E8"/>
          </w:tcPr>
          <w:p>
            <w:pPr>
              <w:pStyle w:val="TableParagraph"/>
              <w:spacing w:before="34"/>
              <w:ind w:right="71"/>
              <w:rPr>
                <w:sz w:val="16"/>
              </w:rPr>
            </w:pPr>
            <w:r>
              <w:rPr>
                <w:w w:val="90"/>
                <w:sz w:val="16"/>
              </w:rPr>
              <w:t>3,286</w:t>
            </w:r>
          </w:p>
        </w:tc>
        <w:tc>
          <w:tcPr>
            <w:tcW w:w="964" w:type="dxa"/>
            <w:tcBorders>
              <w:bottom w:val="nil"/>
            </w:tcBorders>
            <w:shd w:val="clear" w:color="auto" w:fill="E6E7E8"/>
          </w:tcPr>
          <w:p>
            <w:pPr>
              <w:pStyle w:val="TableParagraph"/>
              <w:spacing w:before="34"/>
              <w:ind w:right="70"/>
              <w:rPr>
                <w:sz w:val="16"/>
              </w:rPr>
            </w:pPr>
            <w:r>
              <w:rPr>
                <w:w w:val="80"/>
                <w:sz w:val="16"/>
              </w:rPr>
              <w:t>3,317</w:t>
            </w:r>
          </w:p>
        </w:tc>
        <w:tc>
          <w:tcPr>
            <w:tcW w:w="964" w:type="dxa"/>
            <w:tcBorders>
              <w:bottom w:val="nil"/>
            </w:tcBorders>
            <w:shd w:val="clear" w:color="auto" w:fill="E6E7E8"/>
          </w:tcPr>
          <w:p>
            <w:pPr>
              <w:pStyle w:val="TableParagraph"/>
              <w:spacing w:before="34"/>
              <w:ind w:right="71"/>
              <w:rPr>
                <w:sz w:val="16"/>
              </w:rPr>
            </w:pPr>
            <w:r>
              <w:rPr>
                <w:w w:val="90"/>
                <w:sz w:val="16"/>
              </w:rPr>
              <w:t>0.9%</w:t>
            </w:r>
          </w:p>
        </w:tc>
        <w:tc>
          <w:tcPr>
            <w:tcW w:w="689" w:type="dxa"/>
            <w:tcBorders>
              <w:bottom w:val="nil"/>
            </w:tcBorders>
            <w:shd w:val="clear" w:color="auto" w:fill="E6E7E8"/>
          </w:tcPr>
          <w:p>
            <w:pPr>
              <w:pStyle w:val="TableParagraph"/>
              <w:spacing w:before="44"/>
              <w:ind w:left="2"/>
              <w:jc w:val="center"/>
              <w:rPr>
                <w:rFonts w:ascii="Microsoft Sans Serif"/>
                <w:sz w:val="16"/>
              </w:rPr>
            </w:pPr>
            <w:r>
              <w:rPr>
                <w:rFonts w:ascii="Microsoft Sans Serif"/>
                <w:w w:val="176"/>
                <w:sz w:val="16"/>
              </w:rPr>
              <w:t>p</w:t>
            </w:r>
          </w:p>
        </w:tc>
      </w:tr>
      <w:tr>
        <w:trPr>
          <w:trHeight w:val="279" w:hRule="exact"/>
        </w:trPr>
        <w:tc>
          <w:tcPr>
            <w:tcW w:w="10095" w:type="dxa"/>
            <w:gridSpan w:val="8"/>
            <w:tcBorders>
              <w:top w:val="nil"/>
              <w:left w:val="nil"/>
              <w:bottom w:val="nil"/>
              <w:right w:val="nil"/>
            </w:tcBorders>
            <w:shd w:val="clear" w:color="auto" w:fill="939598"/>
          </w:tcPr>
          <w:p>
            <w:pPr>
              <w:pStyle w:val="TableParagraph"/>
              <w:spacing w:before="50"/>
              <w:ind w:left="81"/>
              <w:jc w:val="left"/>
              <w:rPr>
                <w:rFonts w:ascii="Gotham Narrow Bold"/>
                <w:b/>
                <w:sz w:val="16"/>
              </w:rPr>
            </w:pPr>
            <w:r>
              <w:rPr>
                <w:rFonts w:ascii="Gotham Narrow Bold"/>
                <w:b/>
                <w:color w:val="FFFFFF"/>
                <w:w w:val="95"/>
                <w:sz w:val="16"/>
              </w:rPr>
              <w:t>AWARD COMPLETIONS</w:t>
            </w:r>
          </w:p>
        </w:tc>
      </w:tr>
      <w:tr>
        <w:trPr>
          <w:trHeight w:val="264" w:hRule="exact"/>
        </w:trPr>
        <w:tc>
          <w:tcPr>
            <w:tcW w:w="3623" w:type="dxa"/>
            <w:tcBorders>
              <w:top w:val="nil"/>
            </w:tcBorders>
            <w:shd w:val="clear" w:color="auto" w:fill="E6E7E8"/>
          </w:tcPr>
          <w:p>
            <w:pPr>
              <w:pStyle w:val="TableParagraph"/>
              <w:spacing w:before="42"/>
              <w:ind w:left="76" w:right="89"/>
              <w:jc w:val="left"/>
              <w:rPr>
                <w:rFonts w:ascii="Calibri"/>
                <w:sz w:val="16"/>
              </w:rPr>
            </w:pPr>
            <w:r>
              <w:rPr>
                <w:rFonts w:ascii="Calibri"/>
                <w:w w:val="110"/>
                <w:sz w:val="16"/>
              </w:rPr>
              <w:t>Total</w:t>
            </w:r>
          </w:p>
        </w:tc>
        <w:tc>
          <w:tcPr>
            <w:tcW w:w="964" w:type="dxa"/>
            <w:tcBorders>
              <w:top w:val="nil"/>
            </w:tcBorders>
            <w:shd w:val="clear" w:color="auto" w:fill="E6E7E8"/>
          </w:tcPr>
          <w:p>
            <w:pPr>
              <w:pStyle w:val="TableParagraph"/>
              <w:spacing w:before="42"/>
              <w:ind w:right="71"/>
              <w:rPr>
                <w:rFonts w:ascii="Calibri"/>
                <w:sz w:val="16"/>
              </w:rPr>
            </w:pPr>
            <w:r>
              <w:rPr>
                <w:rFonts w:ascii="Calibri"/>
                <w:w w:val="110"/>
                <w:sz w:val="16"/>
              </w:rPr>
              <w:t>8,503</w:t>
            </w:r>
          </w:p>
        </w:tc>
        <w:tc>
          <w:tcPr>
            <w:tcW w:w="964" w:type="dxa"/>
            <w:tcBorders>
              <w:top w:val="nil"/>
            </w:tcBorders>
            <w:shd w:val="clear" w:color="auto" w:fill="E6E7E8"/>
          </w:tcPr>
          <w:p>
            <w:pPr>
              <w:pStyle w:val="TableParagraph"/>
              <w:spacing w:before="42"/>
              <w:ind w:right="71"/>
              <w:rPr>
                <w:rFonts w:ascii="Calibri"/>
                <w:sz w:val="16"/>
              </w:rPr>
            </w:pPr>
            <w:r>
              <w:rPr>
                <w:rFonts w:ascii="Calibri"/>
                <w:w w:val="105"/>
                <w:sz w:val="16"/>
              </w:rPr>
              <w:t>8,322</w:t>
            </w:r>
          </w:p>
        </w:tc>
        <w:tc>
          <w:tcPr>
            <w:tcW w:w="964" w:type="dxa"/>
            <w:tcBorders>
              <w:top w:val="nil"/>
            </w:tcBorders>
            <w:shd w:val="clear" w:color="auto" w:fill="E6E7E8"/>
          </w:tcPr>
          <w:p>
            <w:pPr>
              <w:pStyle w:val="TableParagraph"/>
              <w:spacing w:before="42"/>
              <w:ind w:right="71"/>
              <w:rPr>
                <w:rFonts w:ascii="Calibri"/>
                <w:sz w:val="16"/>
              </w:rPr>
            </w:pPr>
            <w:r>
              <w:rPr>
                <w:rFonts w:ascii="Calibri"/>
                <w:w w:val="110"/>
                <w:sz w:val="16"/>
              </w:rPr>
              <w:t>9,202</w:t>
            </w:r>
          </w:p>
        </w:tc>
        <w:tc>
          <w:tcPr>
            <w:tcW w:w="964" w:type="dxa"/>
            <w:tcBorders>
              <w:top w:val="nil"/>
            </w:tcBorders>
            <w:shd w:val="clear" w:color="auto" w:fill="E6E7E8"/>
          </w:tcPr>
          <w:p>
            <w:pPr>
              <w:pStyle w:val="TableParagraph"/>
              <w:spacing w:before="42"/>
              <w:ind w:right="71"/>
              <w:rPr>
                <w:rFonts w:ascii="Calibri"/>
                <w:sz w:val="16"/>
              </w:rPr>
            </w:pPr>
            <w:r>
              <w:rPr>
                <w:rFonts w:ascii="Calibri"/>
                <w:w w:val="110"/>
                <w:sz w:val="16"/>
              </w:rPr>
              <w:t>9,029</w:t>
            </w:r>
          </w:p>
        </w:tc>
        <w:tc>
          <w:tcPr>
            <w:tcW w:w="964" w:type="dxa"/>
            <w:tcBorders>
              <w:top w:val="nil"/>
            </w:tcBorders>
            <w:shd w:val="clear" w:color="auto" w:fill="E6E7E8"/>
          </w:tcPr>
          <w:p>
            <w:pPr>
              <w:pStyle w:val="TableParagraph"/>
              <w:spacing w:before="42"/>
              <w:ind w:right="71"/>
              <w:rPr>
                <w:rFonts w:ascii="Calibri"/>
                <w:sz w:val="16"/>
              </w:rPr>
            </w:pPr>
            <w:r>
              <w:rPr>
                <w:rFonts w:ascii="Calibri"/>
                <w:sz w:val="16"/>
              </w:rPr>
              <w:t>n.a</w:t>
            </w:r>
          </w:p>
        </w:tc>
        <w:tc>
          <w:tcPr>
            <w:tcW w:w="964" w:type="dxa"/>
            <w:tcBorders>
              <w:top w:val="nil"/>
            </w:tcBorders>
            <w:shd w:val="clear" w:color="auto" w:fill="E6E7E8"/>
          </w:tcPr>
          <w:p>
            <w:pPr>
              <w:pStyle w:val="TableParagraph"/>
              <w:spacing w:before="42"/>
              <w:ind w:right="71"/>
              <w:rPr>
                <w:rFonts w:ascii="Calibri"/>
                <w:sz w:val="16"/>
              </w:rPr>
            </w:pPr>
            <w:r>
              <w:rPr>
                <w:rFonts w:ascii="Calibri"/>
                <w:sz w:val="16"/>
              </w:rPr>
              <w:t>-1.9%</w:t>
            </w:r>
          </w:p>
        </w:tc>
        <w:tc>
          <w:tcPr>
            <w:tcW w:w="689" w:type="dxa"/>
            <w:tcBorders>
              <w:top w:val="nil"/>
            </w:tcBorders>
            <w:shd w:val="clear" w:color="auto" w:fill="E6E7E8"/>
          </w:tcPr>
          <w:p>
            <w:pPr>
              <w:pStyle w:val="TableParagraph"/>
              <w:spacing w:before="44"/>
              <w:ind w:left="2"/>
              <w:jc w:val="center"/>
              <w:rPr>
                <w:rFonts w:ascii="Microsoft Sans Serif"/>
                <w:sz w:val="16"/>
              </w:rPr>
            </w:pPr>
            <w:r>
              <w:rPr>
                <w:rFonts w:ascii="Microsoft Sans Serif"/>
                <w:w w:val="176"/>
                <w:sz w:val="16"/>
              </w:rPr>
              <w:t>q</w:t>
            </w:r>
          </w:p>
        </w:tc>
      </w:tr>
      <w:tr>
        <w:trPr>
          <w:trHeight w:val="269" w:hRule="exact"/>
        </w:trPr>
        <w:tc>
          <w:tcPr>
            <w:tcW w:w="3623" w:type="dxa"/>
            <w:shd w:val="clear" w:color="auto" w:fill="E6E7E8"/>
          </w:tcPr>
          <w:p>
            <w:pPr>
              <w:pStyle w:val="TableParagraph"/>
              <w:spacing w:before="34"/>
              <w:ind w:left="76" w:right="89"/>
              <w:jc w:val="left"/>
              <w:rPr>
                <w:sz w:val="16"/>
              </w:rPr>
            </w:pPr>
            <w:r>
              <w:rPr>
                <w:sz w:val="16"/>
              </w:rPr>
              <w:t>Undergraduate</w:t>
            </w:r>
          </w:p>
        </w:tc>
        <w:tc>
          <w:tcPr>
            <w:tcW w:w="964" w:type="dxa"/>
            <w:shd w:val="clear" w:color="auto" w:fill="E6E7E8"/>
          </w:tcPr>
          <w:p>
            <w:pPr>
              <w:pStyle w:val="TableParagraph"/>
              <w:spacing w:before="34"/>
              <w:ind w:right="71"/>
              <w:rPr>
                <w:sz w:val="16"/>
              </w:rPr>
            </w:pPr>
            <w:r>
              <w:rPr>
                <w:w w:val="95"/>
                <w:sz w:val="16"/>
              </w:rPr>
              <w:t>5,646</w:t>
            </w:r>
          </w:p>
        </w:tc>
        <w:tc>
          <w:tcPr>
            <w:tcW w:w="964" w:type="dxa"/>
            <w:shd w:val="clear" w:color="auto" w:fill="E6E7E8"/>
          </w:tcPr>
          <w:p>
            <w:pPr>
              <w:pStyle w:val="TableParagraph"/>
              <w:spacing w:before="34"/>
              <w:ind w:right="70"/>
              <w:rPr>
                <w:sz w:val="16"/>
              </w:rPr>
            </w:pPr>
            <w:r>
              <w:rPr>
                <w:w w:val="95"/>
                <w:sz w:val="16"/>
              </w:rPr>
              <w:t>5,652</w:t>
            </w:r>
          </w:p>
        </w:tc>
        <w:tc>
          <w:tcPr>
            <w:tcW w:w="964" w:type="dxa"/>
            <w:shd w:val="clear" w:color="auto" w:fill="E6E7E8"/>
          </w:tcPr>
          <w:p>
            <w:pPr>
              <w:pStyle w:val="TableParagraph"/>
              <w:spacing w:before="34"/>
              <w:ind w:right="71"/>
              <w:rPr>
                <w:sz w:val="16"/>
              </w:rPr>
            </w:pPr>
            <w:r>
              <w:rPr>
                <w:w w:val="95"/>
                <w:sz w:val="16"/>
              </w:rPr>
              <w:t>6,564</w:t>
            </w:r>
          </w:p>
        </w:tc>
        <w:tc>
          <w:tcPr>
            <w:tcW w:w="964" w:type="dxa"/>
            <w:shd w:val="clear" w:color="auto" w:fill="E6E7E8"/>
          </w:tcPr>
          <w:p>
            <w:pPr>
              <w:pStyle w:val="TableParagraph"/>
              <w:spacing w:before="34"/>
              <w:ind w:right="71"/>
              <w:rPr>
                <w:sz w:val="16"/>
              </w:rPr>
            </w:pPr>
            <w:r>
              <w:rPr>
                <w:w w:val="90"/>
                <w:sz w:val="16"/>
              </w:rPr>
              <w:t>6,387</w:t>
            </w:r>
          </w:p>
        </w:tc>
        <w:tc>
          <w:tcPr>
            <w:tcW w:w="964" w:type="dxa"/>
            <w:shd w:val="clear" w:color="auto" w:fill="E6E7E8"/>
          </w:tcPr>
          <w:p>
            <w:pPr>
              <w:pStyle w:val="TableParagraph"/>
              <w:spacing w:before="34"/>
              <w:ind w:right="71"/>
              <w:rPr>
                <w:sz w:val="16"/>
              </w:rPr>
            </w:pPr>
            <w:r>
              <w:rPr>
                <w:w w:val="90"/>
                <w:sz w:val="16"/>
              </w:rPr>
              <w:t>n.a</w:t>
            </w:r>
          </w:p>
        </w:tc>
        <w:tc>
          <w:tcPr>
            <w:tcW w:w="964" w:type="dxa"/>
            <w:shd w:val="clear" w:color="auto" w:fill="E6E7E8"/>
          </w:tcPr>
          <w:p>
            <w:pPr>
              <w:pStyle w:val="TableParagraph"/>
              <w:spacing w:before="34"/>
              <w:ind w:right="71"/>
              <w:rPr>
                <w:sz w:val="16"/>
              </w:rPr>
            </w:pPr>
            <w:r>
              <w:rPr>
                <w:w w:val="85"/>
                <w:sz w:val="16"/>
              </w:rPr>
              <w:t>-2.7%</w:t>
            </w:r>
          </w:p>
        </w:tc>
        <w:tc>
          <w:tcPr>
            <w:tcW w:w="689" w:type="dxa"/>
            <w:shd w:val="clear" w:color="auto" w:fill="E6E7E8"/>
          </w:tcPr>
          <w:p>
            <w:pPr>
              <w:pStyle w:val="TableParagraph"/>
              <w:spacing w:before="44"/>
              <w:ind w:left="2"/>
              <w:jc w:val="center"/>
              <w:rPr>
                <w:rFonts w:ascii="Microsoft Sans Serif"/>
                <w:sz w:val="16"/>
              </w:rPr>
            </w:pPr>
            <w:r>
              <w:rPr>
                <w:rFonts w:ascii="Microsoft Sans Serif"/>
                <w:w w:val="176"/>
                <w:sz w:val="16"/>
              </w:rPr>
              <w:t>q</w:t>
            </w:r>
          </w:p>
        </w:tc>
      </w:tr>
      <w:tr>
        <w:trPr>
          <w:trHeight w:val="269" w:hRule="exact"/>
        </w:trPr>
        <w:tc>
          <w:tcPr>
            <w:tcW w:w="3623" w:type="dxa"/>
            <w:shd w:val="clear" w:color="auto" w:fill="E6E7E8"/>
          </w:tcPr>
          <w:p>
            <w:pPr>
              <w:pStyle w:val="TableParagraph"/>
              <w:spacing w:before="34"/>
              <w:ind w:left="76" w:right="89"/>
              <w:jc w:val="left"/>
              <w:rPr>
                <w:sz w:val="16"/>
              </w:rPr>
            </w:pPr>
            <w:r>
              <w:rPr>
                <w:sz w:val="16"/>
              </w:rPr>
              <w:t>Postgraduate</w:t>
            </w:r>
          </w:p>
        </w:tc>
        <w:tc>
          <w:tcPr>
            <w:tcW w:w="964" w:type="dxa"/>
            <w:shd w:val="clear" w:color="auto" w:fill="E6E7E8"/>
          </w:tcPr>
          <w:p>
            <w:pPr>
              <w:pStyle w:val="TableParagraph"/>
              <w:spacing w:before="34"/>
              <w:ind w:right="69"/>
              <w:rPr>
                <w:sz w:val="16"/>
              </w:rPr>
            </w:pPr>
            <w:r>
              <w:rPr>
                <w:w w:val="90"/>
                <w:sz w:val="16"/>
              </w:rPr>
              <w:t>2,857</w:t>
            </w:r>
          </w:p>
        </w:tc>
        <w:tc>
          <w:tcPr>
            <w:tcW w:w="964" w:type="dxa"/>
            <w:shd w:val="clear" w:color="auto" w:fill="E6E7E8"/>
          </w:tcPr>
          <w:p>
            <w:pPr>
              <w:pStyle w:val="TableParagraph"/>
              <w:spacing w:before="34"/>
              <w:ind w:right="72"/>
              <w:rPr>
                <w:sz w:val="16"/>
              </w:rPr>
            </w:pPr>
            <w:r>
              <w:rPr>
                <w:w w:val="95"/>
                <w:sz w:val="16"/>
              </w:rPr>
              <w:t>2,670</w:t>
            </w:r>
          </w:p>
        </w:tc>
        <w:tc>
          <w:tcPr>
            <w:tcW w:w="964" w:type="dxa"/>
            <w:shd w:val="clear" w:color="auto" w:fill="E6E7E8"/>
          </w:tcPr>
          <w:p>
            <w:pPr>
              <w:pStyle w:val="TableParagraph"/>
              <w:spacing w:before="34"/>
              <w:ind w:right="71"/>
              <w:rPr>
                <w:sz w:val="16"/>
              </w:rPr>
            </w:pPr>
            <w:r>
              <w:rPr>
                <w:w w:val="90"/>
                <w:sz w:val="16"/>
              </w:rPr>
              <w:t>2,638</w:t>
            </w:r>
          </w:p>
        </w:tc>
        <w:tc>
          <w:tcPr>
            <w:tcW w:w="964" w:type="dxa"/>
            <w:shd w:val="clear" w:color="auto" w:fill="E6E7E8"/>
          </w:tcPr>
          <w:p>
            <w:pPr>
              <w:pStyle w:val="TableParagraph"/>
              <w:spacing w:before="34"/>
              <w:ind w:right="72"/>
              <w:rPr>
                <w:sz w:val="16"/>
              </w:rPr>
            </w:pPr>
            <w:r>
              <w:rPr>
                <w:w w:val="95"/>
                <w:sz w:val="16"/>
              </w:rPr>
              <w:t>2,642</w:t>
            </w:r>
          </w:p>
        </w:tc>
        <w:tc>
          <w:tcPr>
            <w:tcW w:w="964" w:type="dxa"/>
            <w:shd w:val="clear" w:color="auto" w:fill="E6E7E8"/>
          </w:tcPr>
          <w:p>
            <w:pPr>
              <w:pStyle w:val="TableParagraph"/>
              <w:spacing w:before="34"/>
              <w:ind w:right="71"/>
              <w:rPr>
                <w:sz w:val="16"/>
              </w:rPr>
            </w:pPr>
            <w:r>
              <w:rPr>
                <w:w w:val="90"/>
                <w:sz w:val="16"/>
              </w:rPr>
              <w:t>n.a</w:t>
            </w:r>
          </w:p>
        </w:tc>
        <w:tc>
          <w:tcPr>
            <w:tcW w:w="964" w:type="dxa"/>
            <w:shd w:val="clear" w:color="auto" w:fill="E6E7E8"/>
          </w:tcPr>
          <w:p>
            <w:pPr>
              <w:pStyle w:val="TableParagraph"/>
              <w:spacing w:before="34"/>
              <w:ind w:right="71"/>
              <w:rPr>
                <w:sz w:val="16"/>
              </w:rPr>
            </w:pPr>
            <w:r>
              <w:rPr>
                <w:w w:val="85"/>
                <w:sz w:val="16"/>
              </w:rPr>
              <w:t>0.2%</w:t>
            </w:r>
          </w:p>
        </w:tc>
        <w:tc>
          <w:tcPr>
            <w:tcW w:w="689" w:type="dxa"/>
            <w:shd w:val="clear" w:color="auto" w:fill="E6E7E8"/>
          </w:tcPr>
          <w:p>
            <w:pPr>
              <w:pStyle w:val="TableParagraph"/>
              <w:spacing w:before="44"/>
              <w:ind w:left="3"/>
              <w:jc w:val="center"/>
              <w:rPr>
                <w:rFonts w:ascii="Microsoft Sans Serif"/>
                <w:sz w:val="16"/>
              </w:rPr>
            </w:pPr>
            <w:r>
              <w:rPr>
                <w:rFonts w:ascii="Microsoft Sans Serif"/>
                <w:w w:val="176"/>
                <w:sz w:val="16"/>
              </w:rPr>
              <w:t>p</w:t>
            </w:r>
          </w:p>
        </w:tc>
      </w:tr>
      <w:tr>
        <w:trPr>
          <w:trHeight w:val="264" w:hRule="exact"/>
        </w:trPr>
        <w:tc>
          <w:tcPr>
            <w:tcW w:w="10095" w:type="dxa"/>
            <w:gridSpan w:val="8"/>
            <w:tcBorders>
              <w:bottom w:val="nil"/>
            </w:tcBorders>
            <w:shd w:val="clear" w:color="auto" w:fill="E6E7E8"/>
          </w:tcPr>
          <w:p>
            <w:pPr>
              <w:pStyle w:val="TableParagraph"/>
              <w:spacing w:before="34"/>
              <w:ind w:left="76"/>
              <w:jc w:val="left"/>
              <w:rPr>
                <w:sz w:val="16"/>
              </w:rPr>
            </w:pPr>
            <w:r>
              <w:rPr>
                <w:w w:val="74"/>
                <w:sz w:val="16"/>
              </w:rPr>
              <w:t>%</w:t>
            </w:r>
            <w:r>
              <w:rPr>
                <w:spacing w:val="-12"/>
                <w:sz w:val="16"/>
              </w:rPr>
              <w:t> </w:t>
            </w:r>
            <w:r>
              <w:rPr>
                <w:spacing w:val="2"/>
                <w:w w:val="102"/>
                <w:sz w:val="16"/>
              </w:rPr>
              <w:t>C</w:t>
            </w:r>
            <w:r>
              <w:rPr>
                <w:spacing w:val="2"/>
                <w:w w:val="95"/>
                <w:sz w:val="16"/>
              </w:rPr>
              <w:t>h</w:t>
            </w:r>
            <w:r>
              <w:rPr>
                <w:spacing w:val="2"/>
                <w:w w:val="94"/>
                <w:sz w:val="16"/>
              </w:rPr>
              <w:t>a</w:t>
            </w:r>
            <w:r>
              <w:rPr>
                <w:spacing w:val="2"/>
                <w:w w:val="95"/>
                <w:sz w:val="16"/>
              </w:rPr>
              <w:t>n</w:t>
            </w:r>
            <w:r>
              <w:rPr>
                <w:spacing w:val="2"/>
                <w:w w:val="102"/>
                <w:sz w:val="16"/>
              </w:rPr>
              <w:t>g</w:t>
            </w:r>
            <w:r>
              <w:rPr>
                <w:w w:val="95"/>
                <w:sz w:val="16"/>
              </w:rPr>
              <w:t>e</w:t>
            </w:r>
            <w:r>
              <w:rPr>
                <w:spacing w:val="-12"/>
                <w:sz w:val="16"/>
              </w:rPr>
              <w:t> </w:t>
            </w:r>
            <w:r>
              <w:rPr>
                <w:spacing w:val="2"/>
                <w:w w:val="102"/>
                <w:sz w:val="16"/>
              </w:rPr>
              <w:t>b</w:t>
            </w:r>
            <w:r>
              <w:rPr>
                <w:spacing w:val="2"/>
                <w:w w:val="94"/>
                <w:sz w:val="16"/>
              </w:rPr>
              <w:t>a</w:t>
            </w:r>
            <w:r>
              <w:rPr>
                <w:spacing w:val="2"/>
                <w:w w:val="95"/>
                <w:sz w:val="16"/>
              </w:rPr>
              <w:t>s</w:t>
            </w:r>
            <w:r>
              <w:rPr>
                <w:spacing w:val="3"/>
                <w:w w:val="95"/>
                <w:sz w:val="16"/>
              </w:rPr>
              <w:t>e</w:t>
            </w:r>
            <w:r>
              <w:rPr>
                <w:w w:val="102"/>
                <w:sz w:val="16"/>
              </w:rPr>
              <w:t>d</w:t>
            </w:r>
            <w:r>
              <w:rPr>
                <w:spacing w:val="-12"/>
                <w:sz w:val="16"/>
              </w:rPr>
              <w:t> </w:t>
            </w:r>
            <w:r>
              <w:rPr>
                <w:spacing w:val="2"/>
                <w:w w:val="100"/>
                <w:sz w:val="16"/>
              </w:rPr>
              <w:t>o</w:t>
            </w:r>
            <w:r>
              <w:rPr>
                <w:w w:val="95"/>
                <w:sz w:val="16"/>
              </w:rPr>
              <w:t>n</w:t>
            </w:r>
            <w:r>
              <w:rPr>
                <w:spacing w:val="-12"/>
                <w:sz w:val="16"/>
              </w:rPr>
              <w:t> </w:t>
            </w:r>
            <w:r>
              <w:rPr>
                <w:spacing w:val="2"/>
                <w:w w:val="93"/>
                <w:sz w:val="16"/>
              </w:rPr>
              <w:t>2</w:t>
            </w:r>
            <w:r>
              <w:rPr>
                <w:spacing w:val="1"/>
                <w:w w:val="111"/>
                <w:sz w:val="16"/>
              </w:rPr>
              <w:t>0</w:t>
            </w:r>
            <w:r>
              <w:rPr>
                <w:spacing w:val="2"/>
                <w:w w:val="54"/>
                <w:sz w:val="16"/>
              </w:rPr>
              <w:t>1</w:t>
            </w:r>
            <w:r>
              <w:rPr>
                <w:spacing w:val="4"/>
                <w:w w:val="94"/>
                <w:sz w:val="16"/>
              </w:rPr>
              <w:t>3</w:t>
            </w:r>
            <w:r>
              <w:rPr>
                <w:spacing w:val="-1"/>
                <w:w w:val="100"/>
                <w:sz w:val="16"/>
              </w:rPr>
              <w:t>-</w:t>
            </w:r>
            <w:r>
              <w:rPr>
                <w:spacing w:val="2"/>
                <w:w w:val="54"/>
                <w:sz w:val="16"/>
              </w:rPr>
              <w:t>1</w:t>
            </w:r>
            <w:r>
              <w:rPr>
                <w:w w:val="103"/>
                <w:sz w:val="16"/>
              </w:rPr>
              <w:t>4</w:t>
            </w:r>
          </w:p>
        </w:tc>
      </w:tr>
      <w:tr>
        <w:trPr>
          <w:trHeight w:val="279" w:hRule="exact"/>
        </w:trPr>
        <w:tc>
          <w:tcPr>
            <w:tcW w:w="10095" w:type="dxa"/>
            <w:gridSpan w:val="8"/>
            <w:tcBorders>
              <w:top w:val="nil"/>
              <w:left w:val="nil"/>
              <w:bottom w:val="nil"/>
              <w:right w:val="nil"/>
            </w:tcBorders>
            <w:shd w:val="clear" w:color="auto" w:fill="939598"/>
          </w:tcPr>
          <w:p>
            <w:pPr>
              <w:pStyle w:val="TableParagraph"/>
              <w:spacing w:before="50"/>
              <w:ind w:left="81"/>
              <w:jc w:val="left"/>
              <w:rPr>
                <w:rFonts w:ascii="Gotham Narrow Bold"/>
                <w:b/>
                <w:sz w:val="16"/>
              </w:rPr>
            </w:pPr>
            <w:r>
              <w:rPr>
                <w:rFonts w:ascii="Gotham Narrow Bold"/>
                <w:b/>
                <w:color w:val="FFFFFF"/>
                <w:w w:val="95"/>
                <w:sz w:val="16"/>
              </w:rPr>
              <w:t>STAFF (FULL-TIME EQUIVALENT)</w:t>
            </w:r>
          </w:p>
        </w:tc>
      </w:tr>
      <w:tr>
        <w:trPr>
          <w:trHeight w:val="264" w:hRule="exact"/>
        </w:trPr>
        <w:tc>
          <w:tcPr>
            <w:tcW w:w="3623" w:type="dxa"/>
            <w:tcBorders>
              <w:top w:val="nil"/>
            </w:tcBorders>
            <w:shd w:val="clear" w:color="auto" w:fill="E6E7E8"/>
          </w:tcPr>
          <w:p>
            <w:pPr>
              <w:pStyle w:val="TableParagraph"/>
              <w:spacing w:before="42"/>
              <w:ind w:left="76" w:right="89"/>
              <w:jc w:val="left"/>
              <w:rPr>
                <w:rFonts w:ascii="Calibri"/>
                <w:sz w:val="16"/>
              </w:rPr>
            </w:pPr>
            <w:r>
              <w:rPr>
                <w:rFonts w:ascii="Calibri"/>
                <w:w w:val="110"/>
                <w:sz w:val="16"/>
              </w:rPr>
              <w:t>Total</w:t>
            </w:r>
          </w:p>
        </w:tc>
        <w:tc>
          <w:tcPr>
            <w:tcW w:w="964" w:type="dxa"/>
            <w:tcBorders>
              <w:top w:val="nil"/>
            </w:tcBorders>
            <w:shd w:val="clear" w:color="auto" w:fill="E6E7E8"/>
          </w:tcPr>
          <w:p>
            <w:pPr>
              <w:pStyle w:val="TableParagraph"/>
              <w:spacing w:before="42"/>
              <w:ind w:right="67"/>
              <w:rPr>
                <w:rFonts w:ascii="Calibri"/>
                <w:sz w:val="16"/>
              </w:rPr>
            </w:pPr>
            <w:r>
              <w:rPr>
                <w:rFonts w:ascii="Calibri"/>
                <w:w w:val="110"/>
                <w:sz w:val="16"/>
              </w:rPr>
              <w:t>2,946</w:t>
            </w:r>
          </w:p>
        </w:tc>
        <w:tc>
          <w:tcPr>
            <w:tcW w:w="964" w:type="dxa"/>
            <w:tcBorders>
              <w:top w:val="nil"/>
            </w:tcBorders>
            <w:shd w:val="clear" w:color="auto" w:fill="E6E7E8"/>
          </w:tcPr>
          <w:p>
            <w:pPr>
              <w:pStyle w:val="TableParagraph"/>
              <w:spacing w:before="42"/>
              <w:ind w:right="71"/>
              <w:rPr>
                <w:rFonts w:ascii="Calibri"/>
                <w:sz w:val="16"/>
              </w:rPr>
            </w:pPr>
            <w:r>
              <w:rPr>
                <w:rFonts w:ascii="Calibri"/>
                <w:w w:val="105"/>
                <w:sz w:val="16"/>
              </w:rPr>
              <w:t>2,978</w:t>
            </w:r>
          </w:p>
        </w:tc>
        <w:tc>
          <w:tcPr>
            <w:tcW w:w="964" w:type="dxa"/>
            <w:tcBorders>
              <w:top w:val="nil"/>
            </w:tcBorders>
            <w:shd w:val="clear" w:color="auto" w:fill="E6E7E8"/>
          </w:tcPr>
          <w:p>
            <w:pPr>
              <w:pStyle w:val="TableParagraph"/>
              <w:spacing w:before="42"/>
              <w:ind w:right="71"/>
              <w:rPr>
                <w:rFonts w:ascii="Calibri"/>
                <w:sz w:val="16"/>
              </w:rPr>
            </w:pPr>
            <w:r>
              <w:rPr>
                <w:rFonts w:ascii="Calibri"/>
                <w:w w:val="110"/>
                <w:sz w:val="16"/>
              </w:rPr>
              <w:t>3,043</w:t>
            </w:r>
          </w:p>
        </w:tc>
        <w:tc>
          <w:tcPr>
            <w:tcW w:w="964" w:type="dxa"/>
            <w:tcBorders>
              <w:top w:val="nil"/>
            </w:tcBorders>
            <w:shd w:val="clear" w:color="auto" w:fill="E6E7E8"/>
          </w:tcPr>
          <w:p>
            <w:pPr>
              <w:pStyle w:val="TableParagraph"/>
              <w:spacing w:before="42"/>
              <w:ind w:right="71"/>
              <w:rPr>
                <w:rFonts w:ascii="Calibri"/>
                <w:sz w:val="16"/>
              </w:rPr>
            </w:pPr>
            <w:r>
              <w:rPr>
                <w:rFonts w:ascii="Calibri"/>
                <w:w w:val="105"/>
                <w:sz w:val="16"/>
              </w:rPr>
              <w:t>3,350</w:t>
            </w:r>
          </w:p>
        </w:tc>
        <w:tc>
          <w:tcPr>
            <w:tcW w:w="964" w:type="dxa"/>
            <w:tcBorders>
              <w:top w:val="nil"/>
            </w:tcBorders>
            <w:shd w:val="clear" w:color="auto" w:fill="E6E7E8"/>
          </w:tcPr>
          <w:p>
            <w:pPr>
              <w:pStyle w:val="TableParagraph"/>
              <w:spacing w:before="42"/>
              <w:ind w:right="71"/>
              <w:rPr>
                <w:rFonts w:ascii="Calibri"/>
                <w:sz w:val="16"/>
              </w:rPr>
            </w:pPr>
            <w:r>
              <w:rPr>
                <w:rFonts w:ascii="Calibri"/>
                <w:w w:val="105"/>
                <w:sz w:val="16"/>
              </w:rPr>
              <w:t>3,356</w:t>
            </w:r>
          </w:p>
        </w:tc>
        <w:tc>
          <w:tcPr>
            <w:tcW w:w="964" w:type="dxa"/>
            <w:tcBorders>
              <w:top w:val="nil"/>
            </w:tcBorders>
            <w:shd w:val="clear" w:color="auto" w:fill="E6E7E8"/>
          </w:tcPr>
          <w:p>
            <w:pPr>
              <w:pStyle w:val="TableParagraph"/>
              <w:spacing w:before="42"/>
              <w:ind w:right="71"/>
              <w:rPr>
                <w:rFonts w:ascii="Calibri"/>
                <w:sz w:val="16"/>
              </w:rPr>
            </w:pPr>
            <w:r>
              <w:rPr>
                <w:rFonts w:ascii="Calibri"/>
                <w:w w:val="110"/>
                <w:sz w:val="16"/>
              </w:rPr>
              <w:t>0.2%</w:t>
            </w:r>
          </w:p>
        </w:tc>
        <w:tc>
          <w:tcPr>
            <w:tcW w:w="689" w:type="dxa"/>
            <w:tcBorders>
              <w:top w:val="nil"/>
            </w:tcBorders>
            <w:shd w:val="clear" w:color="auto" w:fill="E6E7E8"/>
          </w:tcPr>
          <w:p>
            <w:pPr>
              <w:pStyle w:val="TableParagraph"/>
              <w:spacing w:before="44"/>
              <w:ind w:left="3"/>
              <w:jc w:val="center"/>
              <w:rPr>
                <w:rFonts w:ascii="Microsoft Sans Serif"/>
                <w:sz w:val="16"/>
              </w:rPr>
            </w:pPr>
            <w:r>
              <w:rPr>
                <w:rFonts w:ascii="Microsoft Sans Serif"/>
                <w:w w:val="176"/>
                <w:sz w:val="16"/>
              </w:rPr>
              <w:t>p</w:t>
            </w:r>
          </w:p>
        </w:tc>
      </w:tr>
      <w:tr>
        <w:trPr>
          <w:trHeight w:val="269" w:hRule="exact"/>
        </w:trPr>
        <w:tc>
          <w:tcPr>
            <w:tcW w:w="3623" w:type="dxa"/>
            <w:shd w:val="clear" w:color="auto" w:fill="E6E7E8"/>
          </w:tcPr>
          <w:p>
            <w:pPr>
              <w:pStyle w:val="TableParagraph"/>
              <w:spacing w:before="34"/>
              <w:ind w:left="76" w:right="89"/>
              <w:jc w:val="left"/>
              <w:rPr>
                <w:sz w:val="16"/>
              </w:rPr>
            </w:pPr>
            <w:r>
              <w:rPr>
                <w:sz w:val="16"/>
              </w:rPr>
              <w:t>Academic</w:t>
            </w:r>
          </w:p>
        </w:tc>
        <w:tc>
          <w:tcPr>
            <w:tcW w:w="964" w:type="dxa"/>
            <w:shd w:val="clear" w:color="auto" w:fill="E6E7E8"/>
          </w:tcPr>
          <w:p>
            <w:pPr>
              <w:pStyle w:val="TableParagraph"/>
              <w:spacing w:before="34"/>
              <w:ind w:right="71"/>
              <w:rPr>
                <w:sz w:val="16"/>
              </w:rPr>
            </w:pPr>
            <w:r>
              <w:rPr>
                <w:w w:val="85"/>
                <w:sz w:val="16"/>
              </w:rPr>
              <w:t>1,396</w:t>
            </w:r>
          </w:p>
        </w:tc>
        <w:tc>
          <w:tcPr>
            <w:tcW w:w="964" w:type="dxa"/>
            <w:shd w:val="clear" w:color="auto" w:fill="E6E7E8"/>
          </w:tcPr>
          <w:p>
            <w:pPr>
              <w:pStyle w:val="TableParagraph"/>
              <w:spacing w:before="34"/>
              <w:ind w:right="71"/>
              <w:rPr>
                <w:sz w:val="16"/>
              </w:rPr>
            </w:pPr>
            <w:r>
              <w:rPr>
                <w:spacing w:val="4"/>
                <w:w w:val="54"/>
                <w:sz w:val="16"/>
              </w:rPr>
              <w:t>1</w:t>
            </w:r>
            <w:r>
              <w:rPr>
                <w:spacing w:val="2"/>
                <w:w w:val="68"/>
                <w:sz w:val="16"/>
              </w:rPr>
              <w:t>,</w:t>
            </w:r>
            <w:r>
              <w:rPr>
                <w:spacing w:val="1"/>
                <w:w w:val="103"/>
                <w:sz w:val="16"/>
              </w:rPr>
              <w:t>4</w:t>
            </w:r>
            <w:r>
              <w:rPr>
                <w:spacing w:val="3"/>
                <w:w w:val="94"/>
                <w:sz w:val="16"/>
              </w:rPr>
              <w:t>3</w:t>
            </w:r>
            <w:r>
              <w:rPr>
                <w:w w:val="111"/>
                <w:sz w:val="16"/>
              </w:rPr>
              <w:t>0</w:t>
            </w:r>
          </w:p>
        </w:tc>
        <w:tc>
          <w:tcPr>
            <w:tcW w:w="964" w:type="dxa"/>
            <w:shd w:val="clear" w:color="auto" w:fill="E6E7E8"/>
          </w:tcPr>
          <w:p>
            <w:pPr>
              <w:pStyle w:val="TableParagraph"/>
              <w:spacing w:before="34"/>
              <w:ind w:right="71"/>
              <w:rPr>
                <w:sz w:val="16"/>
              </w:rPr>
            </w:pPr>
            <w:r>
              <w:rPr>
                <w:spacing w:val="4"/>
                <w:w w:val="54"/>
                <w:sz w:val="16"/>
              </w:rPr>
              <w:t>1</w:t>
            </w:r>
            <w:r>
              <w:rPr>
                <w:spacing w:val="2"/>
                <w:w w:val="68"/>
                <w:sz w:val="16"/>
              </w:rPr>
              <w:t>,</w:t>
            </w:r>
            <w:r>
              <w:rPr>
                <w:spacing w:val="-2"/>
                <w:w w:val="98"/>
                <w:sz w:val="16"/>
              </w:rPr>
              <w:t>4</w:t>
            </w:r>
            <w:r>
              <w:rPr>
                <w:spacing w:val="2"/>
                <w:w w:val="98"/>
                <w:sz w:val="16"/>
              </w:rPr>
              <w:t>2</w:t>
            </w:r>
            <w:r>
              <w:rPr>
                <w:w w:val="111"/>
                <w:sz w:val="16"/>
              </w:rPr>
              <w:t>0</w:t>
            </w:r>
          </w:p>
        </w:tc>
        <w:tc>
          <w:tcPr>
            <w:tcW w:w="964" w:type="dxa"/>
            <w:shd w:val="clear" w:color="auto" w:fill="E6E7E8"/>
          </w:tcPr>
          <w:p>
            <w:pPr>
              <w:pStyle w:val="TableParagraph"/>
              <w:spacing w:before="34"/>
              <w:ind w:right="70"/>
              <w:rPr>
                <w:sz w:val="16"/>
              </w:rPr>
            </w:pPr>
            <w:r>
              <w:rPr>
                <w:w w:val="80"/>
                <w:sz w:val="16"/>
              </w:rPr>
              <w:t>1,532</w:t>
            </w:r>
          </w:p>
        </w:tc>
        <w:tc>
          <w:tcPr>
            <w:tcW w:w="964" w:type="dxa"/>
            <w:shd w:val="clear" w:color="auto" w:fill="E6E7E8"/>
          </w:tcPr>
          <w:p>
            <w:pPr>
              <w:pStyle w:val="TableParagraph"/>
              <w:spacing w:before="34"/>
              <w:ind w:right="65"/>
              <w:rPr>
                <w:sz w:val="16"/>
              </w:rPr>
            </w:pPr>
            <w:r>
              <w:rPr>
                <w:w w:val="85"/>
                <w:sz w:val="16"/>
              </w:rPr>
              <w:t>1,544</w:t>
            </w:r>
          </w:p>
        </w:tc>
        <w:tc>
          <w:tcPr>
            <w:tcW w:w="964" w:type="dxa"/>
            <w:shd w:val="clear" w:color="auto" w:fill="E6E7E8"/>
          </w:tcPr>
          <w:p>
            <w:pPr>
              <w:pStyle w:val="TableParagraph"/>
              <w:spacing w:before="34"/>
              <w:ind w:right="71"/>
              <w:rPr>
                <w:sz w:val="16"/>
              </w:rPr>
            </w:pPr>
            <w:r>
              <w:rPr>
                <w:w w:val="85"/>
                <w:sz w:val="16"/>
              </w:rPr>
              <w:t>0.8%</w:t>
            </w:r>
          </w:p>
        </w:tc>
        <w:tc>
          <w:tcPr>
            <w:tcW w:w="689" w:type="dxa"/>
            <w:shd w:val="clear" w:color="auto" w:fill="E6E7E8"/>
          </w:tcPr>
          <w:p>
            <w:pPr>
              <w:pStyle w:val="TableParagraph"/>
              <w:spacing w:before="44"/>
              <w:ind w:left="3"/>
              <w:jc w:val="center"/>
              <w:rPr>
                <w:rFonts w:ascii="Microsoft Sans Serif"/>
                <w:sz w:val="16"/>
              </w:rPr>
            </w:pPr>
            <w:r>
              <w:rPr>
                <w:rFonts w:ascii="Microsoft Sans Serif"/>
                <w:w w:val="176"/>
                <w:sz w:val="16"/>
              </w:rPr>
              <w:t>p</w:t>
            </w:r>
          </w:p>
        </w:tc>
      </w:tr>
      <w:tr>
        <w:trPr>
          <w:trHeight w:val="269" w:hRule="exact"/>
        </w:trPr>
        <w:tc>
          <w:tcPr>
            <w:tcW w:w="3623" w:type="dxa"/>
            <w:shd w:val="clear" w:color="auto" w:fill="E6E7E8"/>
          </w:tcPr>
          <w:p>
            <w:pPr>
              <w:pStyle w:val="TableParagraph"/>
              <w:spacing w:before="34"/>
              <w:ind w:left="686" w:right="89"/>
              <w:jc w:val="left"/>
              <w:rPr>
                <w:sz w:val="16"/>
              </w:rPr>
            </w:pPr>
            <w:r>
              <w:rPr>
                <w:sz w:val="16"/>
              </w:rPr>
              <w:t>Teaching Only</w:t>
            </w:r>
          </w:p>
        </w:tc>
        <w:tc>
          <w:tcPr>
            <w:tcW w:w="964" w:type="dxa"/>
            <w:shd w:val="clear" w:color="auto" w:fill="E6E7E8"/>
          </w:tcPr>
          <w:p>
            <w:pPr>
              <w:pStyle w:val="TableParagraph"/>
              <w:spacing w:before="34"/>
              <w:ind w:right="70"/>
              <w:rPr>
                <w:sz w:val="16"/>
              </w:rPr>
            </w:pPr>
            <w:r>
              <w:rPr>
                <w:w w:val="80"/>
                <w:sz w:val="16"/>
              </w:rPr>
              <w:t>517</w:t>
            </w:r>
          </w:p>
        </w:tc>
        <w:tc>
          <w:tcPr>
            <w:tcW w:w="964" w:type="dxa"/>
            <w:shd w:val="clear" w:color="auto" w:fill="E6E7E8"/>
          </w:tcPr>
          <w:p>
            <w:pPr>
              <w:pStyle w:val="TableParagraph"/>
              <w:spacing w:before="34"/>
              <w:ind w:right="69"/>
              <w:rPr>
                <w:sz w:val="16"/>
              </w:rPr>
            </w:pPr>
            <w:r>
              <w:rPr>
                <w:sz w:val="16"/>
              </w:rPr>
              <w:t>502</w:t>
            </w:r>
          </w:p>
        </w:tc>
        <w:tc>
          <w:tcPr>
            <w:tcW w:w="964" w:type="dxa"/>
            <w:shd w:val="clear" w:color="auto" w:fill="E6E7E8"/>
          </w:tcPr>
          <w:p>
            <w:pPr>
              <w:pStyle w:val="TableParagraph"/>
              <w:spacing w:before="34"/>
              <w:ind w:right="68"/>
              <w:rPr>
                <w:sz w:val="16"/>
              </w:rPr>
            </w:pPr>
            <w:r>
              <w:rPr>
                <w:w w:val="80"/>
                <w:sz w:val="16"/>
              </w:rPr>
              <w:t>513</w:t>
            </w:r>
          </w:p>
        </w:tc>
        <w:tc>
          <w:tcPr>
            <w:tcW w:w="964" w:type="dxa"/>
            <w:shd w:val="clear" w:color="auto" w:fill="E6E7E8"/>
          </w:tcPr>
          <w:p>
            <w:pPr>
              <w:pStyle w:val="TableParagraph"/>
              <w:spacing w:before="34"/>
              <w:ind w:right="67"/>
              <w:rPr>
                <w:sz w:val="16"/>
              </w:rPr>
            </w:pPr>
            <w:r>
              <w:rPr>
                <w:w w:val="95"/>
                <w:sz w:val="16"/>
              </w:rPr>
              <w:t>585</w:t>
            </w:r>
          </w:p>
        </w:tc>
        <w:tc>
          <w:tcPr>
            <w:tcW w:w="964" w:type="dxa"/>
            <w:shd w:val="clear" w:color="auto" w:fill="E6E7E8"/>
          </w:tcPr>
          <w:p>
            <w:pPr>
              <w:pStyle w:val="TableParagraph"/>
              <w:spacing w:before="34"/>
              <w:ind w:right="70"/>
              <w:rPr>
                <w:sz w:val="16"/>
              </w:rPr>
            </w:pPr>
            <w:r>
              <w:rPr>
                <w:w w:val="90"/>
                <w:sz w:val="16"/>
              </w:rPr>
              <w:t>577</w:t>
            </w:r>
          </w:p>
        </w:tc>
        <w:tc>
          <w:tcPr>
            <w:tcW w:w="964" w:type="dxa"/>
            <w:shd w:val="clear" w:color="auto" w:fill="E6E7E8"/>
          </w:tcPr>
          <w:p>
            <w:pPr>
              <w:pStyle w:val="TableParagraph"/>
              <w:spacing w:before="34"/>
              <w:ind w:right="71"/>
              <w:rPr>
                <w:sz w:val="16"/>
              </w:rPr>
            </w:pPr>
            <w:r>
              <w:rPr>
                <w:w w:val="75"/>
                <w:sz w:val="16"/>
              </w:rPr>
              <w:t>-1.2%</w:t>
            </w:r>
          </w:p>
        </w:tc>
        <w:tc>
          <w:tcPr>
            <w:tcW w:w="689" w:type="dxa"/>
            <w:shd w:val="clear" w:color="auto" w:fill="E6E7E8"/>
          </w:tcPr>
          <w:p>
            <w:pPr>
              <w:pStyle w:val="TableParagraph"/>
              <w:spacing w:before="44"/>
              <w:ind w:left="4"/>
              <w:jc w:val="center"/>
              <w:rPr>
                <w:rFonts w:ascii="Microsoft Sans Serif"/>
                <w:sz w:val="16"/>
              </w:rPr>
            </w:pPr>
            <w:r>
              <w:rPr>
                <w:rFonts w:ascii="Microsoft Sans Serif"/>
                <w:w w:val="176"/>
                <w:sz w:val="16"/>
              </w:rPr>
              <w:t>q</w:t>
            </w:r>
          </w:p>
        </w:tc>
      </w:tr>
      <w:tr>
        <w:trPr>
          <w:trHeight w:val="269" w:hRule="exact"/>
        </w:trPr>
        <w:tc>
          <w:tcPr>
            <w:tcW w:w="3623" w:type="dxa"/>
            <w:shd w:val="clear" w:color="auto" w:fill="E6E7E8"/>
          </w:tcPr>
          <w:p>
            <w:pPr>
              <w:pStyle w:val="TableParagraph"/>
              <w:spacing w:before="34"/>
              <w:ind w:left="686" w:right="89"/>
              <w:jc w:val="left"/>
              <w:rPr>
                <w:sz w:val="16"/>
              </w:rPr>
            </w:pPr>
            <w:r>
              <w:rPr>
                <w:sz w:val="16"/>
              </w:rPr>
              <w:t>Teaching and Research</w:t>
            </w:r>
          </w:p>
        </w:tc>
        <w:tc>
          <w:tcPr>
            <w:tcW w:w="964" w:type="dxa"/>
            <w:shd w:val="clear" w:color="auto" w:fill="E6E7E8"/>
          </w:tcPr>
          <w:p>
            <w:pPr>
              <w:pStyle w:val="TableParagraph"/>
              <w:spacing w:before="34"/>
              <w:ind w:right="70"/>
              <w:rPr>
                <w:sz w:val="16"/>
              </w:rPr>
            </w:pPr>
            <w:r>
              <w:rPr>
                <w:w w:val="90"/>
                <w:sz w:val="16"/>
              </w:rPr>
              <w:t>722</w:t>
            </w:r>
          </w:p>
        </w:tc>
        <w:tc>
          <w:tcPr>
            <w:tcW w:w="964" w:type="dxa"/>
            <w:shd w:val="clear" w:color="auto" w:fill="E6E7E8"/>
          </w:tcPr>
          <w:p>
            <w:pPr>
              <w:pStyle w:val="TableParagraph"/>
              <w:spacing w:before="34"/>
              <w:ind w:right="67"/>
              <w:rPr>
                <w:sz w:val="16"/>
              </w:rPr>
            </w:pPr>
            <w:r>
              <w:rPr>
                <w:w w:val="95"/>
                <w:sz w:val="16"/>
              </w:rPr>
              <w:t>736</w:t>
            </w:r>
          </w:p>
        </w:tc>
        <w:tc>
          <w:tcPr>
            <w:tcW w:w="964" w:type="dxa"/>
            <w:shd w:val="clear" w:color="auto" w:fill="E6E7E8"/>
          </w:tcPr>
          <w:p>
            <w:pPr>
              <w:pStyle w:val="TableParagraph"/>
              <w:spacing w:before="34"/>
              <w:ind w:right="70"/>
              <w:rPr>
                <w:sz w:val="16"/>
              </w:rPr>
            </w:pPr>
            <w:r>
              <w:rPr>
                <w:sz w:val="16"/>
              </w:rPr>
              <w:t>699</w:t>
            </w:r>
          </w:p>
        </w:tc>
        <w:tc>
          <w:tcPr>
            <w:tcW w:w="964" w:type="dxa"/>
            <w:shd w:val="clear" w:color="auto" w:fill="E6E7E8"/>
          </w:tcPr>
          <w:p>
            <w:pPr>
              <w:pStyle w:val="TableParagraph"/>
              <w:spacing w:before="34"/>
              <w:ind w:right="72"/>
              <w:rPr>
                <w:sz w:val="16"/>
              </w:rPr>
            </w:pPr>
            <w:r>
              <w:rPr>
                <w:sz w:val="16"/>
              </w:rPr>
              <w:t>706</w:t>
            </w:r>
          </w:p>
        </w:tc>
        <w:tc>
          <w:tcPr>
            <w:tcW w:w="964" w:type="dxa"/>
            <w:shd w:val="clear" w:color="auto" w:fill="E6E7E8"/>
          </w:tcPr>
          <w:p>
            <w:pPr>
              <w:pStyle w:val="TableParagraph"/>
              <w:spacing w:before="34"/>
              <w:ind w:right="70"/>
              <w:rPr>
                <w:sz w:val="16"/>
              </w:rPr>
            </w:pPr>
            <w:r>
              <w:rPr>
                <w:w w:val="95"/>
                <w:sz w:val="16"/>
              </w:rPr>
              <w:t>843</w:t>
            </w:r>
          </w:p>
        </w:tc>
        <w:tc>
          <w:tcPr>
            <w:tcW w:w="964" w:type="dxa"/>
            <w:shd w:val="clear" w:color="auto" w:fill="E6E7E8"/>
          </w:tcPr>
          <w:p>
            <w:pPr>
              <w:pStyle w:val="TableParagraph"/>
              <w:spacing w:before="34"/>
              <w:ind w:right="71"/>
              <w:rPr>
                <w:sz w:val="16"/>
              </w:rPr>
            </w:pPr>
            <w:r>
              <w:rPr>
                <w:w w:val="80"/>
                <w:sz w:val="16"/>
              </w:rPr>
              <w:t>19.4%</w:t>
            </w:r>
          </w:p>
        </w:tc>
        <w:tc>
          <w:tcPr>
            <w:tcW w:w="689" w:type="dxa"/>
            <w:shd w:val="clear" w:color="auto" w:fill="E6E7E8"/>
          </w:tcPr>
          <w:p>
            <w:pPr>
              <w:pStyle w:val="TableParagraph"/>
              <w:spacing w:before="44"/>
              <w:ind w:left="4"/>
              <w:jc w:val="center"/>
              <w:rPr>
                <w:rFonts w:ascii="Microsoft Sans Serif"/>
                <w:sz w:val="16"/>
              </w:rPr>
            </w:pPr>
            <w:r>
              <w:rPr>
                <w:rFonts w:ascii="Microsoft Sans Serif"/>
                <w:w w:val="176"/>
                <w:sz w:val="16"/>
              </w:rPr>
              <w:t>p</w:t>
            </w:r>
          </w:p>
        </w:tc>
      </w:tr>
      <w:tr>
        <w:trPr>
          <w:trHeight w:val="269" w:hRule="exact"/>
        </w:trPr>
        <w:tc>
          <w:tcPr>
            <w:tcW w:w="3623" w:type="dxa"/>
            <w:shd w:val="clear" w:color="auto" w:fill="E6E7E8"/>
          </w:tcPr>
          <w:p>
            <w:pPr>
              <w:pStyle w:val="TableParagraph"/>
              <w:spacing w:before="34"/>
              <w:ind w:left="724" w:right="89"/>
              <w:jc w:val="left"/>
              <w:rPr>
                <w:sz w:val="16"/>
              </w:rPr>
            </w:pPr>
            <w:r>
              <w:rPr>
                <w:sz w:val="16"/>
              </w:rPr>
              <w:t>Research only</w:t>
            </w:r>
          </w:p>
        </w:tc>
        <w:tc>
          <w:tcPr>
            <w:tcW w:w="964" w:type="dxa"/>
            <w:shd w:val="clear" w:color="auto" w:fill="E6E7E8"/>
          </w:tcPr>
          <w:p>
            <w:pPr>
              <w:pStyle w:val="TableParagraph"/>
              <w:spacing w:before="34"/>
              <w:ind w:right="70"/>
              <w:rPr>
                <w:sz w:val="16"/>
              </w:rPr>
            </w:pPr>
            <w:r>
              <w:rPr>
                <w:sz w:val="16"/>
              </w:rPr>
              <w:t>49</w:t>
            </w:r>
          </w:p>
        </w:tc>
        <w:tc>
          <w:tcPr>
            <w:tcW w:w="964" w:type="dxa"/>
            <w:shd w:val="clear" w:color="auto" w:fill="E6E7E8"/>
          </w:tcPr>
          <w:p>
            <w:pPr>
              <w:pStyle w:val="TableParagraph"/>
              <w:spacing w:before="34"/>
              <w:ind w:right="69"/>
              <w:rPr>
                <w:sz w:val="16"/>
              </w:rPr>
            </w:pPr>
            <w:r>
              <w:rPr>
                <w:sz w:val="16"/>
              </w:rPr>
              <w:t>45</w:t>
            </w:r>
          </w:p>
        </w:tc>
        <w:tc>
          <w:tcPr>
            <w:tcW w:w="964" w:type="dxa"/>
            <w:shd w:val="clear" w:color="auto" w:fill="E6E7E8"/>
          </w:tcPr>
          <w:p>
            <w:pPr>
              <w:pStyle w:val="TableParagraph"/>
              <w:spacing w:before="34"/>
              <w:ind w:right="66"/>
              <w:rPr>
                <w:sz w:val="16"/>
              </w:rPr>
            </w:pPr>
            <w:r>
              <w:rPr>
                <w:w w:val="75"/>
                <w:sz w:val="16"/>
              </w:rPr>
              <w:t>51</w:t>
            </w:r>
          </w:p>
        </w:tc>
        <w:tc>
          <w:tcPr>
            <w:tcW w:w="964" w:type="dxa"/>
            <w:shd w:val="clear" w:color="auto" w:fill="E6E7E8"/>
          </w:tcPr>
          <w:p>
            <w:pPr>
              <w:pStyle w:val="TableParagraph"/>
              <w:spacing w:before="34"/>
              <w:ind w:right="70"/>
              <w:rPr>
                <w:sz w:val="16"/>
              </w:rPr>
            </w:pPr>
            <w:r>
              <w:rPr>
                <w:w w:val="90"/>
                <w:sz w:val="16"/>
              </w:rPr>
              <w:t>73</w:t>
            </w:r>
          </w:p>
        </w:tc>
        <w:tc>
          <w:tcPr>
            <w:tcW w:w="964" w:type="dxa"/>
            <w:shd w:val="clear" w:color="auto" w:fill="E6E7E8"/>
          </w:tcPr>
          <w:p>
            <w:pPr>
              <w:pStyle w:val="TableParagraph"/>
              <w:spacing w:before="34"/>
              <w:ind w:right="67"/>
              <w:rPr>
                <w:sz w:val="16"/>
              </w:rPr>
            </w:pPr>
            <w:r>
              <w:rPr>
                <w:w w:val="95"/>
                <w:sz w:val="16"/>
              </w:rPr>
              <w:t>95</w:t>
            </w:r>
          </w:p>
        </w:tc>
        <w:tc>
          <w:tcPr>
            <w:tcW w:w="964" w:type="dxa"/>
            <w:shd w:val="clear" w:color="auto" w:fill="E6E7E8"/>
          </w:tcPr>
          <w:p>
            <w:pPr>
              <w:pStyle w:val="TableParagraph"/>
              <w:spacing w:before="34"/>
              <w:ind w:right="70"/>
              <w:rPr>
                <w:sz w:val="16"/>
              </w:rPr>
            </w:pPr>
            <w:r>
              <w:rPr>
                <w:w w:val="90"/>
                <w:sz w:val="16"/>
              </w:rPr>
              <w:t>29.0%</w:t>
            </w:r>
          </w:p>
        </w:tc>
        <w:tc>
          <w:tcPr>
            <w:tcW w:w="689" w:type="dxa"/>
            <w:shd w:val="clear" w:color="auto" w:fill="E6E7E8"/>
          </w:tcPr>
          <w:p>
            <w:pPr>
              <w:pStyle w:val="TableParagraph"/>
              <w:spacing w:before="44"/>
              <w:ind w:left="4"/>
              <w:jc w:val="center"/>
              <w:rPr>
                <w:rFonts w:ascii="Microsoft Sans Serif"/>
                <w:sz w:val="16"/>
              </w:rPr>
            </w:pPr>
            <w:r>
              <w:rPr>
                <w:rFonts w:ascii="Microsoft Sans Serif"/>
                <w:w w:val="176"/>
                <w:sz w:val="16"/>
              </w:rPr>
              <w:t>p</w:t>
            </w:r>
          </w:p>
        </w:tc>
      </w:tr>
      <w:tr>
        <w:trPr>
          <w:trHeight w:val="269" w:hRule="exact"/>
        </w:trPr>
        <w:tc>
          <w:tcPr>
            <w:tcW w:w="3623" w:type="dxa"/>
            <w:shd w:val="clear" w:color="auto" w:fill="E6E7E8"/>
          </w:tcPr>
          <w:p>
            <w:pPr>
              <w:pStyle w:val="TableParagraph"/>
              <w:spacing w:before="34"/>
              <w:ind w:left="686" w:right="89"/>
              <w:jc w:val="left"/>
              <w:rPr>
                <w:sz w:val="16"/>
              </w:rPr>
            </w:pPr>
            <w:r>
              <w:rPr>
                <w:sz w:val="16"/>
              </w:rPr>
              <w:t>Other</w:t>
            </w:r>
          </w:p>
        </w:tc>
        <w:tc>
          <w:tcPr>
            <w:tcW w:w="964" w:type="dxa"/>
            <w:shd w:val="clear" w:color="auto" w:fill="E6E7E8"/>
          </w:tcPr>
          <w:p>
            <w:pPr>
              <w:pStyle w:val="TableParagraph"/>
              <w:spacing w:before="34"/>
              <w:ind w:right="66"/>
              <w:rPr>
                <w:sz w:val="16"/>
              </w:rPr>
            </w:pPr>
            <w:r>
              <w:rPr>
                <w:w w:val="85"/>
                <w:sz w:val="16"/>
              </w:rPr>
              <w:t>109</w:t>
            </w:r>
          </w:p>
        </w:tc>
        <w:tc>
          <w:tcPr>
            <w:tcW w:w="964" w:type="dxa"/>
            <w:shd w:val="clear" w:color="auto" w:fill="E6E7E8"/>
          </w:tcPr>
          <w:p>
            <w:pPr>
              <w:pStyle w:val="TableParagraph"/>
              <w:spacing w:before="34"/>
              <w:ind w:right="73"/>
              <w:rPr>
                <w:sz w:val="16"/>
              </w:rPr>
            </w:pPr>
            <w:r>
              <w:rPr>
                <w:w w:val="80"/>
                <w:sz w:val="16"/>
              </w:rPr>
              <w:t>147</w:t>
            </w:r>
          </w:p>
        </w:tc>
        <w:tc>
          <w:tcPr>
            <w:tcW w:w="964" w:type="dxa"/>
            <w:shd w:val="clear" w:color="auto" w:fill="E6E7E8"/>
          </w:tcPr>
          <w:p>
            <w:pPr>
              <w:pStyle w:val="TableParagraph"/>
              <w:spacing w:before="34"/>
              <w:ind w:right="70"/>
              <w:rPr>
                <w:sz w:val="16"/>
              </w:rPr>
            </w:pPr>
            <w:r>
              <w:rPr>
                <w:w w:val="80"/>
                <w:sz w:val="16"/>
              </w:rPr>
              <w:t>158</w:t>
            </w:r>
          </w:p>
        </w:tc>
        <w:tc>
          <w:tcPr>
            <w:tcW w:w="964" w:type="dxa"/>
            <w:shd w:val="clear" w:color="auto" w:fill="E6E7E8"/>
          </w:tcPr>
          <w:p>
            <w:pPr>
              <w:pStyle w:val="TableParagraph"/>
              <w:spacing w:before="34"/>
              <w:ind w:right="68"/>
              <w:rPr>
                <w:sz w:val="16"/>
              </w:rPr>
            </w:pPr>
            <w:r>
              <w:rPr>
                <w:w w:val="80"/>
                <w:sz w:val="16"/>
              </w:rPr>
              <w:t>167</w:t>
            </w:r>
          </w:p>
        </w:tc>
        <w:tc>
          <w:tcPr>
            <w:tcW w:w="964" w:type="dxa"/>
            <w:shd w:val="clear" w:color="auto" w:fill="E6E7E8"/>
          </w:tcPr>
          <w:p>
            <w:pPr>
              <w:pStyle w:val="TableParagraph"/>
              <w:spacing w:before="34"/>
              <w:ind w:right="70"/>
              <w:rPr>
                <w:sz w:val="16"/>
              </w:rPr>
            </w:pPr>
            <w:r>
              <w:rPr>
                <w:w w:val="95"/>
                <w:sz w:val="16"/>
              </w:rPr>
              <w:t>29</w:t>
            </w:r>
          </w:p>
        </w:tc>
        <w:tc>
          <w:tcPr>
            <w:tcW w:w="964" w:type="dxa"/>
            <w:shd w:val="clear" w:color="auto" w:fill="E6E7E8"/>
          </w:tcPr>
          <w:p>
            <w:pPr>
              <w:pStyle w:val="TableParagraph"/>
              <w:spacing w:before="34"/>
              <w:ind w:right="70"/>
              <w:rPr>
                <w:sz w:val="16"/>
              </w:rPr>
            </w:pPr>
            <w:r>
              <w:rPr>
                <w:w w:val="90"/>
                <w:sz w:val="16"/>
              </w:rPr>
              <w:t>-83.0%</w:t>
            </w:r>
          </w:p>
        </w:tc>
        <w:tc>
          <w:tcPr>
            <w:tcW w:w="689" w:type="dxa"/>
            <w:shd w:val="clear" w:color="auto" w:fill="E6E7E8"/>
          </w:tcPr>
          <w:p>
            <w:pPr>
              <w:pStyle w:val="TableParagraph"/>
              <w:spacing w:before="44"/>
              <w:ind w:left="4"/>
              <w:jc w:val="center"/>
              <w:rPr>
                <w:rFonts w:ascii="Microsoft Sans Serif"/>
                <w:sz w:val="16"/>
              </w:rPr>
            </w:pPr>
            <w:r>
              <w:rPr>
                <w:rFonts w:ascii="Microsoft Sans Serif"/>
                <w:w w:val="176"/>
                <w:sz w:val="16"/>
              </w:rPr>
              <w:t>q</w:t>
            </w:r>
          </w:p>
        </w:tc>
      </w:tr>
      <w:tr>
        <w:trPr>
          <w:trHeight w:val="269" w:hRule="exact"/>
        </w:trPr>
        <w:tc>
          <w:tcPr>
            <w:tcW w:w="3623" w:type="dxa"/>
            <w:shd w:val="clear" w:color="auto" w:fill="E6E7E8"/>
          </w:tcPr>
          <w:p>
            <w:pPr>
              <w:pStyle w:val="TableParagraph"/>
              <w:spacing w:before="34"/>
              <w:ind w:left="77" w:right="89"/>
              <w:jc w:val="left"/>
              <w:rPr>
                <w:sz w:val="16"/>
              </w:rPr>
            </w:pPr>
            <w:r>
              <w:rPr>
                <w:sz w:val="16"/>
              </w:rPr>
              <w:t>Professional</w:t>
            </w:r>
          </w:p>
        </w:tc>
        <w:tc>
          <w:tcPr>
            <w:tcW w:w="964" w:type="dxa"/>
            <w:shd w:val="clear" w:color="auto" w:fill="E6E7E8"/>
          </w:tcPr>
          <w:p>
            <w:pPr>
              <w:pStyle w:val="TableParagraph"/>
              <w:spacing w:before="34"/>
              <w:ind w:right="70"/>
              <w:rPr>
                <w:sz w:val="16"/>
              </w:rPr>
            </w:pPr>
            <w:r>
              <w:rPr>
                <w:spacing w:val="4"/>
                <w:w w:val="54"/>
                <w:sz w:val="16"/>
              </w:rPr>
              <w:t>1</w:t>
            </w:r>
            <w:r>
              <w:rPr>
                <w:spacing w:val="6"/>
                <w:w w:val="68"/>
                <w:sz w:val="16"/>
              </w:rPr>
              <w:t>,</w:t>
            </w:r>
            <w:r>
              <w:rPr>
                <w:spacing w:val="2"/>
                <w:w w:val="95"/>
                <w:sz w:val="16"/>
              </w:rPr>
              <w:t>5</w:t>
            </w:r>
            <w:r>
              <w:rPr>
                <w:spacing w:val="3"/>
                <w:w w:val="95"/>
                <w:sz w:val="16"/>
              </w:rPr>
              <w:t>5</w:t>
            </w:r>
            <w:r>
              <w:rPr>
                <w:w w:val="111"/>
                <w:sz w:val="16"/>
              </w:rPr>
              <w:t>0</w:t>
            </w:r>
          </w:p>
        </w:tc>
        <w:tc>
          <w:tcPr>
            <w:tcW w:w="964" w:type="dxa"/>
            <w:shd w:val="clear" w:color="auto" w:fill="E6E7E8"/>
          </w:tcPr>
          <w:p>
            <w:pPr>
              <w:pStyle w:val="TableParagraph"/>
              <w:spacing w:before="34"/>
              <w:ind w:right="70"/>
              <w:rPr>
                <w:sz w:val="16"/>
              </w:rPr>
            </w:pPr>
            <w:r>
              <w:rPr>
                <w:w w:val="85"/>
                <w:sz w:val="16"/>
              </w:rPr>
              <w:t>1,549</w:t>
            </w:r>
          </w:p>
        </w:tc>
        <w:tc>
          <w:tcPr>
            <w:tcW w:w="964" w:type="dxa"/>
            <w:shd w:val="clear" w:color="auto" w:fill="E6E7E8"/>
          </w:tcPr>
          <w:p>
            <w:pPr>
              <w:pStyle w:val="TableParagraph"/>
              <w:spacing w:before="34"/>
              <w:ind w:right="70"/>
              <w:rPr>
                <w:sz w:val="16"/>
              </w:rPr>
            </w:pPr>
            <w:r>
              <w:rPr>
                <w:w w:val="85"/>
                <w:sz w:val="16"/>
              </w:rPr>
              <w:t>1,623</w:t>
            </w:r>
          </w:p>
        </w:tc>
        <w:tc>
          <w:tcPr>
            <w:tcW w:w="964" w:type="dxa"/>
            <w:shd w:val="clear" w:color="auto" w:fill="E6E7E8"/>
          </w:tcPr>
          <w:p>
            <w:pPr>
              <w:pStyle w:val="TableParagraph"/>
              <w:spacing w:before="34"/>
              <w:ind w:right="70"/>
              <w:rPr>
                <w:sz w:val="16"/>
              </w:rPr>
            </w:pPr>
            <w:r>
              <w:rPr>
                <w:w w:val="75"/>
                <w:sz w:val="16"/>
              </w:rPr>
              <w:t>1,818</w:t>
            </w:r>
          </w:p>
        </w:tc>
        <w:tc>
          <w:tcPr>
            <w:tcW w:w="964" w:type="dxa"/>
            <w:shd w:val="clear" w:color="auto" w:fill="E6E7E8"/>
          </w:tcPr>
          <w:p>
            <w:pPr>
              <w:pStyle w:val="TableParagraph"/>
              <w:spacing w:before="34"/>
              <w:ind w:right="68"/>
              <w:rPr>
                <w:sz w:val="16"/>
              </w:rPr>
            </w:pPr>
            <w:r>
              <w:rPr>
                <w:w w:val="70"/>
                <w:sz w:val="16"/>
              </w:rPr>
              <w:t>1,813</w:t>
            </w:r>
          </w:p>
        </w:tc>
        <w:tc>
          <w:tcPr>
            <w:tcW w:w="964" w:type="dxa"/>
            <w:shd w:val="clear" w:color="auto" w:fill="E6E7E8"/>
          </w:tcPr>
          <w:p>
            <w:pPr>
              <w:pStyle w:val="TableParagraph"/>
              <w:spacing w:before="34"/>
              <w:ind w:right="69"/>
              <w:rPr>
                <w:sz w:val="16"/>
              </w:rPr>
            </w:pPr>
            <w:r>
              <w:rPr>
                <w:w w:val="85"/>
                <w:sz w:val="16"/>
              </w:rPr>
              <w:t>-0.3%</w:t>
            </w:r>
          </w:p>
        </w:tc>
        <w:tc>
          <w:tcPr>
            <w:tcW w:w="689" w:type="dxa"/>
            <w:shd w:val="clear" w:color="auto" w:fill="E6E7E8"/>
          </w:tcPr>
          <w:p>
            <w:pPr>
              <w:pStyle w:val="TableParagraph"/>
              <w:spacing w:before="44"/>
              <w:ind w:left="4"/>
              <w:jc w:val="center"/>
              <w:rPr>
                <w:rFonts w:ascii="Microsoft Sans Serif"/>
                <w:sz w:val="16"/>
              </w:rPr>
            </w:pPr>
            <w:r>
              <w:rPr>
                <w:rFonts w:ascii="Microsoft Sans Serif"/>
                <w:w w:val="176"/>
                <w:sz w:val="16"/>
              </w:rPr>
              <w:t>q</w:t>
            </w:r>
          </w:p>
        </w:tc>
      </w:tr>
      <w:tr>
        <w:trPr>
          <w:trHeight w:val="264" w:hRule="exact"/>
        </w:trPr>
        <w:tc>
          <w:tcPr>
            <w:tcW w:w="10095" w:type="dxa"/>
            <w:gridSpan w:val="8"/>
            <w:tcBorders>
              <w:bottom w:val="nil"/>
            </w:tcBorders>
            <w:shd w:val="clear" w:color="auto" w:fill="E6E7E8"/>
          </w:tcPr>
          <w:p>
            <w:pPr>
              <w:pStyle w:val="TableParagraph"/>
              <w:spacing w:before="34"/>
              <w:ind w:left="77"/>
              <w:jc w:val="left"/>
              <w:rPr>
                <w:sz w:val="16"/>
              </w:rPr>
            </w:pPr>
            <w:r>
              <w:rPr>
                <w:spacing w:val="2"/>
                <w:w w:val="93"/>
                <w:sz w:val="16"/>
              </w:rPr>
              <w:t>2</w:t>
            </w:r>
            <w:r>
              <w:rPr>
                <w:spacing w:val="1"/>
                <w:w w:val="111"/>
                <w:sz w:val="16"/>
              </w:rPr>
              <w:t>0</w:t>
            </w:r>
            <w:r>
              <w:rPr>
                <w:spacing w:val="2"/>
                <w:w w:val="54"/>
                <w:sz w:val="16"/>
              </w:rPr>
              <w:t>1</w:t>
            </w:r>
            <w:r>
              <w:rPr>
                <w:w w:val="95"/>
                <w:sz w:val="16"/>
              </w:rPr>
              <w:t>5</w:t>
            </w:r>
            <w:r>
              <w:rPr>
                <w:spacing w:val="-12"/>
                <w:sz w:val="16"/>
              </w:rPr>
              <w:t> </w:t>
            </w:r>
            <w:r>
              <w:rPr>
                <w:spacing w:val="1"/>
                <w:w w:val="95"/>
                <w:sz w:val="16"/>
              </w:rPr>
              <w:t>i</w:t>
            </w:r>
            <w:r>
              <w:rPr>
                <w:spacing w:val="2"/>
                <w:w w:val="95"/>
                <w:sz w:val="16"/>
              </w:rPr>
              <w:t>n</w:t>
            </w:r>
            <w:r>
              <w:rPr>
                <w:spacing w:val="1"/>
                <w:w w:val="102"/>
                <w:sz w:val="16"/>
              </w:rPr>
              <w:t>c</w:t>
            </w:r>
            <w:r>
              <w:rPr>
                <w:spacing w:val="1"/>
                <w:w w:val="95"/>
                <w:sz w:val="16"/>
              </w:rPr>
              <w:t>l</w:t>
            </w:r>
            <w:r>
              <w:rPr>
                <w:spacing w:val="2"/>
                <w:w w:val="95"/>
                <w:sz w:val="16"/>
              </w:rPr>
              <w:t>u</w:t>
            </w:r>
            <w:r>
              <w:rPr>
                <w:spacing w:val="2"/>
                <w:w w:val="102"/>
                <w:sz w:val="16"/>
              </w:rPr>
              <w:t>d</w:t>
            </w:r>
            <w:r>
              <w:rPr>
                <w:spacing w:val="3"/>
                <w:w w:val="95"/>
                <w:sz w:val="16"/>
              </w:rPr>
              <w:t>e</w:t>
            </w:r>
            <w:r>
              <w:rPr>
                <w:w w:val="95"/>
                <w:sz w:val="16"/>
              </w:rPr>
              <w:t>s</w:t>
            </w:r>
            <w:r>
              <w:rPr>
                <w:spacing w:val="-12"/>
                <w:sz w:val="16"/>
              </w:rPr>
              <w:t> </w:t>
            </w:r>
            <w:r>
              <w:rPr>
                <w:spacing w:val="3"/>
                <w:w w:val="95"/>
                <w:sz w:val="16"/>
              </w:rPr>
              <w:t>e</w:t>
            </w:r>
            <w:r>
              <w:rPr>
                <w:spacing w:val="3"/>
                <w:w w:val="95"/>
                <w:sz w:val="16"/>
              </w:rPr>
              <w:t>s</w:t>
            </w:r>
            <w:r>
              <w:rPr>
                <w:w w:val="102"/>
                <w:sz w:val="16"/>
              </w:rPr>
              <w:t>t</w:t>
            </w:r>
            <w:r>
              <w:rPr>
                <w:spacing w:val="1"/>
                <w:w w:val="95"/>
                <w:sz w:val="16"/>
              </w:rPr>
              <w:t>i</w:t>
            </w:r>
            <w:r>
              <w:rPr>
                <w:spacing w:val="2"/>
                <w:w w:val="98"/>
                <w:sz w:val="16"/>
              </w:rPr>
              <w:t>m</w:t>
            </w:r>
            <w:r>
              <w:rPr>
                <w:w w:val="94"/>
                <w:sz w:val="16"/>
              </w:rPr>
              <w:t>a</w:t>
            </w:r>
            <w:r>
              <w:rPr>
                <w:spacing w:val="-2"/>
                <w:w w:val="102"/>
                <w:sz w:val="16"/>
              </w:rPr>
              <w:t>t</w:t>
            </w:r>
            <w:r>
              <w:rPr>
                <w:spacing w:val="3"/>
                <w:w w:val="95"/>
                <w:sz w:val="16"/>
              </w:rPr>
              <w:t>e</w:t>
            </w:r>
            <w:r>
              <w:rPr>
                <w:w w:val="102"/>
                <w:sz w:val="16"/>
              </w:rPr>
              <w:t>d</w:t>
            </w:r>
            <w:r>
              <w:rPr>
                <w:spacing w:val="-12"/>
                <w:sz w:val="16"/>
              </w:rPr>
              <w:t> </w:t>
            </w:r>
            <w:r>
              <w:rPr>
                <w:spacing w:val="3"/>
                <w:w w:val="102"/>
                <w:sz w:val="16"/>
              </w:rPr>
              <w:t>c</w:t>
            </w:r>
            <w:r>
              <w:rPr>
                <w:spacing w:val="2"/>
                <w:w w:val="94"/>
                <w:sz w:val="16"/>
              </w:rPr>
              <w:t>a</w:t>
            </w:r>
            <w:r>
              <w:rPr>
                <w:spacing w:val="1"/>
                <w:w w:val="95"/>
                <w:sz w:val="16"/>
              </w:rPr>
              <w:t>s</w:t>
            </w:r>
            <w:r>
              <w:rPr>
                <w:spacing w:val="2"/>
                <w:w w:val="95"/>
                <w:sz w:val="16"/>
              </w:rPr>
              <w:t>u</w:t>
            </w:r>
            <w:r>
              <w:rPr>
                <w:spacing w:val="2"/>
                <w:w w:val="94"/>
                <w:sz w:val="16"/>
              </w:rPr>
              <w:t>a</w:t>
            </w:r>
            <w:r>
              <w:rPr>
                <w:w w:val="95"/>
                <w:sz w:val="16"/>
              </w:rPr>
              <w:t>l</w:t>
            </w:r>
            <w:r>
              <w:rPr>
                <w:spacing w:val="-12"/>
                <w:sz w:val="16"/>
              </w:rPr>
              <w:t> </w:t>
            </w:r>
            <w:r>
              <w:rPr>
                <w:spacing w:val="2"/>
                <w:w w:val="102"/>
                <w:sz w:val="16"/>
              </w:rPr>
              <w:t>b</w:t>
            </w:r>
            <w:r>
              <w:rPr>
                <w:spacing w:val="2"/>
                <w:w w:val="94"/>
                <w:sz w:val="16"/>
              </w:rPr>
              <w:t>a</w:t>
            </w:r>
            <w:r>
              <w:rPr>
                <w:spacing w:val="2"/>
                <w:w w:val="95"/>
                <w:sz w:val="16"/>
              </w:rPr>
              <w:t>s</w:t>
            </w:r>
            <w:r>
              <w:rPr>
                <w:spacing w:val="3"/>
                <w:w w:val="95"/>
                <w:sz w:val="16"/>
              </w:rPr>
              <w:t>e</w:t>
            </w:r>
            <w:r>
              <w:rPr>
                <w:w w:val="102"/>
                <w:sz w:val="16"/>
              </w:rPr>
              <w:t>d</w:t>
            </w:r>
            <w:r>
              <w:rPr>
                <w:spacing w:val="-12"/>
                <w:sz w:val="16"/>
              </w:rPr>
              <w:t> </w:t>
            </w:r>
            <w:r>
              <w:rPr>
                <w:spacing w:val="2"/>
                <w:w w:val="100"/>
                <w:sz w:val="16"/>
              </w:rPr>
              <w:t>o</w:t>
            </w:r>
            <w:r>
              <w:rPr>
                <w:w w:val="95"/>
                <w:sz w:val="16"/>
              </w:rPr>
              <w:t>n</w:t>
            </w:r>
            <w:r>
              <w:rPr>
                <w:spacing w:val="-12"/>
                <w:sz w:val="16"/>
              </w:rPr>
              <w:t> </w:t>
            </w:r>
            <w:r>
              <w:rPr>
                <w:spacing w:val="2"/>
                <w:w w:val="93"/>
                <w:sz w:val="16"/>
              </w:rPr>
              <w:t>2</w:t>
            </w:r>
            <w:r>
              <w:rPr>
                <w:spacing w:val="1"/>
                <w:w w:val="111"/>
                <w:sz w:val="16"/>
              </w:rPr>
              <w:t>0</w:t>
            </w:r>
            <w:r>
              <w:rPr>
                <w:spacing w:val="2"/>
                <w:w w:val="54"/>
                <w:sz w:val="16"/>
              </w:rPr>
              <w:t>1</w:t>
            </w:r>
            <w:r>
              <w:rPr>
                <w:w w:val="103"/>
                <w:sz w:val="16"/>
              </w:rPr>
              <w:t>4</w:t>
            </w:r>
          </w:p>
        </w:tc>
      </w:tr>
      <w:tr>
        <w:trPr>
          <w:trHeight w:val="279" w:hRule="exact"/>
        </w:trPr>
        <w:tc>
          <w:tcPr>
            <w:tcW w:w="10095" w:type="dxa"/>
            <w:gridSpan w:val="8"/>
            <w:tcBorders>
              <w:top w:val="nil"/>
              <w:left w:val="nil"/>
              <w:bottom w:val="nil"/>
              <w:right w:val="nil"/>
            </w:tcBorders>
            <w:shd w:val="clear" w:color="auto" w:fill="939598"/>
          </w:tcPr>
          <w:p>
            <w:pPr>
              <w:pStyle w:val="TableParagraph"/>
              <w:spacing w:before="51"/>
              <w:ind w:left="82"/>
              <w:jc w:val="left"/>
              <w:rPr>
                <w:rFonts w:ascii="Gotham Narrow Bold" w:hAnsi="Gotham Narrow Bold"/>
                <w:b/>
                <w:sz w:val="16"/>
              </w:rPr>
            </w:pPr>
            <w:r>
              <w:rPr>
                <w:rFonts w:ascii="Gotham Narrow Bold" w:hAnsi="Gotham Narrow Bold"/>
                <w:b/>
                <w:color w:val="FFFFFF"/>
                <w:w w:val="95"/>
                <w:sz w:val="16"/>
              </w:rPr>
              <w:t>RESEARCH FUNDING ($’000)</w:t>
            </w:r>
          </w:p>
        </w:tc>
      </w:tr>
      <w:tr>
        <w:trPr>
          <w:trHeight w:val="478" w:hRule="exact"/>
        </w:trPr>
        <w:tc>
          <w:tcPr>
            <w:tcW w:w="3623" w:type="dxa"/>
            <w:tcBorders>
              <w:top w:val="nil"/>
            </w:tcBorders>
            <w:shd w:val="clear" w:color="auto" w:fill="E6E7E8"/>
          </w:tcPr>
          <w:p>
            <w:pPr>
              <w:pStyle w:val="TableParagraph"/>
              <w:spacing w:line="249" w:lineRule="auto" w:before="41"/>
              <w:ind w:left="77" w:right="89"/>
              <w:jc w:val="left"/>
              <w:rPr>
                <w:sz w:val="16"/>
              </w:rPr>
            </w:pPr>
            <w:r>
              <w:rPr>
                <w:sz w:val="16"/>
              </w:rPr>
              <w:t>Australian</w:t>
            </w:r>
            <w:r>
              <w:rPr>
                <w:spacing w:val="-23"/>
                <w:sz w:val="16"/>
              </w:rPr>
              <w:t> </w:t>
            </w:r>
            <w:r>
              <w:rPr>
                <w:sz w:val="16"/>
              </w:rPr>
              <w:t>Competitive</w:t>
            </w:r>
            <w:r>
              <w:rPr>
                <w:spacing w:val="-23"/>
                <w:sz w:val="16"/>
              </w:rPr>
              <w:t> </w:t>
            </w:r>
            <w:r>
              <w:rPr>
                <w:sz w:val="16"/>
              </w:rPr>
              <w:t>Grant</w:t>
            </w:r>
            <w:r>
              <w:rPr>
                <w:spacing w:val="-23"/>
                <w:sz w:val="16"/>
              </w:rPr>
              <w:t> </w:t>
            </w:r>
            <w:r>
              <w:rPr>
                <w:sz w:val="16"/>
              </w:rPr>
              <w:t>Income</w:t>
            </w:r>
            <w:r>
              <w:rPr>
                <w:spacing w:val="-23"/>
                <w:sz w:val="16"/>
              </w:rPr>
              <w:t> </w:t>
            </w:r>
            <w:r>
              <w:rPr>
                <w:sz w:val="16"/>
              </w:rPr>
              <w:t>(Category</w:t>
            </w:r>
            <w:r>
              <w:rPr>
                <w:spacing w:val="-23"/>
                <w:sz w:val="16"/>
              </w:rPr>
              <w:t> </w:t>
            </w:r>
            <w:r>
              <w:rPr>
                <w:sz w:val="16"/>
              </w:rPr>
              <w:t>1) includes</w:t>
            </w:r>
            <w:r>
              <w:rPr>
                <w:spacing w:val="-16"/>
                <w:sz w:val="16"/>
              </w:rPr>
              <w:t> </w:t>
            </w:r>
            <w:r>
              <w:rPr>
                <w:spacing w:val="2"/>
                <w:sz w:val="16"/>
              </w:rPr>
              <w:t>ARC,</w:t>
            </w:r>
            <w:r>
              <w:rPr>
                <w:spacing w:val="-16"/>
                <w:sz w:val="16"/>
              </w:rPr>
              <w:t> </w:t>
            </w:r>
            <w:r>
              <w:rPr>
                <w:spacing w:val="2"/>
                <w:sz w:val="16"/>
              </w:rPr>
              <w:t>NHMRC</w:t>
            </w:r>
            <w:r>
              <w:rPr>
                <w:spacing w:val="-16"/>
                <w:sz w:val="16"/>
              </w:rPr>
              <w:t> </w:t>
            </w:r>
            <w:r>
              <w:rPr>
                <w:sz w:val="16"/>
              </w:rPr>
              <w:t>&amp;</w:t>
            </w:r>
            <w:r>
              <w:rPr>
                <w:spacing w:val="-16"/>
                <w:sz w:val="16"/>
              </w:rPr>
              <w:t> </w:t>
            </w:r>
            <w:r>
              <w:rPr>
                <w:sz w:val="16"/>
              </w:rPr>
              <w:t>Other</w:t>
            </w:r>
          </w:p>
        </w:tc>
        <w:tc>
          <w:tcPr>
            <w:tcW w:w="964" w:type="dxa"/>
            <w:tcBorders>
              <w:top w:val="nil"/>
            </w:tcBorders>
            <w:shd w:val="clear" w:color="auto" w:fill="E6E7E8"/>
          </w:tcPr>
          <w:p>
            <w:pPr>
              <w:pStyle w:val="TableParagraph"/>
              <w:spacing w:before="141"/>
              <w:ind w:right="69"/>
              <w:rPr>
                <w:sz w:val="16"/>
              </w:rPr>
            </w:pPr>
            <w:r>
              <w:rPr>
                <w:spacing w:val="4"/>
                <w:w w:val="54"/>
                <w:sz w:val="16"/>
              </w:rPr>
              <w:t>1</w:t>
            </w:r>
            <w:r>
              <w:rPr>
                <w:spacing w:val="2"/>
                <w:w w:val="111"/>
                <w:sz w:val="16"/>
              </w:rPr>
              <w:t>0</w:t>
            </w:r>
            <w:r>
              <w:rPr>
                <w:spacing w:val="1"/>
                <w:w w:val="68"/>
                <w:sz w:val="16"/>
              </w:rPr>
              <w:t>,</w:t>
            </w:r>
            <w:r>
              <w:rPr>
                <w:spacing w:val="1"/>
                <w:w w:val="111"/>
                <w:sz w:val="16"/>
              </w:rPr>
              <w:t>0</w:t>
            </w:r>
            <w:r>
              <w:rPr>
                <w:w w:val="73"/>
                <w:sz w:val="16"/>
              </w:rPr>
              <w:t>17</w:t>
            </w:r>
          </w:p>
        </w:tc>
        <w:tc>
          <w:tcPr>
            <w:tcW w:w="964" w:type="dxa"/>
            <w:tcBorders>
              <w:top w:val="nil"/>
            </w:tcBorders>
            <w:shd w:val="clear" w:color="auto" w:fill="E6E7E8"/>
          </w:tcPr>
          <w:p>
            <w:pPr>
              <w:pStyle w:val="TableParagraph"/>
              <w:spacing w:before="141"/>
              <w:ind w:right="72"/>
              <w:rPr>
                <w:sz w:val="16"/>
              </w:rPr>
            </w:pPr>
            <w:r>
              <w:rPr>
                <w:w w:val="85"/>
                <w:sz w:val="16"/>
              </w:rPr>
              <w:t>12,542</w:t>
            </w:r>
          </w:p>
        </w:tc>
        <w:tc>
          <w:tcPr>
            <w:tcW w:w="964" w:type="dxa"/>
            <w:tcBorders>
              <w:top w:val="nil"/>
            </w:tcBorders>
            <w:shd w:val="clear" w:color="auto" w:fill="E6E7E8"/>
          </w:tcPr>
          <w:p>
            <w:pPr>
              <w:pStyle w:val="TableParagraph"/>
              <w:spacing w:before="141"/>
              <w:ind w:right="71"/>
              <w:rPr>
                <w:sz w:val="16"/>
              </w:rPr>
            </w:pPr>
            <w:r>
              <w:rPr>
                <w:spacing w:val="2"/>
                <w:w w:val="54"/>
                <w:sz w:val="16"/>
              </w:rPr>
              <w:t>1</w:t>
            </w:r>
            <w:r>
              <w:rPr>
                <w:spacing w:val="2"/>
                <w:w w:val="93"/>
                <w:sz w:val="16"/>
              </w:rPr>
              <w:t>2</w:t>
            </w:r>
            <w:r>
              <w:rPr>
                <w:spacing w:val="1"/>
                <w:w w:val="68"/>
                <w:sz w:val="16"/>
              </w:rPr>
              <w:t>,</w:t>
            </w:r>
            <w:r>
              <w:rPr>
                <w:spacing w:val="4"/>
                <w:w w:val="111"/>
                <w:sz w:val="16"/>
              </w:rPr>
              <w:t>0</w:t>
            </w:r>
            <w:r>
              <w:rPr>
                <w:spacing w:val="-1"/>
                <w:w w:val="78"/>
                <w:sz w:val="16"/>
              </w:rPr>
              <w:t>41</w:t>
            </w:r>
          </w:p>
        </w:tc>
        <w:tc>
          <w:tcPr>
            <w:tcW w:w="964" w:type="dxa"/>
            <w:tcBorders>
              <w:top w:val="nil"/>
            </w:tcBorders>
            <w:shd w:val="clear" w:color="auto" w:fill="E6E7E8"/>
          </w:tcPr>
          <w:p>
            <w:pPr>
              <w:pStyle w:val="TableParagraph"/>
              <w:spacing w:before="141"/>
              <w:ind w:right="72"/>
              <w:rPr>
                <w:sz w:val="16"/>
              </w:rPr>
            </w:pPr>
            <w:r>
              <w:rPr>
                <w:w w:val="85"/>
                <w:sz w:val="16"/>
              </w:rPr>
              <w:t>14,997</w:t>
            </w:r>
          </w:p>
        </w:tc>
        <w:tc>
          <w:tcPr>
            <w:tcW w:w="964" w:type="dxa"/>
            <w:tcBorders>
              <w:top w:val="nil"/>
            </w:tcBorders>
            <w:shd w:val="clear" w:color="auto" w:fill="E6E7E8"/>
          </w:tcPr>
          <w:p>
            <w:pPr>
              <w:pStyle w:val="TableParagraph"/>
              <w:spacing w:before="141"/>
              <w:ind w:right="70"/>
              <w:rPr>
                <w:sz w:val="16"/>
              </w:rPr>
            </w:pPr>
            <w:r>
              <w:rPr>
                <w:w w:val="90"/>
                <w:sz w:val="16"/>
              </w:rPr>
              <w:t>n.a</w:t>
            </w:r>
          </w:p>
        </w:tc>
        <w:tc>
          <w:tcPr>
            <w:tcW w:w="964" w:type="dxa"/>
            <w:tcBorders>
              <w:top w:val="nil"/>
            </w:tcBorders>
            <w:shd w:val="clear" w:color="auto" w:fill="E6E7E8"/>
          </w:tcPr>
          <w:p>
            <w:pPr/>
          </w:p>
        </w:tc>
        <w:tc>
          <w:tcPr>
            <w:tcW w:w="689" w:type="dxa"/>
            <w:tcBorders>
              <w:top w:val="nil"/>
            </w:tcBorders>
            <w:shd w:val="clear" w:color="auto" w:fill="E6E7E8"/>
          </w:tcPr>
          <w:p>
            <w:pPr/>
          </w:p>
        </w:tc>
      </w:tr>
      <w:tr>
        <w:trPr>
          <w:trHeight w:val="275" w:hRule="exact"/>
        </w:trPr>
        <w:tc>
          <w:tcPr>
            <w:tcW w:w="3623" w:type="dxa"/>
            <w:shd w:val="clear" w:color="auto" w:fill="E6E7E8"/>
          </w:tcPr>
          <w:p>
            <w:pPr>
              <w:pStyle w:val="TableParagraph"/>
              <w:spacing w:before="37"/>
              <w:ind w:left="77" w:right="89"/>
              <w:jc w:val="left"/>
              <w:rPr>
                <w:sz w:val="16"/>
              </w:rPr>
            </w:pPr>
            <w:r>
              <w:rPr>
                <w:sz w:val="16"/>
              </w:rPr>
              <w:t>Collaborative Income (Category 2, 3 and 4)</w:t>
            </w:r>
          </w:p>
        </w:tc>
        <w:tc>
          <w:tcPr>
            <w:tcW w:w="964" w:type="dxa"/>
            <w:shd w:val="clear" w:color="auto" w:fill="E6E7E8"/>
          </w:tcPr>
          <w:p>
            <w:pPr>
              <w:pStyle w:val="TableParagraph"/>
              <w:spacing w:before="37"/>
              <w:ind w:right="70"/>
              <w:rPr>
                <w:sz w:val="16"/>
              </w:rPr>
            </w:pPr>
            <w:r>
              <w:rPr>
                <w:w w:val="95"/>
                <w:sz w:val="16"/>
              </w:rPr>
              <w:t>7,694</w:t>
            </w:r>
          </w:p>
        </w:tc>
        <w:tc>
          <w:tcPr>
            <w:tcW w:w="964" w:type="dxa"/>
            <w:shd w:val="clear" w:color="auto" w:fill="E6E7E8"/>
          </w:tcPr>
          <w:p>
            <w:pPr>
              <w:pStyle w:val="TableParagraph"/>
              <w:spacing w:before="37"/>
              <w:ind w:right="70"/>
              <w:rPr>
                <w:sz w:val="16"/>
              </w:rPr>
            </w:pPr>
            <w:r>
              <w:rPr>
                <w:w w:val="90"/>
                <w:sz w:val="16"/>
              </w:rPr>
              <w:t>8,733</w:t>
            </w:r>
          </w:p>
        </w:tc>
        <w:tc>
          <w:tcPr>
            <w:tcW w:w="964" w:type="dxa"/>
            <w:shd w:val="clear" w:color="auto" w:fill="E6E7E8"/>
          </w:tcPr>
          <w:p>
            <w:pPr>
              <w:pStyle w:val="TableParagraph"/>
              <w:spacing w:before="37"/>
              <w:ind w:right="70"/>
              <w:rPr>
                <w:sz w:val="16"/>
              </w:rPr>
            </w:pPr>
            <w:r>
              <w:rPr>
                <w:w w:val="85"/>
                <w:sz w:val="16"/>
              </w:rPr>
              <w:t>10,258</w:t>
            </w:r>
          </w:p>
        </w:tc>
        <w:tc>
          <w:tcPr>
            <w:tcW w:w="964" w:type="dxa"/>
            <w:shd w:val="clear" w:color="auto" w:fill="E6E7E8"/>
          </w:tcPr>
          <w:p>
            <w:pPr>
              <w:pStyle w:val="TableParagraph"/>
              <w:spacing w:before="37"/>
              <w:ind w:right="70"/>
              <w:rPr>
                <w:sz w:val="16"/>
              </w:rPr>
            </w:pPr>
            <w:r>
              <w:rPr>
                <w:w w:val="75"/>
                <w:sz w:val="16"/>
              </w:rPr>
              <w:t>11,238</w:t>
            </w:r>
          </w:p>
        </w:tc>
        <w:tc>
          <w:tcPr>
            <w:tcW w:w="964" w:type="dxa"/>
            <w:shd w:val="clear" w:color="auto" w:fill="E6E7E8"/>
          </w:tcPr>
          <w:p>
            <w:pPr>
              <w:pStyle w:val="TableParagraph"/>
              <w:spacing w:before="37"/>
              <w:ind w:right="70"/>
              <w:rPr>
                <w:sz w:val="16"/>
              </w:rPr>
            </w:pPr>
            <w:r>
              <w:rPr>
                <w:w w:val="90"/>
                <w:sz w:val="16"/>
              </w:rPr>
              <w:t>n.a</w:t>
            </w:r>
          </w:p>
        </w:tc>
        <w:tc>
          <w:tcPr>
            <w:tcW w:w="964" w:type="dxa"/>
            <w:shd w:val="clear" w:color="auto" w:fill="E6E7E8"/>
          </w:tcPr>
          <w:p>
            <w:pPr/>
          </w:p>
        </w:tc>
        <w:tc>
          <w:tcPr>
            <w:tcW w:w="689" w:type="dxa"/>
            <w:shd w:val="clear" w:color="auto" w:fill="E6E7E8"/>
          </w:tcPr>
          <w:p>
            <w:pPr/>
          </w:p>
        </w:tc>
      </w:tr>
      <w:tr>
        <w:trPr>
          <w:trHeight w:val="275" w:hRule="exact"/>
        </w:trPr>
        <w:tc>
          <w:tcPr>
            <w:tcW w:w="3623" w:type="dxa"/>
            <w:shd w:val="clear" w:color="auto" w:fill="E6E7E8"/>
          </w:tcPr>
          <w:p>
            <w:pPr>
              <w:pStyle w:val="TableParagraph"/>
              <w:spacing w:before="45"/>
              <w:ind w:left="77" w:right="89"/>
              <w:jc w:val="left"/>
              <w:rPr>
                <w:rFonts w:ascii="Calibri"/>
                <w:sz w:val="16"/>
              </w:rPr>
            </w:pPr>
            <w:r>
              <w:rPr>
                <w:rFonts w:ascii="Calibri"/>
                <w:w w:val="110"/>
                <w:sz w:val="16"/>
              </w:rPr>
              <w:t>Total HERDC Income</w:t>
            </w:r>
          </w:p>
        </w:tc>
        <w:tc>
          <w:tcPr>
            <w:tcW w:w="964" w:type="dxa"/>
            <w:shd w:val="clear" w:color="auto" w:fill="E6E7E8"/>
          </w:tcPr>
          <w:p>
            <w:pPr>
              <w:pStyle w:val="TableParagraph"/>
              <w:spacing w:before="45"/>
              <w:ind w:right="70"/>
              <w:rPr>
                <w:rFonts w:ascii="Calibri"/>
                <w:sz w:val="16"/>
              </w:rPr>
            </w:pPr>
            <w:r>
              <w:rPr>
                <w:rFonts w:ascii="Calibri"/>
                <w:w w:val="85"/>
                <w:sz w:val="16"/>
              </w:rPr>
              <w:t>17,711</w:t>
            </w:r>
          </w:p>
        </w:tc>
        <w:tc>
          <w:tcPr>
            <w:tcW w:w="964" w:type="dxa"/>
            <w:shd w:val="clear" w:color="auto" w:fill="E6E7E8"/>
          </w:tcPr>
          <w:p>
            <w:pPr>
              <w:pStyle w:val="TableParagraph"/>
              <w:spacing w:before="45"/>
              <w:ind w:right="70"/>
              <w:rPr>
                <w:rFonts w:ascii="Calibri"/>
                <w:sz w:val="16"/>
              </w:rPr>
            </w:pPr>
            <w:r>
              <w:rPr>
                <w:rFonts w:ascii="Calibri"/>
                <w:w w:val="95"/>
                <w:sz w:val="16"/>
              </w:rPr>
              <w:t>21,275</w:t>
            </w:r>
          </w:p>
        </w:tc>
        <w:tc>
          <w:tcPr>
            <w:tcW w:w="964" w:type="dxa"/>
            <w:shd w:val="clear" w:color="auto" w:fill="E6E7E8"/>
          </w:tcPr>
          <w:p>
            <w:pPr>
              <w:pStyle w:val="TableParagraph"/>
              <w:spacing w:before="45"/>
              <w:ind w:right="70"/>
              <w:rPr>
                <w:rFonts w:ascii="Calibri"/>
                <w:sz w:val="16"/>
              </w:rPr>
            </w:pPr>
            <w:r>
              <w:rPr>
                <w:rFonts w:ascii="Calibri"/>
                <w:w w:val="110"/>
                <w:sz w:val="16"/>
              </w:rPr>
              <w:t>22,300</w:t>
            </w:r>
          </w:p>
        </w:tc>
        <w:tc>
          <w:tcPr>
            <w:tcW w:w="964" w:type="dxa"/>
            <w:shd w:val="clear" w:color="auto" w:fill="E6E7E8"/>
          </w:tcPr>
          <w:p>
            <w:pPr>
              <w:pStyle w:val="TableParagraph"/>
              <w:spacing w:before="45"/>
              <w:ind w:right="68"/>
              <w:rPr>
                <w:rFonts w:ascii="Calibri"/>
                <w:sz w:val="16"/>
              </w:rPr>
            </w:pPr>
            <w:r>
              <w:rPr>
                <w:rFonts w:ascii="Calibri"/>
                <w:w w:val="110"/>
                <w:sz w:val="16"/>
              </w:rPr>
              <w:t>26,230</w:t>
            </w:r>
          </w:p>
        </w:tc>
        <w:tc>
          <w:tcPr>
            <w:tcW w:w="964" w:type="dxa"/>
            <w:shd w:val="clear" w:color="auto" w:fill="E6E7E8"/>
          </w:tcPr>
          <w:p>
            <w:pPr>
              <w:pStyle w:val="TableParagraph"/>
              <w:spacing w:before="45"/>
              <w:ind w:right="70"/>
              <w:rPr>
                <w:rFonts w:ascii="Calibri"/>
                <w:sz w:val="16"/>
              </w:rPr>
            </w:pPr>
            <w:r>
              <w:rPr>
                <w:rFonts w:ascii="Calibri"/>
                <w:sz w:val="16"/>
              </w:rPr>
              <w:t>n.a</w:t>
            </w:r>
          </w:p>
        </w:tc>
        <w:tc>
          <w:tcPr>
            <w:tcW w:w="964" w:type="dxa"/>
            <w:shd w:val="clear" w:color="auto" w:fill="E6E7E8"/>
          </w:tcPr>
          <w:p>
            <w:pPr/>
          </w:p>
        </w:tc>
        <w:tc>
          <w:tcPr>
            <w:tcW w:w="689" w:type="dxa"/>
            <w:shd w:val="clear" w:color="auto" w:fill="E6E7E8"/>
          </w:tcPr>
          <w:p>
            <w:pPr/>
          </w:p>
        </w:tc>
      </w:tr>
      <w:tr>
        <w:trPr>
          <w:trHeight w:val="275" w:hRule="exact"/>
        </w:trPr>
        <w:tc>
          <w:tcPr>
            <w:tcW w:w="10095" w:type="dxa"/>
            <w:gridSpan w:val="8"/>
            <w:tcBorders>
              <w:bottom w:val="nil"/>
            </w:tcBorders>
            <w:shd w:val="clear" w:color="auto" w:fill="E6E7E8"/>
          </w:tcPr>
          <w:p>
            <w:pPr>
              <w:pStyle w:val="TableParagraph"/>
              <w:spacing w:before="37"/>
              <w:ind w:left="77"/>
              <w:jc w:val="left"/>
              <w:rPr>
                <w:sz w:val="16"/>
              </w:rPr>
            </w:pPr>
            <w:r>
              <w:rPr>
                <w:w w:val="74"/>
                <w:sz w:val="16"/>
              </w:rPr>
              <w:t>%</w:t>
            </w:r>
            <w:r>
              <w:rPr>
                <w:spacing w:val="-12"/>
                <w:sz w:val="16"/>
              </w:rPr>
              <w:t> </w:t>
            </w:r>
            <w:r>
              <w:rPr>
                <w:spacing w:val="2"/>
                <w:w w:val="102"/>
                <w:sz w:val="16"/>
              </w:rPr>
              <w:t>C</w:t>
            </w:r>
            <w:r>
              <w:rPr>
                <w:spacing w:val="2"/>
                <w:w w:val="95"/>
                <w:sz w:val="16"/>
              </w:rPr>
              <w:t>h</w:t>
            </w:r>
            <w:r>
              <w:rPr>
                <w:spacing w:val="2"/>
                <w:w w:val="94"/>
                <w:sz w:val="16"/>
              </w:rPr>
              <w:t>a</w:t>
            </w:r>
            <w:r>
              <w:rPr>
                <w:spacing w:val="2"/>
                <w:w w:val="95"/>
                <w:sz w:val="16"/>
              </w:rPr>
              <w:t>n</w:t>
            </w:r>
            <w:r>
              <w:rPr>
                <w:spacing w:val="2"/>
                <w:w w:val="102"/>
                <w:sz w:val="16"/>
              </w:rPr>
              <w:t>g</w:t>
            </w:r>
            <w:r>
              <w:rPr>
                <w:w w:val="95"/>
                <w:sz w:val="16"/>
              </w:rPr>
              <w:t>e</w:t>
            </w:r>
            <w:r>
              <w:rPr>
                <w:spacing w:val="-12"/>
                <w:sz w:val="16"/>
              </w:rPr>
              <w:t> </w:t>
            </w:r>
            <w:r>
              <w:rPr>
                <w:spacing w:val="2"/>
                <w:w w:val="102"/>
                <w:sz w:val="16"/>
              </w:rPr>
              <w:t>b</w:t>
            </w:r>
            <w:r>
              <w:rPr>
                <w:spacing w:val="2"/>
                <w:w w:val="94"/>
                <w:sz w:val="16"/>
              </w:rPr>
              <w:t>a</w:t>
            </w:r>
            <w:r>
              <w:rPr>
                <w:spacing w:val="2"/>
                <w:w w:val="95"/>
                <w:sz w:val="16"/>
              </w:rPr>
              <w:t>s</w:t>
            </w:r>
            <w:r>
              <w:rPr>
                <w:spacing w:val="3"/>
                <w:w w:val="95"/>
                <w:sz w:val="16"/>
              </w:rPr>
              <w:t>e</w:t>
            </w:r>
            <w:r>
              <w:rPr>
                <w:w w:val="102"/>
                <w:sz w:val="16"/>
              </w:rPr>
              <w:t>d</w:t>
            </w:r>
            <w:r>
              <w:rPr>
                <w:spacing w:val="-12"/>
                <w:sz w:val="16"/>
              </w:rPr>
              <w:t> </w:t>
            </w:r>
            <w:r>
              <w:rPr>
                <w:spacing w:val="2"/>
                <w:w w:val="100"/>
                <w:sz w:val="16"/>
              </w:rPr>
              <w:t>o</w:t>
            </w:r>
            <w:r>
              <w:rPr>
                <w:w w:val="95"/>
                <w:sz w:val="16"/>
              </w:rPr>
              <w:t>n</w:t>
            </w:r>
            <w:r>
              <w:rPr>
                <w:spacing w:val="-12"/>
                <w:sz w:val="16"/>
              </w:rPr>
              <w:t> </w:t>
            </w:r>
            <w:r>
              <w:rPr>
                <w:spacing w:val="2"/>
                <w:w w:val="93"/>
                <w:sz w:val="16"/>
              </w:rPr>
              <w:t>2</w:t>
            </w:r>
            <w:r>
              <w:rPr>
                <w:spacing w:val="1"/>
                <w:w w:val="111"/>
                <w:sz w:val="16"/>
              </w:rPr>
              <w:t>0</w:t>
            </w:r>
            <w:r>
              <w:rPr>
                <w:spacing w:val="2"/>
                <w:w w:val="54"/>
                <w:sz w:val="16"/>
              </w:rPr>
              <w:t>1</w:t>
            </w:r>
            <w:r>
              <w:rPr>
                <w:spacing w:val="4"/>
                <w:w w:val="94"/>
                <w:sz w:val="16"/>
              </w:rPr>
              <w:t>3</w:t>
            </w:r>
            <w:r>
              <w:rPr>
                <w:spacing w:val="-1"/>
                <w:w w:val="100"/>
                <w:sz w:val="16"/>
              </w:rPr>
              <w:t>-</w:t>
            </w:r>
            <w:r>
              <w:rPr>
                <w:spacing w:val="2"/>
                <w:w w:val="54"/>
                <w:sz w:val="16"/>
              </w:rPr>
              <w:t>1</w:t>
            </w:r>
            <w:r>
              <w:rPr>
                <w:w w:val="103"/>
                <w:sz w:val="16"/>
              </w:rPr>
              <w:t>4</w:t>
            </w:r>
          </w:p>
        </w:tc>
      </w:tr>
      <w:tr>
        <w:trPr>
          <w:trHeight w:val="275" w:hRule="exact"/>
        </w:trPr>
        <w:tc>
          <w:tcPr>
            <w:tcW w:w="3623" w:type="dxa"/>
            <w:tcBorders>
              <w:top w:val="nil"/>
              <w:left w:val="nil"/>
              <w:bottom w:val="single" w:sz="4" w:space="0" w:color="FFFFFF"/>
              <w:right w:val="single" w:sz="4" w:space="0" w:color="FFFFFF"/>
            </w:tcBorders>
            <w:shd w:val="clear" w:color="auto" w:fill="939598"/>
          </w:tcPr>
          <w:p>
            <w:pPr>
              <w:pStyle w:val="TableParagraph"/>
              <w:spacing w:before="49"/>
              <w:ind w:left="82"/>
              <w:jc w:val="left"/>
              <w:rPr>
                <w:rFonts w:ascii="Gotham Narrow Bold" w:hAnsi="Gotham Narrow Bold"/>
                <w:b/>
                <w:sz w:val="16"/>
              </w:rPr>
            </w:pPr>
            <w:r>
              <w:rPr>
                <w:rFonts w:ascii="Gotham Narrow Bold" w:hAnsi="Gotham Narrow Bold"/>
                <w:b/>
                <w:color w:val="FFFFFF"/>
                <w:w w:val="95"/>
                <w:sz w:val="16"/>
              </w:rPr>
              <w:t>TOTAL OPERATING REVENUE ($’000)</w:t>
            </w:r>
          </w:p>
        </w:tc>
        <w:tc>
          <w:tcPr>
            <w:tcW w:w="964" w:type="dxa"/>
            <w:tcBorders>
              <w:top w:val="nil"/>
              <w:left w:val="single" w:sz="4" w:space="0" w:color="FFFFFF"/>
              <w:bottom w:val="single" w:sz="4" w:space="0" w:color="FFFFFF"/>
              <w:right w:val="single" w:sz="4" w:space="0" w:color="FFFFFF"/>
            </w:tcBorders>
            <w:shd w:val="clear" w:color="auto" w:fill="939598"/>
          </w:tcPr>
          <w:p>
            <w:pPr>
              <w:pStyle w:val="TableParagraph"/>
              <w:spacing w:before="49"/>
              <w:ind w:right="70"/>
              <w:rPr>
                <w:rFonts w:ascii="Gotham Narrow Bold"/>
                <w:b/>
                <w:sz w:val="16"/>
              </w:rPr>
            </w:pPr>
            <w:r>
              <w:rPr>
                <w:rFonts w:ascii="Gotham Narrow Bold"/>
                <w:b/>
                <w:color w:val="FFFFFF"/>
                <w:w w:val="95"/>
                <w:sz w:val="16"/>
              </w:rPr>
              <w:t>561,602</w:t>
            </w:r>
          </w:p>
        </w:tc>
        <w:tc>
          <w:tcPr>
            <w:tcW w:w="964" w:type="dxa"/>
            <w:tcBorders>
              <w:top w:val="nil"/>
              <w:left w:val="single" w:sz="4" w:space="0" w:color="FFFFFF"/>
              <w:bottom w:val="single" w:sz="4" w:space="0" w:color="FFFFFF"/>
              <w:right w:val="single" w:sz="4" w:space="0" w:color="FFFFFF"/>
            </w:tcBorders>
            <w:shd w:val="clear" w:color="auto" w:fill="939598"/>
          </w:tcPr>
          <w:p>
            <w:pPr>
              <w:pStyle w:val="TableParagraph"/>
              <w:spacing w:before="65"/>
              <w:ind w:right="70"/>
              <w:rPr>
                <w:rFonts w:ascii="Gotham Narrow Bold"/>
                <w:b/>
                <w:sz w:val="16"/>
              </w:rPr>
            </w:pPr>
            <w:r>
              <w:rPr>
                <w:rFonts w:ascii="Gotham Narrow Bold"/>
                <w:b/>
                <w:color w:val="FFFFFF"/>
                <w:w w:val="95"/>
                <w:sz w:val="16"/>
              </w:rPr>
              <w:t>662,820</w:t>
            </w:r>
          </w:p>
        </w:tc>
        <w:tc>
          <w:tcPr>
            <w:tcW w:w="964" w:type="dxa"/>
            <w:tcBorders>
              <w:top w:val="nil"/>
              <w:left w:val="single" w:sz="4" w:space="0" w:color="FFFFFF"/>
              <w:bottom w:val="single" w:sz="4" w:space="0" w:color="FFFFFF"/>
              <w:right w:val="single" w:sz="4" w:space="0" w:color="FFFFFF"/>
            </w:tcBorders>
            <w:shd w:val="clear" w:color="auto" w:fill="939598"/>
          </w:tcPr>
          <w:p>
            <w:pPr>
              <w:pStyle w:val="TableParagraph"/>
              <w:spacing w:before="49"/>
              <w:ind w:right="71"/>
              <w:rPr>
                <w:rFonts w:ascii="Gotham Narrow Bold"/>
                <w:b/>
                <w:sz w:val="16"/>
              </w:rPr>
            </w:pPr>
            <w:r>
              <w:rPr>
                <w:rFonts w:ascii="Gotham Narrow Bold"/>
                <w:b/>
                <w:color w:val="FFFFFF"/>
                <w:w w:val="95"/>
                <w:sz w:val="16"/>
              </w:rPr>
              <w:t>684,199</w:t>
            </w:r>
          </w:p>
        </w:tc>
        <w:tc>
          <w:tcPr>
            <w:tcW w:w="964" w:type="dxa"/>
            <w:tcBorders>
              <w:top w:val="nil"/>
              <w:left w:val="single" w:sz="4" w:space="0" w:color="FFFFFF"/>
              <w:bottom w:val="single" w:sz="4" w:space="0" w:color="FFFFFF"/>
              <w:right w:val="single" w:sz="4" w:space="0" w:color="FFFFFF"/>
            </w:tcBorders>
            <w:shd w:val="clear" w:color="auto" w:fill="939598"/>
          </w:tcPr>
          <w:p>
            <w:pPr>
              <w:pStyle w:val="TableParagraph"/>
              <w:spacing w:before="49"/>
              <w:ind w:right="70"/>
              <w:rPr>
                <w:rFonts w:ascii="Gotham Narrow Bold"/>
                <w:b/>
                <w:sz w:val="16"/>
              </w:rPr>
            </w:pPr>
            <w:r>
              <w:rPr>
                <w:rFonts w:ascii="Gotham Narrow Bold"/>
                <w:b/>
                <w:color w:val="FFFFFF"/>
                <w:w w:val="95"/>
                <w:sz w:val="16"/>
              </w:rPr>
              <w:t>729,665</w:t>
            </w:r>
          </w:p>
        </w:tc>
        <w:tc>
          <w:tcPr>
            <w:tcW w:w="964" w:type="dxa"/>
            <w:tcBorders>
              <w:top w:val="nil"/>
              <w:left w:val="single" w:sz="4" w:space="0" w:color="FFFFFF"/>
              <w:bottom w:val="single" w:sz="4" w:space="0" w:color="FFFFFF"/>
              <w:right w:val="single" w:sz="4" w:space="0" w:color="FFFFFF"/>
            </w:tcBorders>
            <w:shd w:val="clear" w:color="auto" w:fill="939598"/>
          </w:tcPr>
          <w:p>
            <w:pPr>
              <w:pStyle w:val="TableParagraph"/>
              <w:spacing w:before="49"/>
              <w:ind w:right="70"/>
              <w:rPr>
                <w:rFonts w:ascii="Gotham Narrow Bold"/>
                <w:b/>
                <w:sz w:val="16"/>
              </w:rPr>
            </w:pPr>
            <w:r>
              <w:rPr>
                <w:rFonts w:ascii="Gotham Narrow Bold"/>
                <w:b/>
                <w:color w:val="FFFFFF"/>
                <w:w w:val="95"/>
                <w:sz w:val="16"/>
              </w:rPr>
              <w:t>755,617</w:t>
            </w:r>
          </w:p>
        </w:tc>
        <w:tc>
          <w:tcPr>
            <w:tcW w:w="964" w:type="dxa"/>
            <w:tcBorders>
              <w:top w:val="nil"/>
              <w:left w:val="single" w:sz="4" w:space="0" w:color="FFFFFF"/>
              <w:bottom w:val="single" w:sz="4" w:space="0" w:color="FFFFFF"/>
              <w:right w:val="single" w:sz="4" w:space="0" w:color="FFFFFF"/>
            </w:tcBorders>
            <w:shd w:val="clear" w:color="auto" w:fill="939598"/>
          </w:tcPr>
          <w:p>
            <w:pPr>
              <w:pStyle w:val="TableParagraph"/>
              <w:spacing w:before="49"/>
              <w:ind w:right="71"/>
              <w:rPr>
                <w:rFonts w:ascii="Gotham Narrow Bold"/>
                <w:b/>
                <w:sz w:val="16"/>
              </w:rPr>
            </w:pPr>
            <w:r>
              <w:rPr>
                <w:rFonts w:ascii="Gotham Narrow Bold"/>
                <w:b/>
                <w:color w:val="FFFFFF"/>
                <w:w w:val="95"/>
                <w:sz w:val="16"/>
              </w:rPr>
              <w:t>3.6%</w:t>
            </w:r>
          </w:p>
        </w:tc>
        <w:tc>
          <w:tcPr>
            <w:tcW w:w="689" w:type="dxa"/>
            <w:tcBorders>
              <w:top w:val="nil"/>
              <w:left w:val="single" w:sz="4" w:space="0" w:color="FFFFFF"/>
              <w:bottom w:val="single" w:sz="4" w:space="0" w:color="FFFFFF"/>
              <w:right w:val="nil"/>
            </w:tcBorders>
            <w:shd w:val="clear" w:color="auto" w:fill="939598"/>
          </w:tcPr>
          <w:p>
            <w:pPr/>
          </w:p>
        </w:tc>
      </w:tr>
      <w:tr>
        <w:trPr>
          <w:trHeight w:val="275" w:hRule="exact"/>
        </w:trPr>
        <w:tc>
          <w:tcPr>
            <w:tcW w:w="3623" w:type="dxa"/>
            <w:tcBorders>
              <w:top w:val="single" w:sz="4" w:space="0" w:color="FFFFFF"/>
              <w:left w:val="nil"/>
              <w:bottom w:val="nil"/>
              <w:right w:val="single" w:sz="4" w:space="0" w:color="FFFFFF"/>
            </w:tcBorders>
            <w:shd w:val="clear" w:color="auto" w:fill="939598"/>
          </w:tcPr>
          <w:p>
            <w:pPr>
              <w:pStyle w:val="TableParagraph"/>
              <w:spacing w:before="44"/>
              <w:ind w:left="81"/>
              <w:jc w:val="left"/>
              <w:rPr>
                <w:rFonts w:ascii="Gotham Narrow Bold" w:hAnsi="Gotham Narrow Bold"/>
                <w:b/>
                <w:sz w:val="16"/>
              </w:rPr>
            </w:pPr>
            <w:r>
              <w:rPr>
                <w:rFonts w:ascii="Gotham Narrow Bold" w:hAnsi="Gotham Narrow Bold"/>
                <w:b/>
                <w:color w:val="FFFFFF"/>
                <w:w w:val="95"/>
                <w:sz w:val="16"/>
              </w:rPr>
              <w:t>TOTAL NET ASSETS ($’000)</w:t>
            </w:r>
          </w:p>
        </w:tc>
        <w:tc>
          <w:tcPr>
            <w:tcW w:w="964" w:type="dxa"/>
            <w:tcBorders>
              <w:top w:val="single" w:sz="4" w:space="0" w:color="FFFFFF"/>
              <w:left w:val="single" w:sz="4" w:space="0" w:color="FFFFFF"/>
              <w:bottom w:val="nil"/>
              <w:right w:val="single" w:sz="4" w:space="0" w:color="FFFFFF"/>
            </w:tcBorders>
            <w:shd w:val="clear" w:color="auto" w:fill="939598"/>
          </w:tcPr>
          <w:p>
            <w:pPr>
              <w:pStyle w:val="TableParagraph"/>
              <w:spacing w:before="44"/>
              <w:ind w:right="71"/>
              <w:rPr>
                <w:rFonts w:ascii="Gotham Narrow Bold"/>
                <w:b/>
                <w:sz w:val="16"/>
              </w:rPr>
            </w:pPr>
            <w:r>
              <w:rPr>
                <w:rFonts w:ascii="Gotham Narrow Bold"/>
                <w:b/>
                <w:color w:val="FFFFFF"/>
                <w:w w:val="90"/>
                <w:sz w:val="16"/>
              </w:rPr>
              <w:t>1,234,397</w:t>
            </w:r>
          </w:p>
        </w:tc>
        <w:tc>
          <w:tcPr>
            <w:tcW w:w="964" w:type="dxa"/>
            <w:tcBorders>
              <w:top w:val="single" w:sz="4" w:space="0" w:color="FFFFFF"/>
              <w:left w:val="single" w:sz="4" w:space="0" w:color="FFFFFF"/>
              <w:bottom w:val="nil"/>
              <w:right w:val="single" w:sz="4" w:space="0" w:color="FFFFFF"/>
            </w:tcBorders>
            <w:shd w:val="clear" w:color="auto" w:fill="939598"/>
          </w:tcPr>
          <w:p>
            <w:pPr>
              <w:pStyle w:val="TableParagraph"/>
              <w:spacing w:before="60"/>
              <w:ind w:right="71"/>
              <w:rPr>
                <w:rFonts w:ascii="Gotham Narrow Bold"/>
                <w:b/>
                <w:sz w:val="16"/>
              </w:rPr>
            </w:pPr>
            <w:r>
              <w:rPr>
                <w:rFonts w:ascii="Gotham Narrow Bold"/>
                <w:b/>
                <w:color w:val="FFFFFF"/>
                <w:w w:val="90"/>
                <w:sz w:val="16"/>
              </w:rPr>
              <w:t>1,321,023</w:t>
            </w:r>
          </w:p>
        </w:tc>
        <w:tc>
          <w:tcPr>
            <w:tcW w:w="964" w:type="dxa"/>
            <w:tcBorders>
              <w:top w:val="single" w:sz="4" w:space="0" w:color="FFFFFF"/>
              <w:left w:val="single" w:sz="4" w:space="0" w:color="FFFFFF"/>
              <w:bottom w:val="nil"/>
              <w:right w:val="single" w:sz="4" w:space="0" w:color="FFFFFF"/>
            </w:tcBorders>
            <w:shd w:val="clear" w:color="auto" w:fill="939598"/>
          </w:tcPr>
          <w:p>
            <w:pPr>
              <w:pStyle w:val="TableParagraph"/>
              <w:spacing w:before="44"/>
              <w:ind w:right="71"/>
              <w:rPr>
                <w:rFonts w:ascii="Gotham Narrow Bold"/>
                <w:b/>
                <w:sz w:val="16"/>
              </w:rPr>
            </w:pPr>
            <w:r>
              <w:rPr>
                <w:rFonts w:ascii="Gotham Narrow Bold"/>
                <w:b/>
                <w:color w:val="FFFFFF"/>
                <w:w w:val="90"/>
                <w:sz w:val="16"/>
              </w:rPr>
              <w:t>1,366,871</w:t>
            </w:r>
          </w:p>
        </w:tc>
        <w:tc>
          <w:tcPr>
            <w:tcW w:w="964" w:type="dxa"/>
            <w:tcBorders>
              <w:top w:val="single" w:sz="4" w:space="0" w:color="FFFFFF"/>
              <w:left w:val="single" w:sz="4" w:space="0" w:color="FFFFFF"/>
              <w:bottom w:val="nil"/>
              <w:right w:val="single" w:sz="4" w:space="0" w:color="FFFFFF"/>
            </w:tcBorders>
            <w:shd w:val="clear" w:color="auto" w:fill="939598"/>
          </w:tcPr>
          <w:p>
            <w:pPr>
              <w:pStyle w:val="TableParagraph"/>
              <w:spacing w:before="44"/>
              <w:ind w:right="72"/>
              <w:rPr>
                <w:rFonts w:ascii="Gotham Narrow Bold"/>
                <w:b/>
                <w:sz w:val="16"/>
              </w:rPr>
            </w:pPr>
            <w:r>
              <w:rPr>
                <w:rFonts w:ascii="Gotham Narrow Bold"/>
                <w:b/>
                <w:color w:val="FFFFFF"/>
                <w:w w:val="95"/>
                <w:sz w:val="16"/>
              </w:rPr>
              <w:t>1,454,991</w:t>
            </w:r>
          </w:p>
        </w:tc>
        <w:tc>
          <w:tcPr>
            <w:tcW w:w="964" w:type="dxa"/>
            <w:tcBorders>
              <w:top w:val="single" w:sz="4" w:space="0" w:color="FFFFFF"/>
              <w:left w:val="single" w:sz="4" w:space="0" w:color="FFFFFF"/>
              <w:bottom w:val="nil"/>
              <w:right w:val="single" w:sz="4" w:space="0" w:color="FFFFFF"/>
            </w:tcBorders>
            <w:shd w:val="clear" w:color="auto" w:fill="939598"/>
          </w:tcPr>
          <w:p>
            <w:pPr>
              <w:pStyle w:val="TableParagraph"/>
              <w:spacing w:before="44"/>
              <w:ind w:right="72"/>
              <w:rPr>
                <w:rFonts w:ascii="Gotham Narrow Bold"/>
                <w:b/>
                <w:sz w:val="16"/>
              </w:rPr>
            </w:pPr>
            <w:r>
              <w:rPr>
                <w:rFonts w:ascii="Gotham Narrow Bold"/>
                <w:b/>
                <w:color w:val="FFFFFF"/>
                <w:w w:val="95"/>
                <w:sz w:val="16"/>
              </w:rPr>
              <w:t>1,607,353</w:t>
            </w:r>
          </w:p>
        </w:tc>
        <w:tc>
          <w:tcPr>
            <w:tcW w:w="964" w:type="dxa"/>
            <w:tcBorders>
              <w:top w:val="single" w:sz="4" w:space="0" w:color="FFFFFF"/>
              <w:left w:val="single" w:sz="4" w:space="0" w:color="FFFFFF"/>
              <w:bottom w:val="nil"/>
              <w:right w:val="single" w:sz="4" w:space="0" w:color="FFFFFF"/>
            </w:tcBorders>
            <w:shd w:val="clear" w:color="auto" w:fill="939598"/>
          </w:tcPr>
          <w:p>
            <w:pPr>
              <w:pStyle w:val="TableParagraph"/>
              <w:spacing w:before="44"/>
              <w:ind w:right="70"/>
              <w:rPr>
                <w:rFonts w:ascii="Gotham Narrow Bold"/>
                <w:b/>
                <w:sz w:val="16"/>
              </w:rPr>
            </w:pPr>
            <w:r>
              <w:rPr>
                <w:rFonts w:ascii="Gotham Narrow Bold"/>
                <w:b/>
                <w:color w:val="FFFFFF"/>
                <w:w w:val="95"/>
                <w:sz w:val="16"/>
              </w:rPr>
              <w:t>10.5%</w:t>
            </w:r>
          </w:p>
        </w:tc>
        <w:tc>
          <w:tcPr>
            <w:tcW w:w="689" w:type="dxa"/>
            <w:tcBorders>
              <w:top w:val="single" w:sz="4" w:space="0" w:color="FFFFFF"/>
              <w:left w:val="single" w:sz="4" w:space="0" w:color="FFFFFF"/>
              <w:bottom w:val="nil"/>
              <w:right w:val="nil"/>
            </w:tcBorders>
            <w:shd w:val="clear" w:color="auto" w:fill="939598"/>
          </w:tcPr>
          <w:p>
            <w:pPr/>
          </w:p>
        </w:tc>
      </w:tr>
    </w:tbl>
    <w:p>
      <w:pPr>
        <w:pStyle w:val="BodyText"/>
        <w:spacing w:before="17"/>
        <w:ind w:left="329" w:right="7611"/>
      </w:pPr>
      <w:r>
        <w:rPr/>
        <w:t>(n.a) - not available</w:t>
      </w:r>
    </w:p>
    <w:p>
      <w:pPr>
        <w:spacing w:after="0"/>
        <w:sectPr>
          <w:pgSz w:w="11910" w:h="16840"/>
          <w:pgMar w:header="494" w:footer="473" w:top="680" w:bottom="660" w:left="580" w:right="580"/>
        </w:sectPr>
      </w:pPr>
    </w:p>
    <w:p>
      <w:pPr>
        <w:pStyle w:val="BodyText"/>
        <w:spacing w:before="7"/>
        <w:rPr>
          <w:sz w:val="28"/>
        </w:rPr>
      </w:pPr>
    </w:p>
    <w:p>
      <w:pPr>
        <w:pStyle w:val="Heading1"/>
        <w:spacing w:line="420" w:lineRule="exact" w:before="78"/>
        <w:ind w:left="295" w:right="6585"/>
      </w:pPr>
      <w:r>
        <w:rPr>
          <w:w w:val="95"/>
        </w:rPr>
        <w:t>BOARD OF TRUSTEES </w:t>
      </w:r>
      <w:r>
        <w:rPr/>
        <w:t>MEMBERS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17"/>
        </w:rPr>
      </w:pPr>
    </w:p>
    <w:p>
      <w:pPr>
        <w:pStyle w:val="Heading8"/>
        <w:ind w:left="327" w:right="7611"/>
      </w:pPr>
      <w:r>
        <w:rPr>
          <w:w w:val="95"/>
        </w:rPr>
        <w:t>OFFICIAL MEMBERS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spacing w:after="0"/>
        <w:rPr>
          <w:rFonts w:ascii="Gotham Narrow Bold"/>
          <w:sz w:val="20"/>
        </w:rPr>
        <w:sectPr>
          <w:pgSz w:w="11910" w:h="16840"/>
          <w:pgMar w:header="494" w:footer="473" w:top="680" w:bottom="660" w:left="580" w:right="580"/>
        </w:sectPr>
      </w:pPr>
    </w:p>
    <w:p>
      <w:pPr>
        <w:pStyle w:val="BodyText"/>
        <w:spacing w:before="11"/>
        <w:rPr>
          <w:rFonts w:ascii="Gotham Narrow Bold"/>
          <w:b/>
          <w:sz w:val="20"/>
        </w:rPr>
      </w:pPr>
    </w:p>
    <w:p>
      <w:pPr>
        <w:spacing w:line="166" w:lineRule="exact" w:before="0"/>
        <w:ind w:left="327" w:right="-8" w:firstLine="0"/>
        <w:jc w:val="left"/>
        <w:rPr>
          <w:sz w:val="14"/>
        </w:rPr>
      </w:pPr>
      <w:r>
        <w:rPr>
          <w:sz w:val="14"/>
        </w:rPr>
        <w:t>Professor Peter</w:t>
      </w:r>
      <w:r>
        <w:rPr>
          <w:spacing w:val="-13"/>
          <w:sz w:val="14"/>
        </w:rPr>
        <w:t> </w:t>
      </w:r>
      <w:r>
        <w:rPr>
          <w:sz w:val="14"/>
        </w:rPr>
        <w:t>Shergold AC,</w:t>
      </w:r>
      <w:r>
        <w:rPr>
          <w:spacing w:val="-5"/>
          <w:sz w:val="14"/>
        </w:rPr>
        <w:t> </w:t>
      </w:r>
      <w:r>
        <w:rPr>
          <w:sz w:val="14"/>
        </w:rPr>
        <w:t>Chancellor</w:t>
      </w:r>
    </w:p>
    <w:p>
      <w:pPr>
        <w:pStyle w:val="BodyText"/>
        <w:spacing w:before="10"/>
        <w:rPr>
          <w:sz w:val="20"/>
        </w:rPr>
      </w:pPr>
      <w:r>
        <w:rPr/>
        <w:br w:type="column"/>
      </w:r>
      <w:r>
        <w:rPr>
          <w:sz w:val="20"/>
        </w:rPr>
      </w:r>
    </w:p>
    <w:p>
      <w:pPr>
        <w:spacing w:line="166" w:lineRule="exact" w:before="0"/>
        <w:ind w:left="155" w:right="0" w:firstLine="0"/>
        <w:jc w:val="left"/>
        <w:rPr>
          <w:sz w:val="14"/>
        </w:rPr>
      </w:pPr>
      <w:r>
        <w:rPr>
          <w:sz w:val="14"/>
        </w:rPr>
        <w:t>Professor Barney</w:t>
      </w:r>
      <w:r>
        <w:rPr>
          <w:spacing w:val="-32"/>
          <w:sz w:val="14"/>
        </w:rPr>
        <w:t> </w:t>
      </w:r>
      <w:r>
        <w:rPr>
          <w:sz w:val="14"/>
        </w:rPr>
        <w:t>Glover, </w:t>
      </w:r>
      <w:r>
        <w:rPr>
          <w:spacing w:val="2"/>
          <w:sz w:val="14"/>
        </w:rPr>
        <w:t>Vice-Chancellor</w:t>
      </w:r>
    </w:p>
    <w:p>
      <w:pPr>
        <w:pStyle w:val="BodyText"/>
        <w:spacing w:before="10"/>
        <w:rPr>
          <w:sz w:val="20"/>
        </w:rPr>
      </w:pPr>
      <w:r>
        <w:rPr/>
        <w:br w:type="column"/>
      </w:r>
      <w:r>
        <w:rPr>
          <w:sz w:val="20"/>
        </w:rPr>
      </w:r>
    </w:p>
    <w:p>
      <w:pPr>
        <w:spacing w:line="166" w:lineRule="exact" w:before="0"/>
        <w:ind w:left="176" w:right="5758" w:firstLine="0"/>
        <w:jc w:val="both"/>
        <w:rPr>
          <w:sz w:val="14"/>
        </w:rPr>
      </w:pPr>
      <w:r>
        <w:rPr>
          <w:sz w:val="14"/>
        </w:rPr>
        <w:t>Associate Professor Paul Wormell, Chair of Academic Senate</w:t>
      </w:r>
    </w:p>
    <w:p>
      <w:pPr>
        <w:spacing w:after="0" w:line="166" w:lineRule="exact"/>
        <w:jc w:val="both"/>
        <w:rPr>
          <w:sz w:val="14"/>
        </w:rPr>
        <w:sectPr>
          <w:type w:val="continuous"/>
          <w:pgSz w:w="11910" w:h="16840"/>
          <w:pgMar w:top="1580" w:bottom="280" w:left="580" w:right="580"/>
          <w:cols w:num="3" w:equalWidth="0">
            <w:col w:w="1852" w:space="40"/>
            <w:col w:w="1659" w:space="40"/>
            <w:col w:w="7159"/>
          </w:cols>
        </w:sectPr>
      </w:pPr>
    </w:p>
    <w:p>
      <w:pPr>
        <w:pStyle w:val="BodyText"/>
        <w:spacing w:before="6"/>
        <w:rPr>
          <w:sz w:val="20"/>
        </w:rPr>
      </w:pPr>
    </w:p>
    <w:p>
      <w:pPr>
        <w:pStyle w:val="Heading8"/>
        <w:spacing w:before="72"/>
        <w:ind w:left="327" w:right="7611"/>
      </w:pPr>
      <w:r>
        <w:rPr>
          <w:w w:val="95"/>
        </w:rPr>
        <w:t>APPOINTED MEMBERS (MINISTERIAL)</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spacing w:after="0"/>
        <w:rPr>
          <w:rFonts w:ascii="Gotham Narrow Bold"/>
          <w:sz w:val="20"/>
        </w:rPr>
        <w:sectPr>
          <w:type w:val="continuous"/>
          <w:pgSz w:w="11910" w:h="16840"/>
          <w:pgMar w:top="1580" w:bottom="280" w:left="580" w:right="580"/>
        </w:sectPr>
      </w:pPr>
    </w:p>
    <w:p>
      <w:pPr>
        <w:pStyle w:val="BodyText"/>
        <w:spacing w:before="7"/>
        <w:rPr>
          <w:rFonts w:ascii="Gotham Narrow Bold"/>
          <w:b/>
          <w:sz w:val="19"/>
        </w:rPr>
      </w:pPr>
    </w:p>
    <w:p>
      <w:pPr>
        <w:tabs>
          <w:tab w:pos="2046" w:val="left" w:leader="none"/>
        </w:tabs>
        <w:spacing w:line="166" w:lineRule="exact" w:before="0"/>
        <w:ind w:left="2046" w:right="0" w:hanging="1720"/>
        <w:jc w:val="left"/>
        <w:rPr>
          <w:sz w:val="14"/>
        </w:rPr>
      </w:pPr>
      <w:r>
        <w:rPr>
          <w:sz w:val="14"/>
        </w:rPr>
        <w:t>Mr</w:t>
      </w:r>
      <w:r>
        <w:rPr>
          <w:spacing w:val="-12"/>
          <w:sz w:val="14"/>
        </w:rPr>
        <w:t> </w:t>
      </w:r>
      <w:r>
        <w:rPr>
          <w:sz w:val="14"/>
        </w:rPr>
        <w:t>John</w:t>
      </w:r>
      <w:r>
        <w:rPr>
          <w:spacing w:val="-12"/>
          <w:sz w:val="14"/>
        </w:rPr>
        <w:t> </w:t>
      </w:r>
      <w:r>
        <w:rPr>
          <w:spacing w:val="2"/>
          <w:sz w:val="14"/>
        </w:rPr>
        <w:t>Banks</w:t>
        <w:tab/>
      </w:r>
      <w:r>
        <w:rPr>
          <w:sz w:val="14"/>
        </w:rPr>
        <w:t>Ms</w:t>
      </w:r>
      <w:r>
        <w:rPr>
          <w:spacing w:val="-15"/>
          <w:sz w:val="14"/>
        </w:rPr>
        <w:t> </w:t>
      </w:r>
      <w:r>
        <w:rPr>
          <w:sz w:val="14"/>
        </w:rPr>
        <w:t>Elizabeth</w:t>
      </w:r>
      <w:r>
        <w:rPr>
          <w:spacing w:val="-15"/>
          <w:sz w:val="14"/>
        </w:rPr>
        <w:t> </w:t>
      </w:r>
      <w:r>
        <w:rPr>
          <w:sz w:val="14"/>
        </w:rPr>
        <w:t>Dibbs,</w:t>
      </w:r>
      <w:r>
        <w:rPr>
          <w:w w:val="68"/>
          <w:sz w:val="14"/>
        </w:rPr>
        <w:t> </w:t>
      </w:r>
      <w:r>
        <w:rPr>
          <w:sz w:val="14"/>
        </w:rPr>
        <w:t>Pro</w:t>
      </w:r>
      <w:r>
        <w:rPr>
          <w:spacing w:val="-6"/>
          <w:sz w:val="14"/>
        </w:rPr>
        <w:t> </w:t>
      </w:r>
      <w:r>
        <w:rPr>
          <w:sz w:val="14"/>
        </w:rPr>
        <w:t>Chancellor</w:t>
      </w:r>
    </w:p>
    <w:p>
      <w:pPr>
        <w:pStyle w:val="BodyText"/>
        <w:spacing w:before="11"/>
        <w:rPr>
          <w:sz w:val="18"/>
        </w:rPr>
      </w:pPr>
      <w:r>
        <w:rPr/>
        <w:br w:type="column"/>
      </w:r>
      <w:r>
        <w:rPr>
          <w:sz w:val="18"/>
        </w:rPr>
      </w:r>
    </w:p>
    <w:p>
      <w:pPr>
        <w:spacing w:before="0"/>
        <w:ind w:left="327" w:right="-13" w:firstLine="0"/>
        <w:jc w:val="left"/>
        <w:rPr>
          <w:sz w:val="14"/>
        </w:rPr>
      </w:pPr>
      <w:r>
        <w:rPr>
          <w:sz w:val="14"/>
        </w:rPr>
        <w:t>Ms Genevieve</w:t>
      </w:r>
      <w:r>
        <w:rPr>
          <w:spacing w:val="-24"/>
          <w:sz w:val="14"/>
        </w:rPr>
        <w:t> </w:t>
      </w:r>
      <w:r>
        <w:rPr>
          <w:sz w:val="14"/>
        </w:rPr>
        <w:t>Gregor</w:t>
      </w:r>
    </w:p>
    <w:p>
      <w:pPr>
        <w:pStyle w:val="BodyText"/>
        <w:spacing w:before="11"/>
        <w:rPr>
          <w:sz w:val="18"/>
        </w:rPr>
      </w:pPr>
      <w:r>
        <w:rPr/>
        <w:br w:type="column"/>
      </w:r>
      <w:r>
        <w:rPr>
          <w:sz w:val="18"/>
        </w:rPr>
      </w:r>
    </w:p>
    <w:p>
      <w:pPr>
        <w:spacing w:before="0"/>
        <w:ind w:left="327" w:right="-12" w:firstLine="0"/>
        <w:jc w:val="left"/>
        <w:rPr>
          <w:sz w:val="14"/>
        </w:rPr>
      </w:pPr>
      <w:r>
        <w:rPr>
          <w:sz w:val="14"/>
        </w:rPr>
        <w:t>Ms Vivienne</w:t>
      </w:r>
      <w:r>
        <w:rPr>
          <w:spacing w:val="-28"/>
          <w:sz w:val="14"/>
        </w:rPr>
        <w:t> </w:t>
      </w:r>
      <w:r>
        <w:rPr>
          <w:spacing w:val="2"/>
          <w:sz w:val="14"/>
        </w:rPr>
        <w:t>James</w:t>
      </w:r>
    </w:p>
    <w:p>
      <w:pPr>
        <w:pStyle w:val="BodyText"/>
        <w:spacing w:before="11"/>
        <w:rPr>
          <w:sz w:val="18"/>
        </w:rPr>
      </w:pPr>
      <w:r>
        <w:rPr/>
        <w:br w:type="column"/>
      </w:r>
      <w:r>
        <w:rPr>
          <w:sz w:val="18"/>
        </w:rPr>
      </w:r>
    </w:p>
    <w:p>
      <w:pPr>
        <w:tabs>
          <w:tab w:pos="2046" w:val="left" w:leader="none"/>
        </w:tabs>
        <w:spacing w:before="0"/>
        <w:ind w:left="327" w:right="0" w:firstLine="0"/>
        <w:jc w:val="left"/>
        <w:rPr>
          <w:sz w:val="14"/>
        </w:rPr>
      </w:pPr>
      <w:r>
        <w:rPr>
          <w:sz w:val="14"/>
        </w:rPr>
        <w:t>Mr</w:t>
      </w:r>
      <w:r>
        <w:rPr>
          <w:spacing w:val="-12"/>
          <w:sz w:val="14"/>
        </w:rPr>
        <w:t> </w:t>
      </w:r>
      <w:r>
        <w:rPr>
          <w:sz w:val="14"/>
        </w:rPr>
        <w:t>Paul</w:t>
      </w:r>
      <w:r>
        <w:rPr>
          <w:spacing w:val="-12"/>
          <w:sz w:val="14"/>
        </w:rPr>
        <w:t> </w:t>
      </w:r>
      <w:r>
        <w:rPr>
          <w:sz w:val="14"/>
        </w:rPr>
        <w:t>Newman</w:t>
        <w:tab/>
        <w:t>Mr</w:t>
      </w:r>
      <w:r>
        <w:rPr>
          <w:spacing w:val="-25"/>
          <w:sz w:val="14"/>
        </w:rPr>
        <w:t> </w:t>
      </w:r>
      <w:r>
        <w:rPr>
          <w:sz w:val="14"/>
        </w:rPr>
        <w:t>Ian</w:t>
      </w:r>
      <w:r>
        <w:rPr>
          <w:spacing w:val="-25"/>
          <w:sz w:val="14"/>
        </w:rPr>
        <w:t> </w:t>
      </w:r>
      <w:r>
        <w:rPr>
          <w:sz w:val="14"/>
        </w:rPr>
        <w:t>Stone</w:t>
      </w:r>
    </w:p>
    <w:p>
      <w:pPr>
        <w:spacing w:after="0"/>
        <w:jc w:val="left"/>
        <w:rPr>
          <w:sz w:val="14"/>
        </w:rPr>
        <w:sectPr>
          <w:type w:val="continuous"/>
          <w:pgSz w:w="11910" w:h="16840"/>
          <w:pgMar w:top="1580" w:bottom="280" w:left="580" w:right="580"/>
          <w:cols w:num="4" w:equalWidth="0">
            <w:col w:w="3228" w:space="212"/>
            <w:col w:w="1628" w:space="92"/>
            <w:col w:w="1482" w:space="237"/>
            <w:col w:w="3871"/>
          </w:cols>
        </w:sectPr>
      </w:pPr>
    </w:p>
    <w:p>
      <w:pPr>
        <w:pStyle w:val="BodyText"/>
        <w:spacing w:before="6"/>
        <w:rPr>
          <w:sz w:val="20"/>
        </w:rPr>
      </w:pPr>
    </w:p>
    <w:p>
      <w:pPr>
        <w:pStyle w:val="Heading8"/>
        <w:spacing w:before="72"/>
        <w:ind w:left="327" w:right="7611"/>
      </w:pPr>
      <w:r>
        <w:rPr>
          <w:w w:val="95"/>
        </w:rPr>
        <w:t>APPOINTED MEMBERS (BOARD)</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spacing w:after="0"/>
        <w:rPr>
          <w:rFonts w:ascii="Gotham Narrow Bold"/>
          <w:sz w:val="20"/>
        </w:rPr>
        <w:sectPr>
          <w:type w:val="continuous"/>
          <w:pgSz w:w="11910" w:h="16840"/>
          <w:pgMar w:top="1580" w:bottom="280" w:left="580" w:right="580"/>
        </w:sectPr>
      </w:pPr>
    </w:p>
    <w:p>
      <w:pPr>
        <w:pStyle w:val="BodyText"/>
        <w:spacing w:before="1"/>
        <w:rPr>
          <w:rFonts w:ascii="Gotham Narrow Bold"/>
          <w:b/>
          <w:sz w:val="19"/>
        </w:rPr>
      </w:pPr>
    </w:p>
    <w:p>
      <w:pPr>
        <w:spacing w:before="0"/>
        <w:ind w:left="327" w:right="-10" w:firstLine="0"/>
        <w:jc w:val="left"/>
        <w:rPr>
          <w:sz w:val="14"/>
        </w:rPr>
      </w:pPr>
      <w:r>
        <w:rPr>
          <w:sz w:val="14"/>
        </w:rPr>
        <w:t>Mr Christopher Brown,</w:t>
      </w:r>
      <w:r>
        <w:rPr>
          <w:spacing w:val="-28"/>
          <w:sz w:val="14"/>
        </w:rPr>
        <w:t> </w:t>
      </w:r>
      <w:r>
        <w:rPr>
          <w:sz w:val="14"/>
        </w:rPr>
        <w:t>AM</w:t>
      </w:r>
    </w:p>
    <w:p>
      <w:pPr>
        <w:pStyle w:val="BodyText"/>
        <w:spacing w:before="7"/>
        <w:rPr>
          <w:sz w:val="19"/>
        </w:rPr>
      </w:pPr>
      <w:r>
        <w:rPr/>
        <w:br w:type="column"/>
      </w:r>
      <w:r>
        <w:rPr>
          <w:sz w:val="19"/>
        </w:rPr>
      </w:r>
    </w:p>
    <w:p>
      <w:pPr>
        <w:spacing w:line="166" w:lineRule="exact" w:before="0"/>
        <w:ind w:left="73" w:right="-12" w:firstLine="0"/>
        <w:jc w:val="left"/>
        <w:rPr>
          <w:sz w:val="14"/>
        </w:rPr>
      </w:pPr>
      <w:r>
        <w:rPr>
          <w:sz w:val="14"/>
        </w:rPr>
        <w:t>Mr Michael Pratt, Deputy Chancellor</w:t>
      </w:r>
    </w:p>
    <w:p>
      <w:pPr>
        <w:pStyle w:val="BodyText"/>
        <w:spacing w:before="7"/>
        <w:rPr>
          <w:sz w:val="19"/>
        </w:rPr>
      </w:pPr>
      <w:r>
        <w:rPr/>
        <w:br w:type="column"/>
      </w:r>
      <w:r>
        <w:rPr>
          <w:sz w:val="19"/>
        </w:rPr>
      </w:r>
    </w:p>
    <w:p>
      <w:pPr>
        <w:spacing w:line="166" w:lineRule="exact" w:before="0"/>
        <w:ind w:left="327" w:right="-14" w:firstLine="0"/>
        <w:jc w:val="left"/>
        <w:rPr>
          <w:sz w:val="14"/>
        </w:rPr>
      </w:pPr>
      <w:r>
        <w:rPr>
          <w:sz w:val="14"/>
        </w:rPr>
        <w:t>Ms Gillian</w:t>
      </w:r>
      <w:r>
        <w:rPr>
          <w:spacing w:val="-33"/>
          <w:sz w:val="14"/>
        </w:rPr>
        <w:t> </w:t>
      </w:r>
      <w:r>
        <w:rPr>
          <w:sz w:val="14"/>
        </w:rPr>
        <w:t>Shadwick, </w:t>
      </w:r>
      <w:r>
        <w:rPr>
          <w:spacing w:val="2"/>
          <w:sz w:val="14"/>
        </w:rPr>
        <w:t>Deputy</w:t>
      </w:r>
      <w:r>
        <w:rPr>
          <w:spacing w:val="-13"/>
          <w:sz w:val="14"/>
        </w:rPr>
        <w:t> </w:t>
      </w:r>
      <w:r>
        <w:rPr>
          <w:sz w:val="14"/>
        </w:rPr>
        <w:t>Chancellor</w:t>
      </w:r>
    </w:p>
    <w:p>
      <w:pPr>
        <w:pStyle w:val="BodyText"/>
        <w:spacing w:before="11"/>
        <w:rPr>
          <w:sz w:val="18"/>
        </w:rPr>
      </w:pPr>
      <w:r>
        <w:rPr/>
        <w:br w:type="column"/>
      </w:r>
      <w:r>
        <w:rPr>
          <w:sz w:val="18"/>
        </w:rPr>
      </w:r>
    </w:p>
    <w:p>
      <w:pPr>
        <w:spacing w:before="1"/>
        <w:ind w:left="327" w:right="0" w:firstLine="0"/>
        <w:jc w:val="left"/>
        <w:rPr>
          <w:sz w:val="14"/>
        </w:rPr>
      </w:pPr>
      <w:r>
        <w:rPr>
          <w:sz w:val="14"/>
        </w:rPr>
        <w:t>Ms Gabrielle Trainor</w:t>
      </w:r>
    </w:p>
    <w:p>
      <w:pPr>
        <w:spacing w:after="0"/>
        <w:jc w:val="left"/>
        <w:rPr>
          <w:sz w:val="14"/>
        </w:rPr>
        <w:sectPr>
          <w:type w:val="continuous"/>
          <w:pgSz w:w="11910" w:h="16840"/>
          <w:pgMar w:top="1580" w:bottom="280" w:left="580" w:right="580"/>
          <w:cols w:num="4" w:equalWidth="0">
            <w:col w:w="1934" w:space="40"/>
            <w:col w:w="1208" w:space="257"/>
            <w:col w:w="1551" w:space="168"/>
            <w:col w:w="5592"/>
          </w:cols>
        </w:sectPr>
      </w:pPr>
    </w:p>
    <w:p>
      <w:pPr>
        <w:pStyle w:val="BodyText"/>
        <w:spacing w:before="9"/>
        <w:rPr>
          <w:sz w:val="20"/>
        </w:rPr>
      </w:pPr>
    </w:p>
    <w:p>
      <w:pPr>
        <w:pStyle w:val="Heading8"/>
        <w:spacing w:before="72"/>
        <w:ind w:left="327" w:right="7611"/>
      </w:pPr>
      <w:r>
        <w:rPr>
          <w:w w:val="95"/>
        </w:rPr>
        <w:t>ELECTED MEMBERS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spacing w:after="0"/>
        <w:rPr>
          <w:rFonts w:ascii="Gotham Narrow Bold"/>
          <w:sz w:val="20"/>
        </w:rPr>
        <w:sectPr>
          <w:type w:val="continuous"/>
          <w:pgSz w:w="11910" w:h="16840"/>
          <w:pgMar w:top="1580" w:bottom="280" w:left="580" w:right="580"/>
        </w:sectPr>
      </w:pPr>
    </w:p>
    <w:p>
      <w:pPr>
        <w:pStyle w:val="BodyText"/>
        <w:rPr>
          <w:rFonts w:ascii="Gotham Narrow Bold"/>
          <w:b/>
          <w:sz w:val="14"/>
        </w:rPr>
      </w:pPr>
      <w:r>
        <w:rPr/>
        <w:pict>
          <v:group style="position:absolute;margin-left:34.015999pt;margin-top:45.355015pt;width:527.25pt;height:751.2pt;mso-position-horizontal-relative:page;mso-position-vertical-relative:page;z-index:-333448" coordorigin="680,907" coordsize="10545,15024">
            <v:rect style="position:absolute;left:680;top:907;width:10545;height:15024" filled="true" fillcolor="#e6e7e8" stroked="false">
              <v:fill type="solid"/>
            </v:rect>
            <v:line style="position:absolute" from="907,10449" to="7605,10449" stroked="true" strokeweight="1.5pt" strokecolor="#000000"/>
            <v:shape style="position:absolute;left:907;top:10889;width:1493;height:1644" type="#_x0000_t75" stroked="false">
              <v:imagedata r:id="rId15" o:title=""/>
            </v:shape>
            <v:shape style="position:absolute;left:4346;top:10889;width:1493;height:1644" type="#_x0000_t75" stroked="false">
              <v:imagedata r:id="rId16" o:title=""/>
            </v:shape>
            <v:shape style="position:absolute;left:2627;top:10889;width:1493;height:1644" type="#_x0000_t75" stroked="false">
              <v:imagedata r:id="rId17" o:title=""/>
            </v:shape>
            <v:shape style="position:absolute;left:6066;top:10889;width:1493;height:1644" type="#_x0000_t75" stroked="false">
              <v:imagedata r:id="rId18" o:title=""/>
            </v:shape>
            <v:line style="position:absolute" from="907,7689" to="10992,7689" stroked="true" strokeweight="1.5pt" strokecolor="#000000"/>
            <v:shape style="position:absolute;left:907;top:8129;width:1493;height:1644" type="#_x0000_t75" stroked="false">
              <v:imagedata r:id="rId19" o:title=""/>
            </v:shape>
            <v:shape style="position:absolute;left:2627;top:8129;width:1493;height:1644" type="#_x0000_t75" stroked="false">
              <v:imagedata r:id="rId20" o:title=""/>
            </v:shape>
            <v:shape style="position:absolute;left:6066;top:8129;width:1493;height:1644" type="#_x0000_t75" stroked="false">
              <v:imagedata r:id="rId21" o:title=""/>
            </v:shape>
            <v:shape style="position:absolute;left:4346;top:8129;width:1493;height:1644" type="#_x0000_t75" stroked="false">
              <v:imagedata r:id="rId22" o:title=""/>
            </v:shape>
            <v:shape style="position:absolute;left:7786;top:8129;width:1493;height:1644" type="#_x0000_t75" stroked="false">
              <v:imagedata r:id="rId23" o:title=""/>
            </v:shape>
            <v:shape style="position:absolute;left:9506;top:8129;width:1493;height:1644" type="#_x0000_t75" stroked="false">
              <v:imagedata r:id="rId24" o:title=""/>
            </v:shape>
            <v:line style="position:absolute" from="907,13212" to="10992,13212" stroked="true" strokeweight="1.5pt" strokecolor="#000000"/>
            <v:shape style="position:absolute;left:907;top:13652;width:1493;height:1644" type="#_x0000_t75" stroked="false">
              <v:imagedata r:id="rId25" o:title=""/>
            </v:shape>
            <v:shape style="position:absolute;left:2627;top:13652;width:1493;height:1644" type="#_x0000_t75" stroked="false">
              <v:imagedata r:id="rId26" o:title=""/>
            </v:shape>
            <v:shape style="position:absolute;left:4346;top:13652;width:1493;height:1644" type="#_x0000_t75" stroked="false">
              <v:imagedata r:id="rId27" o:title=""/>
            </v:shape>
            <v:shape style="position:absolute;left:6066;top:13652;width:1493;height:1644" type="#_x0000_t75" stroked="false">
              <v:imagedata r:id="rId28" o:title=""/>
            </v:shape>
            <v:shape style="position:absolute;left:7786;top:13652;width:1493;height:1644" type="#_x0000_t75" stroked="false">
              <v:imagedata r:id="rId29" o:title=""/>
            </v:shape>
            <v:shape style="position:absolute;left:9506;top:13652;width:1493;height:1644" type="#_x0000_t75" stroked="false">
              <v:imagedata r:id="rId30" o:title=""/>
            </v:shape>
            <v:line style="position:absolute" from="907,4748" to="5839,4748" stroked="true" strokeweight="1.5pt" strokecolor="#000000"/>
            <v:shape style="position:absolute;left:4346;top:5187;width:1493;height:1661" type="#_x0000_t75" stroked="false">
              <v:imagedata r:id="rId31" o:title=""/>
            </v:shape>
            <v:shape style="position:absolute;left:907;top:5187;width:1493;height:1661" type="#_x0000_t75" stroked="false">
              <v:imagedata r:id="rId32" o:title=""/>
            </v:shape>
            <v:shape style="position:absolute;left:2627;top:5187;width:1493;height:1661" type="#_x0000_t75" stroked="false">
              <v:imagedata r:id="rId33" o:title=""/>
            </v:shape>
            <w10:wrap type="none"/>
          </v:group>
        </w:pict>
      </w:r>
    </w:p>
    <w:p>
      <w:pPr>
        <w:spacing w:line="166" w:lineRule="exact" w:before="91"/>
        <w:ind w:left="327" w:right="-15" w:firstLine="0"/>
        <w:jc w:val="left"/>
        <w:rPr>
          <w:sz w:val="14"/>
        </w:rPr>
      </w:pPr>
      <w:r>
        <w:rPr>
          <w:sz w:val="14"/>
        </w:rPr>
        <w:t>Mr</w:t>
      </w:r>
      <w:r>
        <w:rPr>
          <w:spacing w:val="-20"/>
          <w:sz w:val="14"/>
        </w:rPr>
        <w:t> </w:t>
      </w:r>
      <w:r>
        <w:rPr>
          <w:sz w:val="14"/>
        </w:rPr>
        <w:t>Tim</w:t>
      </w:r>
      <w:r>
        <w:rPr>
          <w:spacing w:val="-20"/>
          <w:sz w:val="14"/>
        </w:rPr>
        <w:t> </w:t>
      </w:r>
      <w:r>
        <w:rPr>
          <w:sz w:val="14"/>
        </w:rPr>
        <w:t>Ferraro, Graduate</w:t>
      </w:r>
    </w:p>
    <w:p>
      <w:pPr>
        <w:pStyle w:val="BodyText"/>
        <w:rPr>
          <w:sz w:val="14"/>
        </w:rPr>
      </w:pPr>
      <w:r>
        <w:rPr/>
        <w:br w:type="column"/>
      </w:r>
      <w:r>
        <w:rPr>
          <w:sz w:val="14"/>
        </w:rPr>
      </w:r>
    </w:p>
    <w:p>
      <w:pPr>
        <w:spacing w:line="166" w:lineRule="exact" w:before="90"/>
        <w:ind w:left="327" w:right="-13" w:firstLine="0"/>
        <w:jc w:val="left"/>
        <w:rPr>
          <w:sz w:val="14"/>
        </w:rPr>
      </w:pPr>
      <w:r>
        <w:rPr>
          <w:sz w:val="14"/>
        </w:rPr>
        <w:t>Mr Elie Hammam, Postgraduate Student</w:t>
      </w:r>
    </w:p>
    <w:p>
      <w:pPr>
        <w:pStyle w:val="BodyText"/>
        <w:rPr>
          <w:sz w:val="14"/>
        </w:rPr>
      </w:pPr>
      <w:r>
        <w:rPr/>
        <w:br w:type="column"/>
      </w:r>
      <w:r>
        <w:rPr>
          <w:sz w:val="14"/>
        </w:rPr>
      </w:r>
    </w:p>
    <w:p>
      <w:pPr>
        <w:spacing w:line="166" w:lineRule="exact" w:before="90"/>
        <w:ind w:left="327" w:right="-13" w:firstLine="0"/>
        <w:jc w:val="left"/>
        <w:rPr>
          <w:sz w:val="14"/>
        </w:rPr>
      </w:pPr>
      <w:r>
        <w:rPr>
          <w:sz w:val="14"/>
        </w:rPr>
        <w:t>Ms Sophie Kobuch, Postgraduate Student</w:t>
      </w:r>
    </w:p>
    <w:p>
      <w:pPr>
        <w:pStyle w:val="BodyText"/>
        <w:rPr>
          <w:sz w:val="14"/>
        </w:rPr>
      </w:pPr>
      <w:r>
        <w:rPr/>
        <w:br w:type="column"/>
      </w:r>
      <w:r>
        <w:rPr>
          <w:sz w:val="14"/>
        </w:rPr>
      </w:r>
    </w:p>
    <w:p>
      <w:pPr>
        <w:spacing w:line="166" w:lineRule="exact" w:before="90"/>
        <w:ind w:left="327" w:right="-12" w:firstLine="0"/>
        <w:jc w:val="left"/>
        <w:rPr>
          <w:sz w:val="14"/>
        </w:rPr>
      </w:pPr>
      <w:r>
        <w:rPr>
          <w:sz w:val="14"/>
        </w:rPr>
        <w:t>Dr George</w:t>
      </w:r>
      <w:r>
        <w:rPr>
          <w:spacing w:val="-29"/>
          <w:sz w:val="14"/>
        </w:rPr>
        <w:t> </w:t>
      </w:r>
      <w:r>
        <w:rPr>
          <w:sz w:val="14"/>
        </w:rPr>
        <w:t>Morgan, Academic</w:t>
      </w:r>
      <w:r>
        <w:rPr>
          <w:spacing w:val="9"/>
          <w:sz w:val="14"/>
        </w:rPr>
        <w:t> </w:t>
      </w:r>
      <w:r>
        <w:rPr>
          <w:sz w:val="14"/>
        </w:rPr>
        <w:t>Staff</w:t>
      </w:r>
    </w:p>
    <w:p>
      <w:pPr>
        <w:pStyle w:val="BodyText"/>
        <w:rPr>
          <w:sz w:val="14"/>
        </w:rPr>
      </w:pPr>
      <w:r>
        <w:rPr/>
        <w:br w:type="column"/>
      </w:r>
      <w:r>
        <w:rPr>
          <w:sz w:val="14"/>
        </w:rPr>
      </w:r>
    </w:p>
    <w:p>
      <w:pPr>
        <w:spacing w:line="166" w:lineRule="exact" w:before="90"/>
        <w:ind w:left="327" w:right="-17" w:firstLine="0"/>
        <w:jc w:val="left"/>
        <w:rPr>
          <w:sz w:val="14"/>
        </w:rPr>
      </w:pPr>
      <w:r>
        <w:rPr>
          <w:sz w:val="14"/>
        </w:rPr>
        <w:t>Ms Taylor Macdonald, Undergraduate Student</w:t>
      </w:r>
    </w:p>
    <w:p>
      <w:pPr>
        <w:pStyle w:val="BodyText"/>
        <w:rPr>
          <w:sz w:val="14"/>
        </w:rPr>
      </w:pPr>
      <w:r>
        <w:rPr/>
        <w:br w:type="column"/>
      </w:r>
      <w:r>
        <w:rPr>
          <w:sz w:val="14"/>
        </w:rPr>
      </w:r>
    </w:p>
    <w:p>
      <w:pPr>
        <w:spacing w:line="166" w:lineRule="exact" w:before="90"/>
        <w:ind w:left="229" w:right="303" w:firstLine="0"/>
        <w:jc w:val="left"/>
        <w:rPr>
          <w:sz w:val="14"/>
        </w:rPr>
      </w:pPr>
      <w:r>
        <w:rPr>
          <w:sz w:val="14"/>
        </w:rPr>
        <w:t>Ms Jenny Purcell, General Staff</w:t>
      </w:r>
    </w:p>
    <w:p>
      <w:pPr>
        <w:spacing w:after="0" w:line="166" w:lineRule="exact"/>
        <w:jc w:val="left"/>
        <w:rPr>
          <w:sz w:val="14"/>
        </w:rPr>
        <w:sectPr>
          <w:type w:val="continuous"/>
          <w:pgSz w:w="11910" w:h="16840"/>
          <w:pgMar w:top="1580" w:bottom="280" w:left="580" w:right="580"/>
          <w:cols w:num="6" w:equalWidth="0">
            <w:col w:w="1260" w:space="460"/>
            <w:col w:w="1670" w:space="50"/>
            <w:col w:w="1670" w:space="50"/>
            <w:col w:w="1490" w:space="232"/>
            <w:col w:w="1775" w:space="40"/>
            <w:col w:w="2053"/>
          </w:cols>
        </w:sectPr>
      </w:pPr>
    </w:p>
    <w:p>
      <w:pPr>
        <w:pStyle w:val="BodyText"/>
        <w:spacing w:before="10"/>
        <w:rPr>
          <w:sz w:val="28"/>
        </w:rPr>
      </w:pPr>
    </w:p>
    <w:p>
      <w:pPr>
        <w:pStyle w:val="Heading2"/>
        <w:spacing w:line="240" w:lineRule="auto" w:before="27"/>
        <w:ind w:right="6642"/>
        <w:rPr>
          <w:b w:val="0"/>
        </w:rPr>
      </w:pPr>
      <w:bookmarkStart w:name="_TOC_250023" w:id="2"/>
      <w:bookmarkEnd w:id="2"/>
      <w:r>
        <w:rPr>
          <w:b w:val="0"/>
        </w:rPr>
        <w:t>The Organisation</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5"/>
        </w:rPr>
      </w:pPr>
    </w:p>
    <w:p>
      <w:pPr>
        <w:spacing w:after="0"/>
        <w:rPr>
          <w:rFonts w:ascii="Chronicle Text G1"/>
          <w:sz w:val="25"/>
        </w:rPr>
        <w:sectPr>
          <w:pgSz w:w="11910" w:h="16840"/>
          <w:pgMar w:header="494" w:footer="473" w:top="680" w:bottom="660" w:left="800" w:right="800"/>
        </w:sectPr>
      </w:pPr>
    </w:p>
    <w:p>
      <w:pPr>
        <w:pStyle w:val="Heading5"/>
        <w:spacing w:line="260" w:lineRule="exact" w:before="87"/>
        <w:ind w:right="21"/>
      </w:pPr>
      <w:bookmarkStart w:name="_TOC_250022" w:id="3"/>
      <w:r>
        <w:rPr>
          <w:w w:val="95"/>
        </w:rPr>
        <w:t>CHARTER, PURPOSE AND </w:t>
      </w:r>
      <w:bookmarkEnd w:id="3"/>
      <w:r>
        <w:rPr/>
        <w:t>LEGISLATION</w:t>
      </w:r>
    </w:p>
    <w:p>
      <w:pPr>
        <w:pStyle w:val="BodyText"/>
        <w:spacing w:line="247" w:lineRule="auto" w:before="214"/>
        <w:ind w:left="107" w:right="21"/>
      </w:pPr>
      <w:r>
        <w:rPr/>
        <w:t>The University of Western Sydney is established</w:t>
      </w:r>
      <w:r>
        <w:rPr>
          <w:spacing w:val="-30"/>
        </w:rPr>
        <w:t> </w:t>
      </w:r>
      <w:r>
        <w:rPr/>
        <w:t>under</w:t>
      </w:r>
      <w:r>
        <w:rPr>
          <w:spacing w:val="-30"/>
        </w:rPr>
        <w:t> </w:t>
      </w:r>
      <w:r>
        <w:rPr/>
        <w:t>the</w:t>
      </w:r>
      <w:r>
        <w:rPr>
          <w:spacing w:val="-30"/>
        </w:rPr>
        <w:t> </w:t>
      </w:r>
      <w:r>
        <w:rPr>
          <w:rFonts w:ascii="Century Gothic"/>
          <w:i/>
        </w:rPr>
        <w:t>University</w:t>
      </w:r>
      <w:r>
        <w:rPr>
          <w:rFonts w:ascii="Century Gothic"/>
          <w:i/>
          <w:spacing w:val="-25"/>
        </w:rPr>
        <w:t> </w:t>
      </w:r>
      <w:r>
        <w:rPr>
          <w:rFonts w:ascii="Century Gothic"/>
          <w:i/>
        </w:rPr>
        <w:t>of</w:t>
      </w:r>
      <w:r>
        <w:rPr>
          <w:rFonts w:ascii="Century Gothic"/>
          <w:i/>
          <w:spacing w:val="-25"/>
        </w:rPr>
        <w:t> </w:t>
      </w:r>
      <w:r>
        <w:rPr>
          <w:rFonts w:ascii="Century Gothic"/>
          <w:i/>
        </w:rPr>
        <w:t>Western </w:t>
      </w:r>
      <w:r>
        <w:rPr>
          <w:rFonts w:ascii="Century Gothic"/>
          <w:i/>
        </w:rPr>
        <w:t>Sydney</w:t>
      </w:r>
      <w:r>
        <w:rPr>
          <w:rFonts w:ascii="Century Gothic"/>
          <w:i/>
          <w:spacing w:val="-31"/>
        </w:rPr>
        <w:t> </w:t>
      </w:r>
      <w:r>
        <w:rPr>
          <w:rFonts w:ascii="Century Gothic"/>
          <w:i/>
        </w:rPr>
        <w:t>Act</w:t>
      </w:r>
      <w:r>
        <w:rPr>
          <w:rFonts w:ascii="Century Gothic"/>
          <w:i/>
          <w:spacing w:val="-31"/>
        </w:rPr>
        <w:t> </w:t>
      </w:r>
      <w:r>
        <w:rPr>
          <w:rFonts w:ascii="Century Gothic"/>
          <w:i/>
          <w:spacing w:val="-3"/>
        </w:rPr>
        <w:t>1997</w:t>
      </w:r>
      <w:r>
        <w:rPr>
          <w:spacing w:val="-3"/>
        </w:rPr>
        <w:t>.</w:t>
      </w:r>
      <w:r>
        <w:rPr>
          <w:spacing w:val="-36"/>
        </w:rPr>
        <w:t> </w:t>
      </w:r>
      <w:r>
        <w:rPr/>
        <w:t>The</w:t>
      </w:r>
      <w:r>
        <w:rPr>
          <w:spacing w:val="-36"/>
        </w:rPr>
        <w:t> </w:t>
      </w:r>
      <w:r>
        <w:rPr/>
        <w:t>University</w:t>
      </w:r>
      <w:r>
        <w:rPr>
          <w:spacing w:val="-36"/>
        </w:rPr>
        <w:t> </w:t>
      </w:r>
      <w:r>
        <w:rPr/>
        <w:t>operates</w:t>
      </w:r>
      <w:r>
        <w:rPr>
          <w:spacing w:val="-36"/>
        </w:rPr>
        <w:t> </w:t>
      </w:r>
      <w:r>
        <w:rPr/>
        <w:t>in accordance</w:t>
      </w:r>
      <w:r>
        <w:rPr>
          <w:spacing w:val="-13"/>
        </w:rPr>
        <w:t> </w:t>
      </w:r>
      <w:r>
        <w:rPr/>
        <w:t>with</w:t>
      </w:r>
      <w:r>
        <w:rPr>
          <w:spacing w:val="-13"/>
        </w:rPr>
        <w:t> </w:t>
      </w:r>
      <w:r>
        <w:rPr/>
        <w:t>this</w:t>
      </w:r>
      <w:r>
        <w:rPr>
          <w:spacing w:val="-13"/>
        </w:rPr>
        <w:t> </w:t>
      </w:r>
      <w:r>
        <w:rPr/>
        <w:t>Act</w:t>
      </w:r>
      <w:r>
        <w:rPr>
          <w:spacing w:val="-13"/>
        </w:rPr>
        <w:t> </w:t>
      </w:r>
      <w:r>
        <w:rPr/>
        <w:t>and</w:t>
      </w:r>
      <w:r>
        <w:rPr>
          <w:spacing w:val="-13"/>
        </w:rPr>
        <w:t> </w:t>
      </w:r>
      <w:r>
        <w:rPr/>
        <w:t>the</w:t>
      </w:r>
      <w:r>
        <w:rPr>
          <w:spacing w:val="-13"/>
        </w:rPr>
        <w:t> </w:t>
      </w:r>
      <w:r>
        <w:rPr/>
        <w:t>associated University</w:t>
      </w:r>
      <w:r>
        <w:rPr>
          <w:spacing w:val="-15"/>
        </w:rPr>
        <w:t> </w:t>
      </w:r>
      <w:r>
        <w:rPr/>
        <w:t>of</w:t>
      </w:r>
      <w:r>
        <w:rPr>
          <w:spacing w:val="-15"/>
        </w:rPr>
        <w:t> </w:t>
      </w:r>
      <w:r>
        <w:rPr/>
        <w:t>Western</w:t>
      </w:r>
      <w:r>
        <w:rPr>
          <w:spacing w:val="-15"/>
        </w:rPr>
        <w:t> </w:t>
      </w:r>
      <w:r>
        <w:rPr/>
        <w:t>Sydney</w:t>
      </w:r>
      <w:r>
        <w:rPr>
          <w:spacing w:val="-15"/>
        </w:rPr>
        <w:t> </w:t>
      </w:r>
      <w:r>
        <w:rPr/>
        <w:t>By-law</w:t>
      </w:r>
      <w:r>
        <w:rPr>
          <w:spacing w:val="-15"/>
        </w:rPr>
        <w:t> </w:t>
      </w:r>
      <w:r>
        <w:rPr>
          <w:spacing w:val="2"/>
        </w:rPr>
        <w:t>2005.</w:t>
      </w:r>
    </w:p>
    <w:p>
      <w:pPr>
        <w:pStyle w:val="BodyText"/>
        <w:spacing w:before="2"/>
        <w:rPr>
          <w:sz w:val="14"/>
        </w:rPr>
      </w:pPr>
    </w:p>
    <w:p>
      <w:pPr>
        <w:pStyle w:val="BodyText"/>
        <w:spacing w:line="249" w:lineRule="auto"/>
        <w:ind w:left="107" w:right="21"/>
      </w:pPr>
      <w:r>
        <w:rPr/>
        <w:t>The Act constitutes the University and prescribes its functions and the authority of its governing body, the Board of Trustees. Section</w:t>
      </w:r>
      <w:r>
        <w:rPr>
          <w:spacing w:val="-16"/>
        </w:rPr>
        <w:t> </w:t>
      </w:r>
      <w:r>
        <w:rPr>
          <w:spacing w:val="2"/>
        </w:rPr>
        <w:t>8(1)</w:t>
      </w:r>
      <w:r>
        <w:rPr>
          <w:spacing w:val="-16"/>
        </w:rPr>
        <w:t> </w:t>
      </w:r>
      <w:r>
        <w:rPr/>
        <w:t>of</w:t>
      </w:r>
      <w:r>
        <w:rPr>
          <w:spacing w:val="-16"/>
        </w:rPr>
        <w:t> </w:t>
      </w:r>
      <w:r>
        <w:rPr/>
        <w:t>the</w:t>
      </w:r>
      <w:r>
        <w:rPr>
          <w:spacing w:val="-16"/>
        </w:rPr>
        <w:t> </w:t>
      </w:r>
      <w:r>
        <w:rPr/>
        <w:t>Act</w:t>
      </w:r>
      <w:r>
        <w:rPr>
          <w:spacing w:val="-16"/>
        </w:rPr>
        <w:t> </w:t>
      </w:r>
      <w:r>
        <w:rPr/>
        <w:t>defines</w:t>
      </w:r>
      <w:r>
        <w:rPr>
          <w:spacing w:val="-16"/>
        </w:rPr>
        <w:t> </w:t>
      </w:r>
      <w:r>
        <w:rPr/>
        <w:t>the</w:t>
      </w:r>
      <w:r>
        <w:rPr>
          <w:spacing w:val="-16"/>
        </w:rPr>
        <w:t> </w:t>
      </w:r>
      <w:r>
        <w:rPr/>
        <w:t>core</w:t>
      </w:r>
      <w:r>
        <w:rPr>
          <w:spacing w:val="-16"/>
        </w:rPr>
        <w:t> </w:t>
      </w:r>
      <w:r>
        <w:rPr/>
        <w:t>object of</w:t>
      </w:r>
      <w:r>
        <w:rPr>
          <w:spacing w:val="-19"/>
        </w:rPr>
        <w:t> </w:t>
      </w:r>
      <w:r>
        <w:rPr/>
        <w:t>the</w:t>
      </w:r>
      <w:r>
        <w:rPr>
          <w:spacing w:val="-19"/>
        </w:rPr>
        <w:t> </w:t>
      </w:r>
      <w:r>
        <w:rPr/>
        <w:t>University</w:t>
      </w:r>
      <w:r>
        <w:rPr>
          <w:spacing w:val="-19"/>
        </w:rPr>
        <w:t> </w:t>
      </w:r>
      <w:r>
        <w:rPr/>
        <w:t>as</w:t>
      </w:r>
      <w:r>
        <w:rPr>
          <w:spacing w:val="-19"/>
        </w:rPr>
        <w:t> </w:t>
      </w:r>
      <w:r>
        <w:rPr/>
        <w:t>follows:</w:t>
      </w:r>
      <w:r>
        <w:rPr>
          <w:spacing w:val="-19"/>
        </w:rPr>
        <w:t> </w:t>
      </w:r>
      <w:r>
        <w:rPr>
          <w:spacing w:val="2"/>
        </w:rPr>
        <w:t>“The</w:t>
      </w:r>
      <w:r>
        <w:rPr>
          <w:spacing w:val="-19"/>
        </w:rPr>
        <w:t> </w:t>
      </w:r>
      <w:r>
        <w:rPr/>
        <w:t>object</w:t>
      </w:r>
      <w:r>
        <w:rPr>
          <w:spacing w:val="-19"/>
        </w:rPr>
        <w:t> </w:t>
      </w:r>
      <w:r>
        <w:rPr/>
        <w:t>of</w:t>
      </w:r>
      <w:r>
        <w:rPr>
          <w:spacing w:val="-19"/>
        </w:rPr>
        <w:t> </w:t>
      </w:r>
      <w:r>
        <w:rPr/>
        <w:t>the University is the promotion, within the limits of the University’s resources, of scholarship, research, free inquiry, the interaction of research and teaching, and academic excellence.”</w:t>
      </w:r>
    </w:p>
    <w:p>
      <w:pPr>
        <w:pStyle w:val="BodyText"/>
        <w:rPr>
          <w:sz w:val="14"/>
        </w:rPr>
      </w:pPr>
    </w:p>
    <w:p>
      <w:pPr>
        <w:pStyle w:val="BodyText"/>
        <w:spacing w:line="249" w:lineRule="auto"/>
        <w:ind w:left="107" w:right="21"/>
      </w:pPr>
      <w:r>
        <w:rPr/>
        <w:t>The</w:t>
      </w:r>
      <w:r>
        <w:rPr>
          <w:spacing w:val="-16"/>
        </w:rPr>
        <w:t> </w:t>
      </w:r>
      <w:r>
        <w:rPr/>
        <w:t>Act</w:t>
      </w:r>
      <w:r>
        <w:rPr>
          <w:spacing w:val="-16"/>
        </w:rPr>
        <w:t> </w:t>
      </w:r>
      <w:r>
        <w:rPr/>
        <w:t>also</w:t>
      </w:r>
      <w:r>
        <w:rPr>
          <w:spacing w:val="-16"/>
        </w:rPr>
        <w:t> </w:t>
      </w:r>
      <w:r>
        <w:rPr/>
        <w:t>requires</w:t>
      </w:r>
      <w:r>
        <w:rPr>
          <w:spacing w:val="-16"/>
        </w:rPr>
        <w:t> </w:t>
      </w:r>
      <w:r>
        <w:rPr/>
        <w:t>the</w:t>
      </w:r>
      <w:r>
        <w:rPr>
          <w:spacing w:val="-16"/>
        </w:rPr>
        <w:t> </w:t>
      </w:r>
      <w:r>
        <w:rPr/>
        <w:t>University</w:t>
      </w:r>
      <w:r>
        <w:rPr>
          <w:spacing w:val="-16"/>
        </w:rPr>
        <w:t> </w:t>
      </w:r>
      <w:r>
        <w:rPr/>
        <w:t>to</w:t>
      </w:r>
      <w:r>
        <w:rPr>
          <w:spacing w:val="-16"/>
        </w:rPr>
        <w:t> </w:t>
      </w:r>
      <w:r>
        <w:rPr/>
        <w:t>have particular regard to the needs of Western Sydney</w:t>
      </w:r>
      <w:r>
        <w:rPr>
          <w:spacing w:val="-21"/>
        </w:rPr>
        <w:t> </w:t>
      </w:r>
      <w:r>
        <w:rPr/>
        <w:t>in</w:t>
      </w:r>
      <w:r>
        <w:rPr>
          <w:spacing w:val="-21"/>
        </w:rPr>
        <w:t> </w:t>
      </w:r>
      <w:r>
        <w:rPr/>
        <w:t>fulfilling</w:t>
      </w:r>
      <w:r>
        <w:rPr>
          <w:spacing w:val="-21"/>
        </w:rPr>
        <w:t> </w:t>
      </w:r>
      <w:r>
        <w:rPr/>
        <w:t>this</w:t>
      </w:r>
      <w:r>
        <w:rPr>
          <w:spacing w:val="-21"/>
        </w:rPr>
        <w:t> </w:t>
      </w:r>
      <w:r>
        <w:rPr/>
        <w:t>object.</w:t>
      </w:r>
    </w:p>
    <w:p>
      <w:pPr>
        <w:pStyle w:val="BodyText"/>
        <w:spacing w:before="6"/>
        <w:rPr>
          <w:sz w:val="22"/>
        </w:rPr>
      </w:pPr>
    </w:p>
    <w:p>
      <w:pPr>
        <w:pStyle w:val="Heading5"/>
        <w:ind w:right="21"/>
      </w:pPr>
      <w:bookmarkStart w:name="_TOC_250021" w:id="4"/>
      <w:bookmarkEnd w:id="4"/>
      <w:r>
        <w:rPr>
          <w:w w:val="95"/>
        </w:rPr>
        <w:t>BOARD OF TRUSTEES</w:t>
      </w:r>
    </w:p>
    <w:p>
      <w:pPr>
        <w:pStyle w:val="BodyText"/>
        <w:rPr>
          <w:rFonts w:ascii="Gotham Narrow Bold"/>
          <w:b/>
          <w:sz w:val="25"/>
        </w:rPr>
      </w:pPr>
    </w:p>
    <w:p>
      <w:pPr>
        <w:pStyle w:val="Heading8"/>
        <w:ind w:right="21"/>
      </w:pPr>
      <w:r>
        <w:rPr>
          <w:w w:val="95"/>
        </w:rPr>
        <w:t>BOARD CHARTER</w:t>
      </w:r>
    </w:p>
    <w:p>
      <w:pPr>
        <w:pStyle w:val="BodyText"/>
        <w:spacing w:line="247" w:lineRule="auto" w:before="86"/>
        <w:ind w:left="107" w:right="211"/>
      </w:pPr>
      <w:r>
        <w:rPr/>
        <w:t>The Board of Trustees is the governing authority of the University, with functions prescribed</w:t>
      </w:r>
      <w:r>
        <w:rPr>
          <w:spacing w:val="-30"/>
        </w:rPr>
        <w:t> </w:t>
      </w:r>
      <w:r>
        <w:rPr/>
        <w:t>under</w:t>
      </w:r>
      <w:r>
        <w:rPr>
          <w:spacing w:val="-30"/>
        </w:rPr>
        <w:t> </w:t>
      </w:r>
      <w:r>
        <w:rPr/>
        <w:t>the</w:t>
      </w:r>
      <w:r>
        <w:rPr>
          <w:spacing w:val="-30"/>
        </w:rPr>
        <w:t> </w:t>
      </w:r>
      <w:r>
        <w:rPr>
          <w:rFonts w:ascii="Century Gothic" w:hAnsi="Century Gothic"/>
          <w:i/>
        </w:rPr>
        <w:t>University</w:t>
      </w:r>
      <w:r>
        <w:rPr>
          <w:rFonts w:ascii="Century Gothic" w:hAnsi="Century Gothic"/>
          <w:i/>
          <w:spacing w:val="-25"/>
        </w:rPr>
        <w:t> </w:t>
      </w:r>
      <w:r>
        <w:rPr>
          <w:rFonts w:ascii="Century Gothic" w:hAnsi="Century Gothic"/>
          <w:i/>
        </w:rPr>
        <w:t>of</w:t>
      </w:r>
      <w:r>
        <w:rPr>
          <w:rFonts w:ascii="Century Gothic" w:hAnsi="Century Gothic"/>
          <w:i/>
          <w:spacing w:val="-25"/>
        </w:rPr>
        <w:t> </w:t>
      </w:r>
      <w:r>
        <w:rPr>
          <w:rFonts w:ascii="Century Gothic" w:hAnsi="Century Gothic"/>
          <w:i/>
        </w:rPr>
        <w:t>Western </w:t>
      </w:r>
      <w:r>
        <w:rPr>
          <w:rFonts w:ascii="Century Gothic" w:hAnsi="Century Gothic"/>
          <w:i/>
        </w:rPr>
        <w:t>Sydney</w:t>
      </w:r>
      <w:r>
        <w:rPr>
          <w:rFonts w:ascii="Century Gothic" w:hAnsi="Century Gothic"/>
          <w:i/>
          <w:spacing w:val="-29"/>
        </w:rPr>
        <w:t> </w:t>
      </w:r>
      <w:r>
        <w:rPr>
          <w:rFonts w:ascii="Century Gothic" w:hAnsi="Century Gothic"/>
          <w:i/>
        </w:rPr>
        <w:t>Act</w:t>
      </w:r>
      <w:r>
        <w:rPr>
          <w:rFonts w:ascii="Century Gothic" w:hAnsi="Century Gothic"/>
          <w:i/>
          <w:spacing w:val="-29"/>
        </w:rPr>
        <w:t> </w:t>
      </w:r>
      <w:r>
        <w:rPr>
          <w:rFonts w:ascii="Century Gothic" w:hAnsi="Century Gothic"/>
          <w:i/>
          <w:spacing w:val="-3"/>
        </w:rPr>
        <w:t>1997</w:t>
      </w:r>
      <w:r>
        <w:rPr>
          <w:spacing w:val="-3"/>
        </w:rPr>
        <w:t>.</w:t>
      </w:r>
      <w:r>
        <w:rPr>
          <w:spacing w:val="-34"/>
        </w:rPr>
        <w:t> </w:t>
      </w:r>
      <w:r>
        <w:rPr/>
        <w:t>The</w:t>
      </w:r>
      <w:r>
        <w:rPr>
          <w:spacing w:val="-34"/>
        </w:rPr>
        <w:t> </w:t>
      </w:r>
      <w:r>
        <w:rPr/>
        <w:t>Board</w:t>
      </w:r>
      <w:r>
        <w:rPr>
          <w:spacing w:val="-34"/>
        </w:rPr>
        <w:t> </w:t>
      </w:r>
      <w:r>
        <w:rPr>
          <w:spacing w:val="2"/>
        </w:rPr>
        <w:t>acts</w:t>
      </w:r>
      <w:r>
        <w:rPr>
          <w:spacing w:val="-34"/>
        </w:rPr>
        <w:t> </w:t>
      </w:r>
      <w:r>
        <w:rPr/>
        <w:t>for</w:t>
      </w:r>
      <w:r>
        <w:rPr>
          <w:spacing w:val="-34"/>
        </w:rPr>
        <w:t> </w:t>
      </w:r>
      <w:r>
        <w:rPr/>
        <w:t>and</w:t>
      </w:r>
      <w:r>
        <w:rPr>
          <w:spacing w:val="-34"/>
        </w:rPr>
        <w:t> </w:t>
      </w:r>
      <w:r>
        <w:rPr/>
        <w:t>on behalf of the University. Its key functions are</w:t>
      </w:r>
      <w:r>
        <w:rPr>
          <w:spacing w:val="-13"/>
        </w:rPr>
        <w:t> </w:t>
      </w:r>
      <w:r>
        <w:rPr/>
        <w:t>to</w:t>
      </w:r>
      <w:r>
        <w:rPr>
          <w:spacing w:val="-13"/>
        </w:rPr>
        <w:t> </w:t>
      </w:r>
      <w:r>
        <w:rPr/>
        <w:t>develop</w:t>
      </w:r>
      <w:r>
        <w:rPr>
          <w:spacing w:val="-13"/>
        </w:rPr>
        <w:t> </w:t>
      </w:r>
      <w:r>
        <w:rPr/>
        <w:t>broad</w:t>
      </w:r>
      <w:r>
        <w:rPr>
          <w:spacing w:val="-13"/>
        </w:rPr>
        <w:t> </w:t>
      </w:r>
      <w:r>
        <w:rPr/>
        <w:t>policies</w:t>
      </w:r>
      <w:r>
        <w:rPr>
          <w:spacing w:val="-13"/>
        </w:rPr>
        <w:t> </w:t>
      </w:r>
      <w:r>
        <w:rPr/>
        <w:t>and</w:t>
      </w:r>
      <w:r>
        <w:rPr>
          <w:spacing w:val="-13"/>
        </w:rPr>
        <w:t> </w:t>
      </w:r>
      <w:r>
        <w:rPr/>
        <w:t>strategic plans with respect to the University, to manage the University’s resources and to monitor</w:t>
      </w:r>
      <w:r>
        <w:rPr>
          <w:spacing w:val="-19"/>
        </w:rPr>
        <w:t> </w:t>
      </w:r>
      <w:r>
        <w:rPr/>
        <w:t>the</w:t>
      </w:r>
      <w:r>
        <w:rPr>
          <w:spacing w:val="-19"/>
        </w:rPr>
        <w:t> </w:t>
      </w:r>
      <w:r>
        <w:rPr/>
        <w:t>University’s</w:t>
      </w:r>
      <w:r>
        <w:rPr>
          <w:spacing w:val="-19"/>
        </w:rPr>
        <w:t> </w:t>
      </w:r>
      <w:r>
        <w:rPr/>
        <w:t>performance.</w:t>
      </w:r>
      <w:r>
        <w:rPr>
          <w:spacing w:val="-19"/>
        </w:rPr>
        <w:t> </w:t>
      </w:r>
      <w:r>
        <w:rPr/>
        <w:t>The members</w:t>
      </w:r>
      <w:r>
        <w:rPr>
          <w:spacing w:val="-17"/>
        </w:rPr>
        <w:t> </w:t>
      </w:r>
      <w:r>
        <w:rPr/>
        <w:t>–</w:t>
      </w:r>
      <w:r>
        <w:rPr>
          <w:spacing w:val="-17"/>
        </w:rPr>
        <w:t> </w:t>
      </w:r>
      <w:r>
        <w:rPr/>
        <w:t>official,</w:t>
      </w:r>
      <w:r>
        <w:rPr>
          <w:spacing w:val="-17"/>
        </w:rPr>
        <w:t> </w:t>
      </w:r>
      <w:r>
        <w:rPr/>
        <w:t>appointed</w:t>
      </w:r>
      <w:r>
        <w:rPr>
          <w:spacing w:val="-17"/>
        </w:rPr>
        <w:t> </w:t>
      </w:r>
      <w:r>
        <w:rPr/>
        <w:t>and</w:t>
      </w:r>
      <w:r>
        <w:rPr>
          <w:spacing w:val="-17"/>
        </w:rPr>
        <w:t> </w:t>
      </w:r>
      <w:r>
        <w:rPr/>
        <w:t>elected</w:t>
      </w:r>
    </w:p>
    <w:p>
      <w:pPr>
        <w:pStyle w:val="BodyText"/>
        <w:spacing w:line="249" w:lineRule="auto" w:before="1"/>
        <w:ind w:left="107" w:right="211"/>
      </w:pPr>
      <w:r>
        <w:rPr/>
        <w:t>– meet approximately six times each year including</w:t>
      </w:r>
      <w:r>
        <w:rPr>
          <w:spacing w:val="-17"/>
        </w:rPr>
        <w:t> </w:t>
      </w:r>
      <w:r>
        <w:rPr/>
        <w:t>for</w:t>
      </w:r>
      <w:r>
        <w:rPr>
          <w:spacing w:val="-17"/>
        </w:rPr>
        <w:t> </w:t>
      </w:r>
      <w:r>
        <w:rPr/>
        <w:t>a</w:t>
      </w:r>
      <w:r>
        <w:rPr>
          <w:spacing w:val="-17"/>
        </w:rPr>
        <w:t> </w:t>
      </w:r>
      <w:r>
        <w:rPr/>
        <w:t>strategic</w:t>
      </w:r>
      <w:r>
        <w:rPr>
          <w:spacing w:val="-17"/>
        </w:rPr>
        <w:t> </w:t>
      </w:r>
      <w:r>
        <w:rPr/>
        <w:t>planning</w:t>
      </w:r>
      <w:r>
        <w:rPr>
          <w:spacing w:val="-17"/>
        </w:rPr>
        <w:t> </w:t>
      </w:r>
      <w:r>
        <w:rPr/>
        <w:t>day.</w:t>
      </w:r>
      <w:r>
        <w:rPr>
          <w:spacing w:val="-17"/>
        </w:rPr>
        <w:t> </w:t>
      </w:r>
      <w:r>
        <w:rPr/>
        <w:t>The Board</w:t>
      </w:r>
      <w:r>
        <w:rPr>
          <w:spacing w:val="-13"/>
        </w:rPr>
        <w:t> </w:t>
      </w:r>
      <w:r>
        <w:rPr/>
        <w:t>is</w:t>
      </w:r>
      <w:r>
        <w:rPr>
          <w:spacing w:val="-13"/>
        </w:rPr>
        <w:t> </w:t>
      </w:r>
      <w:r>
        <w:rPr/>
        <w:t>supported</w:t>
      </w:r>
      <w:r>
        <w:rPr>
          <w:spacing w:val="-13"/>
        </w:rPr>
        <w:t> </w:t>
      </w:r>
      <w:r>
        <w:rPr/>
        <w:t>in</w:t>
      </w:r>
      <w:r>
        <w:rPr>
          <w:spacing w:val="-13"/>
        </w:rPr>
        <w:t> </w:t>
      </w:r>
      <w:r>
        <w:rPr/>
        <w:t>its</w:t>
      </w:r>
      <w:r>
        <w:rPr>
          <w:spacing w:val="-13"/>
        </w:rPr>
        <w:t> </w:t>
      </w:r>
      <w:r>
        <w:rPr/>
        <w:t>work</w:t>
      </w:r>
      <w:r>
        <w:rPr>
          <w:spacing w:val="-13"/>
        </w:rPr>
        <w:t> </w:t>
      </w:r>
      <w:r>
        <w:rPr/>
        <w:t>by</w:t>
      </w:r>
      <w:r>
        <w:rPr>
          <w:spacing w:val="-13"/>
        </w:rPr>
        <w:t> </w:t>
      </w:r>
      <w:r>
        <w:rPr/>
        <w:t>a</w:t>
      </w:r>
      <w:r>
        <w:rPr>
          <w:spacing w:val="-13"/>
        </w:rPr>
        <w:t> </w:t>
      </w:r>
      <w:r>
        <w:rPr/>
        <w:t>number of specialist committees and two advisory councils.</w:t>
      </w:r>
    </w:p>
    <w:p>
      <w:pPr>
        <w:pStyle w:val="BodyText"/>
        <w:rPr>
          <w:sz w:val="14"/>
        </w:rPr>
      </w:pPr>
    </w:p>
    <w:p>
      <w:pPr>
        <w:pStyle w:val="BodyText"/>
        <w:spacing w:line="247" w:lineRule="auto"/>
        <w:ind w:left="107" w:right="-12"/>
        <w:rPr>
          <w:rFonts w:ascii="Calibri" w:hAnsi="Calibri"/>
        </w:rPr>
      </w:pPr>
      <w:r>
        <w:rPr/>
        <w:t>Details</w:t>
      </w:r>
      <w:r>
        <w:rPr>
          <w:spacing w:val="-17"/>
        </w:rPr>
        <w:t> </w:t>
      </w:r>
      <w:r>
        <w:rPr/>
        <w:t>about</w:t>
      </w:r>
      <w:r>
        <w:rPr>
          <w:spacing w:val="-17"/>
        </w:rPr>
        <w:t> </w:t>
      </w:r>
      <w:r>
        <w:rPr/>
        <w:t>the</w:t>
      </w:r>
      <w:r>
        <w:rPr>
          <w:spacing w:val="-17"/>
        </w:rPr>
        <w:t> </w:t>
      </w:r>
      <w:r>
        <w:rPr/>
        <w:t>Board,</w:t>
      </w:r>
      <w:r>
        <w:rPr>
          <w:spacing w:val="-17"/>
        </w:rPr>
        <w:t> </w:t>
      </w:r>
      <w:r>
        <w:rPr/>
        <w:t>including</w:t>
      </w:r>
      <w:r>
        <w:rPr>
          <w:spacing w:val="-17"/>
        </w:rPr>
        <w:t> </w:t>
      </w:r>
      <w:r>
        <w:rPr/>
        <w:t>summaries and</w:t>
      </w:r>
      <w:r>
        <w:rPr>
          <w:spacing w:val="-19"/>
        </w:rPr>
        <w:t> </w:t>
      </w:r>
      <w:r>
        <w:rPr/>
        <w:t>minutes</w:t>
      </w:r>
      <w:r>
        <w:rPr>
          <w:spacing w:val="-19"/>
        </w:rPr>
        <w:t> </w:t>
      </w:r>
      <w:r>
        <w:rPr/>
        <w:t>of</w:t>
      </w:r>
      <w:r>
        <w:rPr>
          <w:spacing w:val="-19"/>
        </w:rPr>
        <w:t> </w:t>
      </w:r>
      <w:r>
        <w:rPr/>
        <w:t>meetings,</w:t>
      </w:r>
      <w:r>
        <w:rPr>
          <w:spacing w:val="-19"/>
        </w:rPr>
        <w:t> </w:t>
      </w:r>
      <w:r>
        <w:rPr/>
        <w:t>are</w:t>
      </w:r>
      <w:r>
        <w:rPr>
          <w:spacing w:val="-19"/>
        </w:rPr>
        <w:t> </w:t>
      </w:r>
      <w:r>
        <w:rPr/>
        <w:t>published</w:t>
      </w:r>
      <w:r>
        <w:rPr>
          <w:spacing w:val="-19"/>
        </w:rPr>
        <w:t> </w:t>
      </w:r>
      <w:r>
        <w:rPr/>
        <w:t>on</w:t>
      </w:r>
      <w:r>
        <w:rPr>
          <w:spacing w:val="-19"/>
        </w:rPr>
        <w:t> </w:t>
      </w:r>
      <w:r>
        <w:rPr/>
        <w:t>the University’s website: </w:t>
      </w:r>
      <w:r>
        <w:rPr>
          <w:rFonts w:ascii="Calibri" w:hAnsi="Calibri"/>
        </w:rPr>
        <w:t>westernsydney.edu.au/ </w:t>
      </w:r>
      <w:r>
        <w:rPr>
          <w:rFonts w:ascii="Calibri" w:hAnsi="Calibri"/>
          <w:spacing w:val="2"/>
        </w:rPr>
        <w:t>about_uws/leadership/board_of_trustees</w:t>
      </w:r>
    </w:p>
    <w:p>
      <w:pPr>
        <w:pStyle w:val="BodyText"/>
        <w:spacing w:before="2"/>
        <w:rPr>
          <w:rFonts w:ascii="Calibri"/>
          <w:sz w:val="13"/>
        </w:rPr>
      </w:pPr>
    </w:p>
    <w:p>
      <w:pPr>
        <w:pStyle w:val="BodyText"/>
        <w:spacing w:line="249" w:lineRule="auto"/>
        <w:ind w:left="107" w:right="277"/>
        <w:jc w:val="both"/>
      </w:pPr>
      <w:r>
        <w:rPr/>
        <w:t>The</w:t>
      </w:r>
      <w:r>
        <w:rPr>
          <w:spacing w:val="-15"/>
        </w:rPr>
        <w:t> </w:t>
      </w:r>
      <w:r>
        <w:rPr/>
        <w:t>compliance</w:t>
      </w:r>
      <w:r>
        <w:rPr>
          <w:spacing w:val="-15"/>
        </w:rPr>
        <w:t> </w:t>
      </w:r>
      <w:r>
        <w:rPr/>
        <w:t>statement</w:t>
      </w:r>
      <w:r>
        <w:rPr>
          <w:spacing w:val="-15"/>
        </w:rPr>
        <w:t> </w:t>
      </w:r>
      <w:r>
        <w:rPr/>
        <w:t>of</w:t>
      </w:r>
      <w:r>
        <w:rPr>
          <w:spacing w:val="-15"/>
        </w:rPr>
        <w:t> </w:t>
      </w:r>
      <w:r>
        <w:rPr/>
        <w:t>the</w:t>
      </w:r>
      <w:r>
        <w:rPr>
          <w:spacing w:val="-15"/>
        </w:rPr>
        <w:t> </w:t>
      </w:r>
      <w:r>
        <w:rPr/>
        <w:t>Board</w:t>
      </w:r>
      <w:r>
        <w:rPr>
          <w:spacing w:val="-15"/>
        </w:rPr>
        <w:t> </w:t>
      </w:r>
      <w:r>
        <w:rPr/>
        <w:t>of Trustees</w:t>
      </w:r>
      <w:r>
        <w:rPr>
          <w:spacing w:val="-16"/>
        </w:rPr>
        <w:t> </w:t>
      </w:r>
      <w:r>
        <w:rPr/>
        <w:t>is</w:t>
      </w:r>
      <w:r>
        <w:rPr>
          <w:spacing w:val="-16"/>
        </w:rPr>
        <w:t> </w:t>
      </w:r>
      <w:r>
        <w:rPr/>
        <w:t>contained</w:t>
      </w:r>
      <w:r>
        <w:rPr>
          <w:spacing w:val="-16"/>
        </w:rPr>
        <w:t> </w:t>
      </w:r>
      <w:r>
        <w:rPr/>
        <w:t>in</w:t>
      </w:r>
      <w:r>
        <w:rPr>
          <w:spacing w:val="-16"/>
        </w:rPr>
        <w:t> </w:t>
      </w:r>
      <w:r>
        <w:rPr/>
        <w:t>Appendix</w:t>
      </w:r>
      <w:r>
        <w:rPr>
          <w:spacing w:val="-16"/>
        </w:rPr>
        <w:t> </w:t>
      </w:r>
      <w:r>
        <w:rPr/>
        <w:t>5</w:t>
      </w:r>
      <w:r>
        <w:rPr>
          <w:spacing w:val="-16"/>
        </w:rPr>
        <w:t> </w:t>
      </w:r>
      <w:r>
        <w:rPr/>
        <w:t>of</w:t>
      </w:r>
      <w:r>
        <w:rPr>
          <w:spacing w:val="-16"/>
        </w:rPr>
        <w:t> </w:t>
      </w:r>
      <w:r>
        <w:rPr/>
        <w:t>this report.</w:t>
      </w:r>
    </w:p>
    <w:p>
      <w:pPr>
        <w:pStyle w:val="Heading8"/>
        <w:spacing w:line="249" w:lineRule="auto" w:before="77"/>
        <w:ind w:right="58"/>
      </w:pPr>
      <w:r>
        <w:rPr>
          <w:b w:val="0"/>
        </w:rPr>
        <w:br w:type="column"/>
      </w:r>
      <w:r>
        <w:rPr/>
        <w:t>SUMMARY</w:t>
      </w:r>
      <w:r>
        <w:rPr>
          <w:spacing w:val="-28"/>
        </w:rPr>
        <w:t> </w:t>
      </w:r>
      <w:r>
        <w:rPr/>
        <w:t>OF</w:t>
      </w:r>
      <w:r>
        <w:rPr>
          <w:spacing w:val="-28"/>
        </w:rPr>
        <w:t> </w:t>
      </w:r>
      <w:r>
        <w:rPr>
          <w:spacing w:val="2"/>
        </w:rPr>
        <w:t>KEY</w:t>
      </w:r>
      <w:r>
        <w:rPr>
          <w:spacing w:val="-28"/>
        </w:rPr>
        <w:t> </w:t>
      </w:r>
      <w:r>
        <w:rPr/>
        <w:t>BOARD</w:t>
      </w:r>
      <w:r>
        <w:rPr>
          <w:spacing w:val="-28"/>
        </w:rPr>
        <w:t> </w:t>
      </w:r>
      <w:r>
        <w:rPr/>
        <w:t>DELIBERATIONS IN</w:t>
      </w:r>
      <w:r>
        <w:rPr>
          <w:spacing w:val="-27"/>
        </w:rPr>
        <w:t> </w:t>
      </w:r>
      <w:r>
        <w:rPr/>
        <w:t>2015</w:t>
      </w:r>
    </w:p>
    <w:p>
      <w:pPr>
        <w:pStyle w:val="BodyText"/>
        <w:spacing w:line="247" w:lineRule="auto" w:before="79"/>
        <w:ind w:left="107" w:right="76"/>
      </w:pPr>
      <w:r>
        <w:rPr/>
        <w:t>The Board approved the final version of the </w:t>
      </w:r>
      <w:r>
        <w:rPr>
          <w:w w:val="95"/>
        </w:rPr>
        <w:t>University’s strategic plan, </w:t>
      </w:r>
      <w:r>
        <w:rPr>
          <w:rFonts w:ascii="Century Gothic" w:hAnsi="Century Gothic"/>
          <w:i/>
          <w:w w:val="95"/>
        </w:rPr>
        <w:t>Securing Success: </w:t>
      </w:r>
      <w:r>
        <w:rPr>
          <w:rFonts w:ascii="Century Gothic" w:hAnsi="Century Gothic"/>
          <w:i/>
        </w:rPr>
        <w:t>2015–2020</w:t>
      </w:r>
      <w:r>
        <w:rPr/>
        <w:t>,</w:t>
      </w:r>
      <w:r>
        <w:rPr>
          <w:spacing w:val="-27"/>
        </w:rPr>
        <w:t> </w:t>
      </w:r>
      <w:r>
        <w:rPr/>
        <w:t>following</w:t>
      </w:r>
      <w:r>
        <w:rPr>
          <w:spacing w:val="-27"/>
        </w:rPr>
        <w:t> </w:t>
      </w:r>
      <w:r>
        <w:rPr/>
        <w:t>a</w:t>
      </w:r>
      <w:r>
        <w:rPr>
          <w:spacing w:val="-27"/>
        </w:rPr>
        <w:t> </w:t>
      </w:r>
      <w:r>
        <w:rPr/>
        <w:t>lengthy</w:t>
      </w:r>
      <w:r>
        <w:rPr>
          <w:spacing w:val="-27"/>
        </w:rPr>
        <w:t> </w:t>
      </w:r>
      <w:r>
        <w:rPr/>
        <w:t>and</w:t>
      </w:r>
      <w:r>
        <w:rPr>
          <w:spacing w:val="-27"/>
        </w:rPr>
        <w:t> </w:t>
      </w:r>
      <w:r>
        <w:rPr/>
        <w:t>extensive consultation period with staff, students and </w:t>
      </w:r>
      <w:r>
        <w:rPr>
          <w:spacing w:val="1"/>
          <w:w w:val="96"/>
        </w:rPr>
        <w:t>external</w:t>
      </w:r>
      <w:r>
        <w:rPr>
          <w:w w:val="96"/>
        </w:rPr>
        <w:t> </w:t>
      </w:r>
      <w:r>
        <w:rPr>
          <w:spacing w:val="1"/>
          <w:w w:val="97"/>
        </w:rPr>
        <w:t>stakeholders</w:t>
      </w:r>
      <w:r>
        <w:rPr>
          <w:w w:val="97"/>
        </w:rPr>
        <w:t> </w:t>
      </w:r>
      <w:r>
        <w:rPr>
          <w:spacing w:val="1"/>
          <w:w w:val="97"/>
        </w:rPr>
        <w:t>during</w:t>
      </w:r>
      <w:r>
        <w:rPr>
          <w:w w:val="97"/>
        </w:rPr>
        <w:t> </w:t>
      </w:r>
      <w:r>
        <w:rPr>
          <w:spacing w:val="1"/>
          <w:w w:val="86"/>
        </w:rPr>
        <w:t>2014.</w:t>
      </w:r>
      <w:r>
        <w:rPr>
          <w:w w:val="86"/>
        </w:rPr>
        <w:t> </w:t>
      </w:r>
      <w:r>
        <w:rPr>
          <w:spacing w:val="1"/>
          <w:w w:val="94"/>
        </w:rPr>
        <w:t>The</w:t>
      </w:r>
      <w:r>
        <w:rPr>
          <w:spacing w:val="-25"/>
          <w:w w:val="94"/>
        </w:rPr>
        <w:t> </w:t>
      </w:r>
      <w:r>
        <w:rPr>
          <w:spacing w:val="1"/>
          <w:w w:val="99"/>
        </w:rPr>
        <w:t>Board</w:t>
      </w:r>
      <w:r>
        <w:rPr>
          <w:w w:val="99"/>
        </w:rPr>
        <w:t> </w:t>
      </w:r>
      <w:r>
        <w:rPr/>
        <w:t>also endorsed the proposed measures for </w:t>
      </w:r>
      <w:r>
        <w:rPr>
          <w:rFonts w:ascii="Century Gothic" w:hAnsi="Century Gothic"/>
          <w:i/>
        </w:rPr>
        <w:t>Securing</w:t>
      </w:r>
      <w:r>
        <w:rPr>
          <w:rFonts w:ascii="Century Gothic" w:hAnsi="Century Gothic"/>
          <w:i/>
          <w:spacing w:val="-25"/>
        </w:rPr>
        <w:t> </w:t>
      </w:r>
      <w:r>
        <w:rPr>
          <w:rFonts w:ascii="Century Gothic" w:hAnsi="Century Gothic"/>
          <w:i/>
        </w:rPr>
        <w:t>Success</w:t>
      </w:r>
      <w:r>
        <w:rPr/>
        <w:t>,</w:t>
      </w:r>
      <w:r>
        <w:rPr>
          <w:spacing w:val="-31"/>
        </w:rPr>
        <w:t> </w:t>
      </w:r>
      <w:r>
        <w:rPr/>
        <w:t>and</w:t>
      </w:r>
      <w:r>
        <w:rPr>
          <w:spacing w:val="-31"/>
        </w:rPr>
        <w:t> </w:t>
      </w:r>
      <w:r>
        <w:rPr/>
        <w:t>the</w:t>
      </w:r>
      <w:r>
        <w:rPr>
          <w:spacing w:val="-31"/>
        </w:rPr>
        <w:t> </w:t>
      </w:r>
      <w:r>
        <w:rPr/>
        <w:t>proposed</w:t>
      </w:r>
      <w:r>
        <w:rPr>
          <w:spacing w:val="-31"/>
        </w:rPr>
        <w:t> </w:t>
      </w:r>
      <w:r>
        <w:rPr/>
        <w:t>targets for</w:t>
      </w:r>
      <w:r>
        <w:rPr>
          <w:spacing w:val="-27"/>
        </w:rPr>
        <w:t> </w:t>
      </w:r>
      <w:r>
        <w:rPr/>
        <w:t>2017</w:t>
      </w:r>
      <w:r>
        <w:rPr>
          <w:spacing w:val="-27"/>
        </w:rPr>
        <w:t> </w:t>
      </w:r>
      <w:r>
        <w:rPr/>
        <w:t>and</w:t>
      </w:r>
      <w:r>
        <w:rPr>
          <w:spacing w:val="-27"/>
        </w:rPr>
        <w:t> </w:t>
      </w:r>
      <w:r>
        <w:rPr/>
        <w:t>2020.</w:t>
      </w:r>
    </w:p>
    <w:p>
      <w:pPr>
        <w:pStyle w:val="BodyText"/>
        <w:spacing w:before="2"/>
        <w:rPr>
          <w:sz w:val="14"/>
        </w:rPr>
      </w:pPr>
    </w:p>
    <w:p>
      <w:pPr>
        <w:pStyle w:val="BodyText"/>
        <w:spacing w:line="249" w:lineRule="auto"/>
        <w:ind w:left="107" w:right="147"/>
      </w:pPr>
      <w:r>
        <w:rPr/>
        <w:t>The Board approved the establishment of the</w:t>
      </w:r>
      <w:r>
        <w:rPr>
          <w:spacing w:val="-20"/>
        </w:rPr>
        <w:t> </w:t>
      </w:r>
      <w:r>
        <w:rPr/>
        <w:t>Western</w:t>
      </w:r>
      <w:r>
        <w:rPr>
          <w:spacing w:val="-20"/>
        </w:rPr>
        <w:t> </w:t>
      </w:r>
      <w:r>
        <w:rPr/>
        <w:t>Sydney</w:t>
      </w:r>
      <w:r>
        <w:rPr>
          <w:spacing w:val="-20"/>
        </w:rPr>
        <w:t> </w:t>
      </w:r>
      <w:r>
        <w:rPr/>
        <w:t>Institute</w:t>
      </w:r>
      <w:r>
        <w:rPr>
          <w:spacing w:val="-20"/>
        </w:rPr>
        <w:t> </w:t>
      </w:r>
      <w:r>
        <w:rPr/>
        <w:t>for</w:t>
      </w:r>
      <w:r>
        <w:rPr>
          <w:spacing w:val="-20"/>
        </w:rPr>
        <w:t> </w:t>
      </w:r>
      <w:r>
        <w:rPr/>
        <w:t>Population and Community Health (later renamed the Translational</w:t>
      </w:r>
      <w:r>
        <w:rPr>
          <w:spacing w:val="-30"/>
        </w:rPr>
        <w:t> </w:t>
      </w:r>
      <w:r>
        <w:rPr/>
        <w:t>Health</w:t>
      </w:r>
      <w:r>
        <w:rPr>
          <w:spacing w:val="-30"/>
        </w:rPr>
        <w:t> </w:t>
      </w:r>
      <w:r>
        <w:rPr/>
        <w:t>Research</w:t>
      </w:r>
      <w:r>
        <w:rPr>
          <w:spacing w:val="-30"/>
        </w:rPr>
        <w:t> </w:t>
      </w:r>
      <w:r>
        <w:rPr/>
        <w:t>Institute)</w:t>
      </w:r>
      <w:r>
        <w:rPr>
          <w:spacing w:val="-30"/>
        </w:rPr>
        <w:t> </w:t>
      </w:r>
      <w:r>
        <w:rPr/>
        <w:t>and the Australia-China Institute for </w:t>
      </w:r>
      <w:r>
        <w:rPr>
          <w:spacing w:val="2"/>
        </w:rPr>
        <w:t>Arts </w:t>
      </w:r>
      <w:r>
        <w:rPr/>
        <w:t>and Culture.</w:t>
      </w:r>
      <w:r>
        <w:rPr>
          <w:spacing w:val="-17"/>
        </w:rPr>
        <w:t> </w:t>
      </w:r>
      <w:r>
        <w:rPr/>
        <w:t>The</w:t>
      </w:r>
      <w:r>
        <w:rPr>
          <w:spacing w:val="-17"/>
        </w:rPr>
        <w:t> </w:t>
      </w:r>
      <w:r>
        <w:rPr/>
        <w:t>Board</w:t>
      </w:r>
      <w:r>
        <w:rPr>
          <w:spacing w:val="-17"/>
        </w:rPr>
        <w:t> </w:t>
      </w:r>
      <w:r>
        <w:rPr/>
        <w:t>approved</w:t>
      </w:r>
      <w:r>
        <w:rPr>
          <w:spacing w:val="-17"/>
        </w:rPr>
        <w:t> </w:t>
      </w:r>
      <w:r>
        <w:rPr/>
        <w:t>the</w:t>
      </w:r>
      <w:r>
        <w:rPr>
          <w:spacing w:val="-17"/>
        </w:rPr>
        <w:t> </w:t>
      </w:r>
      <w:r>
        <w:rPr/>
        <w:t>University entering into a joint venture agreement with Navitas Ltd to establish the UWS International College as a key enabler for the University’s international strategy. The Board also approved the establishment of the Campbelltown Clinical School, jointly funded</w:t>
      </w:r>
      <w:r>
        <w:rPr>
          <w:spacing w:val="-15"/>
        </w:rPr>
        <w:t> </w:t>
      </w:r>
      <w:r>
        <w:rPr/>
        <w:t>by</w:t>
      </w:r>
      <w:r>
        <w:rPr>
          <w:spacing w:val="-15"/>
        </w:rPr>
        <w:t> </w:t>
      </w:r>
      <w:r>
        <w:rPr/>
        <w:t>the</w:t>
      </w:r>
      <w:r>
        <w:rPr>
          <w:spacing w:val="-15"/>
        </w:rPr>
        <w:t> </w:t>
      </w:r>
      <w:r>
        <w:rPr/>
        <w:t>University</w:t>
      </w:r>
      <w:r>
        <w:rPr>
          <w:spacing w:val="-15"/>
        </w:rPr>
        <w:t> </w:t>
      </w:r>
      <w:r>
        <w:rPr/>
        <w:t>and</w:t>
      </w:r>
      <w:r>
        <w:rPr>
          <w:spacing w:val="-15"/>
        </w:rPr>
        <w:t> </w:t>
      </w:r>
      <w:r>
        <w:rPr/>
        <w:t>the</w:t>
      </w:r>
      <w:r>
        <w:rPr>
          <w:spacing w:val="-15"/>
        </w:rPr>
        <w:t> </w:t>
      </w:r>
      <w:r>
        <w:rPr/>
        <w:t>Health</w:t>
      </w:r>
    </w:p>
    <w:p>
      <w:pPr>
        <w:pStyle w:val="BodyText"/>
        <w:spacing w:line="249" w:lineRule="auto"/>
        <w:ind w:left="107" w:right="58"/>
      </w:pPr>
      <w:r>
        <w:rPr/>
        <w:t>Administration Corporation, which owns the land on which the facility will be built.</w:t>
      </w:r>
    </w:p>
    <w:p>
      <w:pPr>
        <w:pStyle w:val="BodyText"/>
        <w:rPr>
          <w:sz w:val="14"/>
        </w:rPr>
      </w:pPr>
    </w:p>
    <w:p>
      <w:pPr>
        <w:pStyle w:val="BodyText"/>
        <w:spacing w:line="249" w:lineRule="auto"/>
        <w:ind w:left="107" w:right="113"/>
      </w:pPr>
      <w:r>
        <w:rPr/>
        <w:t>The Board approved a significant marketing investment to launch the new University brand, emphasising how the University’s unique geographical position in Australia’s third-largest and fastest growing economy helps students, staff and communities tap into a global perspective and unlimited</w:t>
      </w:r>
    </w:p>
    <w:p>
      <w:pPr>
        <w:pStyle w:val="BodyText"/>
        <w:spacing w:line="247" w:lineRule="auto"/>
        <w:ind w:left="107" w:right="-11"/>
      </w:pPr>
      <w:r>
        <w:rPr/>
        <w:t>opportunity.</w:t>
      </w:r>
      <w:r>
        <w:rPr>
          <w:spacing w:val="-22"/>
        </w:rPr>
        <w:t> </w:t>
      </w:r>
      <w:r>
        <w:rPr/>
        <w:t>In</w:t>
      </w:r>
      <w:r>
        <w:rPr>
          <w:spacing w:val="-22"/>
        </w:rPr>
        <w:t> </w:t>
      </w:r>
      <w:r>
        <w:rPr/>
        <w:t>line</w:t>
      </w:r>
      <w:r>
        <w:rPr>
          <w:spacing w:val="-22"/>
        </w:rPr>
        <w:t> </w:t>
      </w:r>
      <w:r>
        <w:rPr/>
        <w:t>with</w:t>
      </w:r>
      <w:r>
        <w:rPr>
          <w:spacing w:val="-22"/>
        </w:rPr>
        <w:t> </w:t>
      </w:r>
      <w:r>
        <w:rPr/>
        <w:t>the</w:t>
      </w:r>
      <w:r>
        <w:rPr>
          <w:spacing w:val="-22"/>
        </w:rPr>
        <w:t> </w:t>
      </w:r>
      <w:r>
        <w:rPr/>
        <w:t>branding</w:t>
      </w:r>
      <w:r>
        <w:rPr>
          <w:spacing w:val="-22"/>
        </w:rPr>
        <w:t> </w:t>
      </w:r>
      <w:r>
        <w:rPr/>
        <w:t>strategy, the Board approved a proposal to change the name of the University to Western Sydney University. This will require a change to the </w:t>
      </w:r>
      <w:r>
        <w:rPr>
          <w:rFonts w:ascii="Century Gothic"/>
          <w:i/>
          <w:w w:val="95"/>
        </w:rPr>
        <w:t>University</w:t>
      </w:r>
      <w:r>
        <w:rPr>
          <w:rFonts w:ascii="Century Gothic"/>
          <w:i/>
          <w:spacing w:val="-17"/>
          <w:w w:val="95"/>
        </w:rPr>
        <w:t> </w:t>
      </w:r>
      <w:r>
        <w:rPr>
          <w:rFonts w:ascii="Century Gothic"/>
          <w:i/>
          <w:w w:val="95"/>
        </w:rPr>
        <w:t>of</w:t>
      </w:r>
      <w:r>
        <w:rPr>
          <w:rFonts w:ascii="Century Gothic"/>
          <w:i/>
          <w:spacing w:val="-17"/>
          <w:w w:val="95"/>
        </w:rPr>
        <w:t> </w:t>
      </w:r>
      <w:r>
        <w:rPr>
          <w:rFonts w:ascii="Century Gothic"/>
          <w:i/>
          <w:w w:val="95"/>
        </w:rPr>
        <w:t>Western</w:t>
      </w:r>
      <w:r>
        <w:rPr>
          <w:rFonts w:ascii="Century Gothic"/>
          <w:i/>
          <w:spacing w:val="-17"/>
          <w:w w:val="95"/>
        </w:rPr>
        <w:t> </w:t>
      </w:r>
      <w:r>
        <w:rPr>
          <w:rFonts w:ascii="Century Gothic"/>
          <w:i/>
          <w:w w:val="95"/>
        </w:rPr>
        <w:t>Sydney</w:t>
      </w:r>
      <w:r>
        <w:rPr>
          <w:rFonts w:ascii="Century Gothic"/>
          <w:i/>
          <w:spacing w:val="-17"/>
          <w:w w:val="95"/>
        </w:rPr>
        <w:t> </w:t>
      </w:r>
      <w:r>
        <w:rPr>
          <w:rFonts w:ascii="Century Gothic"/>
          <w:i/>
          <w:w w:val="95"/>
        </w:rPr>
        <w:t>Act</w:t>
      </w:r>
      <w:r>
        <w:rPr>
          <w:rFonts w:ascii="Century Gothic"/>
          <w:i/>
          <w:spacing w:val="-17"/>
          <w:w w:val="95"/>
        </w:rPr>
        <w:t> </w:t>
      </w:r>
      <w:r>
        <w:rPr>
          <w:rFonts w:ascii="Century Gothic"/>
          <w:i/>
          <w:spacing w:val="-3"/>
          <w:w w:val="95"/>
        </w:rPr>
        <w:t>1997</w:t>
      </w:r>
      <w:r>
        <w:rPr>
          <w:spacing w:val="-3"/>
          <w:w w:val="95"/>
        </w:rPr>
        <w:t>,</w:t>
      </w:r>
      <w:r>
        <w:rPr>
          <w:spacing w:val="-22"/>
          <w:w w:val="95"/>
        </w:rPr>
        <w:t> </w:t>
      </w:r>
      <w:r>
        <w:rPr>
          <w:w w:val="95"/>
        </w:rPr>
        <w:t>which </w:t>
      </w:r>
      <w:r>
        <w:rPr>
          <w:w w:val="95"/>
        </w:rPr>
        <w:t>is</w:t>
      </w:r>
      <w:r>
        <w:rPr>
          <w:spacing w:val="-8"/>
          <w:w w:val="95"/>
        </w:rPr>
        <w:t> </w:t>
      </w:r>
      <w:r>
        <w:rPr>
          <w:spacing w:val="1"/>
          <w:w w:val="99"/>
        </w:rPr>
        <w:t>expected</w:t>
      </w:r>
      <w:r>
        <w:rPr>
          <w:spacing w:val="-10"/>
          <w:w w:val="99"/>
        </w:rPr>
        <w:t> </w:t>
      </w:r>
      <w:r>
        <w:rPr>
          <w:spacing w:val="-1"/>
          <w:w w:val="101"/>
        </w:rPr>
        <w:t>to</w:t>
      </w:r>
      <w:r>
        <w:rPr>
          <w:spacing w:val="-11"/>
          <w:w w:val="101"/>
        </w:rPr>
        <w:t> </w:t>
      </w:r>
      <w:r>
        <w:rPr>
          <w:spacing w:val="1"/>
          <w:w w:val="99"/>
        </w:rPr>
        <w:t>occur</w:t>
      </w:r>
      <w:r>
        <w:rPr>
          <w:spacing w:val="-10"/>
          <w:w w:val="99"/>
        </w:rPr>
        <w:t> </w:t>
      </w:r>
      <w:r>
        <w:rPr>
          <w:spacing w:val="1"/>
          <w:w w:val="97"/>
        </w:rPr>
        <w:t>during</w:t>
      </w:r>
      <w:r>
        <w:rPr>
          <w:spacing w:val="-9"/>
          <w:w w:val="97"/>
        </w:rPr>
        <w:t> </w:t>
      </w:r>
      <w:r>
        <w:rPr>
          <w:spacing w:val="2"/>
          <w:w w:val="85"/>
        </w:rPr>
        <w:t>2016.</w:t>
      </w:r>
    </w:p>
    <w:p>
      <w:pPr>
        <w:pStyle w:val="BodyText"/>
        <w:spacing w:before="2"/>
        <w:rPr>
          <w:sz w:val="14"/>
        </w:rPr>
      </w:pPr>
    </w:p>
    <w:p>
      <w:pPr>
        <w:pStyle w:val="BodyText"/>
        <w:spacing w:line="249" w:lineRule="auto"/>
        <w:ind w:left="107" w:right="-7"/>
      </w:pPr>
      <w:r>
        <w:rPr/>
        <w:t>The</w:t>
      </w:r>
      <w:r>
        <w:rPr>
          <w:spacing w:val="-23"/>
        </w:rPr>
        <w:t> </w:t>
      </w:r>
      <w:r>
        <w:rPr/>
        <w:t>Board</w:t>
      </w:r>
      <w:r>
        <w:rPr>
          <w:spacing w:val="-23"/>
        </w:rPr>
        <w:t> </w:t>
      </w:r>
      <w:r>
        <w:rPr/>
        <w:t>engaged</w:t>
      </w:r>
      <w:r>
        <w:rPr>
          <w:spacing w:val="-23"/>
        </w:rPr>
        <w:t> </w:t>
      </w:r>
      <w:r>
        <w:rPr/>
        <w:t>a</w:t>
      </w:r>
      <w:r>
        <w:rPr>
          <w:spacing w:val="-23"/>
        </w:rPr>
        <w:t> </w:t>
      </w:r>
      <w:r>
        <w:rPr/>
        <w:t>consultant</w:t>
      </w:r>
      <w:r>
        <w:rPr>
          <w:spacing w:val="-23"/>
        </w:rPr>
        <w:t> </w:t>
      </w:r>
      <w:r>
        <w:rPr/>
        <w:t>to</w:t>
      </w:r>
      <w:r>
        <w:rPr>
          <w:spacing w:val="-23"/>
        </w:rPr>
        <w:t> </w:t>
      </w:r>
      <w:r>
        <w:rPr/>
        <w:t>undertake an external review of the performance of the governing</w:t>
      </w:r>
      <w:r>
        <w:rPr>
          <w:spacing w:val="-27"/>
        </w:rPr>
        <w:t> </w:t>
      </w:r>
      <w:r>
        <w:rPr/>
        <w:t>body</w:t>
      </w:r>
      <w:r>
        <w:rPr>
          <w:spacing w:val="-27"/>
        </w:rPr>
        <w:t> </w:t>
      </w:r>
      <w:r>
        <w:rPr/>
        <w:t>and</w:t>
      </w:r>
      <w:r>
        <w:rPr>
          <w:spacing w:val="-27"/>
        </w:rPr>
        <w:t> </w:t>
      </w:r>
      <w:r>
        <w:rPr/>
        <w:t>its</w:t>
      </w:r>
      <w:r>
        <w:rPr>
          <w:spacing w:val="-27"/>
        </w:rPr>
        <w:t> </w:t>
      </w:r>
      <w:r>
        <w:rPr/>
        <w:t>committees.</w:t>
      </w:r>
      <w:r>
        <w:rPr>
          <w:spacing w:val="-27"/>
        </w:rPr>
        <w:t> </w:t>
      </w:r>
      <w:r>
        <w:rPr/>
        <w:t>The</w:t>
      </w:r>
      <w:r>
        <w:rPr>
          <w:spacing w:val="-27"/>
        </w:rPr>
        <w:t> </w:t>
      </w:r>
      <w:r>
        <w:rPr/>
        <w:t>review affirmed</w:t>
      </w:r>
      <w:r>
        <w:rPr>
          <w:spacing w:val="-22"/>
        </w:rPr>
        <w:t> </w:t>
      </w:r>
      <w:r>
        <w:rPr/>
        <w:t>the</w:t>
      </w:r>
      <w:r>
        <w:rPr>
          <w:spacing w:val="-22"/>
        </w:rPr>
        <w:t> </w:t>
      </w:r>
      <w:r>
        <w:rPr/>
        <w:t>effectiveness</w:t>
      </w:r>
      <w:r>
        <w:rPr>
          <w:spacing w:val="-22"/>
        </w:rPr>
        <w:t> </w:t>
      </w:r>
      <w:r>
        <w:rPr/>
        <w:t>of</w:t>
      </w:r>
      <w:r>
        <w:rPr>
          <w:spacing w:val="-22"/>
        </w:rPr>
        <w:t> </w:t>
      </w:r>
      <w:r>
        <w:rPr/>
        <w:t>the</w:t>
      </w:r>
      <w:r>
        <w:rPr>
          <w:spacing w:val="-22"/>
        </w:rPr>
        <w:t> </w:t>
      </w:r>
      <w:r>
        <w:rPr/>
        <w:t>Board</w:t>
      </w:r>
      <w:r>
        <w:rPr>
          <w:spacing w:val="-22"/>
        </w:rPr>
        <w:t> </w:t>
      </w:r>
      <w:r>
        <w:rPr/>
        <w:t>and</w:t>
      </w:r>
      <w:r>
        <w:rPr>
          <w:spacing w:val="-22"/>
        </w:rPr>
        <w:t> </w:t>
      </w:r>
      <w:r>
        <w:rPr/>
        <w:t>its committees, and provided recommendations for</w:t>
      </w:r>
      <w:r>
        <w:rPr>
          <w:spacing w:val="-28"/>
        </w:rPr>
        <w:t> </w:t>
      </w:r>
      <w:r>
        <w:rPr/>
        <w:t>further</w:t>
      </w:r>
      <w:r>
        <w:rPr>
          <w:spacing w:val="-28"/>
        </w:rPr>
        <w:t> </w:t>
      </w:r>
      <w:r>
        <w:rPr/>
        <w:t>improvements.</w:t>
      </w:r>
      <w:r>
        <w:rPr>
          <w:spacing w:val="-28"/>
        </w:rPr>
        <w:t> </w:t>
      </w:r>
      <w:r>
        <w:rPr/>
        <w:t>The</w:t>
      </w:r>
      <w:r>
        <w:rPr>
          <w:spacing w:val="-28"/>
        </w:rPr>
        <w:t> </w:t>
      </w:r>
      <w:r>
        <w:rPr/>
        <w:t>Board</w:t>
      </w:r>
      <w:r>
        <w:rPr>
          <w:spacing w:val="-28"/>
        </w:rPr>
        <w:t> </w:t>
      </w:r>
      <w:r>
        <w:rPr/>
        <w:t>approved the review report, and the recommendations are to be implemented in accordance with an implementation</w:t>
      </w:r>
      <w:r>
        <w:rPr>
          <w:spacing w:val="-29"/>
        </w:rPr>
        <w:t> </w:t>
      </w:r>
      <w:r>
        <w:rPr/>
        <w:t>plan</w:t>
      </w:r>
      <w:r>
        <w:rPr>
          <w:spacing w:val="-29"/>
        </w:rPr>
        <w:t> </w:t>
      </w:r>
      <w:r>
        <w:rPr/>
        <w:t>provided</w:t>
      </w:r>
      <w:r>
        <w:rPr>
          <w:spacing w:val="-29"/>
        </w:rPr>
        <w:t> </w:t>
      </w:r>
      <w:r>
        <w:rPr/>
        <w:t>to</w:t>
      </w:r>
      <w:r>
        <w:rPr>
          <w:spacing w:val="-29"/>
        </w:rPr>
        <w:t> </w:t>
      </w:r>
      <w:r>
        <w:rPr/>
        <w:t>the</w:t>
      </w:r>
      <w:r>
        <w:rPr>
          <w:spacing w:val="-29"/>
        </w:rPr>
        <w:t> </w:t>
      </w:r>
      <w:r>
        <w:rPr/>
        <w:t>Board.</w:t>
      </w:r>
    </w:p>
    <w:p>
      <w:pPr>
        <w:pStyle w:val="BodyText"/>
        <w:rPr>
          <w:sz w:val="14"/>
        </w:rPr>
      </w:pPr>
    </w:p>
    <w:p>
      <w:pPr>
        <w:pStyle w:val="BodyText"/>
        <w:spacing w:line="249" w:lineRule="auto"/>
        <w:ind w:left="107" w:right="373"/>
      </w:pPr>
      <w:r>
        <w:rPr/>
        <w:t>At its annual strategy day, the Board considered the importance of the digital environment in higher education, and</w:t>
      </w:r>
    </w:p>
    <w:p>
      <w:pPr>
        <w:pStyle w:val="BodyText"/>
        <w:spacing w:line="249" w:lineRule="auto" w:before="71"/>
        <w:ind w:left="107" w:right="287"/>
      </w:pPr>
      <w:r>
        <w:rPr/>
        <w:br w:type="column"/>
      </w:r>
      <w:r>
        <w:rPr/>
        <w:t>the University’s response to the digital environment. The Board also endorsed the rebranding strategy for the University and considered plans to reconceptualise the University’s campus network.</w:t>
      </w:r>
    </w:p>
    <w:p>
      <w:pPr>
        <w:pStyle w:val="BodyText"/>
        <w:rPr>
          <w:sz w:val="14"/>
        </w:rPr>
      </w:pPr>
    </w:p>
    <w:p>
      <w:pPr>
        <w:pStyle w:val="BodyText"/>
        <w:spacing w:line="249" w:lineRule="auto"/>
        <w:ind w:left="107" w:right="287"/>
      </w:pPr>
      <w:r>
        <w:rPr/>
        <w:t>The Board approved the strategy for developing the Westmead campus and, following a tender process, approved the sale</w:t>
      </w:r>
      <w:r>
        <w:rPr>
          <w:spacing w:val="-16"/>
        </w:rPr>
        <w:t> </w:t>
      </w:r>
      <w:r>
        <w:rPr/>
        <w:t>of</w:t>
      </w:r>
      <w:r>
        <w:rPr>
          <w:spacing w:val="-16"/>
        </w:rPr>
        <w:t> </w:t>
      </w:r>
      <w:r>
        <w:rPr/>
        <w:t>the</w:t>
      </w:r>
      <w:r>
        <w:rPr>
          <w:spacing w:val="-16"/>
        </w:rPr>
        <w:t> </w:t>
      </w:r>
      <w:r>
        <w:rPr/>
        <w:t>residential</w:t>
      </w:r>
      <w:r>
        <w:rPr>
          <w:spacing w:val="-16"/>
        </w:rPr>
        <w:t> </w:t>
      </w:r>
      <w:r>
        <w:rPr/>
        <w:t>lots</w:t>
      </w:r>
      <w:r>
        <w:rPr>
          <w:spacing w:val="-16"/>
        </w:rPr>
        <w:t> </w:t>
      </w:r>
      <w:r>
        <w:rPr/>
        <w:t>on</w:t>
      </w:r>
      <w:r>
        <w:rPr>
          <w:spacing w:val="-16"/>
        </w:rPr>
        <w:t> </w:t>
      </w:r>
      <w:r>
        <w:rPr/>
        <w:t>the</w:t>
      </w:r>
      <w:r>
        <w:rPr>
          <w:spacing w:val="-16"/>
        </w:rPr>
        <w:t> </w:t>
      </w:r>
      <w:r>
        <w:rPr/>
        <w:t>Westmead campus</w:t>
      </w:r>
      <w:r>
        <w:rPr>
          <w:spacing w:val="-22"/>
        </w:rPr>
        <w:t> </w:t>
      </w:r>
      <w:r>
        <w:rPr/>
        <w:t>to</w:t>
      </w:r>
      <w:r>
        <w:rPr>
          <w:spacing w:val="-22"/>
        </w:rPr>
        <w:t> </w:t>
      </w:r>
      <w:r>
        <w:rPr>
          <w:spacing w:val="2"/>
        </w:rPr>
        <w:t>DeiCorp.</w:t>
      </w:r>
    </w:p>
    <w:p>
      <w:pPr>
        <w:pStyle w:val="BodyText"/>
        <w:rPr>
          <w:sz w:val="14"/>
        </w:rPr>
      </w:pPr>
    </w:p>
    <w:p>
      <w:pPr>
        <w:pStyle w:val="BodyText"/>
        <w:spacing w:line="249" w:lineRule="auto"/>
        <w:ind w:left="107" w:right="265"/>
      </w:pPr>
      <w:r>
        <w:rPr>
          <w:w w:val="94"/>
        </w:rPr>
        <w:t>The </w:t>
      </w:r>
      <w:r>
        <w:rPr>
          <w:w w:val="99"/>
        </w:rPr>
        <w:t>Board </w:t>
      </w:r>
      <w:r>
        <w:rPr>
          <w:w w:val="99"/>
        </w:rPr>
        <w:t>approved </w:t>
      </w:r>
      <w:r>
        <w:rPr>
          <w:w w:val="97"/>
        </w:rPr>
        <w:t>the </w:t>
      </w:r>
      <w:r>
        <w:rPr>
          <w:w w:val="90"/>
        </w:rPr>
        <w:t>2016 </w:t>
      </w:r>
      <w:r>
        <w:rPr>
          <w:w w:val="95"/>
        </w:rPr>
        <w:t>budget. </w:t>
      </w:r>
      <w:r>
        <w:rPr>
          <w:w w:val="80"/>
        </w:rPr>
        <w:t>In </w:t>
      </w:r>
      <w:r>
        <w:rPr>
          <w:w w:val="97"/>
        </w:rPr>
        <w:t>the </w:t>
      </w:r>
      <w:r>
        <w:rPr/>
        <w:t>context of continuing policy and funding uncertainty facing the higher education </w:t>
      </w:r>
      <w:r>
        <w:rPr>
          <w:w w:val="94"/>
        </w:rPr>
        <w:t>sector, </w:t>
      </w:r>
      <w:r>
        <w:rPr>
          <w:w w:val="97"/>
        </w:rPr>
        <w:t>the </w:t>
      </w:r>
      <w:r>
        <w:rPr>
          <w:w w:val="100"/>
        </w:rPr>
        <w:t>budget </w:t>
      </w:r>
      <w:r>
        <w:rPr>
          <w:w w:val="98"/>
        </w:rPr>
        <w:t>for </w:t>
      </w:r>
      <w:r>
        <w:rPr>
          <w:w w:val="89"/>
        </w:rPr>
        <w:t>2016–2018 </w:t>
      </w:r>
      <w:r>
        <w:rPr>
          <w:w w:val="96"/>
        </w:rPr>
        <w:t>was </w:t>
      </w:r>
      <w:r>
        <w:rPr/>
        <w:t>developed according to a conservative approach. The Board also approved the establishment of a scholarship fund for students from refugee backgrounds, contributing $500,000 in seed funding.</w:t>
      </w:r>
    </w:p>
    <w:p>
      <w:pPr>
        <w:pStyle w:val="BodyText"/>
        <w:rPr>
          <w:sz w:val="14"/>
        </w:rPr>
      </w:pPr>
    </w:p>
    <w:p>
      <w:pPr>
        <w:pStyle w:val="BodyText"/>
        <w:spacing w:line="249" w:lineRule="auto"/>
        <w:ind w:left="107" w:right="265"/>
      </w:pPr>
      <w:r>
        <w:rPr/>
        <w:t>Throughout the year, the Board noted the University’s deliberations about course and unit review, and received reports from the Academic Senate about:</w:t>
      </w:r>
    </w:p>
    <w:p>
      <w:pPr>
        <w:pStyle w:val="BodyText"/>
        <w:spacing w:before="11"/>
        <w:rPr>
          <w:sz w:val="13"/>
        </w:rPr>
      </w:pPr>
    </w:p>
    <w:p>
      <w:pPr>
        <w:pStyle w:val="BodyText"/>
        <w:ind w:left="107" w:right="287"/>
      </w:pPr>
      <w:r>
        <w:rPr>
          <w:rFonts w:ascii="Century Gothic" w:hAnsi="Century Gothic"/>
          <w:b/>
          <w:w w:val="115"/>
        </w:rPr>
        <w:t>≥ </w:t>
      </w:r>
      <w:r>
        <w:rPr>
          <w:w w:val="105"/>
        </w:rPr>
        <w:t>School academic course reports</w:t>
      </w:r>
    </w:p>
    <w:p>
      <w:pPr>
        <w:pStyle w:val="BodyText"/>
        <w:spacing w:line="244" w:lineRule="auto" w:before="60"/>
        <w:ind w:left="333" w:right="732" w:hanging="227"/>
      </w:pPr>
      <w:r>
        <w:rPr>
          <w:rFonts w:ascii="Century Gothic" w:hAnsi="Century Gothic"/>
          <w:b/>
          <w:w w:val="115"/>
        </w:rPr>
        <w:t>≥ </w:t>
      </w:r>
      <w:r>
        <w:rPr>
          <w:w w:val="105"/>
        </w:rPr>
        <w:t>streamlining curriculum approval processes</w:t>
      </w:r>
    </w:p>
    <w:p>
      <w:pPr>
        <w:pStyle w:val="BodyText"/>
        <w:spacing w:line="247" w:lineRule="auto" w:before="58"/>
        <w:ind w:left="333" w:right="512" w:hanging="227"/>
        <w:jc w:val="both"/>
      </w:pPr>
      <w:r>
        <w:rPr>
          <w:rFonts w:ascii="Century Gothic" w:hAnsi="Century Gothic"/>
          <w:b/>
          <w:w w:val="115"/>
        </w:rPr>
        <w:t>≥ </w:t>
      </w:r>
      <w:r>
        <w:rPr/>
        <w:t>developing guidelines, processes and communication to staff and students around the Student Misconduct Rule</w:t>
      </w:r>
    </w:p>
    <w:p>
      <w:pPr>
        <w:pStyle w:val="BodyText"/>
        <w:spacing w:line="247" w:lineRule="auto" w:before="57"/>
        <w:ind w:left="333" w:right="121" w:hanging="227"/>
      </w:pPr>
      <w:r>
        <w:rPr>
          <w:rFonts w:ascii="Century Gothic" w:hAnsi="Century Gothic"/>
          <w:b/>
          <w:w w:val="115"/>
        </w:rPr>
        <w:t>≥ </w:t>
      </w:r>
      <w:r>
        <w:rPr>
          <w:w w:val="105"/>
        </w:rPr>
        <w:t>academic forums co-sponsored by the Vice-Chancellor</w:t>
      </w:r>
      <w:r>
        <w:rPr>
          <w:spacing w:val="-36"/>
          <w:w w:val="105"/>
        </w:rPr>
        <w:t> </w:t>
      </w:r>
      <w:r>
        <w:rPr>
          <w:w w:val="105"/>
        </w:rPr>
        <w:t>and</w:t>
      </w:r>
      <w:r>
        <w:rPr>
          <w:spacing w:val="-36"/>
          <w:w w:val="105"/>
        </w:rPr>
        <w:t> </w:t>
      </w:r>
      <w:r>
        <w:rPr>
          <w:w w:val="105"/>
        </w:rPr>
        <w:t>Chair</w:t>
      </w:r>
      <w:r>
        <w:rPr>
          <w:spacing w:val="-36"/>
          <w:w w:val="105"/>
        </w:rPr>
        <w:t> </w:t>
      </w:r>
      <w:r>
        <w:rPr>
          <w:w w:val="105"/>
        </w:rPr>
        <w:t>of</w:t>
      </w:r>
      <w:r>
        <w:rPr>
          <w:spacing w:val="-36"/>
          <w:w w:val="105"/>
        </w:rPr>
        <w:t> </w:t>
      </w:r>
      <w:r>
        <w:rPr>
          <w:w w:val="105"/>
        </w:rPr>
        <w:t>the</w:t>
      </w:r>
      <w:r>
        <w:rPr>
          <w:spacing w:val="-36"/>
          <w:w w:val="105"/>
        </w:rPr>
        <w:t> </w:t>
      </w:r>
      <w:r>
        <w:rPr>
          <w:w w:val="105"/>
        </w:rPr>
        <w:t>Academic Senate</w:t>
      </w:r>
    </w:p>
    <w:p>
      <w:pPr>
        <w:pStyle w:val="BodyText"/>
        <w:spacing w:line="244" w:lineRule="auto" w:before="57"/>
        <w:ind w:left="333" w:right="526" w:hanging="227"/>
      </w:pPr>
      <w:r>
        <w:rPr>
          <w:rFonts w:ascii="Century Gothic" w:hAnsi="Century Gothic"/>
          <w:b/>
          <w:w w:val="115"/>
        </w:rPr>
        <w:t>≥</w:t>
      </w:r>
      <w:r>
        <w:rPr>
          <w:rFonts w:ascii="Century Gothic" w:hAnsi="Century Gothic"/>
          <w:b/>
          <w:spacing w:val="12"/>
          <w:w w:val="115"/>
        </w:rPr>
        <w:t> </w:t>
      </w:r>
      <w:r>
        <w:rPr>
          <w:w w:val="105"/>
        </w:rPr>
        <w:t>proposed</w:t>
      </w:r>
      <w:r>
        <w:rPr>
          <w:spacing w:val="-28"/>
          <w:w w:val="105"/>
        </w:rPr>
        <w:t> </w:t>
      </w:r>
      <w:r>
        <w:rPr>
          <w:w w:val="105"/>
        </w:rPr>
        <w:t>amendments</w:t>
      </w:r>
      <w:r>
        <w:rPr>
          <w:spacing w:val="-28"/>
          <w:w w:val="105"/>
        </w:rPr>
        <w:t> </w:t>
      </w:r>
      <w:r>
        <w:rPr>
          <w:w w:val="105"/>
        </w:rPr>
        <w:t>to</w:t>
      </w:r>
      <w:r>
        <w:rPr>
          <w:spacing w:val="-28"/>
          <w:w w:val="105"/>
        </w:rPr>
        <w:t> </w:t>
      </w:r>
      <w:r>
        <w:rPr>
          <w:w w:val="105"/>
        </w:rPr>
        <w:t>the</w:t>
      </w:r>
      <w:r>
        <w:rPr>
          <w:spacing w:val="-28"/>
          <w:w w:val="105"/>
        </w:rPr>
        <w:t> </w:t>
      </w:r>
      <w:r>
        <w:rPr>
          <w:w w:val="105"/>
        </w:rPr>
        <w:t>Higher </w:t>
      </w:r>
      <w:r>
        <w:rPr/>
        <w:t>Education Standards</w:t>
      </w:r>
      <w:r>
        <w:rPr>
          <w:spacing w:val="-31"/>
        </w:rPr>
        <w:t> </w:t>
      </w:r>
      <w:r>
        <w:rPr/>
        <w:t>Framework</w:t>
      </w:r>
    </w:p>
    <w:p>
      <w:pPr>
        <w:pStyle w:val="BodyText"/>
        <w:spacing w:line="244" w:lineRule="auto" w:before="58"/>
        <w:ind w:left="333" w:right="121" w:hanging="227"/>
      </w:pPr>
      <w:r>
        <w:rPr>
          <w:rFonts w:ascii="Century Gothic" w:hAnsi="Century Gothic"/>
          <w:b/>
          <w:w w:val="115"/>
        </w:rPr>
        <w:t>≥ </w:t>
      </w:r>
      <w:r>
        <w:rPr>
          <w:w w:val="105"/>
        </w:rPr>
        <w:t>the regulatory activities of the Tertiary </w:t>
      </w:r>
      <w:r>
        <w:rPr/>
        <w:t>Education Quality and Standards Agency</w:t>
      </w:r>
    </w:p>
    <w:p>
      <w:pPr>
        <w:pStyle w:val="BodyText"/>
        <w:spacing w:before="58"/>
        <w:ind w:left="107" w:right="121"/>
      </w:pPr>
      <w:r>
        <w:rPr>
          <w:rFonts w:ascii="Century Gothic" w:hAnsi="Century Gothic"/>
          <w:b/>
          <w:w w:val="115"/>
        </w:rPr>
        <w:t>≥ </w:t>
      </w:r>
      <w:r>
        <w:rPr>
          <w:w w:val="105"/>
        </w:rPr>
        <w:t>the Australian Qualifications Framework.</w:t>
      </w:r>
    </w:p>
    <w:p>
      <w:pPr>
        <w:pStyle w:val="BodyText"/>
        <w:spacing w:before="5"/>
        <w:rPr>
          <w:sz w:val="14"/>
        </w:rPr>
      </w:pPr>
    </w:p>
    <w:p>
      <w:pPr>
        <w:pStyle w:val="BodyText"/>
        <w:spacing w:line="249" w:lineRule="auto"/>
        <w:ind w:left="107" w:right="34"/>
      </w:pPr>
      <w:r>
        <w:rPr/>
        <w:t>The Board also approved changes to the membership of the Academic Senate to reflect changes in senior positions.</w:t>
      </w:r>
    </w:p>
    <w:p>
      <w:pPr>
        <w:pStyle w:val="BodyText"/>
        <w:spacing w:before="7"/>
        <w:rPr>
          <w:sz w:val="21"/>
        </w:rPr>
      </w:pPr>
    </w:p>
    <w:p>
      <w:pPr>
        <w:pStyle w:val="Heading8"/>
        <w:ind w:right="287"/>
      </w:pPr>
      <w:r>
        <w:rPr>
          <w:w w:val="95"/>
        </w:rPr>
        <w:t>BOARD MEMBERSHIP</w:t>
      </w:r>
    </w:p>
    <w:p>
      <w:pPr>
        <w:pStyle w:val="BodyText"/>
        <w:spacing w:line="249" w:lineRule="auto" w:before="86"/>
        <w:ind w:left="107" w:right="168"/>
      </w:pPr>
      <w:r>
        <w:rPr/>
        <w:t>The Board reappointed Mr Christopher Brown,</w:t>
      </w:r>
      <w:r>
        <w:rPr>
          <w:spacing w:val="-15"/>
        </w:rPr>
        <w:t> </w:t>
      </w:r>
      <w:r>
        <w:rPr/>
        <w:t>AM</w:t>
      </w:r>
      <w:r>
        <w:rPr>
          <w:spacing w:val="-15"/>
        </w:rPr>
        <w:t> </w:t>
      </w:r>
      <w:r>
        <w:rPr/>
        <w:t>for</w:t>
      </w:r>
      <w:r>
        <w:rPr>
          <w:spacing w:val="-15"/>
        </w:rPr>
        <w:t> </w:t>
      </w:r>
      <w:r>
        <w:rPr/>
        <w:t>his</w:t>
      </w:r>
      <w:r>
        <w:rPr>
          <w:spacing w:val="-15"/>
        </w:rPr>
        <w:t> </w:t>
      </w:r>
      <w:r>
        <w:rPr/>
        <w:t>second</w:t>
      </w:r>
      <w:r>
        <w:rPr>
          <w:spacing w:val="-15"/>
        </w:rPr>
        <w:t> </w:t>
      </w:r>
      <w:r>
        <w:rPr/>
        <w:t>term</w:t>
      </w:r>
      <w:r>
        <w:rPr>
          <w:spacing w:val="-15"/>
        </w:rPr>
        <w:t> </w:t>
      </w:r>
      <w:r>
        <w:rPr/>
        <w:t>on</w:t>
      </w:r>
      <w:r>
        <w:rPr>
          <w:spacing w:val="-15"/>
        </w:rPr>
        <w:t> </w:t>
      </w:r>
      <w:r>
        <w:rPr/>
        <w:t>the</w:t>
      </w:r>
      <w:r>
        <w:rPr>
          <w:spacing w:val="-15"/>
        </w:rPr>
        <w:t> </w:t>
      </w:r>
      <w:r>
        <w:rPr/>
        <w:t>Board, and appointed Ms Elizabeth Dibbs as Pro- Chancellor. Ms Sophie Kobuch replaced Mr Elie Hammam as the elected postgraduate student</w:t>
      </w:r>
      <w:r>
        <w:rPr>
          <w:spacing w:val="-18"/>
        </w:rPr>
        <w:t> </w:t>
      </w:r>
      <w:r>
        <w:rPr/>
        <w:t>member.</w:t>
      </w:r>
      <w:r>
        <w:rPr>
          <w:spacing w:val="-18"/>
        </w:rPr>
        <w:t> </w:t>
      </w:r>
      <w:r>
        <w:rPr/>
        <w:t>At</w:t>
      </w:r>
      <w:r>
        <w:rPr>
          <w:spacing w:val="-18"/>
        </w:rPr>
        <w:t> </w:t>
      </w:r>
      <w:r>
        <w:rPr/>
        <w:t>the</w:t>
      </w:r>
      <w:r>
        <w:rPr>
          <w:spacing w:val="-18"/>
        </w:rPr>
        <w:t> </w:t>
      </w:r>
      <w:r>
        <w:rPr/>
        <w:t>year’s</w:t>
      </w:r>
      <w:r>
        <w:rPr>
          <w:spacing w:val="-18"/>
        </w:rPr>
        <w:t> </w:t>
      </w:r>
      <w:r>
        <w:rPr/>
        <w:t>end,</w:t>
      </w:r>
      <w:r>
        <w:rPr>
          <w:spacing w:val="-18"/>
        </w:rPr>
        <w:t> </w:t>
      </w:r>
      <w:r>
        <w:rPr/>
        <w:t>the</w:t>
      </w:r>
      <w:r>
        <w:rPr>
          <w:spacing w:val="-18"/>
        </w:rPr>
        <w:t> </w:t>
      </w:r>
      <w:r>
        <w:rPr/>
        <w:t>Board</w:t>
      </w:r>
    </w:p>
    <w:p>
      <w:pPr>
        <w:spacing w:after="0" w:line="249" w:lineRule="auto"/>
        <w:sectPr>
          <w:type w:val="continuous"/>
          <w:pgSz w:w="11910" w:h="16840"/>
          <w:pgMar w:top="1580" w:bottom="280" w:left="800" w:right="800"/>
          <w:cols w:num="3" w:equalWidth="0">
            <w:col w:w="3294" w:space="145"/>
            <w:col w:w="3316" w:space="123"/>
            <w:col w:w="3432"/>
          </w:cols>
        </w:sectPr>
      </w:pPr>
    </w:p>
    <w:p>
      <w:pPr>
        <w:pStyle w:val="BodyText"/>
        <w:spacing w:before="10"/>
        <w:rPr>
          <w:sz w:val="28"/>
        </w:rPr>
      </w:pPr>
    </w:p>
    <w:p>
      <w:pPr>
        <w:pStyle w:val="Heading2"/>
        <w:spacing w:line="240" w:lineRule="auto" w:before="27"/>
        <w:ind w:right="6642"/>
        <w:rPr>
          <w:b w:val="0"/>
        </w:rPr>
      </w:pPr>
      <w:r>
        <w:rPr>
          <w:b w:val="0"/>
        </w:rPr>
        <w:t>The Organisation</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24"/>
        </w:rPr>
      </w:pPr>
    </w:p>
    <w:p>
      <w:pPr>
        <w:spacing w:after="0"/>
        <w:rPr>
          <w:rFonts w:ascii="Chronicle Text G1"/>
          <w:sz w:val="24"/>
        </w:rPr>
        <w:sectPr>
          <w:pgSz w:w="11910" w:h="16840"/>
          <w:pgMar w:header="494" w:footer="473" w:top="680" w:bottom="660" w:left="800" w:right="800"/>
        </w:sectPr>
      </w:pPr>
    </w:p>
    <w:p>
      <w:pPr>
        <w:pStyle w:val="BodyText"/>
        <w:spacing w:line="249" w:lineRule="auto" w:before="72"/>
        <w:ind w:left="107"/>
      </w:pPr>
      <w:r>
        <w:rPr/>
        <w:t>provided a submission to the Minister in relation</w:t>
      </w:r>
      <w:r>
        <w:rPr>
          <w:spacing w:val="-18"/>
        </w:rPr>
        <w:t> </w:t>
      </w:r>
      <w:r>
        <w:rPr/>
        <w:t>to</w:t>
      </w:r>
      <w:r>
        <w:rPr>
          <w:spacing w:val="-18"/>
        </w:rPr>
        <w:t> </w:t>
      </w:r>
      <w:r>
        <w:rPr/>
        <w:t>a</w:t>
      </w:r>
      <w:r>
        <w:rPr>
          <w:spacing w:val="-18"/>
        </w:rPr>
        <w:t> </w:t>
      </w:r>
      <w:r>
        <w:rPr/>
        <w:t>Ministerial</w:t>
      </w:r>
      <w:r>
        <w:rPr>
          <w:spacing w:val="-18"/>
        </w:rPr>
        <w:t> </w:t>
      </w:r>
      <w:r>
        <w:rPr/>
        <w:t>appointment</w:t>
      </w:r>
      <w:r>
        <w:rPr>
          <w:spacing w:val="-18"/>
        </w:rPr>
        <w:t> </w:t>
      </w:r>
      <w:r>
        <w:rPr/>
        <w:t>to</w:t>
      </w:r>
      <w:r>
        <w:rPr>
          <w:spacing w:val="-18"/>
        </w:rPr>
        <w:t> </w:t>
      </w:r>
      <w:r>
        <w:rPr/>
        <w:t>replace Mr Paul Newman following his resignation from the</w:t>
      </w:r>
      <w:r>
        <w:rPr>
          <w:spacing w:val="-36"/>
        </w:rPr>
        <w:t> </w:t>
      </w:r>
      <w:r>
        <w:rPr/>
        <w:t>Board.</w:t>
      </w:r>
    </w:p>
    <w:p>
      <w:pPr>
        <w:pStyle w:val="BodyText"/>
        <w:rPr>
          <w:sz w:val="14"/>
        </w:rPr>
      </w:pPr>
    </w:p>
    <w:p>
      <w:pPr>
        <w:pStyle w:val="BodyText"/>
        <w:spacing w:line="249" w:lineRule="auto"/>
        <w:ind w:left="107" w:right="318"/>
      </w:pPr>
      <w:r>
        <w:rPr/>
        <w:t>The Board also appointed new external members to its University Infrastructure Committee, Audit and Risk Management Committee, and Finance and Investment Committee.</w:t>
      </w:r>
    </w:p>
    <w:p>
      <w:pPr>
        <w:pStyle w:val="BodyText"/>
        <w:spacing w:before="7"/>
        <w:rPr>
          <w:sz w:val="21"/>
        </w:rPr>
      </w:pPr>
    </w:p>
    <w:p>
      <w:pPr>
        <w:pStyle w:val="Heading8"/>
      </w:pPr>
      <w:r>
        <w:rPr>
          <w:w w:val="95"/>
        </w:rPr>
        <w:t>HONORARY AWARDS AND TITLES</w:t>
      </w:r>
    </w:p>
    <w:p>
      <w:pPr>
        <w:pStyle w:val="BodyText"/>
        <w:spacing w:line="249" w:lineRule="auto" w:before="86"/>
        <w:ind w:left="107"/>
      </w:pPr>
      <w:r>
        <w:rPr>
          <w:w w:val="80"/>
        </w:rPr>
        <w:t>In </w:t>
      </w:r>
      <w:r>
        <w:rPr>
          <w:w w:val="84"/>
        </w:rPr>
        <w:t>2015, </w:t>
      </w:r>
      <w:r>
        <w:rPr>
          <w:w w:val="97"/>
        </w:rPr>
        <w:t>the </w:t>
      </w:r>
      <w:r>
        <w:rPr>
          <w:w w:val="99"/>
        </w:rPr>
        <w:t>Board </w:t>
      </w:r>
      <w:r>
        <w:rPr>
          <w:w w:val="98"/>
        </w:rPr>
        <w:t>conferred </w:t>
      </w:r>
      <w:r>
        <w:rPr>
          <w:w w:val="97"/>
        </w:rPr>
        <w:t>honorary </w:t>
      </w:r>
      <w:r>
        <w:rPr>
          <w:w w:val="97"/>
        </w:rPr>
        <w:t>awards </w:t>
      </w:r>
      <w:r>
        <w:rPr/>
        <w:t>of the University on:</w:t>
      </w:r>
    </w:p>
    <w:p>
      <w:pPr>
        <w:pStyle w:val="BodyText"/>
        <w:spacing w:before="11"/>
        <w:rPr>
          <w:sz w:val="13"/>
        </w:rPr>
      </w:pPr>
    </w:p>
    <w:p>
      <w:pPr>
        <w:pStyle w:val="BodyText"/>
        <w:spacing w:line="244" w:lineRule="auto"/>
        <w:ind w:left="333" w:right="-5" w:hanging="227"/>
      </w:pPr>
      <w:r>
        <w:rPr>
          <w:rFonts w:ascii="Century Gothic" w:hAnsi="Century Gothic"/>
          <w:b/>
          <w:w w:val="115"/>
        </w:rPr>
        <w:t>≥</w:t>
      </w:r>
      <w:r>
        <w:rPr>
          <w:rFonts w:ascii="Century Gothic" w:hAnsi="Century Gothic"/>
          <w:b/>
          <w:spacing w:val="16"/>
          <w:w w:val="115"/>
        </w:rPr>
        <w:t> </w:t>
      </w:r>
      <w:r>
        <w:rPr>
          <w:w w:val="105"/>
        </w:rPr>
        <w:t>Mr</w:t>
      </w:r>
      <w:r>
        <w:rPr>
          <w:spacing w:val="-27"/>
          <w:w w:val="105"/>
        </w:rPr>
        <w:t> </w:t>
      </w:r>
      <w:r>
        <w:rPr>
          <w:w w:val="105"/>
        </w:rPr>
        <w:t>Peter</w:t>
      </w:r>
      <w:r>
        <w:rPr>
          <w:spacing w:val="-27"/>
          <w:w w:val="105"/>
        </w:rPr>
        <w:t> </w:t>
      </w:r>
      <w:r>
        <w:rPr>
          <w:w w:val="105"/>
        </w:rPr>
        <w:t>FitzSimons</w:t>
      </w:r>
      <w:r>
        <w:rPr>
          <w:spacing w:val="-27"/>
          <w:w w:val="105"/>
        </w:rPr>
        <w:t> </w:t>
      </w:r>
      <w:r>
        <w:rPr>
          <w:w w:val="105"/>
        </w:rPr>
        <w:t>AM</w:t>
      </w:r>
      <w:r>
        <w:rPr>
          <w:spacing w:val="-27"/>
          <w:w w:val="105"/>
        </w:rPr>
        <w:t> </w:t>
      </w:r>
      <w:r>
        <w:rPr>
          <w:w w:val="105"/>
        </w:rPr>
        <w:t>–</w:t>
      </w:r>
      <w:r>
        <w:rPr>
          <w:spacing w:val="-27"/>
          <w:w w:val="105"/>
        </w:rPr>
        <w:t> </w:t>
      </w:r>
      <w:r>
        <w:rPr>
          <w:spacing w:val="2"/>
          <w:w w:val="105"/>
        </w:rPr>
        <w:t>Honorary</w:t>
      </w:r>
      <w:r>
        <w:rPr>
          <w:spacing w:val="-27"/>
          <w:w w:val="105"/>
        </w:rPr>
        <w:t> </w:t>
      </w:r>
      <w:r>
        <w:rPr>
          <w:w w:val="105"/>
        </w:rPr>
        <w:t>Doctor </w:t>
      </w:r>
      <w:r>
        <w:rPr/>
        <w:t>of</w:t>
      </w:r>
      <w:r>
        <w:rPr>
          <w:spacing w:val="-15"/>
        </w:rPr>
        <w:t> </w:t>
      </w:r>
      <w:r>
        <w:rPr/>
        <w:t>Letters</w:t>
      </w:r>
    </w:p>
    <w:p>
      <w:pPr>
        <w:pStyle w:val="BodyText"/>
        <w:spacing w:line="244" w:lineRule="auto" w:before="58"/>
        <w:ind w:left="333" w:right="139" w:hanging="227"/>
      </w:pPr>
      <w:r>
        <w:rPr>
          <w:rFonts w:ascii="Century Gothic" w:hAnsi="Century Gothic"/>
          <w:b/>
          <w:w w:val="115"/>
        </w:rPr>
        <w:t>≥</w:t>
      </w:r>
      <w:r>
        <w:rPr>
          <w:rFonts w:ascii="Century Gothic" w:hAnsi="Century Gothic"/>
          <w:b/>
          <w:spacing w:val="23"/>
          <w:w w:val="115"/>
        </w:rPr>
        <w:t> </w:t>
      </w:r>
      <w:r>
        <w:rPr>
          <w:w w:val="105"/>
        </w:rPr>
        <w:t>Dr</w:t>
      </w:r>
      <w:r>
        <w:rPr>
          <w:spacing w:val="-24"/>
          <w:w w:val="105"/>
        </w:rPr>
        <w:t> </w:t>
      </w:r>
      <w:r>
        <w:rPr>
          <w:w w:val="105"/>
        </w:rPr>
        <w:t>Kerry</w:t>
      </w:r>
      <w:r>
        <w:rPr>
          <w:spacing w:val="-24"/>
          <w:w w:val="105"/>
        </w:rPr>
        <w:t> </w:t>
      </w:r>
      <w:r>
        <w:rPr>
          <w:w w:val="105"/>
        </w:rPr>
        <w:t>Schott</w:t>
      </w:r>
      <w:r>
        <w:rPr>
          <w:spacing w:val="-24"/>
          <w:w w:val="105"/>
        </w:rPr>
        <w:t> </w:t>
      </w:r>
      <w:r>
        <w:rPr>
          <w:w w:val="105"/>
        </w:rPr>
        <w:t>AO</w:t>
      </w:r>
      <w:r>
        <w:rPr>
          <w:spacing w:val="-24"/>
          <w:w w:val="105"/>
        </w:rPr>
        <w:t> </w:t>
      </w:r>
      <w:r>
        <w:rPr>
          <w:w w:val="105"/>
        </w:rPr>
        <w:t>–</w:t>
      </w:r>
      <w:r>
        <w:rPr>
          <w:spacing w:val="-24"/>
          <w:w w:val="105"/>
        </w:rPr>
        <w:t> </w:t>
      </w:r>
      <w:r>
        <w:rPr>
          <w:spacing w:val="2"/>
          <w:w w:val="105"/>
        </w:rPr>
        <w:t>Honorary</w:t>
      </w:r>
      <w:r>
        <w:rPr>
          <w:spacing w:val="-24"/>
          <w:w w:val="105"/>
        </w:rPr>
        <w:t> </w:t>
      </w:r>
      <w:r>
        <w:rPr>
          <w:w w:val="105"/>
        </w:rPr>
        <w:t>Doctor</w:t>
      </w:r>
      <w:r>
        <w:rPr>
          <w:spacing w:val="-24"/>
          <w:w w:val="105"/>
        </w:rPr>
        <w:t> </w:t>
      </w:r>
      <w:r>
        <w:rPr>
          <w:w w:val="105"/>
        </w:rPr>
        <w:t>of Letters</w:t>
      </w:r>
    </w:p>
    <w:p>
      <w:pPr>
        <w:pStyle w:val="BodyText"/>
        <w:spacing w:line="244" w:lineRule="auto" w:before="58"/>
        <w:ind w:left="333" w:right="414" w:hanging="227"/>
      </w:pPr>
      <w:r>
        <w:rPr>
          <w:rFonts w:ascii="Century Gothic" w:hAnsi="Century Gothic"/>
          <w:b/>
          <w:w w:val="115"/>
        </w:rPr>
        <w:t>≥ </w:t>
      </w:r>
      <w:r>
        <w:rPr/>
        <w:t>Dr Melissa Chiu – Honorary Doctor of Creative Arts</w:t>
      </w:r>
    </w:p>
    <w:p>
      <w:pPr>
        <w:pStyle w:val="BodyText"/>
        <w:spacing w:before="58"/>
        <w:ind w:left="107"/>
      </w:pPr>
      <w:r>
        <w:rPr>
          <w:rFonts w:ascii="Century Gothic" w:hAnsi="Century Gothic"/>
          <w:b/>
          <w:w w:val="115"/>
        </w:rPr>
        <w:t>≥</w:t>
      </w:r>
      <w:r>
        <w:rPr>
          <w:rFonts w:ascii="Century Gothic" w:hAnsi="Century Gothic"/>
          <w:b/>
          <w:spacing w:val="10"/>
          <w:w w:val="115"/>
        </w:rPr>
        <w:t> </w:t>
      </w:r>
      <w:r>
        <w:rPr>
          <w:w w:val="105"/>
        </w:rPr>
        <w:t>Dr</w:t>
      </w:r>
      <w:r>
        <w:rPr>
          <w:spacing w:val="-29"/>
          <w:w w:val="105"/>
        </w:rPr>
        <w:t> </w:t>
      </w:r>
      <w:r>
        <w:rPr>
          <w:w w:val="105"/>
        </w:rPr>
        <w:t>Jamal</w:t>
      </w:r>
      <w:r>
        <w:rPr>
          <w:spacing w:val="-29"/>
          <w:w w:val="105"/>
        </w:rPr>
        <w:t> </w:t>
      </w:r>
      <w:r>
        <w:rPr>
          <w:w w:val="105"/>
        </w:rPr>
        <w:t>Rifi</w:t>
      </w:r>
      <w:r>
        <w:rPr>
          <w:spacing w:val="-29"/>
          <w:w w:val="105"/>
        </w:rPr>
        <w:t> </w:t>
      </w:r>
      <w:r>
        <w:rPr>
          <w:w w:val="105"/>
        </w:rPr>
        <w:t>–</w:t>
      </w:r>
      <w:r>
        <w:rPr>
          <w:spacing w:val="-29"/>
          <w:w w:val="105"/>
        </w:rPr>
        <w:t> </w:t>
      </w:r>
      <w:r>
        <w:rPr>
          <w:spacing w:val="2"/>
          <w:w w:val="105"/>
        </w:rPr>
        <w:t>Honorary</w:t>
      </w:r>
      <w:r>
        <w:rPr>
          <w:spacing w:val="-29"/>
          <w:w w:val="105"/>
        </w:rPr>
        <w:t> </w:t>
      </w:r>
      <w:r>
        <w:rPr>
          <w:w w:val="105"/>
        </w:rPr>
        <w:t>Doctor</w:t>
      </w:r>
      <w:r>
        <w:rPr>
          <w:spacing w:val="-29"/>
          <w:w w:val="105"/>
        </w:rPr>
        <w:t> </w:t>
      </w:r>
      <w:r>
        <w:rPr>
          <w:w w:val="105"/>
        </w:rPr>
        <w:t>of</w:t>
      </w:r>
      <w:r>
        <w:rPr>
          <w:spacing w:val="-29"/>
          <w:w w:val="105"/>
        </w:rPr>
        <w:t> </w:t>
      </w:r>
      <w:r>
        <w:rPr>
          <w:w w:val="105"/>
        </w:rPr>
        <w:t>Letters.</w:t>
      </w:r>
    </w:p>
    <w:p>
      <w:pPr>
        <w:pStyle w:val="BodyText"/>
        <w:spacing w:before="5"/>
        <w:rPr>
          <w:sz w:val="14"/>
        </w:rPr>
      </w:pPr>
    </w:p>
    <w:p>
      <w:pPr>
        <w:pStyle w:val="BodyText"/>
        <w:spacing w:line="249" w:lineRule="auto"/>
        <w:ind w:left="107" w:right="295"/>
      </w:pPr>
      <w:r>
        <w:rPr/>
        <w:t>The Board conferred the title of Emeritus Professor of the University on Professor Margaret Helen Vickers.</w:t>
      </w:r>
    </w:p>
    <w:p>
      <w:pPr>
        <w:pStyle w:val="BodyText"/>
        <w:spacing w:before="6"/>
        <w:rPr>
          <w:sz w:val="22"/>
        </w:rPr>
      </w:pPr>
    </w:p>
    <w:p>
      <w:pPr>
        <w:pStyle w:val="Heading5"/>
        <w:spacing w:before="1"/>
      </w:pPr>
      <w:bookmarkStart w:name="_TOC_250020" w:id="5"/>
      <w:bookmarkEnd w:id="5"/>
      <w:r>
        <w:rPr>
          <w:w w:val="95"/>
        </w:rPr>
        <w:t>ACADEMIC SENATE</w:t>
      </w:r>
    </w:p>
    <w:p>
      <w:pPr>
        <w:pStyle w:val="BodyText"/>
        <w:spacing w:line="247" w:lineRule="auto" w:before="209"/>
        <w:ind w:left="107"/>
      </w:pPr>
      <w:r>
        <w:rPr/>
        <w:t>The</w:t>
      </w:r>
      <w:r>
        <w:rPr>
          <w:spacing w:val="-14"/>
        </w:rPr>
        <w:t> </w:t>
      </w:r>
      <w:r>
        <w:rPr/>
        <w:t>Academic</w:t>
      </w:r>
      <w:r>
        <w:rPr>
          <w:spacing w:val="-14"/>
        </w:rPr>
        <w:t> </w:t>
      </w:r>
      <w:r>
        <w:rPr/>
        <w:t>Senate</w:t>
      </w:r>
      <w:r>
        <w:rPr>
          <w:spacing w:val="-14"/>
        </w:rPr>
        <w:t> </w:t>
      </w:r>
      <w:r>
        <w:rPr/>
        <w:t>is</w:t>
      </w:r>
      <w:r>
        <w:rPr>
          <w:spacing w:val="-14"/>
        </w:rPr>
        <w:t> </w:t>
      </w:r>
      <w:r>
        <w:rPr/>
        <w:t>a</w:t>
      </w:r>
      <w:r>
        <w:rPr>
          <w:spacing w:val="-14"/>
        </w:rPr>
        <w:t> </w:t>
      </w:r>
      <w:r>
        <w:rPr/>
        <w:t>standing</w:t>
      </w:r>
      <w:r>
        <w:rPr>
          <w:spacing w:val="-14"/>
        </w:rPr>
        <w:t> </w:t>
      </w:r>
      <w:r>
        <w:rPr/>
        <w:t>committee of the Board of Trustees, and is the peak forum of the University for academic debate and discourse. Its responsibilities, as defined </w:t>
      </w:r>
      <w:r>
        <w:rPr>
          <w:w w:val="85"/>
        </w:rPr>
        <w:t>by the </w:t>
      </w:r>
      <w:r>
        <w:rPr>
          <w:rFonts w:ascii="Century Gothic"/>
          <w:i/>
          <w:w w:val="85"/>
        </w:rPr>
        <w:t>Academic Governance Policy</w:t>
      </w:r>
      <w:r>
        <w:rPr>
          <w:w w:val="85"/>
        </w:rPr>
        <w:t>,</w:t>
      </w:r>
      <w:r>
        <w:rPr>
          <w:spacing w:val="8"/>
          <w:w w:val="85"/>
        </w:rPr>
        <w:t> </w:t>
      </w:r>
      <w:r>
        <w:rPr>
          <w:w w:val="85"/>
        </w:rPr>
        <w:t>are:</w:t>
      </w:r>
    </w:p>
    <w:p>
      <w:pPr>
        <w:pStyle w:val="BodyText"/>
        <w:spacing w:before="11"/>
        <w:rPr>
          <w:sz w:val="13"/>
        </w:rPr>
      </w:pPr>
    </w:p>
    <w:p>
      <w:pPr>
        <w:pStyle w:val="BodyText"/>
        <w:spacing w:line="244" w:lineRule="auto"/>
        <w:ind w:left="333" w:right="150" w:hanging="227"/>
      </w:pPr>
      <w:r>
        <w:rPr>
          <w:rFonts w:ascii="Century Gothic" w:hAnsi="Century Gothic"/>
          <w:b/>
          <w:w w:val="115"/>
        </w:rPr>
        <w:t>≥ </w:t>
      </w:r>
      <w:r>
        <w:rPr>
          <w:w w:val="105"/>
        </w:rPr>
        <w:t>promoting and monitoring academic </w:t>
      </w:r>
      <w:r>
        <w:rPr/>
        <w:t>standards, values and quality assurance</w:t>
      </w:r>
    </w:p>
    <w:p>
      <w:pPr>
        <w:pStyle w:val="BodyText"/>
        <w:spacing w:line="244" w:lineRule="auto" w:before="58"/>
        <w:ind w:left="333" w:hanging="227"/>
      </w:pPr>
      <w:r>
        <w:rPr>
          <w:rFonts w:ascii="Century Gothic" w:hAnsi="Century Gothic"/>
          <w:b/>
          <w:w w:val="115"/>
        </w:rPr>
        <w:t>≥ </w:t>
      </w:r>
      <w:r>
        <w:rPr/>
        <w:t>advising on the development of, and performance against, academic plans</w:t>
      </w:r>
    </w:p>
    <w:p>
      <w:pPr>
        <w:pStyle w:val="BodyText"/>
        <w:spacing w:line="244" w:lineRule="auto" w:before="58"/>
        <w:ind w:left="333" w:right="193" w:hanging="227"/>
      </w:pPr>
      <w:r>
        <w:rPr>
          <w:rFonts w:ascii="Century Gothic" w:hAnsi="Century Gothic"/>
          <w:b/>
          <w:w w:val="115"/>
        </w:rPr>
        <w:t>≥</w:t>
      </w:r>
      <w:r>
        <w:rPr>
          <w:rFonts w:ascii="Century Gothic" w:hAnsi="Century Gothic"/>
          <w:b/>
          <w:spacing w:val="1"/>
          <w:w w:val="115"/>
        </w:rPr>
        <w:t> </w:t>
      </w:r>
      <w:r>
        <w:rPr>
          <w:w w:val="105"/>
        </w:rPr>
        <w:t>monitoring</w:t>
      </w:r>
      <w:r>
        <w:rPr>
          <w:spacing w:val="-32"/>
          <w:w w:val="105"/>
        </w:rPr>
        <w:t> </w:t>
      </w:r>
      <w:r>
        <w:rPr>
          <w:w w:val="105"/>
        </w:rPr>
        <w:t>academic</w:t>
      </w:r>
      <w:r>
        <w:rPr>
          <w:spacing w:val="-32"/>
          <w:w w:val="105"/>
        </w:rPr>
        <w:t> </w:t>
      </w:r>
      <w:r>
        <w:rPr>
          <w:w w:val="105"/>
        </w:rPr>
        <w:t>collaborations</w:t>
      </w:r>
      <w:r>
        <w:rPr>
          <w:spacing w:val="-32"/>
          <w:w w:val="105"/>
        </w:rPr>
        <w:t> </w:t>
      </w:r>
      <w:r>
        <w:rPr>
          <w:w w:val="105"/>
        </w:rPr>
        <w:t>and partnerships</w:t>
      </w:r>
    </w:p>
    <w:p>
      <w:pPr>
        <w:pStyle w:val="BodyText"/>
        <w:spacing w:line="244" w:lineRule="auto" w:before="58"/>
        <w:ind w:left="333" w:right="58" w:hanging="227"/>
      </w:pPr>
      <w:r>
        <w:rPr>
          <w:rFonts w:ascii="Century Gothic" w:hAnsi="Century Gothic"/>
          <w:b/>
          <w:w w:val="115"/>
        </w:rPr>
        <w:t>≥</w:t>
      </w:r>
      <w:r>
        <w:rPr>
          <w:rFonts w:ascii="Century Gothic" w:hAnsi="Century Gothic"/>
          <w:b/>
          <w:spacing w:val="13"/>
          <w:w w:val="115"/>
        </w:rPr>
        <w:t> </w:t>
      </w:r>
      <w:r>
        <w:rPr>
          <w:w w:val="105"/>
        </w:rPr>
        <w:t>advising</w:t>
      </w:r>
      <w:r>
        <w:rPr>
          <w:spacing w:val="-28"/>
          <w:w w:val="105"/>
        </w:rPr>
        <w:t> </w:t>
      </w:r>
      <w:r>
        <w:rPr>
          <w:w w:val="105"/>
        </w:rPr>
        <w:t>the</w:t>
      </w:r>
      <w:r>
        <w:rPr>
          <w:spacing w:val="-28"/>
          <w:w w:val="105"/>
        </w:rPr>
        <w:t> </w:t>
      </w:r>
      <w:r>
        <w:rPr>
          <w:w w:val="105"/>
        </w:rPr>
        <w:t>Board</w:t>
      </w:r>
      <w:r>
        <w:rPr>
          <w:spacing w:val="-28"/>
          <w:w w:val="105"/>
        </w:rPr>
        <w:t> </w:t>
      </w:r>
      <w:r>
        <w:rPr>
          <w:w w:val="105"/>
        </w:rPr>
        <w:t>and</w:t>
      </w:r>
      <w:r>
        <w:rPr>
          <w:spacing w:val="-28"/>
          <w:w w:val="105"/>
        </w:rPr>
        <w:t> </w:t>
      </w:r>
      <w:r>
        <w:rPr>
          <w:w w:val="105"/>
        </w:rPr>
        <w:t>Vice-Chancellor</w:t>
      </w:r>
      <w:r>
        <w:rPr>
          <w:spacing w:val="-28"/>
          <w:w w:val="105"/>
        </w:rPr>
        <w:t> </w:t>
      </w:r>
      <w:r>
        <w:rPr>
          <w:w w:val="105"/>
        </w:rPr>
        <w:t>as appropriate</w:t>
      </w:r>
    </w:p>
    <w:p>
      <w:pPr>
        <w:pStyle w:val="BodyText"/>
        <w:spacing w:line="244" w:lineRule="auto" w:before="58"/>
        <w:ind w:left="333" w:right="492" w:hanging="227"/>
      </w:pPr>
      <w:r>
        <w:rPr>
          <w:rFonts w:ascii="Century Gothic" w:hAnsi="Century Gothic"/>
          <w:b/>
          <w:w w:val="115"/>
        </w:rPr>
        <w:t>≥ </w:t>
      </w:r>
      <w:r>
        <w:rPr>
          <w:w w:val="105"/>
        </w:rPr>
        <w:t>determining academic policies and </w:t>
      </w:r>
      <w:r>
        <w:rPr/>
        <w:t>approving related procedures</w:t>
      </w:r>
    </w:p>
    <w:p>
      <w:pPr>
        <w:pStyle w:val="BodyText"/>
        <w:spacing w:line="244" w:lineRule="auto" w:before="58"/>
        <w:ind w:left="333" w:right="552" w:hanging="227"/>
      </w:pPr>
      <w:r>
        <w:rPr>
          <w:rFonts w:ascii="Century Gothic" w:hAnsi="Century Gothic"/>
          <w:b/>
          <w:w w:val="115"/>
        </w:rPr>
        <w:t>≥</w:t>
      </w:r>
      <w:r>
        <w:rPr>
          <w:rFonts w:ascii="Century Gothic" w:hAnsi="Century Gothic"/>
          <w:b/>
          <w:spacing w:val="2"/>
          <w:w w:val="115"/>
        </w:rPr>
        <w:t> </w:t>
      </w:r>
      <w:r>
        <w:rPr>
          <w:w w:val="105"/>
        </w:rPr>
        <w:t>accrediting</w:t>
      </w:r>
      <w:r>
        <w:rPr>
          <w:spacing w:val="-32"/>
          <w:w w:val="105"/>
        </w:rPr>
        <w:t> </w:t>
      </w:r>
      <w:r>
        <w:rPr>
          <w:w w:val="105"/>
        </w:rPr>
        <w:t>and</w:t>
      </w:r>
      <w:r>
        <w:rPr>
          <w:spacing w:val="-32"/>
          <w:w w:val="105"/>
        </w:rPr>
        <w:t> </w:t>
      </w:r>
      <w:r>
        <w:rPr>
          <w:w w:val="105"/>
        </w:rPr>
        <w:t>approving</w:t>
      </w:r>
      <w:r>
        <w:rPr>
          <w:spacing w:val="-32"/>
          <w:w w:val="105"/>
        </w:rPr>
        <w:t> </w:t>
      </w:r>
      <w:r>
        <w:rPr>
          <w:w w:val="105"/>
        </w:rPr>
        <w:t>courses, </w:t>
      </w:r>
      <w:r>
        <w:rPr/>
        <w:t>programs and</w:t>
      </w:r>
      <w:r>
        <w:rPr>
          <w:spacing w:val="-32"/>
        </w:rPr>
        <w:t> </w:t>
      </w:r>
      <w:r>
        <w:rPr/>
        <w:t>units</w:t>
      </w:r>
    </w:p>
    <w:p>
      <w:pPr>
        <w:pStyle w:val="BodyText"/>
        <w:spacing w:line="244" w:lineRule="auto" w:before="58"/>
        <w:ind w:left="333" w:right="44" w:hanging="227"/>
      </w:pPr>
      <w:r>
        <w:rPr>
          <w:rFonts w:ascii="Century Gothic" w:hAnsi="Century Gothic"/>
          <w:b/>
          <w:w w:val="115"/>
        </w:rPr>
        <w:t>≥</w:t>
      </w:r>
      <w:r>
        <w:rPr>
          <w:rFonts w:ascii="Century Gothic" w:hAnsi="Century Gothic"/>
          <w:b/>
          <w:spacing w:val="12"/>
          <w:w w:val="115"/>
        </w:rPr>
        <w:t> </w:t>
      </w:r>
      <w:r>
        <w:rPr>
          <w:w w:val="105"/>
        </w:rPr>
        <w:t>promoting</w:t>
      </w:r>
      <w:r>
        <w:rPr>
          <w:spacing w:val="-28"/>
          <w:w w:val="105"/>
        </w:rPr>
        <w:t> </w:t>
      </w:r>
      <w:r>
        <w:rPr>
          <w:w w:val="105"/>
        </w:rPr>
        <w:t>the</w:t>
      </w:r>
      <w:r>
        <w:rPr>
          <w:spacing w:val="-28"/>
          <w:w w:val="105"/>
        </w:rPr>
        <w:t> </w:t>
      </w:r>
      <w:r>
        <w:rPr>
          <w:w w:val="105"/>
        </w:rPr>
        <w:t>quality</w:t>
      </w:r>
      <w:r>
        <w:rPr>
          <w:spacing w:val="-28"/>
          <w:w w:val="105"/>
        </w:rPr>
        <w:t> </w:t>
      </w:r>
      <w:r>
        <w:rPr>
          <w:w w:val="105"/>
        </w:rPr>
        <w:t>and</w:t>
      </w:r>
      <w:r>
        <w:rPr>
          <w:spacing w:val="-28"/>
          <w:w w:val="105"/>
        </w:rPr>
        <w:t> </w:t>
      </w:r>
      <w:r>
        <w:rPr>
          <w:w w:val="105"/>
        </w:rPr>
        <w:t>development</w:t>
      </w:r>
      <w:r>
        <w:rPr>
          <w:spacing w:val="-28"/>
          <w:w w:val="105"/>
        </w:rPr>
        <w:t> </w:t>
      </w:r>
      <w:r>
        <w:rPr>
          <w:w w:val="105"/>
        </w:rPr>
        <w:t>of </w:t>
      </w:r>
      <w:r>
        <w:rPr/>
        <w:t>research</w:t>
      </w:r>
      <w:r>
        <w:rPr>
          <w:spacing w:val="-27"/>
        </w:rPr>
        <w:t> </w:t>
      </w:r>
      <w:r>
        <w:rPr/>
        <w:t>in</w:t>
      </w:r>
      <w:r>
        <w:rPr>
          <w:spacing w:val="-27"/>
        </w:rPr>
        <w:t> </w:t>
      </w:r>
      <w:r>
        <w:rPr/>
        <w:t>the</w:t>
      </w:r>
      <w:r>
        <w:rPr>
          <w:spacing w:val="-27"/>
        </w:rPr>
        <w:t> </w:t>
      </w:r>
      <w:r>
        <w:rPr/>
        <w:t>University.</w:t>
      </w:r>
    </w:p>
    <w:p>
      <w:pPr>
        <w:pStyle w:val="BodyText"/>
        <w:spacing w:line="249" w:lineRule="auto" w:before="72"/>
        <w:ind w:left="107" w:right="78"/>
      </w:pPr>
      <w:r>
        <w:rPr/>
        <w:br w:type="column"/>
      </w:r>
      <w:r>
        <w:rPr/>
        <w:t>The Board of Trustees has delegated the responsibility for formulating academic policies and making a range of academic decisions to the Academic Senate, which is supported by specialist and School standing committees. The Chair of Senate reports regularly to the Board, and advises on managing academic risk.</w:t>
      </w:r>
    </w:p>
    <w:p>
      <w:pPr>
        <w:pStyle w:val="BodyText"/>
        <w:rPr>
          <w:sz w:val="14"/>
        </w:rPr>
      </w:pPr>
    </w:p>
    <w:p>
      <w:pPr>
        <w:pStyle w:val="BodyText"/>
        <w:spacing w:line="247" w:lineRule="auto"/>
        <w:ind w:left="107" w:right="78"/>
      </w:pPr>
      <w:r>
        <w:rPr/>
        <w:t>The</w:t>
      </w:r>
      <w:r>
        <w:rPr>
          <w:spacing w:val="-15"/>
        </w:rPr>
        <w:t> </w:t>
      </w:r>
      <w:r>
        <w:rPr/>
        <w:t>Academic</w:t>
      </w:r>
      <w:r>
        <w:rPr>
          <w:spacing w:val="-15"/>
        </w:rPr>
        <w:t> </w:t>
      </w:r>
      <w:r>
        <w:rPr/>
        <w:t>Senate’s</w:t>
      </w:r>
      <w:r>
        <w:rPr>
          <w:spacing w:val="-15"/>
        </w:rPr>
        <w:t> </w:t>
      </w:r>
      <w:r>
        <w:rPr/>
        <w:t>Work</w:t>
      </w:r>
      <w:r>
        <w:rPr>
          <w:spacing w:val="-15"/>
        </w:rPr>
        <w:t> </w:t>
      </w:r>
      <w:r>
        <w:rPr/>
        <w:t>Plan</w:t>
      </w:r>
      <w:r>
        <w:rPr>
          <w:spacing w:val="-15"/>
        </w:rPr>
        <w:t> </w:t>
      </w:r>
      <w:r>
        <w:rPr/>
        <w:t>aligns</w:t>
      </w:r>
      <w:r>
        <w:rPr>
          <w:spacing w:val="-15"/>
        </w:rPr>
        <w:t> </w:t>
      </w:r>
      <w:r>
        <w:rPr/>
        <w:t>with the University’s </w:t>
      </w:r>
      <w:r>
        <w:rPr>
          <w:rFonts w:ascii="Century Gothic" w:hAnsi="Century Gothic"/>
          <w:i/>
        </w:rPr>
        <w:t>Securing Success </w:t>
      </w:r>
      <w:r>
        <w:rPr/>
        <w:t>strategic plan and strategic risk register, and sets out the</w:t>
      </w:r>
      <w:r>
        <w:rPr>
          <w:spacing w:val="-18"/>
        </w:rPr>
        <w:t> </w:t>
      </w:r>
      <w:r>
        <w:rPr/>
        <w:t>main</w:t>
      </w:r>
      <w:r>
        <w:rPr>
          <w:spacing w:val="-18"/>
        </w:rPr>
        <w:t> </w:t>
      </w:r>
      <w:r>
        <w:rPr/>
        <w:t>priorities</w:t>
      </w:r>
      <w:r>
        <w:rPr>
          <w:spacing w:val="-18"/>
        </w:rPr>
        <w:t> </w:t>
      </w:r>
      <w:r>
        <w:rPr/>
        <w:t>for</w:t>
      </w:r>
      <w:r>
        <w:rPr>
          <w:spacing w:val="-18"/>
        </w:rPr>
        <w:t> </w:t>
      </w:r>
      <w:r>
        <w:rPr/>
        <w:t>the</w:t>
      </w:r>
      <w:r>
        <w:rPr>
          <w:spacing w:val="-18"/>
        </w:rPr>
        <w:t> </w:t>
      </w:r>
      <w:r>
        <w:rPr/>
        <w:t>Senate’s</w:t>
      </w:r>
      <w:r>
        <w:rPr>
          <w:spacing w:val="-18"/>
        </w:rPr>
        <w:t> </w:t>
      </w:r>
      <w:r>
        <w:rPr/>
        <w:t>activities, taking</w:t>
      </w:r>
      <w:r>
        <w:rPr>
          <w:spacing w:val="-17"/>
        </w:rPr>
        <w:t> </w:t>
      </w:r>
      <w:r>
        <w:rPr/>
        <w:t>account</w:t>
      </w:r>
      <w:r>
        <w:rPr>
          <w:spacing w:val="-17"/>
        </w:rPr>
        <w:t> </w:t>
      </w:r>
      <w:r>
        <w:rPr/>
        <w:t>of</w:t>
      </w:r>
      <w:r>
        <w:rPr>
          <w:spacing w:val="-17"/>
        </w:rPr>
        <w:t> </w:t>
      </w:r>
      <w:r>
        <w:rPr/>
        <w:t>the</w:t>
      </w:r>
      <w:r>
        <w:rPr>
          <w:spacing w:val="-17"/>
        </w:rPr>
        <w:t> </w:t>
      </w:r>
      <w:r>
        <w:rPr/>
        <w:t>Senate’s</w:t>
      </w:r>
      <w:r>
        <w:rPr>
          <w:spacing w:val="-17"/>
        </w:rPr>
        <w:t> </w:t>
      </w:r>
      <w:r>
        <w:rPr/>
        <w:t>role</w:t>
      </w:r>
      <w:r>
        <w:rPr>
          <w:spacing w:val="-17"/>
        </w:rPr>
        <w:t> </w:t>
      </w:r>
      <w:r>
        <w:rPr/>
        <w:t>and</w:t>
      </w:r>
      <w:r>
        <w:rPr>
          <w:spacing w:val="-17"/>
        </w:rPr>
        <w:t> </w:t>
      </w:r>
      <w:r>
        <w:rPr/>
        <w:t>terms </w:t>
      </w:r>
      <w:r>
        <w:rPr>
          <w:w w:val="95"/>
        </w:rPr>
        <w:t>of</w:t>
      </w:r>
      <w:r>
        <w:rPr>
          <w:spacing w:val="2"/>
          <w:w w:val="95"/>
        </w:rPr>
        <w:t> </w:t>
      </w:r>
      <w:r>
        <w:rPr>
          <w:w w:val="95"/>
        </w:rPr>
        <w:t>reference.</w:t>
      </w:r>
    </w:p>
    <w:p>
      <w:pPr>
        <w:pStyle w:val="BodyText"/>
        <w:spacing w:before="9"/>
        <w:rPr>
          <w:sz w:val="21"/>
        </w:rPr>
      </w:pPr>
    </w:p>
    <w:p>
      <w:pPr>
        <w:pStyle w:val="Heading8"/>
        <w:ind w:right="78"/>
      </w:pPr>
      <w:r>
        <w:rPr/>
        <w:t>ACTIVITIES IN 2015</w:t>
      </w:r>
    </w:p>
    <w:p>
      <w:pPr>
        <w:pStyle w:val="BodyText"/>
        <w:spacing w:line="247" w:lineRule="auto" w:before="86"/>
        <w:ind w:left="107" w:right="78"/>
      </w:pPr>
      <w:r>
        <w:rPr>
          <w:w w:val="97"/>
        </w:rPr>
        <w:t>During </w:t>
      </w:r>
      <w:r>
        <w:rPr>
          <w:w w:val="84"/>
        </w:rPr>
        <w:t>2015, </w:t>
      </w:r>
      <w:r>
        <w:rPr>
          <w:w w:val="97"/>
        </w:rPr>
        <w:t>the </w:t>
      </w:r>
      <w:r>
        <w:rPr>
          <w:w w:val="100"/>
        </w:rPr>
        <w:t>Academic </w:t>
      </w:r>
      <w:r>
        <w:rPr>
          <w:w w:val="96"/>
        </w:rPr>
        <w:t>Senate’s </w:t>
      </w:r>
      <w:r>
        <w:rPr>
          <w:w w:val="97"/>
        </w:rPr>
        <w:t>priorities </w:t>
      </w:r>
      <w:r>
        <w:rPr/>
        <w:t>have addressed the regulatory environment for Australian universities, the University’s </w:t>
      </w:r>
      <w:r>
        <w:rPr>
          <w:rFonts w:ascii="Century Gothic" w:hAnsi="Century Gothic"/>
          <w:i/>
          <w:w w:val="95"/>
        </w:rPr>
        <w:t>Securing Success </w:t>
      </w:r>
      <w:r>
        <w:rPr>
          <w:w w:val="95"/>
        </w:rPr>
        <w:t>strategic priorities, and</w:t>
      </w:r>
    </w:p>
    <w:p>
      <w:pPr>
        <w:pStyle w:val="BodyText"/>
        <w:spacing w:line="249" w:lineRule="auto"/>
        <w:ind w:left="107" w:right="86"/>
      </w:pPr>
      <w:r>
        <w:rPr/>
        <w:t>the Senate’s legislated roles as the ‘peak forum of the University for academic debate and discourse’, and the ‘primary custodian of academic values and standards for the University’. These priorities were:</w:t>
      </w:r>
    </w:p>
    <w:p>
      <w:pPr>
        <w:pStyle w:val="BodyText"/>
        <w:spacing w:before="11"/>
        <w:rPr>
          <w:sz w:val="13"/>
        </w:rPr>
      </w:pPr>
    </w:p>
    <w:p>
      <w:pPr>
        <w:pStyle w:val="BodyText"/>
        <w:spacing w:line="244" w:lineRule="auto"/>
        <w:ind w:left="333" w:right="126" w:hanging="227"/>
      </w:pPr>
      <w:r>
        <w:rPr>
          <w:rFonts w:ascii="Century Gothic" w:hAnsi="Century Gothic"/>
          <w:b/>
          <w:w w:val="115"/>
        </w:rPr>
        <w:t>≥</w:t>
      </w:r>
      <w:r>
        <w:rPr>
          <w:rFonts w:ascii="Century Gothic" w:hAnsi="Century Gothic"/>
          <w:b/>
          <w:spacing w:val="3"/>
          <w:w w:val="115"/>
        </w:rPr>
        <w:t> </w:t>
      </w:r>
      <w:r>
        <w:rPr>
          <w:w w:val="105"/>
        </w:rPr>
        <w:t>the</w:t>
      </w:r>
      <w:r>
        <w:rPr>
          <w:spacing w:val="-32"/>
          <w:w w:val="105"/>
        </w:rPr>
        <w:t> </w:t>
      </w:r>
      <w:r>
        <w:rPr>
          <w:w w:val="105"/>
        </w:rPr>
        <w:t>student</w:t>
      </w:r>
      <w:r>
        <w:rPr>
          <w:spacing w:val="-32"/>
          <w:w w:val="105"/>
        </w:rPr>
        <w:t> </w:t>
      </w:r>
      <w:r>
        <w:rPr>
          <w:w w:val="105"/>
        </w:rPr>
        <w:t>experience</w:t>
      </w:r>
      <w:r>
        <w:rPr>
          <w:spacing w:val="-32"/>
          <w:w w:val="105"/>
        </w:rPr>
        <w:t> </w:t>
      </w:r>
      <w:r>
        <w:rPr>
          <w:w w:val="105"/>
        </w:rPr>
        <w:t>–</w:t>
      </w:r>
      <w:r>
        <w:rPr>
          <w:spacing w:val="-32"/>
          <w:w w:val="105"/>
        </w:rPr>
        <w:t> </w:t>
      </w:r>
      <w:r>
        <w:rPr>
          <w:w w:val="105"/>
        </w:rPr>
        <w:t>coursework</w:t>
      </w:r>
      <w:r>
        <w:rPr>
          <w:spacing w:val="-32"/>
          <w:w w:val="105"/>
        </w:rPr>
        <w:t> </w:t>
      </w:r>
      <w:r>
        <w:rPr>
          <w:w w:val="105"/>
        </w:rPr>
        <w:t>and </w:t>
      </w:r>
      <w:r>
        <w:rPr/>
        <w:t>higher</w:t>
      </w:r>
      <w:r>
        <w:rPr>
          <w:spacing w:val="-22"/>
        </w:rPr>
        <w:t> </w:t>
      </w:r>
      <w:r>
        <w:rPr/>
        <w:t>degree</w:t>
      </w:r>
      <w:r>
        <w:rPr>
          <w:spacing w:val="-22"/>
        </w:rPr>
        <w:t> </w:t>
      </w:r>
      <w:r>
        <w:rPr/>
        <w:t>research</w:t>
      </w:r>
    </w:p>
    <w:p>
      <w:pPr>
        <w:pStyle w:val="BodyText"/>
        <w:spacing w:before="58"/>
        <w:ind w:left="107" w:right="78"/>
      </w:pPr>
      <w:r>
        <w:rPr>
          <w:rFonts w:ascii="Century Gothic" w:hAnsi="Century Gothic"/>
          <w:b/>
          <w:w w:val="115"/>
        </w:rPr>
        <w:t>≥ </w:t>
      </w:r>
      <w:r>
        <w:rPr>
          <w:w w:val="105"/>
        </w:rPr>
        <w:t>student academic honesty and integrity</w:t>
      </w:r>
    </w:p>
    <w:p>
      <w:pPr>
        <w:pStyle w:val="BodyText"/>
        <w:spacing w:line="244" w:lineRule="auto" w:before="60"/>
        <w:ind w:left="333" w:right="86" w:hanging="227"/>
      </w:pPr>
      <w:r>
        <w:rPr>
          <w:rFonts w:ascii="Century Gothic" w:hAnsi="Century Gothic"/>
          <w:b/>
          <w:w w:val="115"/>
        </w:rPr>
        <w:t>≥ </w:t>
      </w:r>
      <w:r>
        <w:rPr/>
        <w:t>external referencing of academic standards and assessment</w:t>
      </w:r>
    </w:p>
    <w:p>
      <w:pPr>
        <w:pStyle w:val="BodyText"/>
        <w:spacing w:line="247" w:lineRule="auto" w:before="58"/>
        <w:ind w:left="333" w:right="198" w:hanging="227"/>
      </w:pPr>
      <w:r>
        <w:rPr>
          <w:rFonts w:ascii="Century Gothic" w:hAnsi="Century Gothic"/>
          <w:b/>
          <w:w w:val="115"/>
        </w:rPr>
        <w:t>≥</w:t>
      </w:r>
      <w:r>
        <w:rPr>
          <w:rFonts w:ascii="Century Gothic" w:hAnsi="Century Gothic"/>
          <w:b/>
          <w:spacing w:val="3"/>
          <w:w w:val="115"/>
        </w:rPr>
        <w:t> </w:t>
      </w:r>
      <w:r>
        <w:rPr>
          <w:w w:val="105"/>
        </w:rPr>
        <w:t>further</w:t>
      </w:r>
      <w:r>
        <w:rPr>
          <w:spacing w:val="-32"/>
          <w:w w:val="105"/>
        </w:rPr>
        <w:t> </w:t>
      </w:r>
      <w:r>
        <w:rPr>
          <w:w w:val="105"/>
        </w:rPr>
        <w:t>development</w:t>
      </w:r>
      <w:r>
        <w:rPr>
          <w:spacing w:val="-32"/>
          <w:w w:val="105"/>
        </w:rPr>
        <w:t> </w:t>
      </w:r>
      <w:r>
        <w:rPr>
          <w:w w:val="105"/>
        </w:rPr>
        <w:t>of</w:t>
      </w:r>
      <w:r>
        <w:rPr>
          <w:spacing w:val="-32"/>
          <w:w w:val="105"/>
        </w:rPr>
        <w:t> </w:t>
      </w:r>
      <w:r>
        <w:rPr>
          <w:w w:val="105"/>
        </w:rPr>
        <w:t>Western</w:t>
      </w:r>
      <w:r>
        <w:rPr>
          <w:spacing w:val="-32"/>
          <w:w w:val="105"/>
        </w:rPr>
        <w:t> </w:t>
      </w:r>
      <w:r>
        <w:rPr>
          <w:w w:val="105"/>
        </w:rPr>
        <w:t>Sydney Online</w:t>
      </w:r>
      <w:r>
        <w:rPr>
          <w:spacing w:val="-31"/>
          <w:w w:val="105"/>
        </w:rPr>
        <w:t> </w:t>
      </w:r>
      <w:r>
        <w:rPr>
          <w:w w:val="105"/>
        </w:rPr>
        <w:t>and</w:t>
      </w:r>
      <w:r>
        <w:rPr>
          <w:spacing w:val="-31"/>
          <w:w w:val="105"/>
        </w:rPr>
        <w:t> </w:t>
      </w:r>
      <w:r>
        <w:rPr>
          <w:w w:val="105"/>
        </w:rPr>
        <w:t>broader</w:t>
      </w:r>
      <w:r>
        <w:rPr>
          <w:spacing w:val="-31"/>
          <w:w w:val="105"/>
        </w:rPr>
        <w:t> </w:t>
      </w:r>
      <w:r>
        <w:rPr>
          <w:spacing w:val="2"/>
          <w:w w:val="105"/>
        </w:rPr>
        <w:t>aspects</w:t>
      </w:r>
      <w:r>
        <w:rPr>
          <w:spacing w:val="-31"/>
          <w:w w:val="105"/>
        </w:rPr>
        <w:t> </w:t>
      </w:r>
      <w:r>
        <w:rPr>
          <w:w w:val="105"/>
        </w:rPr>
        <w:t>of</w:t>
      </w:r>
      <w:r>
        <w:rPr>
          <w:spacing w:val="-31"/>
          <w:w w:val="105"/>
        </w:rPr>
        <w:t> </w:t>
      </w:r>
      <w:r>
        <w:rPr>
          <w:w w:val="105"/>
        </w:rPr>
        <w:t>digitally </w:t>
      </w:r>
      <w:r>
        <w:rPr/>
        <w:t>supported</w:t>
      </w:r>
      <w:r>
        <w:rPr>
          <w:spacing w:val="-12"/>
        </w:rPr>
        <w:t> </w:t>
      </w:r>
      <w:r>
        <w:rPr/>
        <w:t>learning</w:t>
      </w:r>
    </w:p>
    <w:p>
      <w:pPr>
        <w:spacing w:line="244" w:lineRule="auto" w:before="57"/>
        <w:ind w:left="333" w:right="78" w:hanging="227"/>
        <w:jc w:val="left"/>
        <w:rPr>
          <w:rFonts w:ascii="Century Gothic" w:hAnsi="Century Gothic"/>
          <w:i/>
          <w:sz w:val="16"/>
        </w:rPr>
      </w:pPr>
      <w:r>
        <w:rPr>
          <w:rFonts w:ascii="Century Gothic" w:hAnsi="Century Gothic"/>
          <w:b/>
          <w:w w:val="115"/>
          <w:sz w:val="16"/>
        </w:rPr>
        <w:t>≥ </w:t>
      </w:r>
      <w:r>
        <w:rPr>
          <w:sz w:val="16"/>
        </w:rPr>
        <w:t>supporting the delivery of the academic </w:t>
      </w:r>
      <w:r>
        <w:rPr>
          <w:w w:val="95"/>
          <w:sz w:val="16"/>
        </w:rPr>
        <w:t>components of </w:t>
      </w:r>
      <w:r>
        <w:rPr>
          <w:rFonts w:ascii="Century Gothic" w:hAnsi="Century Gothic"/>
          <w:i/>
          <w:w w:val="95"/>
          <w:sz w:val="16"/>
        </w:rPr>
        <w:t>Securing Success</w:t>
      </w:r>
    </w:p>
    <w:p>
      <w:pPr>
        <w:pStyle w:val="BodyText"/>
        <w:spacing w:line="244" w:lineRule="auto" w:before="56"/>
        <w:ind w:left="333" w:right="88" w:hanging="227"/>
      </w:pPr>
      <w:r>
        <w:rPr>
          <w:rFonts w:ascii="Century Gothic" w:hAnsi="Century Gothic"/>
          <w:b/>
          <w:w w:val="115"/>
        </w:rPr>
        <w:t>≥</w:t>
      </w:r>
      <w:r>
        <w:rPr>
          <w:rFonts w:ascii="Century Gothic" w:hAnsi="Century Gothic"/>
          <w:b/>
          <w:spacing w:val="5"/>
          <w:w w:val="115"/>
        </w:rPr>
        <w:t> </w:t>
      </w:r>
      <w:r>
        <w:rPr>
          <w:w w:val="105"/>
        </w:rPr>
        <w:t>further</w:t>
      </w:r>
      <w:r>
        <w:rPr>
          <w:spacing w:val="-31"/>
          <w:w w:val="105"/>
        </w:rPr>
        <w:t> </w:t>
      </w:r>
      <w:r>
        <w:rPr>
          <w:w w:val="105"/>
        </w:rPr>
        <w:t>development</w:t>
      </w:r>
      <w:r>
        <w:rPr>
          <w:spacing w:val="-31"/>
          <w:w w:val="105"/>
        </w:rPr>
        <w:t> </w:t>
      </w:r>
      <w:r>
        <w:rPr>
          <w:w w:val="105"/>
        </w:rPr>
        <w:t>of</w:t>
      </w:r>
      <w:r>
        <w:rPr>
          <w:spacing w:val="-31"/>
          <w:w w:val="105"/>
        </w:rPr>
        <w:t> </w:t>
      </w:r>
      <w:r>
        <w:rPr>
          <w:w w:val="105"/>
        </w:rPr>
        <w:t>academic</w:t>
      </w:r>
      <w:r>
        <w:rPr>
          <w:spacing w:val="-31"/>
          <w:w w:val="105"/>
        </w:rPr>
        <w:t> </w:t>
      </w:r>
      <w:r>
        <w:rPr>
          <w:w w:val="105"/>
        </w:rPr>
        <w:t>courses </w:t>
      </w:r>
      <w:r>
        <w:rPr/>
        <w:t>and</w:t>
      </w:r>
      <w:r>
        <w:rPr>
          <w:spacing w:val="-36"/>
        </w:rPr>
        <w:t> </w:t>
      </w:r>
      <w:r>
        <w:rPr/>
        <w:t>pathways.</w:t>
      </w:r>
    </w:p>
    <w:p>
      <w:pPr>
        <w:pStyle w:val="BodyText"/>
        <w:spacing w:before="4"/>
        <w:rPr>
          <w:sz w:val="14"/>
        </w:rPr>
      </w:pPr>
    </w:p>
    <w:p>
      <w:pPr>
        <w:pStyle w:val="BodyText"/>
        <w:spacing w:line="247" w:lineRule="auto"/>
        <w:ind w:left="107" w:right="132"/>
      </w:pPr>
      <w:r>
        <w:rPr/>
        <w:t>Academic </w:t>
      </w:r>
      <w:r>
        <w:rPr>
          <w:spacing w:val="2"/>
        </w:rPr>
        <w:t>honesty </w:t>
      </w:r>
      <w:r>
        <w:rPr/>
        <w:t>and integrity was a </w:t>
      </w:r>
      <w:r>
        <w:rPr>
          <w:spacing w:val="1"/>
          <w:w w:val="97"/>
        </w:rPr>
        <w:t>particular</w:t>
      </w:r>
      <w:r>
        <w:rPr>
          <w:w w:val="97"/>
        </w:rPr>
        <w:t> </w:t>
      </w:r>
      <w:r>
        <w:rPr>
          <w:w w:val="95"/>
        </w:rPr>
        <w:t>area </w:t>
      </w:r>
      <w:r>
        <w:rPr>
          <w:w w:val="99"/>
        </w:rPr>
        <w:t>of </w:t>
      </w:r>
      <w:r>
        <w:rPr>
          <w:spacing w:val="1"/>
          <w:w w:val="98"/>
        </w:rPr>
        <w:t>focus</w:t>
      </w:r>
      <w:r>
        <w:rPr>
          <w:w w:val="98"/>
        </w:rPr>
        <w:t> </w:t>
      </w:r>
      <w:r>
        <w:rPr>
          <w:spacing w:val="1"/>
          <w:w w:val="97"/>
        </w:rPr>
        <w:t>during</w:t>
      </w:r>
      <w:r>
        <w:rPr>
          <w:w w:val="97"/>
        </w:rPr>
        <w:t> </w:t>
      </w:r>
      <w:r>
        <w:rPr>
          <w:spacing w:val="1"/>
          <w:w w:val="84"/>
        </w:rPr>
        <w:t>2015.</w:t>
      </w:r>
      <w:r>
        <w:rPr>
          <w:w w:val="84"/>
        </w:rPr>
        <w:t> </w:t>
      </w:r>
      <w:r>
        <w:rPr>
          <w:spacing w:val="1"/>
          <w:w w:val="94"/>
        </w:rPr>
        <w:t>The</w:t>
      </w:r>
      <w:r>
        <w:rPr>
          <w:w w:val="94"/>
        </w:rPr>
        <w:t> </w:t>
      </w:r>
      <w:r>
        <w:rPr/>
        <w:t>Senate</w:t>
      </w:r>
      <w:r>
        <w:rPr>
          <w:spacing w:val="-23"/>
        </w:rPr>
        <w:t> </w:t>
      </w:r>
      <w:r>
        <w:rPr/>
        <w:t>refined</w:t>
      </w:r>
      <w:r>
        <w:rPr>
          <w:spacing w:val="-23"/>
        </w:rPr>
        <w:t> </w:t>
      </w:r>
      <w:r>
        <w:rPr/>
        <w:t>and</w:t>
      </w:r>
      <w:r>
        <w:rPr>
          <w:spacing w:val="-23"/>
        </w:rPr>
        <w:t> </w:t>
      </w:r>
      <w:r>
        <w:rPr/>
        <w:t>endorsed</w:t>
      </w:r>
      <w:r>
        <w:rPr>
          <w:spacing w:val="-23"/>
        </w:rPr>
        <w:t> </w:t>
      </w:r>
      <w:r>
        <w:rPr/>
        <w:t>a</w:t>
      </w:r>
      <w:r>
        <w:rPr>
          <w:spacing w:val="-23"/>
        </w:rPr>
        <w:t> </w:t>
      </w:r>
      <w:r>
        <w:rPr/>
        <w:t>new</w:t>
      </w:r>
      <w:r>
        <w:rPr>
          <w:spacing w:val="-23"/>
        </w:rPr>
        <w:t> </w:t>
      </w:r>
      <w:r>
        <w:rPr>
          <w:rFonts w:ascii="Century Gothic"/>
          <w:i/>
        </w:rPr>
        <w:t>Student </w:t>
      </w:r>
      <w:r>
        <w:rPr>
          <w:rFonts w:ascii="Century Gothic"/>
          <w:i/>
        </w:rPr>
        <w:t>Misconduct</w:t>
      </w:r>
      <w:r>
        <w:rPr>
          <w:rFonts w:ascii="Century Gothic"/>
          <w:i/>
          <w:spacing w:val="-26"/>
        </w:rPr>
        <w:t> </w:t>
      </w:r>
      <w:r>
        <w:rPr>
          <w:rFonts w:ascii="Century Gothic"/>
          <w:i/>
        </w:rPr>
        <w:t>Rule</w:t>
      </w:r>
      <w:r>
        <w:rPr/>
        <w:t>,</w:t>
      </w:r>
      <w:r>
        <w:rPr>
          <w:spacing w:val="-32"/>
        </w:rPr>
        <w:t> </w:t>
      </w:r>
      <w:r>
        <w:rPr/>
        <w:t>which</w:t>
      </w:r>
      <w:r>
        <w:rPr>
          <w:spacing w:val="-32"/>
        </w:rPr>
        <w:t> </w:t>
      </w:r>
      <w:r>
        <w:rPr/>
        <w:t>was</w:t>
      </w:r>
      <w:r>
        <w:rPr>
          <w:spacing w:val="-32"/>
        </w:rPr>
        <w:t> </w:t>
      </w:r>
      <w:r>
        <w:rPr/>
        <w:t>subsequently approved by the Board of Trustees, and a </w:t>
      </w:r>
      <w:r>
        <w:rPr>
          <w:w w:val="90"/>
        </w:rPr>
        <w:t>set of</w:t>
      </w:r>
      <w:r>
        <w:rPr>
          <w:spacing w:val="-29"/>
          <w:w w:val="90"/>
        </w:rPr>
        <w:t> </w:t>
      </w:r>
      <w:r>
        <w:rPr>
          <w:rFonts w:ascii="Century Gothic"/>
          <w:i/>
          <w:w w:val="90"/>
        </w:rPr>
        <w:t>Inappropriate Behaviour Guidelines </w:t>
      </w:r>
      <w:r>
        <w:rPr>
          <w:w w:val="90"/>
        </w:rPr>
        <w:t>for </w:t>
      </w:r>
      <w:r>
        <w:rPr/>
        <w:t>matters that are more appropriately dealt with</w:t>
      </w:r>
      <w:r>
        <w:rPr>
          <w:spacing w:val="-16"/>
        </w:rPr>
        <w:t> </w:t>
      </w:r>
      <w:r>
        <w:rPr/>
        <w:t>through</w:t>
      </w:r>
      <w:r>
        <w:rPr>
          <w:spacing w:val="-16"/>
        </w:rPr>
        <w:t> </w:t>
      </w:r>
      <w:r>
        <w:rPr/>
        <w:t>educative</w:t>
      </w:r>
      <w:r>
        <w:rPr>
          <w:spacing w:val="-16"/>
        </w:rPr>
        <w:t> </w:t>
      </w:r>
      <w:r>
        <w:rPr/>
        <w:t>and/or</w:t>
      </w:r>
      <w:r>
        <w:rPr>
          <w:spacing w:val="-16"/>
        </w:rPr>
        <w:t> </w:t>
      </w:r>
      <w:r>
        <w:rPr/>
        <w:t>remedial</w:t>
      </w:r>
    </w:p>
    <w:p>
      <w:pPr>
        <w:pStyle w:val="BodyText"/>
        <w:spacing w:line="249" w:lineRule="auto" w:before="1"/>
        <w:ind w:left="107" w:right="-4"/>
      </w:pPr>
      <w:r>
        <w:rPr/>
        <w:t>interventions.</w:t>
      </w:r>
      <w:r>
        <w:rPr>
          <w:spacing w:val="-24"/>
        </w:rPr>
        <w:t> </w:t>
      </w:r>
      <w:r>
        <w:rPr/>
        <w:t>The</w:t>
      </w:r>
      <w:r>
        <w:rPr>
          <w:spacing w:val="-24"/>
        </w:rPr>
        <w:t> </w:t>
      </w:r>
      <w:r>
        <w:rPr/>
        <w:t>Senate’s</w:t>
      </w:r>
      <w:r>
        <w:rPr>
          <w:spacing w:val="-24"/>
        </w:rPr>
        <w:t> </w:t>
      </w:r>
      <w:r>
        <w:rPr/>
        <w:t>Academic</w:t>
      </w:r>
      <w:r>
        <w:rPr>
          <w:spacing w:val="-24"/>
        </w:rPr>
        <w:t> </w:t>
      </w:r>
      <w:r>
        <w:rPr/>
        <w:t>Integrity Working</w:t>
      </w:r>
      <w:r>
        <w:rPr>
          <w:spacing w:val="-14"/>
        </w:rPr>
        <w:t> </w:t>
      </w:r>
      <w:r>
        <w:rPr>
          <w:spacing w:val="2"/>
        </w:rPr>
        <w:t>Party</w:t>
      </w:r>
      <w:r>
        <w:rPr>
          <w:spacing w:val="-14"/>
        </w:rPr>
        <w:t> </w:t>
      </w:r>
      <w:r>
        <w:rPr/>
        <w:t>is</w:t>
      </w:r>
      <w:r>
        <w:rPr>
          <w:spacing w:val="-14"/>
        </w:rPr>
        <w:t> </w:t>
      </w:r>
      <w:r>
        <w:rPr/>
        <w:t>drawing</w:t>
      </w:r>
      <w:r>
        <w:rPr>
          <w:spacing w:val="-14"/>
        </w:rPr>
        <w:t> </w:t>
      </w:r>
      <w:r>
        <w:rPr/>
        <w:t>together</w:t>
      </w:r>
      <w:r>
        <w:rPr>
          <w:spacing w:val="-14"/>
        </w:rPr>
        <w:t> </w:t>
      </w:r>
      <w:r>
        <w:rPr/>
        <w:t>a</w:t>
      </w:r>
      <w:r>
        <w:rPr>
          <w:spacing w:val="-14"/>
        </w:rPr>
        <w:t> </w:t>
      </w:r>
      <w:r>
        <w:rPr/>
        <w:t>range</w:t>
      </w:r>
    </w:p>
    <w:p>
      <w:pPr>
        <w:pStyle w:val="BodyText"/>
        <w:spacing w:line="192" w:lineRule="exact"/>
        <w:ind w:left="107" w:right="78"/>
      </w:pPr>
      <w:r>
        <w:rPr/>
        <w:t>of existing programs, informed by external</w:t>
      </w:r>
    </w:p>
    <w:p>
      <w:pPr>
        <w:pStyle w:val="BodyText"/>
        <w:spacing w:line="247" w:lineRule="auto" w:before="71"/>
        <w:ind w:left="107" w:right="138"/>
      </w:pPr>
      <w:r>
        <w:rPr/>
        <w:br w:type="column"/>
      </w:r>
      <w:r>
        <w:rPr/>
        <w:t>benchmarking, to produce a comprehensive Academic </w:t>
      </w:r>
      <w:r>
        <w:rPr>
          <w:spacing w:val="2"/>
        </w:rPr>
        <w:t>Honesty </w:t>
      </w:r>
      <w:r>
        <w:rPr/>
        <w:t>and Integrity Framework. Following a review of some </w:t>
      </w:r>
      <w:r>
        <w:rPr>
          <w:spacing w:val="2"/>
        </w:rPr>
        <w:t>aspects </w:t>
      </w:r>
      <w:r>
        <w:rPr/>
        <w:t>of the University’s</w:t>
      </w:r>
      <w:r>
        <w:rPr>
          <w:spacing w:val="-35"/>
        </w:rPr>
        <w:t> </w:t>
      </w:r>
      <w:r>
        <w:rPr>
          <w:rFonts w:ascii="Century Gothic" w:hAnsi="Century Gothic"/>
          <w:i/>
        </w:rPr>
        <w:t>Assessment</w:t>
      </w:r>
      <w:r>
        <w:rPr>
          <w:rFonts w:ascii="Century Gothic" w:hAnsi="Century Gothic"/>
          <w:i/>
          <w:spacing w:val="-30"/>
        </w:rPr>
        <w:t> </w:t>
      </w:r>
      <w:r>
        <w:rPr>
          <w:rFonts w:ascii="Century Gothic" w:hAnsi="Century Gothic"/>
          <w:i/>
        </w:rPr>
        <w:t>Policy</w:t>
      </w:r>
      <w:r>
        <w:rPr/>
        <w:t>,</w:t>
      </w:r>
      <w:r>
        <w:rPr>
          <w:spacing w:val="-35"/>
        </w:rPr>
        <w:t> </w:t>
      </w:r>
      <w:r>
        <w:rPr/>
        <w:t>the</w:t>
      </w:r>
      <w:r>
        <w:rPr>
          <w:spacing w:val="-35"/>
        </w:rPr>
        <w:t> </w:t>
      </w:r>
      <w:r>
        <w:rPr/>
        <w:t>University has</w:t>
      </w:r>
      <w:r>
        <w:rPr>
          <w:spacing w:val="-18"/>
        </w:rPr>
        <w:t> </w:t>
      </w:r>
      <w:r>
        <w:rPr/>
        <w:t>commissioned</w:t>
      </w:r>
      <w:r>
        <w:rPr>
          <w:spacing w:val="-18"/>
        </w:rPr>
        <w:t> </w:t>
      </w:r>
      <w:r>
        <w:rPr/>
        <w:t>a</w:t>
      </w:r>
      <w:r>
        <w:rPr>
          <w:spacing w:val="-18"/>
        </w:rPr>
        <w:t> </w:t>
      </w:r>
      <w:r>
        <w:rPr/>
        <w:t>comprehensive</w:t>
      </w:r>
      <w:r>
        <w:rPr>
          <w:spacing w:val="-18"/>
        </w:rPr>
        <w:t> </w:t>
      </w:r>
      <w:r>
        <w:rPr/>
        <w:t>review</w:t>
      </w:r>
      <w:r>
        <w:rPr>
          <w:spacing w:val="-18"/>
        </w:rPr>
        <w:t> </w:t>
      </w:r>
      <w:r>
        <w:rPr/>
        <w:t>of assessment</w:t>
      </w:r>
      <w:r>
        <w:rPr>
          <w:spacing w:val="-14"/>
        </w:rPr>
        <w:t> </w:t>
      </w:r>
      <w:r>
        <w:rPr/>
        <w:t>to</w:t>
      </w:r>
      <w:r>
        <w:rPr>
          <w:spacing w:val="-14"/>
        </w:rPr>
        <w:t> </w:t>
      </w:r>
      <w:r>
        <w:rPr/>
        <w:t>be</w:t>
      </w:r>
      <w:r>
        <w:rPr>
          <w:spacing w:val="-14"/>
        </w:rPr>
        <w:t> </w:t>
      </w:r>
      <w:r>
        <w:rPr/>
        <w:t>conducted</w:t>
      </w:r>
      <w:r>
        <w:rPr>
          <w:spacing w:val="-14"/>
        </w:rPr>
        <w:t> </w:t>
      </w:r>
      <w:r>
        <w:rPr/>
        <w:t>in</w:t>
      </w:r>
      <w:r>
        <w:rPr>
          <w:spacing w:val="-14"/>
        </w:rPr>
        <w:t> </w:t>
      </w:r>
      <w:r>
        <w:rPr/>
        <w:t>the</w:t>
      </w:r>
      <w:r>
        <w:rPr>
          <w:spacing w:val="-14"/>
        </w:rPr>
        <w:t> </w:t>
      </w:r>
      <w:r>
        <w:rPr/>
        <w:t>first</w:t>
      </w:r>
      <w:r>
        <w:rPr>
          <w:spacing w:val="-14"/>
        </w:rPr>
        <w:t> </w:t>
      </w:r>
      <w:r>
        <w:rPr/>
        <w:t>half</w:t>
      </w:r>
      <w:r>
        <w:rPr>
          <w:spacing w:val="-14"/>
        </w:rPr>
        <w:t> </w:t>
      </w:r>
      <w:r>
        <w:rPr/>
        <w:t>of </w:t>
      </w:r>
      <w:r>
        <w:rPr>
          <w:spacing w:val="2"/>
          <w:w w:val="85"/>
        </w:rPr>
        <w:t>2016,</w:t>
      </w:r>
      <w:r>
        <w:rPr>
          <w:w w:val="85"/>
        </w:rPr>
        <w:t> </w:t>
      </w:r>
      <w:r>
        <w:rPr>
          <w:w w:val="98"/>
        </w:rPr>
        <w:t>which </w:t>
      </w:r>
      <w:r>
        <w:rPr>
          <w:w w:val="97"/>
        </w:rPr>
        <w:t>will </w:t>
      </w:r>
      <w:r>
        <w:rPr>
          <w:spacing w:val="1"/>
          <w:w w:val="96"/>
        </w:rPr>
        <w:t>also</w:t>
      </w:r>
      <w:r>
        <w:rPr>
          <w:w w:val="96"/>
        </w:rPr>
        <w:t> </w:t>
      </w:r>
      <w:r>
        <w:rPr>
          <w:spacing w:val="1"/>
          <w:w w:val="97"/>
        </w:rPr>
        <w:t>consider</w:t>
      </w:r>
      <w:r>
        <w:rPr>
          <w:w w:val="97"/>
        </w:rPr>
        <w:t> </w:t>
      </w:r>
      <w:r>
        <w:rPr>
          <w:w w:val="97"/>
        </w:rPr>
        <w:t>the </w:t>
      </w:r>
      <w:r>
        <w:rPr>
          <w:w w:val="97"/>
        </w:rPr>
        <w:t>role </w:t>
      </w:r>
      <w:r>
        <w:rPr>
          <w:w w:val="99"/>
        </w:rPr>
        <w:t>of </w:t>
      </w:r>
      <w:r>
        <w:rPr>
          <w:w w:val="97"/>
        </w:rPr>
        <w:t>new </w:t>
      </w:r>
      <w:r>
        <w:rPr/>
        <w:t>technologies in challenging and protecting the integrity of the University’s assessment processes.</w:t>
      </w:r>
    </w:p>
    <w:p>
      <w:pPr>
        <w:pStyle w:val="BodyText"/>
        <w:spacing w:before="2"/>
        <w:rPr>
          <w:sz w:val="14"/>
        </w:rPr>
      </w:pPr>
    </w:p>
    <w:p>
      <w:pPr>
        <w:pStyle w:val="BodyText"/>
        <w:spacing w:line="247" w:lineRule="auto"/>
        <w:ind w:left="107" w:right="112"/>
        <w:rPr>
          <w:rFonts w:ascii="Century Gothic"/>
          <w:i/>
        </w:rPr>
      </w:pPr>
      <w:r>
        <w:rPr/>
        <w:t>Throughout the year, the Senate received briefings and gave advice about a range of University priorities and activities, including the development of the new </w:t>
      </w:r>
      <w:r>
        <w:rPr>
          <w:rFonts w:ascii="Century Gothic"/>
          <w:i/>
        </w:rPr>
        <w:t>Learning</w:t>
      </w:r>
    </w:p>
    <w:p>
      <w:pPr>
        <w:pStyle w:val="BodyText"/>
        <w:spacing w:line="247" w:lineRule="auto"/>
        <w:ind w:left="107" w:right="174"/>
      </w:pPr>
      <w:r>
        <w:rPr>
          <w:rFonts w:ascii="Century Gothic"/>
          <w:i/>
        </w:rPr>
        <w:t>and Teaching Plan</w:t>
      </w:r>
      <w:r>
        <w:rPr/>
        <w:t>; English language and literacy support; research ethics; rebranding of the University; development of the</w:t>
      </w:r>
    </w:p>
    <w:p>
      <w:pPr>
        <w:pStyle w:val="BodyText"/>
        <w:spacing w:line="249" w:lineRule="auto" w:before="1"/>
        <w:ind w:left="107" w:right="112"/>
      </w:pPr>
      <w:r>
        <w:rPr/>
        <w:t>new One Parramatta Square campus; the internationalisation of the curriculum; progress with the Red Tape Task Force project;</w:t>
      </w:r>
      <w:r>
        <w:rPr>
          <w:spacing w:val="-18"/>
        </w:rPr>
        <w:t> </w:t>
      </w:r>
      <w:r>
        <w:rPr/>
        <w:t>and</w:t>
      </w:r>
      <w:r>
        <w:rPr>
          <w:spacing w:val="-18"/>
        </w:rPr>
        <w:t> </w:t>
      </w:r>
      <w:r>
        <w:rPr/>
        <w:t>development</w:t>
      </w:r>
      <w:r>
        <w:rPr>
          <w:spacing w:val="-18"/>
        </w:rPr>
        <w:t> </w:t>
      </w:r>
      <w:r>
        <w:rPr/>
        <w:t>of</w:t>
      </w:r>
      <w:r>
        <w:rPr>
          <w:spacing w:val="-18"/>
        </w:rPr>
        <w:t> </w:t>
      </w:r>
      <w:r>
        <w:rPr/>
        <w:t>new</w:t>
      </w:r>
      <w:r>
        <w:rPr>
          <w:spacing w:val="-18"/>
        </w:rPr>
        <w:t> </w:t>
      </w:r>
      <w:r>
        <w:rPr/>
        <w:t>learning</w:t>
      </w:r>
      <w:r>
        <w:rPr>
          <w:spacing w:val="-18"/>
        </w:rPr>
        <w:t> </w:t>
      </w:r>
      <w:r>
        <w:rPr/>
        <w:t>and staff spaces. The Senate has also monitored the development of the new national Higher Education Standards Framework, now approved for implementation by </w:t>
      </w:r>
      <w:r>
        <w:rPr>
          <w:w w:val="95"/>
        </w:rPr>
        <w:t>1 </w:t>
      </w:r>
      <w:r>
        <w:rPr>
          <w:spacing w:val="2"/>
        </w:rPr>
        <w:t>January </w:t>
      </w:r>
      <w:r>
        <w:rPr>
          <w:spacing w:val="-2"/>
          <w:w w:val="83"/>
        </w:rPr>
        <w:t>2017,</w:t>
      </w:r>
      <w:r>
        <w:rPr>
          <w:spacing w:val="-1"/>
          <w:w w:val="83"/>
        </w:rPr>
        <w:t> </w:t>
      </w:r>
      <w:r>
        <w:rPr>
          <w:spacing w:val="1"/>
          <w:w w:val="97"/>
        </w:rPr>
        <w:t>and</w:t>
      </w:r>
      <w:r>
        <w:rPr>
          <w:spacing w:val="-8"/>
          <w:w w:val="97"/>
        </w:rPr>
        <w:t> </w:t>
      </w:r>
      <w:r>
        <w:rPr>
          <w:spacing w:val="1"/>
          <w:w w:val="98"/>
        </w:rPr>
        <w:t>begun</w:t>
      </w:r>
      <w:r>
        <w:rPr>
          <w:spacing w:val="-8"/>
          <w:w w:val="98"/>
        </w:rPr>
        <w:t> </w:t>
      </w:r>
      <w:r>
        <w:rPr>
          <w:w w:val="97"/>
        </w:rPr>
        <w:t>the</w:t>
      </w:r>
      <w:r>
        <w:rPr>
          <w:spacing w:val="-8"/>
          <w:w w:val="97"/>
        </w:rPr>
        <w:t> </w:t>
      </w:r>
      <w:r>
        <w:rPr>
          <w:w w:val="98"/>
        </w:rPr>
        <w:t>work</w:t>
      </w:r>
      <w:r>
        <w:rPr>
          <w:spacing w:val="-9"/>
          <w:w w:val="98"/>
        </w:rPr>
        <w:t> </w:t>
      </w:r>
      <w:r>
        <w:rPr>
          <w:w w:val="99"/>
        </w:rPr>
        <w:t>of</w:t>
      </w:r>
      <w:r>
        <w:rPr>
          <w:spacing w:val="-9"/>
          <w:w w:val="99"/>
        </w:rPr>
        <w:t> </w:t>
      </w:r>
      <w:r>
        <w:rPr>
          <w:spacing w:val="1"/>
          <w:w w:val="96"/>
        </w:rPr>
        <w:t>ensuring</w:t>
      </w:r>
      <w:r>
        <w:rPr>
          <w:spacing w:val="-8"/>
          <w:w w:val="96"/>
        </w:rPr>
        <w:t> </w:t>
      </w:r>
      <w:r>
        <w:rPr>
          <w:w w:val="98"/>
        </w:rPr>
        <w:t>that</w:t>
      </w:r>
    </w:p>
    <w:p>
      <w:pPr>
        <w:pStyle w:val="BodyText"/>
        <w:spacing w:line="249" w:lineRule="auto"/>
        <w:ind w:left="107" w:right="296"/>
      </w:pPr>
      <w:r>
        <w:rPr/>
        <w:t>its policies and processes meet the new standards and provide a sound basis for the</w:t>
      </w:r>
      <w:r>
        <w:rPr>
          <w:spacing w:val="-18"/>
        </w:rPr>
        <w:t> </w:t>
      </w:r>
      <w:r>
        <w:rPr/>
        <w:t>University’s</w:t>
      </w:r>
      <w:r>
        <w:rPr>
          <w:spacing w:val="-18"/>
        </w:rPr>
        <w:t> </w:t>
      </w:r>
      <w:r>
        <w:rPr/>
        <w:t>re-accreditation</w:t>
      </w:r>
      <w:r>
        <w:rPr>
          <w:spacing w:val="-18"/>
        </w:rPr>
        <w:t> </w:t>
      </w:r>
      <w:r>
        <w:rPr/>
        <w:t>as</w:t>
      </w:r>
      <w:r>
        <w:rPr>
          <w:spacing w:val="-18"/>
        </w:rPr>
        <w:t> </w:t>
      </w:r>
      <w:r>
        <w:rPr/>
        <w:t>a</w:t>
      </w:r>
      <w:r>
        <w:rPr>
          <w:spacing w:val="-18"/>
        </w:rPr>
        <w:t> </w:t>
      </w:r>
      <w:r>
        <w:rPr/>
        <w:t>higher education</w:t>
      </w:r>
      <w:r>
        <w:rPr>
          <w:spacing w:val="-30"/>
        </w:rPr>
        <w:t> </w:t>
      </w:r>
      <w:r>
        <w:rPr/>
        <w:t>provider</w:t>
      </w:r>
      <w:r>
        <w:rPr>
          <w:spacing w:val="-30"/>
        </w:rPr>
        <w:t> </w:t>
      </w:r>
      <w:r>
        <w:rPr/>
        <w:t>in</w:t>
      </w:r>
      <w:r>
        <w:rPr>
          <w:spacing w:val="-30"/>
        </w:rPr>
        <w:t> </w:t>
      </w:r>
      <w:r>
        <w:rPr>
          <w:spacing w:val="2"/>
        </w:rPr>
        <w:t>2018.</w:t>
      </w:r>
    </w:p>
    <w:p>
      <w:pPr>
        <w:pStyle w:val="BodyText"/>
        <w:rPr>
          <w:sz w:val="14"/>
        </w:rPr>
      </w:pPr>
    </w:p>
    <w:p>
      <w:pPr>
        <w:pStyle w:val="BodyText"/>
        <w:spacing w:line="249" w:lineRule="auto"/>
        <w:ind w:left="107" w:right="411"/>
      </w:pPr>
      <w:r>
        <w:rPr/>
        <w:t>Following the recent performance review of the Board of Trustees and its standing</w:t>
      </w:r>
    </w:p>
    <w:p>
      <w:pPr>
        <w:pStyle w:val="BodyText"/>
        <w:spacing w:line="249" w:lineRule="auto"/>
        <w:ind w:left="107" w:right="26"/>
      </w:pPr>
      <w:r>
        <w:rPr/>
        <w:t>committees, the Academic Senate is reviewing its activities to identify areas of good practice and opportunities for improvement. A survey </w:t>
      </w:r>
      <w:r>
        <w:rPr>
          <w:w w:val="99"/>
        </w:rPr>
        <w:t>of </w:t>
      </w:r>
      <w:r>
        <w:rPr>
          <w:w w:val="97"/>
        </w:rPr>
        <w:t>members </w:t>
      </w:r>
      <w:r>
        <w:rPr>
          <w:w w:val="96"/>
        </w:rPr>
        <w:t>was </w:t>
      </w:r>
      <w:r>
        <w:rPr>
          <w:w w:val="98"/>
        </w:rPr>
        <w:t>circulated </w:t>
      </w:r>
      <w:r>
        <w:rPr>
          <w:w w:val="95"/>
        </w:rPr>
        <w:t>in </w:t>
      </w:r>
      <w:r>
        <w:rPr>
          <w:w w:val="98"/>
        </w:rPr>
        <w:t>November </w:t>
      </w:r>
      <w:r>
        <w:rPr>
          <w:w w:val="84"/>
        </w:rPr>
        <w:t>2015. </w:t>
      </w:r>
      <w:r>
        <w:rPr/>
        <w:t>An Academic Governance Working Party has been established to advise the Senate on its processes and performance in relation to the new Higher Education Standards Framework for academic governance and TEQSA’s guidance notes on academic governance.</w:t>
      </w:r>
    </w:p>
    <w:p>
      <w:pPr>
        <w:pStyle w:val="BodyText"/>
        <w:rPr>
          <w:sz w:val="14"/>
        </w:rPr>
      </w:pPr>
    </w:p>
    <w:p>
      <w:pPr>
        <w:pStyle w:val="BodyText"/>
        <w:spacing w:line="249" w:lineRule="auto"/>
        <w:ind w:left="107" w:right="296"/>
      </w:pPr>
      <w:r>
        <w:rPr>
          <w:w w:val="97"/>
        </w:rPr>
        <w:t>During </w:t>
      </w:r>
      <w:r>
        <w:rPr>
          <w:w w:val="84"/>
        </w:rPr>
        <w:t>2015, </w:t>
      </w:r>
      <w:r>
        <w:rPr>
          <w:w w:val="97"/>
        </w:rPr>
        <w:t>the </w:t>
      </w:r>
      <w:r>
        <w:rPr>
          <w:w w:val="96"/>
        </w:rPr>
        <w:t>Senate’s </w:t>
      </w:r>
      <w:r>
        <w:rPr>
          <w:w w:val="97"/>
        </w:rPr>
        <w:t>standing </w:t>
      </w:r>
      <w:r>
        <w:rPr/>
        <w:t>committees at the School and University level continued developing, approving and reviewing courses, units and articulation agreements with other organisations; determining and monitoring academic standards; reviewing and approving marks and grades; managing and examining</w:t>
      </w:r>
    </w:p>
    <w:p>
      <w:pPr>
        <w:spacing w:after="0" w:line="249" w:lineRule="auto"/>
        <w:sectPr>
          <w:type w:val="continuous"/>
          <w:pgSz w:w="11910" w:h="16840"/>
          <w:pgMar w:top="1580" w:bottom="280" w:left="800" w:right="800"/>
          <w:cols w:num="3" w:equalWidth="0">
            <w:col w:w="3320" w:space="120"/>
            <w:col w:w="3318" w:space="121"/>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181"/>
      </w:pPr>
      <w:r>
        <w:rPr/>
        <w:t>bachelor (honours) and higher degree research candidatures; approving students for graduation; developing and monitoring</w:t>
      </w:r>
    </w:p>
    <w:p>
      <w:pPr>
        <w:pStyle w:val="BodyText"/>
        <w:spacing w:line="249" w:lineRule="auto"/>
        <w:ind w:left="107" w:right="-2"/>
      </w:pPr>
      <w:r>
        <w:rPr/>
        <w:t>academic</w:t>
      </w:r>
      <w:r>
        <w:rPr>
          <w:spacing w:val="-16"/>
        </w:rPr>
        <w:t> </w:t>
      </w:r>
      <w:r>
        <w:rPr/>
        <w:t>policies;</w:t>
      </w:r>
      <w:r>
        <w:rPr>
          <w:spacing w:val="-16"/>
        </w:rPr>
        <w:t> </w:t>
      </w:r>
      <w:r>
        <w:rPr/>
        <w:t>and</w:t>
      </w:r>
      <w:r>
        <w:rPr>
          <w:spacing w:val="-16"/>
        </w:rPr>
        <w:t> </w:t>
      </w:r>
      <w:r>
        <w:rPr/>
        <w:t>shaping</w:t>
      </w:r>
      <w:r>
        <w:rPr>
          <w:spacing w:val="-16"/>
        </w:rPr>
        <w:t> </w:t>
      </w:r>
      <w:r>
        <w:rPr/>
        <w:t>and</w:t>
      </w:r>
      <w:r>
        <w:rPr>
          <w:spacing w:val="-16"/>
        </w:rPr>
        <w:t> </w:t>
      </w:r>
      <w:r>
        <w:rPr/>
        <w:t>promoting the University’s academic culture, values and standards.</w:t>
      </w:r>
    </w:p>
    <w:p>
      <w:pPr>
        <w:pStyle w:val="BodyText"/>
        <w:spacing w:before="7"/>
        <w:rPr>
          <w:sz w:val="21"/>
        </w:rPr>
      </w:pPr>
    </w:p>
    <w:p>
      <w:pPr>
        <w:pStyle w:val="Heading8"/>
        <w:ind w:right="78"/>
      </w:pPr>
      <w:r>
        <w:rPr>
          <w:w w:val="95"/>
        </w:rPr>
        <w:t>HIGHLIGHTS IN 2015</w:t>
      </w:r>
    </w:p>
    <w:p>
      <w:pPr>
        <w:pStyle w:val="BodyText"/>
        <w:spacing w:line="249" w:lineRule="auto" w:before="86"/>
        <w:ind w:left="107" w:right="264"/>
      </w:pPr>
      <w:r>
        <w:rPr/>
        <w:t>During</w:t>
      </w:r>
      <w:r>
        <w:rPr>
          <w:spacing w:val="-20"/>
        </w:rPr>
        <w:t> </w:t>
      </w:r>
      <w:r>
        <w:rPr/>
        <w:t>the</w:t>
      </w:r>
      <w:r>
        <w:rPr>
          <w:spacing w:val="-20"/>
        </w:rPr>
        <w:t> </w:t>
      </w:r>
      <w:r>
        <w:rPr/>
        <w:t>year,</w:t>
      </w:r>
      <w:r>
        <w:rPr>
          <w:spacing w:val="-20"/>
        </w:rPr>
        <w:t> </w:t>
      </w:r>
      <w:r>
        <w:rPr/>
        <w:t>the</w:t>
      </w:r>
      <w:r>
        <w:rPr>
          <w:spacing w:val="-20"/>
        </w:rPr>
        <w:t> </w:t>
      </w:r>
      <w:r>
        <w:rPr/>
        <w:t>Senate</w:t>
      </w:r>
      <w:r>
        <w:rPr>
          <w:spacing w:val="-20"/>
        </w:rPr>
        <w:t> </w:t>
      </w:r>
      <w:r>
        <w:rPr/>
        <w:t>worked</w:t>
      </w:r>
      <w:r>
        <w:rPr>
          <w:spacing w:val="-20"/>
        </w:rPr>
        <w:t> </w:t>
      </w:r>
      <w:r>
        <w:rPr/>
        <w:t>closely with the Office of the Vice-Chancellor to hold four academic forums to enhance communication</w:t>
      </w:r>
      <w:r>
        <w:rPr>
          <w:spacing w:val="-16"/>
        </w:rPr>
        <w:t> </w:t>
      </w:r>
      <w:r>
        <w:rPr/>
        <w:t>with</w:t>
      </w:r>
      <w:r>
        <w:rPr>
          <w:spacing w:val="-16"/>
        </w:rPr>
        <w:t> </w:t>
      </w:r>
      <w:r>
        <w:rPr/>
        <w:t>the</w:t>
      </w:r>
      <w:r>
        <w:rPr>
          <w:spacing w:val="-16"/>
        </w:rPr>
        <w:t> </w:t>
      </w:r>
      <w:r>
        <w:rPr/>
        <w:t>University</w:t>
      </w:r>
    </w:p>
    <w:p>
      <w:pPr>
        <w:pStyle w:val="BodyText"/>
        <w:spacing w:line="249" w:lineRule="auto"/>
        <w:ind w:left="107" w:right="40"/>
      </w:pPr>
      <w:r>
        <w:rPr/>
        <w:t>community.</w:t>
      </w:r>
      <w:r>
        <w:rPr>
          <w:spacing w:val="-18"/>
        </w:rPr>
        <w:t> </w:t>
      </w:r>
      <w:r>
        <w:rPr/>
        <w:t>The</w:t>
      </w:r>
      <w:r>
        <w:rPr>
          <w:spacing w:val="-18"/>
        </w:rPr>
        <w:t> </w:t>
      </w:r>
      <w:r>
        <w:rPr/>
        <w:t>topics</w:t>
      </w:r>
      <w:r>
        <w:rPr>
          <w:spacing w:val="-18"/>
        </w:rPr>
        <w:t> </w:t>
      </w:r>
      <w:r>
        <w:rPr/>
        <w:t>for</w:t>
      </w:r>
      <w:r>
        <w:rPr>
          <w:spacing w:val="-18"/>
        </w:rPr>
        <w:t> </w:t>
      </w:r>
      <w:r>
        <w:rPr/>
        <w:t>these</w:t>
      </w:r>
      <w:r>
        <w:rPr>
          <w:spacing w:val="-18"/>
        </w:rPr>
        <w:t> </w:t>
      </w:r>
      <w:r>
        <w:rPr/>
        <w:t>forums</w:t>
      </w:r>
      <w:r>
        <w:rPr>
          <w:spacing w:val="-18"/>
        </w:rPr>
        <w:t> </w:t>
      </w:r>
      <w:r>
        <w:rPr/>
        <w:t>were ‘Enhancing</w:t>
      </w:r>
      <w:r>
        <w:rPr>
          <w:spacing w:val="-20"/>
        </w:rPr>
        <w:t> </w:t>
      </w:r>
      <w:r>
        <w:rPr/>
        <w:t>the</w:t>
      </w:r>
      <w:r>
        <w:rPr>
          <w:spacing w:val="-20"/>
        </w:rPr>
        <w:t> </w:t>
      </w:r>
      <w:r>
        <w:rPr/>
        <w:t>Student</w:t>
      </w:r>
      <w:r>
        <w:rPr>
          <w:spacing w:val="-20"/>
        </w:rPr>
        <w:t> </w:t>
      </w:r>
      <w:r>
        <w:rPr/>
        <w:t>Experience’,</w:t>
      </w:r>
      <w:r>
        <w:rPr>
          <w:spacing w:val="-20"/>
        </w:rPr>
        <w:t> </w:t>
      </w:r>
      <w:r>
        <w:rPr>
          <w:spacing w:val="2"/>
        </w:rPr>
        <w:t>‘Barriers </w:t>
      </w:r>
      <w:r>
        <w:rPr/>
        <w:t>to</w:t>
      </w:r>
      <w:r>
        <w:rPr>
          <w:spacing w:val="-27"/>
        </w:rPr>
        <w:t> </w:t>
      </w:r>
      <w:r>
        <w:rPr/>
        <w:t>Research’,</w:t>
      </w:r>
      <w:r>
        <w:rPr>
          <w:spacing w:val="-27"/>
        </w:rPr>
        <w:t> </w:t>
      </w:r>
      <w:r>
        <w:rPr>
          <w:spacing w:val="-2"/>
        </w:rPr>
        <w:t>‘An</w:t>
      </w:r>
      <w:r>
        <w:rPr>
          <w:spacing w:val="-27"/>
        </w:rPr>
        <w:t> </w:t>
      </w:r>
      <w:r>
        <w:rPr/>
        <w:t>Internationalised</w:t>
      </w:r>
      <w:r>
        <w:rPr>
          <w:spacing w:val="-27"/>
        </w:rPr>
        <w:t> </w:t>
      </w:r>
      <w:r>
        <w:rPr/>
        <w:t>Curriculum’ and ‘Aboriginal and Torres Strait Islander Education’. Each forum included academic and</w:t>
      </w:r>
      <w:r>
        <w:rPr>
          <w:spacing w:val="-16"/>
        </w:rPr>
        <w:t> </w:t>
      </w:r>
      <w:r>
        <w:rPr/>
        <w:t>professional</w:t>
      </w:r>
      <w:r>
        <w:rPr>
          <w:spacing w:val="-16"/>
        </w:rPr>
        <w:t> </w:t>
      </w:r>
      <w:r>
        <w:rPr/>
        <w:t>staff</w:t>
      </w:r>
      <w:r>
        <w:rPr>
          <w:spacing w:val="-16"/>
        </w:rPr>
        <w:t> </w:t>
      </w:r>
      <w:r>
        <w:rPr/>
        <w:t>members</w:t>
      </w:r>
      <w:r>
        <w:rPr>
          <w:spacing w:val="-16"/>
        </w:rPr>
        <w:t> </w:t>
      </w:r>
      <w:r>
        <w:rPr/>
        <w:t>from</w:t>
      </w:r>
      <w:r>
        <w:rPr>
          <w:spacing w:val="-16"/>
        </w:rPr>
        <w:t> </w:t>
      </w:r>
      <w:r>
        <w:rPr/>
        <w:t>a</w:t>
      </w:r>
      <w:r>
        <w:rPr>
          <w:spacing w:val="-16"/>
        </w:rPr>
        <w:t> </w:t>
      </w:r>
      <w:r>
        <w:rPr/>
        <w:t>range of disciplines and organisational units within the</w:t>
      </w:r>
      <w:r>
        <w:rPr>
          <w:spacing w:val="-18"/>
        </w:rPr>
        <w:t> </w:t>
      </w:r>
      <w:r>
        <w:rPr/>
        <w:t>University,</w:t>
      </w:r>
      <w:r>
        <w:rPr>
          <w:spacing w:val="-18"/>
        </w:rPr>
        <w:t> </w:t>
      </w:r>
      <w:r>
        <w:rPr/>
        <w:t>as</w:t>
      </w:r>
      <w:r>
        <w:rPr>
          <w:spacing w:val="-18"/>
        </w:rPr>
        <w:t> </w:t>
      </w:r>
      <w:r>
        <w:rPr/>
        <w:t>well</w:t>
      </w:r>
      <w:r>
        <w:rPr>
          <w:spacing w:val="-18"/>
        </w:rPr>
        <w:t> </w:t>
      </w:r>
      <w:r>
        <w:rPr/>
        <w:t>as</w:t>
      </w:r>
      <w:r>
        <w:rPr>
          <w:spacing w:val="-18"/>
        </w:rPr>
        <w:t> </w:t>
      </w:r>
      <w:r>
        <w:rPr/>
        <w:t>a</w:t>
      </w:r>
      <w:r>
        <w:rPr>
          <w:spacing w:val="-18"/>
        </w:rPr>
        <w:t> </w:t>
      </w:r>
      <w:r>
        <w:rPr/>
        <w:t>number</w:t>
      </w:r>
      <w:r>
        <w:rPr>
          <w:spacing w:val="-18"/>
        </w:rPr>
        <w:t> </w:t>
      </w:r>
      <w:r>
        <w:rPr/>
        <w:t>of</w:t>
      </w:r>
      <w:r>
        <w:rPr>
          <w:spacing w:val="-18"/>
        </w:rPr>
        <w:t> </w:t>
      </w:r>
      <w:r>
        <w:rPr/>
        <w:t>student representatives.</w:t>
      </w:r>
      <w:r>
        <w:rPr>
          <w:spacing w:val="-26"/>
        </w:rPr>
        <w:t> </w:t>
      </w:r>
      <w:r>
        <w:rPr/>
        <w:t>This</w:t>
      </w:r>
      <w:r>
        <w:rPr>
          <w:spacing w:val="-26"/>
        </w:rPr>
        <w:t> </w:t>
      </w:r>
      <w:r>
        <w:rPr/>
        <w:t>resulted</w:t>
      </w:r>
      <w:r>
        <w:rPr>
          <w:spacing w:val="-26"/>
        </w:rPr>
        <w:t> </w:t>
      </w:r>
      <w:r>
        <w:rPr/>
        <w:t>in</w:t>
      </w:r>
      <w:r>
        <w:rPr>
          <w:spacing w:val="-26"/>
        </w:rPr>
        <w:t> </w:t>
      </w:r>
      <w:r>
        <w:rPr/>
        <w:t>robust</w:t>
      </w:r>
    </w:p>
    <w:p>
      <w:pPr>
        <w:pStyle w:val="BodyText"/>
        <w:spacing w:line="249" w:lineRule="auto"/>
        <w:ind w:left="107" w:right="78"/>
      </w:pPr>
      <w:r>
        <w:rPr/>
        <w:t>and valuable discussions, with reports that included collated outcomes and proposed actions.</w:t>
      </w:r>
      <w:r>
        <w:rPr>
          <w:spacing w:val="-18"/>
        </w:rPr>
        <w:t> </w:t>
      </w:r>
      <w:r>
        <w:rPr/>
        <w:t>This</w:t>
      </w:r>
      <w:r>
        <w:rPr>
          <w:spacing w:val="-18"/>
        </w:rPr>
        <w:t> </w:t>
      </w:r>
      <w:r>
        <w:rPr/>
        <w:t>program</w:t>
      </w:r>
      <w:r>
        <w:rPr>
          <w:spacing w:val="-18"/>
        </w:rPr>
        <w:t> </w:t>
      </w:r>
      <w:r>
        <w:rPr/>
        <w:t>of</w:t>
      </w:r>
      <w:r>
        <w:rPr>
          <w:spacing w:val="-18"/>
        </w:rPr>
        <w:t> </w:t>
      </w:r>
      <w:r>
        <w:rPr/>
        <w:t>forums</w:t>
      </w:r>
      <w:r>
        <w:rPr>
          <w:spacing w:val="-18"/>
        </w:rPr>
        <w:t> </w:t>
      </w:r>
      <w:r>
        <w:rPr/>
        <w:t>will</w:t>
      </w:r>
      <w:r>
        <w:rPr>
          <w:spacing w:val="-18"/>
        </w:rPr>
        <w:t> </w:t>
      </w:r>
      <w:r>
        <w:rPr/>
        <w:t>continue </w:t>
      </w:r>
      <w:r>
        <w:rPr>
          <w:w w:val="95"/>
        </w:rPr>
        <w:t>in</w:t>
      </w:r>
      <w:r>
        <w:rPr>
          <w:spacing w:val="-2"/>
          <w:w w:val="95"/>
        </w:rPr>
        <w:t> </w:t>
      </w:r>
      <w:r>
        <w:rPr>
          <w:spacing w:val="2"/>
          <w:w w:val="85"/>
        </w:rPr>
        <w:t>2016.</w:t>
      </w:r>
    </w:p>
    <w:p>
      <w:pPr>
        <w:pStyle w:val="BodyText"/>
        <w:rPr>
          <w:sz w:val="14"/>
        </w:rPr>
      </w:pPr>
    </w:p>
    <w:p>
      <w:pPr>
        <w:pStyle w:val="BodyText"/>
        <w:spacing w:line="249" w:lineRule="auto"/>
        <w:ind w:left="107" w:right="130"/>
      </w:pPr>
      <w:r>
        <w:rPr/>
        <w:t>The Senate has reviewed the membership, terms of reference and reporting arrangements for its standing committees to identify any changes that would improve their operation and the flow of information</w:t>
      </w:r>
    </w:p>
    <w:p>
      <w:pPr>
        <w:pStyle w:val="BodyText"/>
        <w:spacing w:line="249" w:lineRule="auto"/>
        <w:ind w:left="107" w:right="14"/>
      </w:pPr>
      <w:r>
        <w:rPr/>
        <w:t>between</w:t>
      </w:r>
      <w:r>
        <w:rPr>
          <w:spacing w:val="-18"/>
        </w:rPr>
        <w:t> </w:t>
      </w:r>
      <w:r>
        <w:rPr/>
        <w:t>the</w:t>
      </w:r>
      <w:r>
        <w:rPr>
          <w:spacing w:val="-18"/>
        </w:rPr>
        <w:t> </w:t>
      </w:r>
      <w:r>
        <w:rPr/>
        <w:t>committees</w:t>
      </w:r>
      <w:r>
        <w:rPr>
          <w:spacing w:val="-18"/>
        </w:rPr>
        <w:t> </w:t>
      </w:r>
      <w:r>
        <w:rPr/>
        <w:t>and</w:t>
      </w:r>
      <w:r>
        <w:rPr>
          <w:spacing w:val="-18"/>
        </w:rPr>
        <w:t> </w:t>
      </w:r>
      <w:r>
        <w:rPr/>
        <w:t>the</w:t>
      </w:r>
      <w:r>
        <w:rPr>
          <w:spacing w:val="-18"/>
        </w:rPr>
        <w:t> </w:t>
      </w:r>
      <w:r>
        <w:rPr/>
        <w:t>Senate.</w:t>
      </w:r>
      <w:r>
        <w:rPr>
          <w:spacing w:val="-18"/>
        </w:rPr>
        <w:t> </w:t>
      </w:r>
      <w:r>
        <w:rPr/>
        <w:t>The review</w:t>
      </w:r>
      <w:r>
        <w:rPr>
          <w:spacing w:val="-16"/>
        </w:rPr>
        <w:t> </w:t>
      </w:r>
      <w:r>
        <w:rPr/>
        <w:t>commenced</w:t>
      </w:r>
      <w:r>
        <w:rPr>
          <w:spacing w:val="-16"/>
        </w:rPr>
        <w:t> </w:t>
      </w:r>
      <w:r>
        <w:rPr/>
        <w:t>with</w:t>
      </w:r>
      <w:r>
        <w:rPr>
          <w:spacing w:val="-16"/>
        </w:rPr>
        <w:t> </w:t>
      </w:r>
      <w:r>
        <w:rPr/>
        <w:t>the</w:t>
      </w:r>
      <w:r>
        <w:rPr>
          <w:spacing w:val="-16"/>
        </w:rPr>
        <w:t> </w:t>
      </w:r>
      <w:r>
        <w:rPr/>
        <w:t>research-focused committees, followed by the curriculum approval committees, to implement some recommendations</w:t>
      </w:r>
      <w:r>
        <w:rPr>
          <w:spacing w:val="-19"/>
        </w:rPr>
        <w:t> </w:t>
      </w:r>
      <w:r>
        <w:rPr/>
        <w:t>from</w:t>
      </w:r>
      <w:r>
        <w:rPr>
          <w:spacing w:val="-19"/>
        </w:rPr>
        <w:t> </w:t>
      </w:r>
      <w:r>
        <w:rPr/>
        <w:t>the</w:t>
      </w:r>
      <w:r>
        <w:rPr>
          <w:spacing w:val="-19"/>
        </w:rPr>
        <w:t> </w:t>
      </w:r>
      <w:r>
        <w:rPr/>
        <w:t>Red</w:t>
      </w:r>
      <w:r>
        <w:rPr>
          <w:spacing w:val="-19"/>
        </w:rPr>
        <w:t> </w:t>
      </w:r>
      <w:r>
        <w:rPr/>
        <w:t>Tape</w:t>
      </w:r>
    </w:p>
    <w:p>
      <w:pPr>
        <w:pStyle w:val="BodyText"/>
        <w:spacing w:line="249" w:lineRule="auto"/>
        <w:ind w:left="107" w:right="-4"/>
      </w:pPr>
      <w:r>
        <w:rPr/>
        <w:t>Task Force and make a range of other improvements</w:t>
      </w:r>
      <w:r>
        <w:rPr>
          <w:spacing w:val="-16"/>
        </w:rPr>
        <w:t> </w:t>
      </w:r>
      <w:r>
        <w:rPr/>
        <w:t>to</w:t>
      </w:r>
      <w:r>
        <w:rPr>
          <w:spacing w:val="-16"/>
        </w:rPr>
        <w:t> </w:t>
      </w:r>
      <w:r>
        <w:rPr/>
        <w:t>the</w:t>
      </w:r>
      <w:r>
        <w:rPr>
          <w:spacing w:val="-16"/>
        </w:rPr>
        <w:t> </w:t>
      </w:r>
      <w:r>
        <w:rPr/>
        <w:t>course</w:t>
      </w:r>
      <w:r>
        <w:rPr>
          <w:spacing w:val="-16"/>
        </w:rPr>
        <w:t> </w:t>
      </w:r>
      <w:r>
        <w:rPr/>
        <w:t>and</w:t>
      </w:r>
      <w:r>
        <w:rPr>
          <w:spacing w:val="-16"/>
        </w:rPr>
        <w:t> </w:t>
      </w:r>
      <w:r>
        <w:rPr/>
        <w:t>unit</w:t>
      </w:r>
      <w:r>
        <w:rPr>
          <w:spacing w:val="-16"/>
        </w:rPr>
        <w:t> </w:t>
      </w:r>
      <w:r>
        <w:rPr/>
        <w:t>approval processes, including comprehensively updating the relevant academic delegations and</w:t>
      </w:r>
      <w:r>
        <w:rPr>
          <w:spacing w:val="-26"/>
        </w:rPr>
        <w:t> </w:t>
      </w:r>
      <w:r>
        <w:rPr/>
        <w:t>documentation.</w:t>
      </w:r>
    </w:p>
    <w:p>
      <w:pPr>
        <w:pStyle w:val="BodyText"/>
        <w:rPr>
          <w:sz w:val="14"/>
        </w:rPr>
      </w:pPr>
    </w:p>
    <w:p>
      <w:pPr>
        <w:pStyle w:val="BodyText"/>
        <w:spacing w:line="247" w:lineRule="auto"/>
        <w:ind w:left="107" w:right="50"/>
      </w:pPr>
      <w:r>
        <w:rPr>
          <w:spacing w:val="1"/>
          <w:w w:val="80"/>
        </w:rPr>
        <w:t>In</w:t>
      </w:r>
      <w:r>
        <w:rPr>
          <w:w w:val="80"/>
        </w:rPr>
        <w:t> </w:t>
      </w:r>
      <w:r>
        <w:rPr>
          <w:spacing w:val="1"/>
          <w:w w:val="86"/>
        </w:rPr>
        <w:t>2014,</w:t>
      </w:r>
      <w:r>
        <w:rPr>
          <w:w w:val="86"/>
        </w:rPr>
        <w:t> </w:t>
      </w:r>
      <w:r>
        <w:rPr>
          <w:w w:val="94"/>
        </w:rPr>
        <w:t>a </w:t>
      </w:r>
      <w:r>
        <w:rPr>
          <w:w w:val="98"/>
        </w:rPr>
        <w:t>core </w:t>
      </w:r>
      <w:r>
        <w:rPr>
          <w:spacing w:val="1"/>
          <w:w w:val="100"/>
        </w:rPr>
        <w:t>Academic</w:t>
      </w:r>
      <w:r>
        <w:rPr>
          <w:w w:val="100"/>
        </w:rPr>
        <w:t> </w:t>
      </w:r>
      <w:r>
        <w:rPr>
          <w:spacing w:val="1"/>
          <w:w w:val="100"/>
        </w:rPr>
        <w:t>Policy</w:t>
      </w:r>
      <w:r>
        <w:rPr>
          <w:w w:val="100"/>
        </w:rPr>
        <w:t> </w:t>
      </w:r>
      <w:r>
        <w:rPr>
          <w:spacing w:val="1"/>
          <w:w w:val="100"/>
        </w:rPr>
        <w:t>Advisory</w:t>
      </w:r>
      <w:r>
        <w:rPr>
          <w:w w:val="100"/>
        </w:rPr>
        <w:t> </w:t>
      </w:r>
      <w:r>
        <w:rPr/>
        <w:t>Group was established under the Senate’s Education Committee, to ensure alignment between the reviews of various policies. The Senate agreed on a set of prioritised policies </w:t>
      </w:r>
      <w:r>
        <w:rPr>
          <w:w w:val="98"/>
        </w:rPr>
        <w:t>for </w:t>
      </w:r>
      <w:r>
        <w:rPr>
          <w:spacing w:val="-1"/>
          <w:w w:val="97"/>
        </w:rPr>
        <w:t>review</w:t>
      </w:r>
      <w:r>
        <w:rPr>
          <w:w w:val="97"/>
        </w:rPr>
        <w:t> </w:t>
      </w:r>
      <w:r>
        <w:rPr>
          <w:w w:val="95"/>
        </w:rPr>
        <w:t>in </w:t>
      </w:r>
      <w:r>
        <w:rPr>
          <w:spacing w:val="1"/>
          <w:w w:val="84"/>
        </w:rPr>
        <w:t>2015.</w:t>
      </w:r>
      <w:r>
        <w:rPr>
          <w:w w:val="84"/>
        </w:rPr>
        <w:t> </w:t>
      </w:r>
      <w:r>
        <w:rPr>
          <w:spacing w:val="1"/>
          <w:w w:val="97"/>
        </w:rPr>
        <w:t>Significant</w:t>
      </w:r>
      <w:r>
        <w:rPr>
          <w:w w:val="97"/>
        </w:rPr>
        <w:t> </w:t>
      </w:r>
      <w:r>
        <w:rPr>
          <w:spacing w:val="1"/>
          <w:w w:val="97"/>
        </w:rPr>
        <w:t>achievements</w:t>
      </w:r>
      <w:r>
        <w:rPr>
          <w:w w:val="97"/>
        </w:rPr>
        <w:t> </w:t>
      </w:r>
      <w:r>
        <w:rPr/>
        <w:t>included</w:t>
      </w:r>
      <w:r>
        <w:rPr>
          <w:spacing w:val="-14"/>
        </w:rPr>
        <w:t> </w:t>
      </w:r>
      <w:r>
        <w:rPr/>
        <w:t>approving</w:t>
      </w:r>
      <w:r>
        <w:rPr>
          <w:spacing w:val="-14"/>
        </w:rPr>
        <w:t> </w:t>
      </w:r>
      <w:r>
        <w:rPr/>
        <w:t>the</w:t>
      </w:r>
      <w:r>
        <w:rPr>
          <w:spacing w:val="-14"/>
        </w:rPr>
        <w:t> </w:t>
      </w:r>
      <w:r>
        <w:rPr/>
        <w:t>first</w:t>
      </w:r>
      <w:r>
        <w:rPr>
          <w:spacing w:val="-14"/>
        </w:rPr>
        <w:t> </w:t>
      </w:r>
      <w:r>
        <w:rPr/>
        <w:t>stage</w:t>
      </w:r>
      <w:r>
        <w:rPr>
          <w:spacing w:val="-14"/>
        </w:rPr>
        <w:t> </w:t>
      </w:r>
      <w:r>
        <w:rPr/>
        <w:t>of</w:t>
      </w:r>
      <w:r>
        <w:rPr>
          <w:spacing w:val="-14"/>
        </w:rPr>
        <w:t> </w:t>
      </w:r>
      <w:r>
        <w:rPr/>
        <w:t>revisions to the </w:t>
      </w:r>
      <w:r>
        <w:rPr>
          <w:rFonts w:ascii="Century Gothic" w:hAnsi="Century Gothic"/>
          <w:i/>
        </w:rPr>
        <w:t>Assessment Policy </w:t>
      </w:r>
      <w:r>
        <w:rPr/>
        <w:t>and the </w:t>
      </w:r>
      <w:r>
        <w:rPr>
          <w:rFonts w:ascii="Century Gothic" w:hAnsi="Century Gothic"/>
          <w:i/>
        </w:rPr>
        <w:t>Award </w:t>
      </w:r>
      <w:r>
        <w:rPr>
          <w:rFonts w:ascii="Century Gothic" w:hAnsi="Century Gothic"/>
          <w:i/>
        </w:rPr>
        <w:t>Courses and Units Approvals Policy, </w:t>
      </w:r>
      <w:r>
        <w:rPr/>
        <w:t>with further</w:t>
      </w:r>
      <w:r>
        <w:rPr>
          <w:spacing w:val="-17"/>
        </w:rPr>
        <w:t> </w:t>
      </w:r>
      <w:r>
        <w:rPr/>
        <w:t>revisions</w:t>
      </w:r>
      <w:r>
        <w:rPr>
          <w:spacing w:val="-17"/>
        </w:rPr>
        <w:t> </w:t>
      </w:r>
      <w:r>
        <w:rPr/>
        <w:t>to</w:t>
      </w:r>
      <w:r>
        <w:rPr>
          <w:spacing w:val="-17"/>
        </w:rPr>
        <w:t> </w:t>
      </w:r>
      <w:r>
        <w:rPr/>
        <w:t>occur</w:t>
      </w:r>
      <w:r>
        <w:rPr>
          <w:spacing w:val="-17"/>
        </w:rPr>
        <w:t> </w:t>
      </w:r>
      <w:r>
        <w:rPr/>
        <w:t>in</w:t>
      </w:r>
      <w:r>
        <w:rPr>
          <w:spacing w:val="-17"/>
        </w:rPr>
        <w:t> </w:t>
      </w:r>
      <w:r>
        <w:rPr/>
        <w:t>conjunction</w:t>
      </w:r>
      <w:r>
        <w:rPr>
          <w:spacing w:val="-17"/>
        </w:rPr>
        <w:t> </w:t>
      </w:r>
      <w:r>
        <w:rPr/>
        <w:t>with</w:t>
      </w:r>
    </w:p>
    <w:p>
      <w:pPr>
        <w:pStyle w:val="BodyText"/>
        <w:spacing w:before="1"/>
        <w:rPr>
          <w:sz w:val="20"/>
        </w:rPr>
      </w:pPr>
      <w:r>
        <w:rPr/>
        <w:br w:type="column"/>
      </w:r>
      <w:r>
        <w:rPr>
          <w:sz w:val="20"/>
        </w:rPr>
      </w:r>
    </w:p>
    <w:p>
      <w:pPr>
        <w:spacing w:line="244" w:lineRule="auto" w:before="0"/>
        <w:ind w:left="107" w:right="77" w:firstLine="0"/>
        <w:jc w:val="left"/>
        <w:rPr>
          <w:sz w:val="16"/>
        </w:rPr>
      </w:pPr>
      <w:r>
        <w:rPr>
          <w:w w:val="95"/>
          <w:sz w:val="16"/>
        </w:rPr>
        <w:t>a</w:t>
      </w:r>
      <w:r>
        <w:rPr>
          <w:spacing w:val="-17"/>
          <w:w w:val="95"/>
          <w:sz w:val="16"/>
        </w:rPr>
        <w:t> </w:t>
      </w:r>
      <w:r>
        <w:rPr>
          <w:w w:val="95"/>
          <w:sz w:val="16"/>
        </w:rPr>
        <w:t>new</w:t>
      </w:r>
      <w:r>
        <w:rPr>
          <w:spacing w:val="-17"/>
          <w:w w:val="95"/>
          <w:sz w:val="16"/>
        </w:rPr>
        <w:t> </w:t>
      </w:r>
      <w:r>
        <w:rPr>
          <w:w w:val="95"/>
          <w:sz w:val="16"/>
        </w:rPr>
        <w:t>and</w:t>
      </w:r>
      <w:r>
        <w:rPr>
          <w:spacing w:val="-17"/>
          <w:w w:val="95"/>
          <w:sz w:val="16"/>
        </w:rPr>
        <w:t> </w:t>
      </w:r>
      <w:r>
        <w:rPr>
          <w:w w:val="95"/>
          <w:sz w:val="16"/>
        </w:rPr>
        <w:t>consolidated</w:t>
      </w:r>
      <w:r>
        <w:rPr>
          <w:spacing w:val="-17"/>
          <w:w w:val="95"/>
          <w:sz w:val="16"/>
        </w:rPr>
        <w:t> </w:t>
      </w:r>
      <w:r>
        <w:rPr>
          <w:rFonts w:ascii="Century Gothic"/>
          <w:i/>
          <w:w w:val="95"/>
          <w:sz w:val="16"/>
        </w:rPr>
        <w:t>Course</w:t>
      </w:r>
      <w:r>
        <w:rPr>
          <w:rFonts w:ascii="Century Gothic"/>
          <w:i/>
          <w:spacing w:val="-12"/>
          <w:w w:val="95"/>
          <w:sz w:val="16"/>
        </w:rPr>
        <w:t> </w:t>
      </w:r>
      <w:r>
        <w:rPr>
          <w:rFonts w:ascii="Century Gothic"/>
          <w:i/>
          <w:w w:val="95"/>
          <w:sz w:val="16"/>
        </w:rPr>
        <w:t>Design</w:t>
      </w:r>
      <w:r>
        <w:rPr>
          <w:rFonts w:ascii="Century Gothic"/>
          <w:i/>
          <w:spacing w:val="-12"/>
          <w:w w:val="95"/>
          <w:sz w:val="16"/>
        </w:rPr>
        <w:t> </w:t>
      </w:r>
      <w:r>
        <w:rPr>
          <w:rFonts w:ascii="Century Gothic"/>
          <w:i/>
          <w:w w:val="95"/>
          <w:sz w:val="16"/>
        </w:rPr>
        <w:t>Policy</w:t>
      </w:r>
      <w:r>
        <w:rPr>
          <w:w w:val="95"/>
          <w:sz w:val="16"/>
        </w:rPr>
        <w:t>. </w:t>
      </w:r>
      <w:r>
        <w:rPr>
          <w:sz w:val="16"/>
        </w:rPr>
        <w:t>A</w:t>
      </w:r>
      <w:r>
        <w:rPr>
          <w:spacing w:val="-28"/>
          <w:sz w:val="16"/>
        </w:rPr>
        <w:t> </w:t>
      </w:r>
      <w:r>
        <w:rPr>
          <w:sz w:val="16"/>
        </w:rPr>
        <w:t>draft</w:t>
      </w:r>
      <w:r>
        <w:rPr>
          <w:spacing w:val="-28"/>
          <w:sz w:val="16"/>
        </w:rPr>
        <w:t> </w:t>
      </w:r>
      <w:r>
        <w:rPr>
          <w:sz w:val="16"/>
        </w:rPr>
        <w:t>of</w:t>
      </w:r>
      <w:r>
        <w:rPr>
          <w:spacing w:val="-28"/>
          <w:sz w:val="16"/>
        </w:rPr>
        <w:t> </w:t>
      </w:r>
      <w:r>
        <w:rPr>
          <w:sz w:val="16"/>
        </w:rPr>
        <w:t>a</w:t>
      </w:r>
      <w:r>
        <w:rPr>
          <w:spacing w:val="-28"/>
          <w:sz w:val="16"/>
        </w:rPr>
        <w:t> </w:t>
      </w:r>
      <w:r>
        <w:rPr>
          <w:sz w:val="16"/>
        </w:rPr>
        <w:t>new</w:t>
      </w:r>
      <w:r>
        <w:rPr>
          <w:spacing w:val="-28"/>
          <w:sz w:val="16"/>
        </w:rPr>
        <w:t> </w:t>
      </w:r>
      <w:r>
        <w:rPr>
          <w:rFonts w:ascii="Century Gothic"/>
          <w:i/>
          <w:sz w:val="16"/>
        </w:rPr>
        <w:t>Disruption</w:t>
      </w:r>
      <w:r>
        <w:rPr>
          <w:rFonts w:ascii="Century Gothic"/>
          <w:i/>
          <w:spacing w:val="-23"/>
          <w:sz w:val="16"/>
        </w:rPr>
        <w:t> </w:t>
      </w:r>
      <w:r>
        <w:rPr>
          <w:rFonts w:ascii="Century Gothic"/>
          <w:i/>
          <w:sz w:val="16"/>
        </w:rPr>
        <w:t>to</w:t>
      </w:r>
      <w:r>
        <w:rPr>
          <w:rFonts w:ascii="Century Gothic"/>
          <w:i/>
          <w:spacing w:val="-23"/>
          <w:sz w:val="16"/>
        </w:rPr>
        <w:t> </w:t>
      </w:r>
      <w:r>
        <w:rPr>
          <w:rFonts w:ascii="Century Gothic"/>
          <w:i/>
          <w:sz w:val="16"/>
        </w:rPr>
        <w:t>Studies</w:t>
      </w:r>
      <w:r>
        <w:rPr>
          <w:rFonts w:ascii="Century Gothic"/>
          <w:i/>
          <w:spacing w:val="-23"/>
          <w:sz w:val="16"/>
        </w:rPr>
        <w:t> </w:t>
      </w:r>
      <w:r>
        <w:rPr>
          <w:rFonts w:ascii="Century Gothic"/>
          <w:i/>
          <w:sz w:val="16"/>
        </w:rPr>
        <w:t>Policy</w:t>
      </w:r>
      <w:r>
        <w:rPr>
          <w:sz w:val="16"/>
        </w:rPr>
        <w:t>, </w:t>
      </w:r>
      <w:r>
        <w:rPr>
          <w:w w:val="95"/>
          <w:sz w:val="16"/>
        </w:rPr>
        <w:t>to</w:t>
      </w:r>
      <w:r>
        <w:rPr>
          <w:spacing w:val="-21"/>
          <w:w w:val="95"/>
          <w:sz w:val="16"/>
        </w:rPr>
        <w:t> </w:t>
      </w:r>
      <w:r>
        <w:rPr>
          <w:w w:val="95"/>
          <w:sz w:val="16"/>
        </w:rPr>
        <w:t>replace</w:t>
      </w:r>
      <w:r>
        <w:rPr>
          <w:spacing w:val="-21"/>
          <w:w w:val="95"/>
          <w:sz w:val="16"/>
        </w:rPr>
        <w:t> </w:t>
      </w:r>
      <w:r>
        <w:rPr>
          <w:w w:val="95"/>
          <w:sz w:val="16"/>
        </w:rPr>
        <w:t>the</w:t>
      </w:r>
      <w:r>
        <w:rPr>
          <w:spacing w:val="-21"/>
          <w:w w:val="95"/>
          <w:sz w:val="16"/>
        </w:rPr>
        <w:t> </w:t>
      </w:r>
      <w:r>
        <w:rPr>
          <w:w w:val="95"/>
          <w:sz w:val="16"/>
        </w:rPr>
        <w:t>complex</w:t>
      </w:r>
      <w:r>
        <w:rPr>
          <w:spacing w:val="-21"/>
          <w:w w:val="95"/>
          <w:sz w:val="16"/>
        </w:rPr>
        <w:t> </w:t>
      </w:r>
      <w:r>
        <w:rPr>
          <w:rFonts w:ascii="Century Gothic"/>
          <w:i/>
          <w:w w:val="95"/>
          <w:sz w:val="16"/>
        </w:rPr>
        <w:t>Special</w:t>
      </w:r>
      <w:r>
        <w:rPr>
          <w:rFonts w:ascii="Century Gothic"/>
          <w:i/>
          <w:spacing w:val="-16"/>
          <w:w w:val="95"/>
          <w:sz w:val="16"/>
        </w:rPr>
        <w:t> </w:t>
      </w:r>
      <w:r>
        <w:rPr>
          <w:rFonts w:ascii="Century Gothic"/>
          <w:i/>
          <w:w w:val="95"/>
          <w:sz w:val="16"/>
        </w:rPr>
        <w:t>Consideration </w:t>
      </w:r>
      <w:r>
        <w:rPr>
          <w:rFonts w:ascii="Century Gothic"/>
          <w:i/>
          <w:sz w:val="16"/>
        </w:rPr>
        <w:t>Policy</w:t>
      </w:r>
      <w:r>
        <w:rPr>
          <w:sz w:val="16"/>
        </w:rPr>
        <w:t>,</w:t>
      </w:r>
      <w:r>
        <w:rPr>
          <w:spacing w:val="-28"/>
          <w:sz w:val="16"/>
        </w:rPr>
        <w:t> </w:t>
      </w:r>
      <w:r>
        <w:rPr>
          <w:sz w:val="16"/>
        </w:rPr>
        <w:t>was</w:t>
      </w:r>
      <w:r>
        <w:rPr>
          <w:spacing w:val="-28"/>
          <w:sz w:val="16"/>
        </w:rPr>
        <w:t> </w:t>
      </w:r>
      <w:r>
        <w:rPr>
          <w:sz w:val="16"/>
        </w:rPr>
        <w:t>provided</w:t>
      </w:r>
      <w:r>
        <w:rPr>
          <w:spacing w:val="-28"/>
          <w:sz w:val="16"/>
        </w:rPr>
        <w:t> </w:t>
      </w:r>
      <w:r>
        <w:rPr>
          <w:sz w:val="16"/>
        </w:rPr>
        <w:t>to</w:t>
      </w:r>
      <w:r>
        <w:rPr>
          <w:spacing w:val="-28"/>
          <w:sz w:val="16"/>
        </w:rPr>
        <w:t> </w:t>
      </w:r>
      <w:r>
        <w:rPr>
          <w:sz w:val="16"/>
        </w:rPr>
        <w:t>Senate</w:t>
      </w:r>
      <w:r>
        <w:rPr>
          <w:spacing w:val="-28"/>
          <w:sz w:val="16"/>
        </w:rPr>
        <w:t> </w:t>
      </w:r>
      <w:r>
        <w:rPr>
          <w:sz w:val="16"/>
        </w:rPr>
        <w:t>members</w:t>
      </w:r>
    </w:p>
    <w:p>
      <w:pPr>
        <w:pStyle w:val="BodyText"/>
        <w:spacing w:line="247" w:lineRule="auto"/>
        <w:ind w:left="107" w:right="163"/>
      </w:pPr>
      <w:r>
        <w:rPr/>
        <w:t>in December for comment. Considerable progress was also made on reviewing the </w:t>
      </w:r>
      <w:r>
        <w:rPr>
          <w:rFonts w:ascii="Century Gothic"/>
          <w:i/>
          <w:w w:val="95"/>
        </w:rPr>
        <w:t>Progression</w:t>
      </w:r>
      <w:r>
        <w:rPr>
          <w:rFonts w:ascii="Century Gothic"/>
          <w:i/>
          <w:spacing w:val="-30"/>
          <w:w w:val="95"/>
        </w:rPr>
        <w:t> </w:t>
      </w:r>
      <w:r>
        <w:rPr>
          <w:rFonts w:ascii="Century Gothic"/>
          <w:i/>
          <w:w w:val="95"/>
        </w:rPr>
        <w:t>and</w:t>
      </w:r>
      <w:r>
        <w:rPr>
          <w:rFonts w:ascii="Century Gothic"/>
          <w:i/>
          <w:spacing w:val="-30"/>
          <w:w w:val="95"/>
        </w:rPr>
        <w:t> </w:t>
      </w:r>
      <w:r>
        <w:rPr>
          <w:rFonts w:ascii="Century Gothic"/>
          <w:i/>
          <w:w w:val="95"/>
        </w:rPr>
        <w:t>Unsatisfactory</w:t>
      </w:r>
      <w:r>
        <w:rPr>
          <w:rFonts w:ascii="Century Gothic"/>
          <w:i/>
          <w:spacing w:val="-30"/>
          <w:w w:val="95"/>
        </w:rPr>
        <w:t> </w:t>
      </w:r>
      <w:r>
        <w:rPr>
          <w:rFonts w:ascii="Century Gothic"/>
          <w:i/>
          <w:w w:val="95"/>
        </w:rPr>
        <w:t>Academic </w:t>
      </w:r>
      <w:r>
        <w:rPr>
          <w:rFonts w:ascii="Century Gothic"/>
          <w:i/>
        </w:rPr>
        <w:t>Progress</w:t>
      </w:r>
      <w:r>
        <w:rPr>
          <w:rFonts w:ascii="Century Gothic"/>
          <w:i/>
          <w:spacing w:val="-27"/>
        </w:rPr>
        <w:t> </w:t>
      </w:r>
      <w:r>
        <w:rPr>
          <w:rFonts w:ascii="Century Gothic"/>
          <w:i/>
        </w:rPr>
        <w:t>Policy</w:t>
      </w:r>
      <w:r>
        <w:rPr/>
        <w:t>.</w:t>
      </w:r>
      <w:r>
        <w:rPr>
          <w:spacing w:val="-32"/>
        </w:rPr>
        <w:t> </w:t>
      </w:r>
      <w:r>
        <w:rPr/>
        <w:t>Several</w:t>
      </w:r>
      <w:r>
        <w:rPr>
          <w:spacing w:val="-32"/>
        </w:rPr>
        <w:t> </w:t>
      </w:r>
      <w:r>
        <w:rPr/>
        <w:t>other</w:t>
      </w:r>
      <w:r>
        <w:rPr>
          <w:spacing w:val="-32"/>
        </w:rPr>
        <w:t> </w:t>
      </w:r>
      <w:r>
        <w:rPr/>
        <w:t>academic</w:t>
      </w:r>
      <w:r>
        <w:rPr>
          <w:spacing w:val="-32"/>
        </w:rPr>
        <w:t> </w:t>
      </w:r>
      <w:r>
        <w:rPr/>
        <w:t>and research policies were also updated, and work</w:t>
      </w:r>
      <w:r>
        <w:rPr>
          <w:spacing w:val="-16"/>
        </w:rPr>
        <w:t> </w:t>
      </w:r>
      <w:r>
        <w:rPr/>
        <w:t>has</w:t>
      </w:r>
      <w:r>
        <w:rPr>
          <w:spacing w:val="-16"/>
        </w:rPr>
        <w:t> </w:t>
      </w:r>
      <w:r>
        <w:rPr/>
        <w:t>begun</w:t>
      </w:r>
      <w:r>
        <w:rPr>
          <w:spacing w:val="-16"/>
        </w:rPr>
        <w:t> </w:t>
      </w:r>
      <w:r>
        <w:rPr/>
        <w:t>on</w:t>
      </w:r>
      <w:r>
        <w:rPr>
          <w:spacing w:val="-16"/>
        </w:rPr>
        <w:t> </w:t>
      </w:r>
      <w:r>
        <w:rPr/>
        <w:t>ensuring</w:t>
      </w:r>
      <w:r>
        <w:rPr>
          <w:spacing w:val="-16"/>
        </w:rPr>
        <w:t> </w:t>
      </w:r>
      <w:r>
        <w:rPr/>
        <w:t>that</w:t>
      </w:r>
      <w:r>
        <w:rPr>
          <w:spacing w:val="-16"/>
        </w:rPr>
        <w:t> </w:t>
      </w:r>
      <w:r>
        <w:rPr/>
        <w:t>all</w:t>
      </w:r>
      <w:r>
        <w:rPr>
          <w:spacing w:val="-16"/>
        </w:rPr>
        <w:t> </w:t>
      </w:r>
      <w:r>
        <w:rPr/>
        <w:t>policies are aligned with the new Higher Education Standards</w:t>
      </w:r>
      <w:r>
        <w:rPr>
          <w:spacing w:val="-33"/>
        </w:rPr>
        <w:t> </w:t>
      </w:r>
      <w:r>
        <w:rPr/>
        <w:t>Framework.</w:t>
      </w:r>
    </w:p>
    <w:p>
      <w:pPr>
        <w:pStyle w:val="BodyText"/>
        <w:spacing w:before="2"/>
        <w:rPr>
          <w:sz w:val="14"/>
        </w:rPr>
      </w:pPr>
    </w:p>
    <w:p>
      <w:pPr>
        <w:pStyle w:val="BodyText"/>
        <w:spacing w:line="249" w:lineRule="auto"/>
        <w:ind w:left="107" w:right="278"/>
      </w:pPr>
      <w:r>
        <w:rPr/>
        <w:t>The University’s PhD Pathways project </w:t>
      </w:r>
      <w:r>
        <w:rPr>
          <w:w w:val="99"/>
        </w:rPr>
        <w:t>commenced </w:t>
      </w:r>
      <w:r>
        <w:rPr>
          <w:w w:val="97"/>
        </w:rPr>
        <w:t>operations </w:t>
      </w:r>
      <w:r>
        <w:rPr>
          <w:w w:val="95"/>
        </w:rPr>
        <w:t>in </w:t>
      </w:r>
      <w:r>
        <w:rPr>
          <w:w w:val="84"/>
        </w:rPr>
        <w:t>2015, </w:t>
      </w:r>
      <w:r>
        <w:rPr>
          <w:w w:val="98"/>
        </w:rPr>
        <w:t>with </w:t>
      </w:r>
      <w:r>
        <w:rPr>
          <w:w w:val="97"/>
        </w:rPr>
        <w:t>the </w:t>
      </w:r>
      <w:r>
        <w:rPr/>
        <w:t>first intake of students to the Master of Research course under the oversight of the newly established Graduate Research School. The Academic Senate’s Research Studies Committee continued to promote good academic governance and quality</w:t>
      </w:r>
    </w:p>
    <w:p>
      <w:pPr>
        <w:pStyle w:val="BodyText"/>
        <w:spacing w:line="249" w:lineRule="auto"/>
        <w:ind w:left="107" w:right="162"/>
      </w:pPr>
      <w:r>
        <w:rPr/>
        <w:t>assurance</w:t>
      </w:r>
      <w:r>
        <w:rPr>
          <w:spacing w:val="-20"/>
        </w:rPr>
        <w:t> </w:t>
      </w:r>
      <w:r>
        <w:rPr/>
        <w:t>for</w:t>
      </w:r>
      <w:r>
        <w:rPr>
          <w:spacing w:val="-20"/>
        </w:rPr>
        <w:t> </w:t>
      </w:r>
      <w:r>
        <w:rPr/>
        <w:t>higher</w:t>
      </w:r>
      <w:r>
        <w:rPr>
          <w:spacing w:val="-20"/>
        </w:rPr>
        <w:t> </w:t>
      </w:r>
      <w:r>
        <w:rPr/>
        <w:t>degree</w:t>
      </w:r>
      <w:r>
        <w:rPr>
          <w:spacing w:val="-20"/>
        </w:rPr>
        <w:t> </w:t>
      </w:r>
      <w:r>
        <w:rPr/>
        <w:t>research</w:t>
      </w:r>
      <w:r>
        <w:rPr>
          <w:spacing w:val="-20"/>
        </w:rPr>
        <w:t> </w:t>
      </w:r>
      <w:r>
        <w:rPr/>
        <w:t>across the</w:t>
      </w:r>
      <w:r>
        <w:rPr>
          <w:spacing w:val="-18"/>
        </w:rPr>
        <w:t> </w:t>
      </w:r>
      <w:r>
        <w:rPr/>
        <w:t>University,</w:t>
      </w:r>
      <w:r>
        <w:rPr>
          <w:spacing w:val="-18"/>
        </w:rPr>
        <w:t> </w:t>
      </w:r>
      <w:r>
        <w:rPr/>
        <w:t>with</w:t>
      </w:r>
      <w:r>
        <w:rPr>
          <w:spacing w:val="-18"/>
        </w:rPr>
        <w:t> </w:t>
      </w:r>
      <w:r>
        <w:rPr/>
        <w:t>a</w:t>
      </w:r>
      <w:r>
        <w:rPr>
          <w:spacing w:val="-18"/>
        </w:rPr>
        <w:t> </w:t>
      </w:r>
      <w:r>
        <w:rPr/>
        <w:t>focus</w:t>
      </w:r>
      <w:r>
        <w:rPr>
          <w:spacing w:val="-18"/>
        </w:rPr>
        <w:t> </w:t>
      </w:r>
      <w:r>
        <w:rPr/>
        <w:t>on</w:t>
      </w:r>
      <w:r>
        <w:rPr>
          <w:spacing w:val="-18"/>
        </w:rPr>
        <w:t> </w:t>
      </w:r>
      <w:r>
        <w:rPr/>
        <w:t>examination processes and standards, and scrutiny of autonomous</w:t>
      </w:r>
      <w:r>
        <w:rPr>
          <w:spacing w:val="-28"/>
        </w:rPr>
        <w:t> </w:t>
      </w:r>
      <w:r>
        <w:rPr/>
        <w:t>sanctions</w:t>
      </w:r>
      <w:r>
        <w:rPr>
          <w:spacing w:val="-28"/>
        </w:rPr>
        <w:t> </w:t>
      </w:r>
      <w:r>
        <w:rPr/>
        <w:t>requirements.</w:t>
      </w:r>
    </w:p>
    <w:p>
      <w:pPr>
        <w:pStyle w:val="BodyText"/>
        <w:rPr>
          <w:sz w:val="14"/>
        </w:rPr>
      </w:pPr>
    </w:p>
    <w:p>
      <w:pPr>
        <w:pStyle w:val="BodyText"/>
        <w:spacing w:line="247" w:lineRule="auto"/>
        <w:ind w:left="107"/>
      </w:pPr>
      <w:r>
        <w:rPr/>
        <w:t>The Office of the General Counsel reviewed current</w:t>
      </w:r>
      <w:r>
        <w:rPr>
          <w:spacing w:val="-15"/>
        </w:rPr>
        <w:t> </w:t>
      </w:r>
      <w:r>
        <w:rPr/>
        <w:t>policies</w:t>
      </w:r>
      <w:r>
        <w:rPr>
          <w:spacing w:val="-15"/>
        </w:rPr>
        <w:t> </w:t>
      </w:r>
      <w:r>
        <w:rPr/>
        <w:t>relating</w:t>
      </w:r>
      <w:r>
        <w:rPr>
          <w:spacing w:val="-15"/>
        </w:rPr>
        <w:t> </w:t>
      </w:r>
      <w:r>
        <w:rPr/>
        <w:t>to</w:t>
      </w:r>
      <w:r>
        <w:rPr>
          <w:spacing w:val="-15"/>
        </w:rPr>
        <w:t> </w:t>
      </w:r>
      <w:r>
        <w:rPr/>
        <w:t>student</w:t>
      </w:r>
      <w:r>
        <w:rPr>
          <w:spacing w:val="-15"/>
        </w:rPr>
        <w:t> </w:t>
      </w:r>
      <w:r>
        <w:rPr/>
        <w:t>misconduct (academic, non-academic and higher degree research), in consultation with the Academic Integrity Working </w:t>
      </w:r>
      <w:r>
        <w:rPr>
          <w:spacing w:val="2"/>
        </w:rPr>
        <w:t>Party </w:t>
      </w:r>
      <w:r>
        <w:rPr/>
        <w:t>of the Academic Senate,</w:t>
      </w:r>
      <w:r>
        <w:rPr>
          <w:spacing w:val="-18"/>
        </w:rPr>
        <w:t> </w:t>
      </w:r>
      <w:r>
        <w:rPr/>
        <w:t>and</w:t>
      </w:r>
      <w:r>
        <w:rPr>
          <w:spacing w:val="-18"/>
        </w:rPr>
        <w:t> </w:t>
      </w:r>
      <w:r>
        <w:rPr/>
        <w:t>the</w:t>
      </w:r>
      <w:r>
        <w:rPr>
          <w:spacing w:val="-18"/>
        </w:rPr>
        <w:t> </w:t>
      </w:r>
      <w:r>
        <w:rPr/>
        <w:t>Deputy</w:t>
      </w:r>
      <w:r>
        <w:rPr>
          <w:spacing w:val="-18"/>
        </w:rPr>
        <w:t> </w:t>
      </w:r>
      <w:r>
        <w:rPr/>
        <w:t>Vice-Chancellors.</w:t>
      </w:r>
      <w:r>
        <w:rPr>
          <w:spacing w:val="-18"/>
        </w:rPr>
        <w:t> </w:t>
      </w:r>
      <w:r>
        <w:rPr/>
        <w:t>The Senate and its relevant standing committees discussed draft versions of the new </w:t>
      </w:r>
      <w:r>
        <w:rPr>
          <w:rFonts w:ascii="Century Gothic"/>
          <w:i/>
        </w:rPr>
        <w:t>Student </w:t>
      </w:r>
      <w:r>
        <w:rPr>
          <w:rFonts w:ascii="Century Gothic"/>
          <w:i/>
        </w:rPr>
        <w:t>Misconduct Rule </w:t>
      </w:r>
      <w:r>
        <w:rPr/>
        <w:t>and associated guidelines </w:t>
      </w:r>
      <w:r>
        <w:rPr>
          <w:spacing w:val="1"/>
          <w:w w:val="98"/>
        </w:rPr>
        <w:t>throughout</w:t>
      </w:r>
      <w:r>
        <w:rPr>
          <w:w w:val="98"/>
        </w:rPr>
        <w:t> </w:t>
      </w:r>
      <w:r>
        <w:rPr>
          <w:spacing w:val="1"/>
          <w:w w:val="84"/>
        </w:rPr>
        <w:t>2015.</w:t>
      </w:r>
      <w:r>
        <w:rPr>
          <w:w w:val="84"/>
        </w:rPr>
        <w:t> </w:t>
      </w:r>
      <w:r>
        <w:rPr>
          <w:spacing w:val="2"/>
          <w:w w:val="103"/>
        </w:rPr>
        <w:t>As</w:t>
      </w:r>
      <w:r>
        <w:rPr>
          <w:w w:val="103"/>
        </w:rPr>
        <w:t> </w:t>
      </w:r>
      <w:r>
        <w:rPr>
          <w:spacing w:val="1"/>
          <w:w w:val="98"/>
        </w:rPr>
        <w:t>reported</w:t>
      </w:r>
      <w:r>
        <w:rPr>
          <w:w w:val="98"/>
        </w:rPr>
        <w:t> </w:t>
      </w:r>
      <w:r>
        <w:rPr>
          <w:w w:val="93"/>
        </w:rPr>
        <w:t>above,</w:t>
      </w:r>
      <w:r>
        <w:rPr>
          <w:spacing w:val="-21"/>
          <w:w w:val="93"/>
        </w:rPr>
        <w:t> </w:t>
      </w:r>
      <w:r>
        <w:rPr>
          <w:w w:val="97"/>
        </w:rPr>
        <w:t>the</w:t>
      </w:r>
    </w:p>
    <w:p>
      <w:pPr>
        <w:pStyle w:val="BodyText"/>
        <w:spacing w:line="247" w:lineRule="auto"/>
        <w:ind w:left="107" w:right="1"/>
      </w:pPr>
      <w:r>
        <w:rPr>
          <w:w w:val="95"/>
        </w:rPr>
        <w:t>new </w:t>
      </w:r>
      <w:r>
        <w:rPr>
          <w:rFonts w:ascii="Century Gothic"/>
          <w:i/>
          <w:w w:val="95"/>
        </w:rPr>
        <w:t>Student Misconduct Rule </w:t>
      </w:r>
      <w:r>
        <w:rPr>
          <w:w w:val="95"/>
        </w:rPr>
        <w:t>and associated </w:t>
      </w:r>
      <w:r>
        <w:rPr/>
        <w:t>guidelines will be implemented from </w:t>
      </w:r>
      <w:r>
        <w:rPr>
          <w:w w:val="95"/>
        </w:rPr>
        <w:t>1 </w:t>
      </w:r>
      <w:r>
        <w:rPr>
          <w:w w:val="98"/>
        </w:rPr>
        <w:t>January </w:t>
      </w:r>
      <w:r>
        <w:rPr>
          <w:w w:val="85"/>
        </w:rPr>
        <w:t>2016. </w:t>
      </w:r>
      <w:r>
        <w:rPr>
          <w:w w:val="112"/>
        </w:rPr>
        <w:t>A </w:t>
      </w:r>
      <w:r>
        <w:rPr>
          <w:w w:val="97"/>
        </w:rPr>
        <w:t>comprehensive </w:t>
      </w:r>
      <w:r>
        <w:rPr>
          <w:w w:val="100"/>
        </w:rPr>
        <w:t>Academic </w:t>
      </w:r>
      <w:r>
        <w:rPr/>
        <w:t>Honesty and Integrity Framework is under</w:t>
      </w:r>
    </w:p>
    <w:p>
      <w:pPr>
        <w:pStyle w:val="BodyText"/>
        <w:spacing w:line="249" w:lineRule="auto" w:before="1"/>
        <w:ind w:left="107"/>
      </w:pPr>
      <w:r>
        <w:rPr/>
        <w:t>development</w:t>
      </w:r>
      <w:r>
        <w:rPr>
          <w:spacing w:val="-11"/>
        </w:rPr>
        <w:t> </w:t>
      </w:r>
      <w:r>
        <w:rPr/>
        <w:t>and</w:t>
      </w:r>
      <w:r>
        <w:rPr>
          <w:spacing w:val="-11"/>
        </w:rPr>
        <w:t> </w:t>
      </w:r>
      <w:r>
        <w:rPr/>
        <w:t>is</w:t>
      </w:r>
      <w:r>
        <w:rPr>
          <w:spacing w:val="-11"/>
        </w:rPr>
        <w:t> </w:t>
      </w:r>
      <w:r>
        <w:rPr/>
        <w:t>expected</w:t>
      </w:r>
      <w:r>
        <w:rPr>
          <w:spacing w:val="-11"/>
        </w:rPr>
        <w:t> </w:t>
      </w:r>
      <w:r>
        <w:rPr/>
        <w:t>to</w:t>
      </w:r>
      <w:r>
        <w:rPr>
          <w:spacing w:val="-11"/>
        </w:rPr>
        <w:t> </w:t>
      </w:r>
      <w:r>
        <w:rPr/>
        <w:t>be</w:t>
      </w:r>
      <w:r>
        <w:rPr>
          <w:spacing w:val="-11"/>
        </w:rPr>
        <w:t> </w:t>
      </w:r>
      <w:r>
        <w:rPr/>
        <w:t>completed </w:t>
      </w:r>
      <w:r>
        <w:rPr>
          <w:spacing w:val="-1"/>
          <w:w w:val="102"/>
        </w:rPr>
        <w:t>by</w:t>
      </w:r>
      <w:r>
        <w:rPr>
          <w:w w:val="102"/>
        </w:rPr>
        <w:t> </w:t>
      </w:r>
      <w:r>
        <w:rPr>
          <w:w w:val="97"/>
        </w:rPr>
        <w:t>the </w:t>
      </w:r>
      <w:r>
        <w:rPr>
          <w:spacing w:val="1"/>
          <w:w w:val="98"/>
        </w:rPr>
        <w:t>middle</w:t>
      </w:r>
      <w:r>
        <w:rPr>
          <w:w w:val="98"/>
        </w:rPr>
        <w:t> </w:t>
      </w:r>
      <w:r>
        <w:rPr>
          <w:w w:val="99"/>
        </w:rPr>
        <w:t>of</w:t>
      </w:r>
      <w:r>
        <w:rPr>
          <w:spacing w:val="-35"/>
          <w:w w:val="99"/>
        </w:rPr>
        <w:t> </w:t>
      </w:r>
      <w:r>
        <w:rPr>
          <w:spacing w:val="2"/>
          <w:w w:val="85"/>
        </w:rPr>
        <w:t>2016.</w:t>
      </w:r>
    </w:p>
    <w:p>
      <w:pPr>
        <w:pStyle w:val="BodyText"/>
        <w:rPr>
          <w:sz w:val="14"/>
        </w:rPr>
      </w:pPr>
    </w:p>
    <w:p>
      <w:pPr>
        <w:pStyle w:val="BodyText"/>
        <w:spacing w:line="249" w:lineRule="auto"/>
        <w:ind w:left="107" w:right="429"/>
      </w:pPr>
      <w:r>
        <w:rPr/>
        <w:t>Other highlights of the year included the</w:t>
      </w:r>
      <w:r>
        <w:rPr>
          <w:spacing w:val="-16"/>
        </w:rPr>
        <w:t> </w:t>
      </w:r>
      <w:r>
        <w:rPr/>
        <w:t>approval</w:t>
      </w:r>
      <w:r>
        <w:rPr>
          <w:spacing w:val="-16"/>
        </w:rPr>
        <w:t> </w:t>
      </w:r>
      <w:r>
        <w:rPr/>
        <w:t>of</w:t>
      </w:r>
      <w:r>
        <w:rPr>
          <w:spacing w:val="-16"/>
        </w:rPr>
        <w:t> </w:t>
      </w:r>
      <w:r>
        <w:rPr/>
        <w:t>new</w:t>
      </w:r>
      <w:r>
        <w:rPr>
          <w:spacing w:val="-16"/>
        </w:rPr>
        <w:t> </w:t>
      </w:r>
      <w:r>
        <w:rPr/>
        <w:t>undergraduate</w:t>
      </w:r>
      <w:r>
        <w:rPr>
          <w:spacing w:val="-16"/>
        </w:rPr>
        <w:t> </w:t>
      </w:r>
      <w:r>
        <w:rPr/>
        <w:t>and postgraduate courses including double degrees;</w:t>
      </w:r>
      <w:r>
        <w:rPr>
          <w:spacing w:val="-20"/>
        </w:rPr>
        <w:t> </w:t>
      </w:r>
      <w:r>
        <w:rPr/>
        <w:t>an</w:t>
      </w:r>
      <w:r>
        <w:rPr>
          <w:spacing w:val="-20"/>
        </w:rPr>
        <w:t> </w:t>
      </w:r>
      <w:r>
        <w:rPr/>
        <w:t>expanded</w:t>
      </w:r>
      <w:r>
        <w:rPr>
          <w:spacing w:val="-20"/>
        </w:rPr>
        <w:t> </w:t>
      </w:r>
      <w:r>
        <w:rPr/>
        <w:t>range</w:t>
      </w:r>
      <w:r>
        <w:rPr>
          <w:spacing w:val="-20"/>
        </w:rPr>
        <w:t> </w:t>
      </w:r>
      <w:r>
        <w:rPr/>
        <w:t>of</w:t>
      </w:r>
      <w:r>
        <w:rPr>
          <w:spacing w:val="-20"/>
        </w:rPr>
        <w:t> </w:t>
      </w:r>
      <w:r>
        <w:rPr/>
        <w:t>pathway</w:t>
      </w:r>
    </w:p>
    <w:p>
      <w:pPr>
        <w:pStyle w:val="BodyText"/>
        <w:spacing w:line="249" w:lineRule="auto"/>
        <w:ind w:left="107" w:right="83"/>
      </w:pPr>
      <w:r>
        <w:rPr/>
        <w:t>courses</w:t>
      </w:r>
      <w:r>
        <w:rPr>
          <w:spacing w:val="-17"/>
        </w:rPr>
        <w:t> </w:t>
      </w:r>
      <w:r>
        <w:rPr/>
        <w:t>taught</w:t>
      </w:r>
      <w:r>
        <w:rPr>
          <w:spacing w:val="-17"/>
        </w:rPr>
        <w:t> </w:t>
      </w:r>
      <w:r>
        <w:rPr/>
        <w:t>by</w:t>
      </w:r>
      <w:r>
        <w:rPr>
          <w:spacing w:val="-17"/>
        </w:rPr>
        <w:t> </w:t>
      </w:r>
      <w:r>
        <w:rPr/>
        <w:t>The</w:t>
      </w:r>
      <w:r>
        <w:rPr>
          <w:spacing w:val="-17"/>
        </w:rPr>
        <w:t> </w:t>
      </w:r>
      <w:r>
        <w:rPr/>
        <w:t>College;</w:t>
      </w:r>
      <w:r>
        <w:rPr>
          <w:spacing w:val="-17"/>
        </w:rPr>
        <w:t> </w:t>
      </w:r>
      <w:r>
        <w:rPr/>
        <w:t>new</w:t>
      </w:r>
      <w:r>
        <w:rPr>
          <w:spacing w:val="-17"/>
        </w:rPr>
        <w:t> </w:t>
      </w:r>
      <w:r>
        <w:rPr/>
        <w:t>Bachelor of Business and Bachelor of Accounting courses;</w:t>
      </w:r>
      <w:r>
        <w:rPr>
          <w:spacing w:val="-17"/>
        </w:rPr>
        <w:t> </w:t>
      </w:r>
      <w:r>
        <w:rPr/>
        <w:t>a</w:t>
      </w:r>
      <w:r>
        <w:rPr>
          <w:spacing w:val="-17"/>
        </w:rPr>
        <w:t> </w:t>
      </w:r>
      <w:r>
        <w:rPr/>
        <w:t>Bachelor</w:t>
      </w:r>
      <w:r>
        <w:rPr>
          <w:spacing w:val="-17"/>
        </w:rPr>
        <w:t> </w:t>
      </w:r>
      <w:r>
        <w:rPr/>
        <w:t>of</w:t>
      </w:r>
      <w:r>
        <w:rPr>
          <w:spacing w:val="-17"/>
        </w:rPr>
        <w:t> </w:t>
      </w:r>
      <w:r>
        <w:rPr/>
        <w:t>Data</w:t>
      </w:r>
      <w:r>
        <w:rPr>
          <w:spacing w:val="-17"/>
        </w:rPr>
        <w:t> </w:t>
      </w:r>
      <w:r>
        <w:rPr/>
        <w:t>Science</w:t>
      </w:r>
      <w:r>
        <w:rPr>
          <w:spacing w:val="-17"/>
        </w:rPr>
        <w:t> </w:t>
      </w:r>
      <w:r>
        <w:rPr/>
        <w:t>designed to</w:t>
      </w:r>
      <w:r>
        <w:rPr>
          <w:spacing w:val="-16"/>
        </w:rPr>
        <w:t> </w:t>
      </w:r>
      <w:r>
        <w:rPr/>
        <w:t>be</w:t>
      </w:r>
      <w:r>
        <w:rPr>
          <w:spacing w:val="-16"/>
        </w:rPr>
        <w:t> </w:t>
      </w:r>
      <w:r>
        <w:rPr/>
        <w:t>taken</w:t>
      </w:r>
      <w:r>
        <w:rPr>
          <w:spacing w:val="-16"/>
        </w:rPr>
        <w:t> </w:t>
      </w:r>
      <w:r>
        <w:rPr/>
        <w:t>in</w:t>
      </w:r>
      <w:r>
        <w:rPr>
          <w:spacing w:val="-16"/>
        </w:rPr>
        <w:t> </w:t>
      </w:r>
      <w:r>
        <w:rPr/>
        <w:t>combination</w:t>
      </w:r>
      <w:r>
        <w:rPr>
          <w:spacing w:val="-16"/>
        </w:rPr>
        <w:t> </w:t>
      </w:r>
      <w:r>
        <w:rPr/>
        <w:t>with</w:t>
      </w:r>
      <w:r>
        <w:rPr>
          <w:spacing w:val="-16"/>
        </w:rPr>
        <w:t> </w:t>
      </w:r>
      <w:r>
        <w:rPr/>
        <w:t>a</w:t>
      </w:r>
      <w:r>
        <w:rPr>
          <w:spacing w:val="-16"/>
        </w:rPr>
        <w:t> </w:t>
      </w:r>
      <w:r>
        <w:rPr/>
        <w:t>range</w:t>
      </w:r>
    </w:p>
    <w:p>
      <w:pPr>
        <w:pStyle w:val="BodyText"/>
        <w:spacing w:line="249" w:lineRule="auto"/>
        <w:ind w:left="107"/>
      </w:pPr>
      <w:r>
        <w:rPr/>
        <w:t>of other degrees; and a range of other strategically important courses, including</w:t>
      </w:r>
    </w:p>
    <w:p>
      <w:pPr>
        <w:pStyle w:val="BodyText"/>
        <w:spacing w:before="2"/>
        <w:rPr>
          <w:sz w:val="20"/>
        </w:rPr>
      </w:pPr>
      <w:r>
        <w:rPr/>
        <w:br w:type="column"/>
      </w:r>
      <w:r>
        <w:rPr>
          <w:sz w:val="20"/>
        </w:rPr>
      </w:r>
    </w:p>
    <w:p>
      <w:pPr>
        <w:pStyle w:val="BodyText"/>
        <w:spacing w:line="249" w:lineRule="auto"/>
        <w:ind w:left="107" w:right="127"/>
      </w:pPr>
      <w:r>
        <w:rPr/>
        <w:t>a Bachelor of Sustainable Agriculture and Food Security, Bachelor of Humanitarian and Development Studies, Bachelor of Screen Media, Master of Epidemiology, Master of Psychotherapy and Counselling, Master of Nursing (Professional Studies), and Graduate Diploma in Cardiac Sonography.</w:t>
      </w:r>
    </w:p>
    <w:p>
      <w:pPr>
        <w:pStyle w:val="BodyText"/>
        <w:rPr>
          <w:sz w:val="14"/>
        </w:rPr>
      </w:pPr>
    </w:p>
    <w:p>
      <w:pPr>
        <w:pStyle w:val="BodyText"/>
        <w:spacing w:line="249" w:lineRule="auto"/>
        <w:ind w:left="107" w:right="112"/>
      </w:pPr>
      <w:r>
        <w:rPr/>
        <w:t>The</w:t>
      </w:r>
      <w:r>
        <w:rPr>
          <w:spacing w:val="-18"/>
        </w:rPr>
        <w:t> </w:t>
      </w:r>
      <w:r>
        <w:rPr/>
        <w:t>Senate</w:t>
      </w:r>
      <w:r>
        <w:rPr>
          <w:spacing w:val="-18"/>
        </w:rPr>
        <w:t> </w:t>
      </w:r>
      <w:r>
        <w:rPr/>
        <w:t>continues</w:t>
      </w:r>
      <w:r>
        <w:rPr>
          <w:spacing w:val="-18"/>
        </w:rPr>
        <w:t> </w:t>
      </w:r>
      <w:r>
        <w:rPr/>
        <w:t>to</w:t>
      </w:r>
      <w:r>
        <w:rPr>
          <w:spacing w:val="-18"/>
        </w:rPr>
        <w:t> </w:t>
      </w:r>
      <w:r>
        <w:rPr/>
        <w:t>protect</w:t>
      </w:r>
      <w:r>
        <w:rPr>
          <w:spacing w:val="-18"/>
        </w:rPr>
        <w:t> </w:t>
      </w:r>
      <w:r>
        <w:rPr/>
        <w:t>and</w:t>
      </w:r>
      <w:r>
        <w:rPr>
          <w:spacing w:val="-18"/>
        </w:rPr>
        <w:t> </w:t>
      </w:r>
      <w:r>
        <w:rPr/>
        <w:t>enhance the</w:t>
      </w:r>
      <w:r>
        <w:rPr>
          <w:spacing w:val="-15"/>
        </w:rPr>
        <w:t> </w:t>
      </w:r>
      <w:r>
        <w:rPr/>
        <w:t>academic</w:t>
      </w:r>
      <w:r>
        <w:rPr>
          <w:spacing w:val="-15"/>
        </w:rPr>
        <w:t> </w:t>
      </w:r>
      <w:r>
        <w:rPr/>
        <w:t>reputation</w:t>
      </w:r>
      <w:r>
        <w:rPr>
          <w:spacing w:val="-15"/>
        </w:rPr>
        <w:t> </w:t>
      </w:r>
      <w:r>
        <w:rPr/>
        <w:t>of</w:t>
      </w:r>
      <w:r>
        <w:rPr>
          <w:spacing w:val="-15"/>
        </w:rPr>
        <w:t> </w:t>
      </w:r>
      <w:r>
        <w:rPr/>
        <w:t>the</w:t>
      </w:r>
      <w:r>
        <w:rPr>
          <w:spacing w:val="-15"/>
        </w:rPr>
        <w:t> </w:t>
      </w:r>
      <w:r>
        <w:rPr/>
        <w:t>University</w:t>
      </w:r>
    </w:p>
    <w:p>
      <w:pPr>
        <w:pStyle w:val="BodyText"/>
        <w:spacing w:line="249" w:lineRule="auto"/>
        <w:ind w:left="107" w:right="232"/>
      </w:pPr>
      <w:r>
        <w:rPr/>
        <w:t>in an increasingly competitive environment, by promoting consistent academic policies, standards and student experiences across the University. It also serves as a forum for</w:t>
      </w:r>
    </w:p>
    <w:p>
      <w:pPr>
        <w:pStyle w:val="BodyText"/>
        <w:spacing w:line="249" w:lineRule="auto"/>
        <w:ind w:left="107" w:right="48"/>
      </w:pPr>
      <w:r>
        <w:rPr/>
        <w:t>engaging staff members and students in lively and constructive debate about key academic issues for the University.</w:t>
      </w:r>
    </w:p>
    <w:p>
      <w:pPr>
        <w:spacing w:after="0" w:line="249" w:lineRule="auto"/>
        <w:sectPr>
          <w:type w:val="continuous"/>
          <w:pgSz w:w="11910" w:h="16840"/>
          <w:pgMar w:top="1580" w:bottom="280" w:left="800" w:right="800"/>
          <w:cols w:num="3" w:equalWidth="0">
            <w:col w:w="3318" w:space="122"/>
            <w:col w:w="3320" w:space="119"/>
            <w:col w:w="3431"/>
          </w:cols>
        </w:sectPr>
      </w:pPr>
    </w:p>
    <w:p>
      <w:pPr>
        <w:pStyle w:val="BodyText"/>
        <w:spacing w:before="10"/>
        <w:rPr>
          <w:sz w:val="28"/>
        </w:rPr>
      </w:pPr>
    </w:p>
    <w:p>
      <w:pPr>
        <w:pStyle w:val="Heading2"/>
        <w:ind w:left="327" w:right="7611"/>
        <w:rPr>
          <w:b w:val="0"/>
        </w:rPr>
      </w:pPr>
      <w:bookmarkStart w:name="_TOC_250019" w:id="6"/>
      <w:bookmarkEnd w:id="6"/>
      <w:r>
        <w:rPr>
          <w:b w:val="0"/>
        </w:rPr>
        <w:t>Quality and Consumer Response</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rPr>
      </w:pPr>
    </w:p>
    <w:p>
      <w:pPr>
        <w:spacing w:after="0"/>
        <w:rPr>
          <w:rFonts w:ascii="Chronicle Text G1"/>
        </w:rPr>
        <w:sectPr>
          <w:footerReference w:type="even" r:id="rId34"/>
          <w:footerReference w:type="default" r:id="rId35"/>
          <w:pgSz w:w="11910" w:h="16840"/>
          <w:pgMar w:footer="473" w:header="494" w:top="680" w:bottom="660" w:left="580" w:right="580"/>
        </w:sectPr>
      </w:pPr>
    </w:p>
    <w:p>
      <w:pPr>
        <w:pStyle w:val="Heading5"/>
        <w:spacing w:before="65"/>
        <w:ind w:left="327" w:right="-3"/>
      </w:pPr>
      <w:bookmarkStart w:name="_TOC_250018" w:id="7"/>
      <w:r>
        <w:rPr>
          <w:spacing w:val="-3"/>
          <w:w w:val="95"/>
        </w:rPr>
        <w:t>QUALITY </w:t>
      </w:r>
      <w:r>
        <w:rPr>
          <w:w w:val="95"/>
        </w:rPr>
        <w:t>AND </w:t>
      </w:r>
      <w:bookmarkEnd w:id="7"/>
      <w:r>
        <w:rPr>
          <w:spacing w:val="-3"/>
          <w:w w:val="95"/>
        </w:rPr>
        <w:t>PERFORMANCE</w:t>
      </w:r>
    </w:p>
    <w:p>
      <w:pPr>
        <w:pStyle w:val="BodyText"/>
        <w:spacing w:line="247" w:lineRule="auto" w:before="209"/>
        <w:ind w:left="327" w:right="60"/>
      </w:pPr>
      <w:r>
        <w:rPr/>
        <w:t>The</w:t>
      </w:r>
      <w:r>
        <w:rPr>
          <w:spacing w:val="-13"/>
        </w:rPr>
        <w:t> </w:t>
      </w:r>
      <w:r>
        <w:rPr/>
        <w:t>Office</w:t>
      </w:r>
      <w:r>
        <w:rPr>
          <w:spacing w:val="-13"/>
        </w:rPr>
        <w:t> </w:t>
      </w:r>
      <w:r>
        <w:rPr/>
        <w:t>of</w:t>
      </w:r>
      <w:r>
        <w:rPr>
          <w:spacing w:val="-13"/>
        </w:rPr>
        <w:t> </w:t>
      </w:r>
      <w:r>
        <w:rPr/>
        <w:t>Quality</w:t>
      </w:r>
      <w:r>
        <w:rPr>
          <w:spacing w:val="-13"/>
        </w:rPr>
        <w:t> </w:t>
      </w:r>
      <w:r>
        <w:rPr/>
        <w:t>and</w:t>
      </w:r>
      <w:r>
        <w:rPr>
          <w:spacing w:val="-13"/>
        </w:rPr>
        <w:t> </w:t>
      </w:r>
      <w:r>
        <w:rPr/>
        <w:t>Performance</w:t>
      </w:r>
      <w:r>
        <w:rPr>
          <w:spacing w:val="-13"/>
        </w:rPr>
        <w:t> </w:t>
      </w:r>
      <w:r>
        <w:rPr/>
        <w:t>(OQP) played a key role in developing the metrics and targets for monitoring implementation of the strategic goals and objectives set in </w:t>
      </w:r>
      <w:r>
        <w:rPr>
          <w:rFonts w:ascii="Century Gothic"/>
          <w:i/>
          <w:w w:val="95"/>
        </w:rPr>
        <w:t>Securing</w:t>
      </w:r>
      <w:r>
        <w:rPr>
          <w:rFonts w:ascii="Century Gothic"/>
          <w:i/>
          <w:spacing w:val="-12"/>
          <w:w w:val="95"/>
        </w:rPr>
        <w:t> </w:t>
      </w:r>
      <w:r>
        <w:rPr>
          <w:rFonts w:ascii="Century Gothic"/>
          <w:i/>
          <w:w w:val="95"/>
        </w:rPr>
        <w:t>Success</w:t>
      </w:r>
      <w:r>
        <w:rPr>
          <w:w w:val="95"/>
        </w:rPr>
        <w:t>.</w:t>
      </w:r>
      <w:r>
        <w:rPr>
          <w:spacing w:val="-17"/>
          <w:w w:val="95"/>
        </w:rPr>
        <w:t> </w:t>
      </w:r>
      <w:r>
        <w:rPr>
          <w:w w:val="95"/>
        </w:rPr>
        <w:t>These</w:t>
      </w:r>
      <w:r>
        <w:rPr>
          <w:spacing w:val="-17"/>
          <w:w w:val="95"/>
        </w:rPr>
        <w:t> </w:t>
      </w:r>
      <w:r>
        <w:rPr>
          <w:w w:val="95"/>
        </w:rPr>
        <w:t>include</w:t>
      </w:r>
      <w:r>
        <w:rPr>
          <w:spacing w:val="-17"/>
          <w:w w:val="95"/>
        </w:rPr>
        <w:t> </w:t>
      </w:r>
      <w:r>
        <w:rPr>
          <w:w w:val="95"/>
        </w:rPr>
        <w:t>tracking</w:t>
      </w:r>
    </w:p>
    <w:p>
      <w:pPr>
        <w:pStyle w:val="BodyText"/>
        <w:spacing w:line="247" w:lineRule="auto"/>
        <w:ind w:left="327" w:right="3"/>
      </w:pPr>
      <w:r>
        <w:rPr/>
        <w:t>performance</w:t>
      </w:r>
      <w:r>
        <w:rPr>
          <w:spacing w:val="-16"/>
        </w:rPr>
        <w:t> </w:t>
      </w:r>
      <w:r>
        <w:rPr/>
        <w:t>across</w:t>
      </w:r>
      <w:r>
        <w:rPr>
          <w:spacing w:val="-16"/>
        </w:rPr>
        <w:t> </w:t>
      </w:r>
      <w:r>
        <w:rPr/>
        <w:t>the</w:t>
      </w:r>
      <w:r>
        <w:rPr>
          <w:spacing w:val="-16"/>
        </w:rPr>
        <w:t> </w:t>
      </w:r>
      <w:r>
        <w:rPr/>
        <w:t>University</w:t>
      </w:r>
      <w:r>
        <w:rPr>
          <w:spacing w:val="-16"/>
        </w:rPr>
        <w:t> </w:t>
      </w:r>
      <w:r>
        <w:rPr/>
        <w:t>against</w:t>
      </w:r>
      <w:r>
        <w:rPr>
          <w:spacing w:val="-16"/>
        </w:rPr>
        <w:t> </w:t>
      </w:r>
      <w:r>
        <w:rPr/>
        <w:t>key performance indicators (KPIs) and reporting on</w:t>
      </w:r>
      <w:r>
        <w:rPr>
          <w:spacing w:val="-34"/>
        </w:rPr>
        <w:t> </w:t>
      </w:r>
      <w:r>
        <w:rPr/>
        <w:t>initiatives</w:t>
      </w:r>
      <w:r>
        <w:rPr>
          <w:spacing w:val="-34"/>
        </w:rPr>
        <w:t> </w:t>
      </w:r>
      <w:r>
        <w:rPr/>
        <w:t>that</w:t>
      </w:r>
      <w:r>
        <w:rPr>
          <w:spacing w:val="-34"/>
        </w:rPr>
        <w:t> </w:t>
      </w:r>
      <w:r>
        <w:rPr/>
        <w:t>support</w:t>
      </w:r>
      <w:r>
        <w:rPr>
          <w:spacing w:val="-34"/>
        </w:rPr>
        <w:t> </w:t>
      </w:r>
      <w:r>
        <w:rPr>
          <w:rFonts w:ascii="Century Gothic" w:hAnsi="Century Gothic"/>
          <w:i/>
        </w:rPr>
        <w:t>Securing</w:t>
      </w:r>
      <w:r>
        <w:rPr>
          <w:rFonts w:ascii="Century Gothic" w:hAnsi="Century Gothic"/>
          <w:i/>
          <w:spacing w:val="-28"/>
        </w:rPr>
        <w:t> </w:t>
      </w:r>
      <w:r>
        <w:rPr>
          <w:rFonts w:ascii="Century Gothic" w:hAnsi="Century Gothic"/>
          <w:i/>
        </w:rPr>
        <w:t>Success</w:t>
      </w:r>
      <w:r>
        <w:rPr>
          <w:rFonts w:ascii="Century Gothic" w:hAnsi="Century Gothic"/>
          <w:i/>
          <w:spacing w:val="-28"/>
        </w:rPr>
        <w:t> </w:t>
      </w:r>
      <w:r>
        <w:rPr/>
        <w:t>to the Board of Trustees. A new dashboard was also developed to track performance against targets and this will be included in the Vice- Chancellor,</w:t>
      </w:r>
      <w:r>
        <w:rPr>
          <w:spacing w:val="-21"/>
        </w:rPr>
        <w:t> </w:t>
      </w:r>
      <w:r>
        <w:rPr/>
        <w:t>Professor</w:t>
      </w:r>
      <w:r>
        <w:rPr>
          <w:spacing w:val="-21"/>
        </w:rPr>
        <w:t> </w:t>
      </w:r>
      <w:r>
        <w:rPr/>
        <w:t>Barney</w:t>
      </w:r>
      <w:r>
        <w:rPr>
          <w:spacing w:val="-21"/>
        </w:rPr>
        <w:t> </w:t>
      </w:r>
      <w:r>
        <w:rPr/>
        <w:t>Glover’s,</w:t>
      </w:r>
      <w:r>
        <w:rPr>
          <w:spacing w:val="-21"/>
        </w:rPr>
        <w:t> </w:t>
      </w:r>
      <w:r>
        <w:rPr/>
        <w:t>annual end-of-year</w:t>
      </w:r>
      <w:r>
        <w:rPr>
          <w:spacing w:val="-18"/>
        </w:rPr>
        <w:t> </w:t>
      </w:r>
      <w:r>
        <w:rPr/>
        <w:t>report</w:t>
      </w:r>
      <w:r>
        <w:rPr>
          <w:spacing w:val="-18"/>
        </w:rPr>
        <w:t> </w:t>
      </w:r>
      <w:r>
        <w:rPr/>
        <w:t>to</w:t>
      </w:r>
      <w:r>
        <w:rPr>
          <w:spacing w:val="-18"/>
        </w:rPr>
        <w:t> </w:t>
      </w:r>
      <w:r>
        <w:rPr/>
        <w:t>the</w:t>
      </w:r>
      <w:r>
        <w:rPr>
          <w:spacing w:val="-18"/>
        </w:rPr>
        <w:t> </w:t>
      </w:r>
      <w:r>
        <w:rPr/>
        <w:t>Board</w:t>
      </w:r>
      <w:r>
        <w:rPr>
          <w:spacing w:val="-18"/>
        </w:rPr>
        <w:t> </w:t>
      </w:r>
      <w:r>
        <w:rPr/>
        <w:t>of</w:t>
      </w:r>
      <w:r>
        <w:rPr>
          <w:spacing w:val="-18"/>
        </w:rPr>
        <w:t> </w:t>
      </w:r>
      <w:r>
        <w:rPr/>
        <w:t>Trustees.</w:t>
      </w:r>
    </w:p>
    <w:p>
      <w:pPr>
        <w:pStyle w:val="BodyText"/>
        <w:spacing w:before="2"/>
        <w:rPr>
          <w:sz w:val="14"/>
        </w:rPr>
      </w:pPr>
    </w:p>
    <w:p>
      <w:pPr>
        <w:pStyle w:val="BodyText"/>
        <w:spacing w:line="249" w:lineRule="auto"/>
        <w:ind w:left="327" w:right="-3"/>
      </w:pPr>
      <w:r>
        <w:rPr>
          <w:w w:val="80"/>
        </w:rPr>
        <w:t>In </w:t>
      </w:r>
      <w:r>
        <w:rPr>
          <w:w w:val="84"/>
        </w:rPr>
        <w:t>2015, </w:t>
      </w:r>
      <w:r>
        <w:rPr>
          <w:w w:val="97"/>
        </w:rPr>
        <w:t>the </w:t>
      </w:r>
      <w:r>
        <w:rPr>
          <w:w w:val="97"/>
        </w:rPr>
        <w:t>University </w:t>
      </w:r>
      <w:r>
        <w:rPr>
          <w:w w:val="98"/>
        </w:rPr>
        <w:t>continued </w:t>
      </w:r>
      <w:r>
        <w:rPr>
          <w:w w:val="98"/>
        </w:rPr>
        <w:t>working </w:t>
      </w:r>
      <w:r>
        <w:rPr>
          <w:w w:val="101"/>
        </w:rPr>
        <w:t>to </w:t>
      </w:r>
      <w:r>
        <w:rPr/>
        <w:t>ensure that quality management processes align with the Tertiary Education Quality and Standards Agency (TEQSA) higher education standards framework, in particular ensuring that the University has robust processes to fulfil its self-accrediting obligations.</w:t>
      </w:r>
    </w:p>
    <w:p>
      <w:pPr>
        <w:pStyle w:val="BodyText"/>
        <w:rPr>
          <w:sz w:val="14"/>
        </w:rPr>
      </w:pPr>
    </w:p>
    <w:p>
      <w:pPr>
        <w:pStyle w:val="BodyText"/>
        <w:spacing w:line="249" w:lineRule="auto"/>
        <w:ind w:left="327" w:right="-3"/>
      </w:pPr>
      <w:r>
        <w:rPr/>
        <w:t>Quality</w:t>
      </w:r>
      <w:r>
        <w:rPr>
          <w:spacing w:val="-16"/>
        </w:rPr>
        <w:t> </w:t>
      </w:r>
      <w:r>
        <w:rPr/>
        <w:t>management</w:t>
      </w:r>
      <w:r>
        <w:rPr>
          <w:spacing w:val="-16"/>
        </w:rPr>
        <w:t> </w:t>
      </w:r>
      <w:r>
        <w:rPr/>
        <w:t>is</w:t>
      </w:r>
      <w:r>
        <w:rPr>
          <w:spacing w:val="-16"/>
        </w:rPr>
        <w:t> </w:t>
      </w:r>
      <w:r>
        <w:rPr>
          <w:spacing w:val="2"/>
        </w:rPr>
        <w:t>embedded</w:t>
      </w:r>
      <w:r>
        <w:rPr>
          <w:spacing w:val="-16"/>
        </w:rPr>
        <w:t> </w:t>
      </w:r>
      <w:r>
        <w:rPr/>
        <w:t>in</w:t>
      </w:r>
      <w:r>
        <w:rPr>
          <w:spacing w:val="-16"/>
        </w:rPr>
        <w:t> </w:t>
      </w:r>
      <w:r>
        <w:rPr/>
        <w:t>strategic and operational planning, accreditation, reporting</w:t>
      </w:r>
      <w:r>
        <w:rPr>
          <w:spacing w:val="-16"/>
        </w:rPr>
        <w:t> </w:t>
      </w:r>
      <w:r>
        <w:rPr/>
        <w:t>and</w:t>
      </w:r>
      <w:r>
        <w:rPr>
          <w:spacing w:val="-16"/>
        </w:rPr>
        <w:t> </w:t>
      </w:r>
      <w:r>
        <w:rPr/>
        <w:t>review</w:t>
      </w:r>
      <w:r>
        <w:rPr>
          <w:spacing w:val="-16"/>
        </w:rPr>
        <w:t> </w:t>
      </w:r>
      <w:r>
        <w:rPr/>
        <w:t>processes</w:t>
      </w:r>
      <w:r>
        <w:rPr>
          <w:spacing w:val="-16"/>
        </w:rPr>
        <w:t> </w:t>
      </w:r>
      <w:r>
        <w:rPr/>
        <w:t>across</w:t>
      </w:r>
      <w:r>
        <w:rPr>
          <w:spacing w:val="-16"/>
        </w:rPr>
        <w:t> </w:t>
      </w:r>
      <w:r>
        <w:rPr/>
        <w:t>the</w:t>
      </w:r>
    </w:p>
    <w:p>
      <w:pPr>
        <w:pStyle w:val="BodyText"/>
        <w:spacing w:line="249" w:lineRule="auto" w:before="71"/>
        <w:ind w:left="200" w:right="-19"/>
      </w:pPr>
      <w:r>
        <w:rPr/>
        <w:br w:type="column"/>
      </w:r>
      <w:r>
        <w:rPr/>
        <w:t>University. The University has well-developed processes to track student performance</w:t>
      </w:r>
    </w:p>
    <w:p>
      <w:pPr>
        <w:pStyle w:val="BodyText"/>
        <w:spacing w:line="249" w:lineRule="auto"/>
        <w:ind w:left="200" w:right="144"/>
      </w:pPr>
      <w:r>
        <w:rPr/>
        <w:t>and for students to provide feedback on their experience, which is benchmarked nationally</w:t>
      </w:r>
      <w:r>
        <w:rPr>
          <w:spacing w:val="-26"/>
        </w:rPr>
        <w:t> </w:t>
      </w:r>
      <w:r>
        <w:rPr/>
        <w:t>and</w:t>
      </w:r>
      <w:r>
        <w:rPr>
          <w:spacing w:val="-26"/>
        </w:rPr>
        <w:t> </w:t>
      </w:r>
      <w:r>
        <w:rPr/>
        <w:t>internationally.</w:t>
      </w:r>
      <w:r>
        <w:rPr>
          <w:spacing w:val="-26"/>
        </w:rPr>
        <w:t> </w:t>
      </w:r>
      <w:r>
        <w:rPr/>
        <w:t>The</w:t>
      </w:r>
      <w:r>
        <w:rPr>
          <w:spacing w:val="-26"/>
        </w:rPr>
        <w:t> </w:t>
      </w:r>
      <w:r>
        <w:rPr/>
        <w:t>University uses standardised surveys to gather student</w:t>
      </w:r>
      <w:r>
        <w:rPr>
          <w:spacing w:val="-18"/>
        </w:rPr>
        <w:t> </w:t>
      </w:r>
      <w:r>
        <w:rPr/>
        <w:t>feedback</w:t>
      </w:r>
      <w:r>
        <w:rPr>
          <w:spacing w:val="-18"/>
        </w:rPr>
        <w:t> </w:t>
      </w:r>
      <w:r>
        <w:rPr/>
        <w:t>on</w:t>
      </w:r>
      <w:r>
        <w:rPr>
          <w:spacing w:val="-18"/>
        </w:rPr>
        <w:t> </w:t>
      </w:r>
      <w:r>
        <w:rPr/>
        <w:t>teaching,</w:t>
      </w:r>
      <w:r>
        <w:rPr>
          <w:spacing w:val="-18"/>
        </w:rPr>
        <w:t> </w:t>
      </w:r>
      <w:r>
        <w:rPr/>
        <w:t>their</w:t>
      </w:r>
      <w:r>
        <w:rPr>
          <w:spacing w:val="-18"/>
        </w:rPr>
        <w:t> </w:t>
      </w:r>
      <w:r>
        <w:rPr/>
        <w:t>learning experience</w:t>
      </w:r>
      <w:r>
        <w:rPr>
          <w:spacing w:val="-20"/>
        </w:rPr>
        <w:t> </w:t>
      </w:r>
      <w:r>
        <w:rPr/>
        <w:t>in</w:t>
      </w:r>
      <w:r>
        <w:rPr>
          <w:spacing w:val="-20"/>
        </w:rPr>
        <w:t> </w:t>
      </w:r>
      <w:r>
        <w:rPr/>
        <w:t>units</w:t>
      </w:r>
      <w:r>
        <w:rPr>
          <w:spacing w:val="-20"/>
        </w:rPr>
        <w:t> </w:t>
      </w:r>
      <w:r>
        <w:rPr/>
        <w:t>of</w:t>
      </w:r>
      <w:r>
        <w:rPr>
          <w:spacing w:val="-20"/>
        </w:rPr>
        <w:t> </w:t>
      </w:r>
      <w:r>
        <w:rPr/>
        <w:t>study,</w:t>
      </w:r>
      <w:r>
        <w:rPr>
          <w:spacing w:val="-20"/>
        </w:rPr>
        <w:t> </w:t>
      </w:r>
      <w:r>
        <w:rPr/>
        <w:t>their</w:t>
      </w:r>
      <w:r>
        <w:rPr>
          <w:spacing w:val="-20"/>
        </w:rPr>
        <w:t> </w:t>
      </w:r>
      <w:r>
        <w:rPr/>
        <w:t>overall</w:t>
      </w:r>
    </w:p>
    <w:p>
      <w:pPr>
        <w:pStyle w:val="BodyText"/>
        <w:spacing w:line="249" w:lineRule="auto"/>
        <w:ind w:left="200" w:right="-19"/>
      </w:pPr>
      <w:r>
        <w:rPr/>
        <w:t>course</w:t>
      </w:r>
      <w:r>
        <w:rPr>
          <w:spacing w:val="-20"/>
        </w:rPr>
        <w:t> </w:t>
      </w:r>
      <w:r>
        <w:rPr/>
        <w:t>experience,</w:t>
      </w:r>
      <w:r>
        <w:rPr>
          <w:spacing w:val="-20"/>
        </w:rPr>
        <w:t> </w:t>
      </w:r>
      <w:r>
        <w:rPr/>
        <w:t>and</w:t>
      </w:r>
      <w:r>
        <w:rPr>
          <w:spacing w:val="-20"/>
        </w:rPr>
        <w:t> </w:t>
      </w:r>
      <w:r>
        <w:rPr/>
        <w:t>their</w:t>
      </w:r>
      <w:r>
        <w:rPr>
          <w:spacing w:val="-20"/>
        </w:rPr>
        <w:t> </w:t>
      </w:r>
      <w:r>
        <w:rPr/>
        <w:t>whole</w:t>
      </w:r>
      <w:r>
        <w:rPr>
          <w:spacing w:val="-20"/>
        </w:rPr>
        <w:t> </w:t>
      </w:r>
      <w:r>
        <w:rPr/>
        <w:t>experience at</w:t>
      </w:r>
      <w:r>
        <w:rPr>
          <w:spacing w:val="-28"/>
        </w:rPr>
        <w:t> </w:t>
      </w:r>
      <w:r>
        <w:rPr/>
        <w:t>the</w:t>
      </w:r>
      <w:r>
        <w:rPr>
          <w:spacing w:val="-28"/>
        </w:rPr>
        <w:t> </w:t>
      </w:r>
      <w:r>
        <w:rPr/>
        <w:t>University.</w:t>
      </w:r>
    </w:p>
    <w:p>
      <w:pPr>
        <w:pStyle w:val="BodyText"/>
        <w:rPr>
          <w:sz w:val="14"/>
        </w:rPr>
      </w:pPr>
    </w:p>
    <w:p>
      <w:pPr>
        <w:pStyle w:val="BodyText"/>
        <w:spacing w:line="249" w:lineRule="auto"/>
        <w:ind w:left="200" w:right="-19"/>
      </w:pPr>
      <w:r>
        <w:rPr/>
        <w:t>The University has continued collaborating with the University of Tasmania, Deakin University, Swinburne University, Murdoch University, University of Queensland, Macquarie University and Victoria University on</w:t>
      </w:r>
      <w:r>
        <w:rPr>
          <w:spacing w:val="-18"/>
        </w:rPr>
        <w:t> </w:t>
      </w:r>
      <w:r>
        <w:rPr/>
        <w:t>the</w:t>
      </w:r>
      <w:r>
        <w:rPr>
          <w:spacing w:val="-18"/>
        </w:rPr>
        <w:t> </w:t>
      </w:r>
      <w:r>
        <w:rPr/>
        <w:t>inter-university</w:t>
      </w:r>
      <w:r>
        <w:rPr>
          <w:spacing w:val="-18"/>
        </w:rPr>
        <w:t> </w:t>
      </w:r>
      <w:r>
        <w:rPr/>
        <w:t>peer</w:t>
      </w:r>
      <w:r>
        <w:rPr>
          <w:spacing w:val="-18"/>
        </w:rPr>
        <w:t> </w:t>
      </w:r>
      <w:r>
        <w:rPr/>
        <w:t>review</w:t>
      </w:r>
      <w:r>
        <w:rPr>
          <w:spacing w:val="-18"/>
        </w:rPr>
        <w:t> </w:t>
      </w:r>
      <w:r>
        <w:rPr/>
        <w:t>of</w:t>
      </w:r>
      <w:r>
        <w:rPr>
          <w:spacing w:val="-18"/>
        </w:rPr>
        <w:t> </w:t>
      </w:r>
      <w:r>
        <w:rPr/>
        <w:t>teaching and learning standards. Schools have been providing</w:t>
      </w:r>
      <w:r>
        <w:rPr>
          <w:spacing w:val="-12"/>
        </w:rPr>
        <w:t> </w:t>
      </w:r>
      <w:r>
        <w:rPr/>
        <w:t>and</w:t>
      </w:r>
      <w:r>
        <w:rPr>
          <w:spacing w:val="-12"/>
        </w:rPr>
        <w:t> </w:t>
      </w:r>
      <w:r>
        <w:rPr/>
        <w:t>receiving</w:t>
      </w:r>
      <w:r>
        <w:rPr>
          <w:spacing w:val="-12"/>
        </w:rPr>
        <w:t> </w:t>
      </w:r>
      <w:r>
        <w:rPr/>
        <w:t>peer</w:t>
      </w:r>
      <w:r>
        <w:rPr>
          <w:spacing w:val="-12"/>
        </w:rPr>
        <w:t> </w:t>
      </w:r>
      <w:r>
        <w:rPr/>
        <w:t>feedback</w:t>
      </w:r>
    </w:p>
    <w:p>
      <w:pPr>
        <w:pStyle w:val="BodyText"/>
        <w:spacing w:line="249" w:lineRule="auto"/>
        <w:ind w:left="200" w:right="-19"/>
      </w:pPr>
      <w:r>
        <w:rPr/>
        <w:t>on teaching standards and moderating assessments of capstone units. Schools oversee the outcomes and report emerging themes to the Senate Education Committee.</w:t>
      </w:r>
    </w:p>
    <w:p>
      <w:pPr>
        <w:pStyle w:val="BodyText"/>
        <w:rPr>
          <w:sz w:val="14"/>
        </w:rPr>
      </w:pPr>
    </w:p>
    <w:p>
      <w:pPr>
        <w:pStyle w:val="BodyText"/>
        <w:spacing w:line="249" w:lineRule="auto"/>
        <w:ind w:left="200" w:right="11"/>
      </w:pPr>
      <w:r>
        <w:rPr/>
        <w:pict>
          <v:group style="position:absolute;margin-left:34.015999pt;margin-top:58.688713pt;width:527.25pt;height:260.8pt;mso-position-horizontal-relative:page;mso-position-vertical-relative:paragraph;z-index:-333400" coordorigin="680,1174" coordsize="10545,5216">
            <v:rect style="position:absolute;left:680;top:1174;width:10545;height:5216" filled="true" fillcolor="#e6e7e8" stroked="false">
              <v:fill type="solid"/>
            </v:rect>
            <v:shape style="position:absolute;left:907;top:1407;width:2558;height:240" type="#_x0000_t202" filled="false" stroked="false">
              <v:textbox inset="0,0,0,0">
                <w:txbxContent>
                  <w:p>
                    <w:pPr>
                      <w:spacing w:line="240" w:lineRule="exact" w:before="0"/>
                      <w:ind w:left="0" w:right="-15" w:firstLine="0"/>
                      <w:jc w:val="left"/>
                      <w:rPr>
                        <w:rFonts w:ascii="Gotham Narrow Bold"/>
                        <w:b/>
                        <w:sz w:val="24"/>
                      </w:rPr>
                    </w:pPr>
                    <w:r>
                      <w:rPr>
                        <w:rFonts w:ascii="Gotham Narrow Bold"/>
                        <w:b/>
                        <w:spacing w:val="-3"/>
                        <w:w w:val="95"/>
                        <w:sz w:val="24"/>
                      </w:rPr>
                      <w:t>2015 </w:t>
                    </w:r>
                    <w:r>
                      <w:rPr>
                        <w:rFonts w:ascii="Gotham Narrow Bold"/>
                        <w:b/>
                        <w:w w:val="95"/>
                        <w:sz w:val="24"/>
                      </w:rPr>
                      <w:t>RANKING </w:t>
                    </w:r>
                    <w:r>
                      <w:rPr>
                        <w:rFonts w:ascii="Gotham Narrow Bold"/>
                        <w:b/>
                        <w:spacing w:val="-4"/>
                        <w:w w:val="95"/>
                        <w:sz w:val="24"/>
                      </w:rPr>
                      <w:t>RESULTS</w:t>
                    </w:r>
                  </w:p>
                </w:txbxContent>
              </v:textbox>
              <w10:wrap type="none"/>
            </v:shape>
            <w10:wrap type="none"/>
          </v:group>
        </w:pict>
      </w:r>
      <w:r>
        <w:rPr/>
        <w:t>The</w:t>
      </w:r>
      <w:r>
        <w:rPr>
          <w:spacing w:val="-17"/>
        </w:rPr>
        <w:t> </w:t>
      </w:r>
      <w:r>
        <w:rPr/>
        <w:t>University</w:t>
      </w:r>
      <w:r>
        <w:rPr>
          <w:spacing w:val="-17"/>
        </w:rPr>
        <w:t> </w:t>
      </w:r>
      <w:r>
        <w:rPr/>
        <w:t>has</w:t>
      </w:r>
      <w:r>
        <w:rPr>
          <w:spacing w:val="-17"/>
        </w:rPr>
        <w:t> </w:t>
      </w:r>
      <w:r>
        <w:rPr/>
        <w:t>introduced</w:t>
      </w:r>
      <w:r>
        <w:rPr>
          <w:spacing w:val="-17"/>
        </w:rPr>
        <w:t> </w:t>
      </w:r>
      <w:r>
        <w:rPr/>
        <w:t>a</w:t>
      </w:r>
      <w:r>
        <w:rPr>
          <w:spacing w:val="-17"/>
        </w:rPr>
        <w:t> </w:t>
      </w:r>
      <w:r>
        <w:rPr/>
        <w:t>more</w:t>
      </w:r>
      <w:r>
        <w:rPr>
          <w:spacing w:val="-17"/>
        </w:rPr>
        <w:t> </w:t>
      </w:r>
      <w:r>
        <w:rPr/>
        <w:t>rigorous process for developing and approving new course</w:t>
      </w:r>
      <w:r>
        <w:rPr>
          <w:spacing w:val="-15"/>
        </w:rPr>
        <w:t> </w:t>
      </w:r>
      <w:r>
        <w:rPr/>
        <w:t>offerings.</w:t>
      </w:r>
      <w:r>
        <w:rPr>
          <w:spacing w:val="-15"/>
        </w:rPr>
        <w:t> </w:t>
      </w:r>
      <w:r>
        <w:rPr/>
        <w:t>Schools</w:t>
      </w:r>
      <w:r>
        <w:rPr>
          <w:spacing w:val="-15"/>
        </w:rPr>
        <w:t> </w:t>
      </w:r>
      <w:r>
        <w:rPr/>
        <w:t>must</w:t>
      </w:r>
      <w:r>
        <w:rPr>
          <w:spacing w:val="-15"/>
        </w:rPr>
        <w:t> </w:t>
      </w:r>
      <w:r>
        <w:rPr/>
        <w:t>now</w:t>
      </w:r>
      <w:r>
        <w:rPr>
          <w:spacing w:val="-15"/>
        </w:rPr>
        <w:t> </w:t>
      </w:r>
      <w:r>
        <w:rPr/>
        <w:t>complete a</w:t>
      </w:r>
      <w:r>
        <w:rPr>
          <w:spacing w:val="-12"/>
        </w:rPr>
        <w:t> </w:t>
      </w:r>
      <w:r>
        <w:rPr/>
        <w:t>standardised</w:t>
      </w:r>
      <w:r>
        <w:rPr>
          <w:spacing w:val="-12"/>
        </w:rPr>
        <w:t> </w:t>
      </w:r>
      <w:r>
        <w:rPr/>
        <w:t>course</w:t>
      </w:r>
      <w:r>
        <w:rPr>
          <w:spacing w:val="-12"/>
        </w:rPr>
        <w:t> </w:t>
      </w:r>
      <w:r>
        <w:rPr/>
        <w:t>concept</w:t>
      </w:r>
      <w:r>
        <w:rPr>
          <w:spacing w:val="-12"/>
        </w:rPr>
        <w:t> </w:t>
      </w:r>
      <w:r>
        <w:rPr/>
        <w:t>proposal</w:t>
      </w:r>
    </w:p>
    <w:p>
      <w:pPr>
        <w:pStyle w:val="BodyText"/>
        <w:spacing w:line="249" w:lineRule="auto" w:before="71"/>
        <w:ind w:left="195" w:right="524"/>
      </w:pPr>
      <w:r>
        <w:rPr/>
        <w:br w:type="column"/>
      </w:r>
      <w:r>
        <w:rPr/>
        <w:t>and associated business case, which is </w:t>
      </w:r>
      <w:r>
        <w:rPr>
          <w:spacing w:val="2"/>
        </w:rPr>
        <w:t>assessed</w:t>
      </w:r>
      <w:r>
        <w:rPr>
          <w:spacing w:val="-16"/>
        </w:rPr>
        <w:t> </w:t>
      </w:r>
      <w:r>
        <w:rPr/>
        <w:t>for</w:t>
      </w:r>
      <w:r>
        <w:rPr>
          <w:spacing w:val="-16"/>
        </w:rPr>
        <w:t> </w:t>
      </w:r>
      <w:r>
        <w:rPr/>
        <w:t>approval</w:t>
      </w:r>
      <w:r>
        <w:rPr>
          <w:spacing w:val="-16"/>
        </w:rPr>
        <w:t> </w:t>
      </w:r>
      <w:r>
        <w:rPr/>
        <w:t>by</w:t>
      </w:r>
      <w:r>
        <w:rPr>
          <w:spacing w:val="-16"/>
        </w:rPr>
        <w:t> </w:t>
      </w:r>
      <w:r>
        <w:rPr/>
        <w:t>the</w:t>
      </w:r>
      <w:r>
        <w:rPr>
          <w:spacing w:val="-16"/>
        </w:rPr>
        <w:t> </w:t>
      </w:r>
      <w:r>
        <w:rPr/>
        <w:t>Business</w:t>
      </w:r>
      <w:r>
        <w:rPr>
          <w:spacing w:val="-16"/>
        </w:rPr>
        <w:t> </w:t>
      </w:r>
      <w:r>
        <w:rPr/>
        <w:t>and Infrastructure Development Committee, the Executive and the Academic Planning and Courses Approvals Committee. The course</w:t>
      </w:r>
      <w:r>
        <w:rPr>
          <w:spacing w:val="-14"/>
        </w:rPr>
        <w:t> </w:t>
      </w:r>
      <w:r>
        <w:rPr/>
        <w:t>concept</w:t>
      </w:r>
      <w:r>
        <w:rPr>
          <w:spacing w:val="-14"/>
        </w:rPr>
        <w:t> </w:t>
      </w:r>
      <w:r>
        <w:rPr/>
        <w:t>proposal</w:t>
      </w:r>
      <w:r>
        <w:rPr>
          <w:spacing w:val="-14"/>
        </w:rPr>
        <w:t> </w:t>
      </w:r>
      <w:r>
        <w:rPr/>
        <w:t>and</w:t>
      </w:r>
      <w:r>
        <w:rPr>
          <w:spacing w:val="-14"/>
        </w:rPr>
        <w:t> </w:t>
      </w:r>
      <w:r>
        <w:rPr/>
        <w:t>business</w:t>
      </w:r>
      <w:r>
        <w:rPr>
          <w:spacing w:val="-14"/>
        </w:rPr>
        <w:t> </w:t>
      </w:r>
      <w:r>
        <w:rPr/>
        <w:t>case</w:t>
      </w:r>
    </w:p>
    <w:p>
      <w:pPr>
        <w:pStyle w:val="BodyText"/>
        <w:spacing w:line="249" w:lineRule="auto"/>
        <w:ind w:left="195" w:right="414"/>
      </w:pPr>
      <w:r>
        <w:rPr/>
        <w:t>require schools to address key strategic and financial imperatives of any new proposal. These include providing evidence of student and market demand, alignment with the University’s strategic plan, and showing</w:t>
      </w:r>
    </w:p>
    <w:p>
      <w:pPr>
        <w:pStyle w:val="BodyText"/>
        <w:spacing w:line="249" w:lineRule="auto"/>
        <w:ind w:left="195" w:right="524"/>
      </w:pPr>
      <w:r>
        <w:rPr/>
        <w:t>that the course satisfies the Australian Qualifications Framework requirements.</w:t>
      </w:r>
    </w:p>
    <w:p>
      <w:pPr>
        <w:pStyle w:val="BodyText"/>
        <w:rPr>
          <w:sz w:val="14"/>
        </w:rPr>
      </w:pPr>
    </w:p>
    <w:p>
      <w:pPr>
        <w:pStyle w:val="BodyText"/>
        <w:spacing w:line="249" w:lineRule="auto"/>
        <w:ind w:left="195" w:right="274"/>
      </w:pPr>
      <w:r>
        <w:rPr/>
        <w:t>The University’s cyclical review process means all Schools are reviewed every five years. The review includes a self-assessment report, which an independent review panel considers for recommendations. The University also conducts cross-institutional reviews of key thematic areas, which are central to realising the University’s mission. The School of Medicine and the School of Social Sciences </w:t>
      </w:r>
      <w:r>
        <w:rPr>
          <w:w w:val="97"/>
        </w:rPr>
        <w:t>and </w:t>
      </w:r>
      <w:r>
        <w:rPr>
          <w:w w:val="100"/>
        </w:rPr>
        <w:t>Psychology </w:t>
      </w:r>
      <w:r>
        <w:rPr>
          <w:w w:val="97"/>
        </w:rPr>
        <w:t>will </w:t>
      </w:r>
      <w:r>
        <w:rPr>
          <w:w w:val="99"/>
        </w:rPr>
        <w:t>be </w:t>
      </w:r>
      <w:r>
        <w:rPr>
          <w:w w:val="97"/>
        </w:rPr>
        <w:t>reviewed </w:t>
      </w:r>
      <w:r>
        <w:rPr>
          <w:w w:val="95"/>
        </w:rPr>
        <w:t>in </w:t>
      </w:r>
      <w:r>
        <w:rPr>
          <w:w w:val="85"/>
        </w:rPr>
        <w:t>2016.</w:t>
      </w:r>
    </w:p>
    <w:p>
      <w:pPr>
        <w:pStyle w:val="BodyText"/>
        <w:rPr>
          <w:sz w:val="14"/>
        </w:rPr>
      </w:pPr>
    </w:p>
    <w:p>
      <w:pPr>
        <w:pStyle w:val="BodyText"/>
        <w:spacing w:line="249" w:lineRule="auto"/>
        <w:ind w:left="195" w:right="706"/>
        <w:jc w:val="both"/>
      </w:pPr>
      <w:r>
        <w:rPr/>
        <w:t>The</w:t>
      </w:r>
      <w:r>
        <w:rPr>
          <w:spacing w:val="-17"/>
        </w:rPr>
        <w:t> </w:t>
      </w:r>
      <w:r>
        <w:rPr/>
        <w:t>University</w:t>
      </w:r>
      <w:r>
        <w:rPr>
          <w:spacing w:val="-17"/>
        </w:rPr>
        <w:t> </w:t>
      </w:r>
      <w:r>
        <w:rPr/>
        <w:t>also</w:t>
      </w:r>
      <w:r>
        <w:rPr>
          <w:spacing w:val="-17"/>
        </w:rPr>
        <w:t> </w:t>
      </w:r>
      <w:r>
        <w:rPr/>
        <w:t>requires</w:t>
      </w:r>
      <w:r>
        <w:rPr>
          <w:spacing w:val="-17"/>
        </w:rPr>
        <w:t> </w:t>
      </w:r>
      <w:r>
        <w:rPr/>
        <w:t>all</w:t>
      </w:r>
      <w:r>
        <w:rPr>
          <w:spacing w:val="-17"/>
        </w:rPr>
        <w:t> </w:t>
      </w:r>
      <w:r>
        <w:rPr/>
        <w:t>schools</w:t>
      </w:r>
      <w:r>
        <w:rPr>
          <w:spacing w:val="-17"/>
        </w:rPr>
        <w:t> </w:t>
      </w:r>
      <w:r>
        <w:rPr/>
        <w:t>to review</w:t>
      </w:r>
      <w:r>
        <w:rPr>
          <w:spacing w:val="-18"/>
        </w:rPr>
        <w:t> </w:t>
      </w:r>
      <w:r>
        <w:rPr/>
        <w:t>undergraduate</w:t>
      </w:r>
      <w:r>
        <w:rPr>
          <w:spacing w:val="-18"/>
        </w:rPr>
        <w:t> </w:t>
      </w:r>
      <w:r>
        <w:rPr/>
        <w:t>and</w:t>
      </w:r>
      <w:r>
        <w:rPr>
          <w:spacing w:val="-18"/>
        </w:rPr>
        <w:t> </w:t>
      </w:r>
      <w:r>
        <w:rPr/>
        <w:t>postgraduate course</w:t>
      </w:r>
      <w:r>
        <w:rPr>
          <w:spacing w:val="-25"/>
        </w:rPr>
        <w:t> </w:t>
      </w:r>
      <w:r>
        <w:rPr/>
        <w:t>performance</w:t>
      </w:r>
      <w:r>
        <w:rPr>
          <w:spacing w:val="-25"/>
        </w:rPr>
        <w:t> </w:t>
      </w:r>
      <w:r>
        <w:rPr/>
        <w:t>data</w:t>
      </w:r>
      <w:r>
        <w:rPr>
          <w:spacing w:val="-25"/>
        </w:rPr>
        <w:t> </w:t>
      </w:r>
      <w:r>
        <w:rPr/>
        <w:t>annually.</w:t>
      </w:r>
      <w:r>
        <w:rPr>
          <w:spacing w:val="-25"/>
        </w:rPr>
        <w:t> </w:t>
      </w:r>
      <w:r>
        <w:rPr/>
        <w:t>This</w:t>
      </w:r>
    </w:p>
    <w:p>
      <w:pPr>
        <w:spacing w:after="0" w:line="249" w:lineRule="auto"/>
        <w:jc w:val="both"/>
        <w:sectPr>
          <w:type w:val="continuous"/>
          <w:pgSz w:w="11910" w:h="16840"/>
          <w:pgMar w:top="1580" w:bottom="280" w:left="580" w:right="580"/>
          <w:cols w:num="3" w:equalWidth="0">
            <w:col w:w="3526" w:space="40"/>
            <w:col w:w="3404" w:space="40"/>
            <w:col w:w="37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1167"/>
        <w:gridCol w:w="1115"/>
        <w:gridCol w:w="1134"/>
        <w:gridCol w:w="1276"/>
        <w:gridCol w:w="1134"/>
        <w:gridCol w:w="992"/>
        <w:gridCol w:w="1701"/>
        <w:gridCol w:w="1559"/>
      </w:tblGrid>
      <w:tr>
        <w:trPr>
          <w:trHeight w:val="850" w:hRule="exact"/>
        </w:trPr>
        <w:tc>
          <w:tcPr>
            <w:tcW w:w="2282" w:type="dxa"/>
            <w:gridSpan w:val="2"/>
            <w:tcBorders>
              <w:top w:val="nil"/>
              <w:left w:val="nil"/>
              <w:bottom w:val="nil"/>
              <w:right w:val="single" w:sz="4" w:space="0" w:color="FFFFFF"/>
            </w:tcBorders>
            <w:shd w:val="clear" w:color="auto" w:fill="939598"/>
          </w:tcPr>
          <w:p>
            <w:pPr>
              <w:pStyle w:val="TableParagraph"/>
              <w:spacing w:line="249" w:lineRule="auto" w:before="135"/>
              <w:ind w:left="80"/>
              <w:jc w:val="left"/>
              <w:rPr>
                <w:rFonts w:ascii="Gotham Narrow Bold"/>
                <w:b/>
                <w:sz w:val="16"/>
              </w:rPr>
            </w:pPr>
            <w:r>
              <w:rPr>
                <w:rFonts w:ascii="Gotham Narrow Bold"/>
                <w:b/>
                <w:color w:val="FFFFFF"/>
                <w:w w:val="95"/>
                <w:sz w:val="16"/>
              </w:rPr>
              <w:t>TIMES HIGHER EDUCATION </w:t>
            </w:r>
            <w:r>
              <w:rPr>
                <w:rFonts w:ascii="Gotham Narrow Bold"/>
                <w:b/>
                <w:color w:val="FFFFFF"/>
                <w:sz w:val="16"/>
              </w:rPr>
              <w:t>WORLD UNIVERSITY RANKINGS</w:t>
            </w:r>
          </w:p>
        </w:tc>
        <w:tc>
          <w:tcPr>
            <w:tcW w:w="6237" w:type="dxa"/>
            <w:gridSpan w:val="5"/>
            <w:tcBorders>
              <w:top w:val="nil"/>
              <w:left w:val="single" w:sz="4" w:space="0" w:color="FFFFFF"/>
              <w:bottom w:val="nil"/>
              <w:right w:val="single" w:sz="4" w:space="0" w:color="FFFFFF"/>
            </w:tcBorders>
            <w:shd w:val="clear" w:color="auto" w:fill="939598"/>
          </w:tcPr>
          <w:p>
            <w:pPr>
              <w:pStyle w:val="TableParagraph"/>
              <w:spacing w:before="0"/>
              <w:jc w:val="left"/>
              <w:rPr>
                <w:sz w:val="16"/>
              </w:rPr>
            </w:pPr>
          </w:p>
          <w:p>
            <w:pPr>
              <w:pStyle w:val="TableParagraph"/>
              <w:spacing w:before="142"/>
              <w:ind w:left="74"/>
              <w:jc w:val="left"/>
              <w:rPr>
                <w:rFonts w:ascii="Gotham Narrow Bold"/>
                <w:b/>
                <w:sz w:val="16"/>
              </w:rPr>
            </w:pPr>
            <w:r>
              <w:rPr>
                <w:rFonts w:ascii="Gotham Narrow Bold"/>
                <w:b/>
                <w:color w:val="FFFFFF"/>
                <w:w w:val="95"/>
                <w:sz w:val="16"/>
              </w:rPr>
              <w:t>QUACQUARELLI SYMONDS RANKINGS</w:t>
            </w:r>
          </w:p>
        </w:tc>
        <w:tc>
          <w:tcPr>
            <w:tcW w:w="1559" w:type="dxa"/>
            <w:tcBorders>
              <w:top w:val="nil"/>
              <w:left w:val="single" w:sz="4" w:space="0" w:color="FFFFFF"/>
              <w:bottom w:val="nil"/>
              <w:right w:val="nil"/>
            </w:tcBorders>
            <w:shd w:val="clear" w:color="auto" w:fill="939598"/>
          </w:tcPr>
          <w:p>
            <w:pPr>
              <w:pStyle w:val="TableParagraph"/>
              <w:spacing w:before="6"/>
              <w:jc w:val="left"/>
              <w:rPr>
                <w:sz w:val="19"/>
              </w:rPr>
            </w:pPr>
          </w:p>
          <w:p>
            <w:pPr>
              <w:pStyle w:val="TableParagraph"/>
              <w:spacing w:line="249" w:lineRule="auto" w:before="0"/>
              <w:ind w:left="74"/>
              <w:jc w:val="left"/>
              <w:rPr>
                <w:rFonts w:ascii="Gotham Narrow Bold"/>
                <w:b/>
                <w:sz w:val="16"/>
              </w:rPr>
            </w:pPr>
            <w:r>
              <w:rPr>
                <w:rFonts w:ascii="Gotham Narrow Bold"/>
                <w:b/>
                <w:color w:val="FFFFFF"/>
                <w:w w:val="95"/>
                <w:sz w:val="16"/>
              </w:rPr>
              <w:t>CWTS LEIDEN </w:t>
            </w:r>
            <w:r>
              <w:rPr>
                <w:rFonts w:ascii="Gotham Narrow Bold"/>
                <w:b/>
                <w:color w:val="FFFFFF"/>
                <w:sz w:val="16"/>
              </w:rPr>
              <w:t>RANKINGS</w:t>
            </w:r>
          </w:p>
        </w:tc>
      </w:tr>
      <w:tr>
        <w:trPr>
          <w:trHeight w:val="850" w:hRule="exact"/>
        </w:trPr>
        <w:tc>
          <w:tcPr>
            <w:tcW w:w="1167" w:type="dxa"/>
            <w:vMerge w:val="restart"/>
            <w:tcBorders>
              <w:top w:val="nil"/>
            </w:tcBorders>
            <w:shd w:val="clear" w:color="auto" w:fill="E6E7E8"/>
          </w:tcPr>
          <w:p>
            <w:pPr>
              <w:pStyle w:val="TableParagraph"/>
              <w:spacing w:before="0"/>
              <w:jc w:val="left"/>
              <w:rPr>
                <w:sz w:val="16"/>
              </w:rPr>
            </w:pPr>
          </w:p>
          <w:p>
            <w:pPr>
              <w:pStyle w:val="TableParagraph"/>
              <w:spacing w:before="0"/>
              <w:jc w:val="left"/>
              <w:rPr>
                <w:sz w:val="16"/>
              </w:rPr>
            </w:pPr>
          </w:p>
          <w:p>
            <w:pPr>
              <w:pStyle w:val="TableParagraph"/>
              <w:spacing w:before="2"/>
              <w:jc w:val="left"/>
              <w:rPr>
                <w:sz w:val="22"/>
              </w:rPr>
            </w:pPr>
          </w:p>
          <w:p>
            <w:pPr>
              <w:pStyle w:val="TableParagraph"/>
              <w:spacing w:line="249" w:lineRule="auto" w:before="0"/>
              <w:ind w:left="75" w:right="121"/>
              <w:jc w:val="left"/>
              <w:rPr>
                <w:sz w:val="16"/>
              </w:rPr>
            </w:pPr>
            <w:r>
              <w:rPr>
                <w:sz w:val="16"/>
              </w:rPr>
              <w:t>World </w:t>
            </w:r>
            <w:r>
              <w:rPr>
                <w:w w:val="95"/>
                <w:sz w:val="16"/>
              </w:rPr>
              <w:t>rankings</w:t>
            </w:r>
          </w:p>
        </w:tc>
        <w:tc>
          <w:tcPr>
            <w:tcW w:w="1115" w:type="dxa"/>
            <w:vMerge w:val="restart"/>
            <w:tcBorders>
              <w:top w:val="nil"/>
            </w:tcBorders>
            <w:shd w:val="clear" w:color="auto" w:fill="E6E7E8"/>
          </w:tcPr>
          <w:p>
            <w:pPr>
              <w:pStyle w:val="TableParagraph"/>
              <w:spacing w:before="0"/>
              <w:jc w:val="left"/>
              <w:rPr>
                <w:sz w:val="16"/>
              </w:rPr>
            </w:pPr>
          </w:p>
          <w:p>
            <w:pPr>
              <w:pStyle w:val="TableParagraph"/>
              <w:spacing w:before="0"/>
              <w:jc w:val="left"/>
              <w:rPr>
                <w:sz w:val="16"/>
              </w:rPr>
            </w:pPr>
          </w:p>
          <w:p>
            <w:pPr>
              <w:pStyle w:val="TableParagraph"/>
              <w:spacing w:before="2"/>
              <w:jc w:val="left"/>
              <w:rPr>
                <w:sz w:val="22"/>
              </w:rPr>
            </w:pPr>
          </w:p>
          <w:p>
            <w:pPr>
              <w:pStyle w:val="TableParagraph"/>
              <w:spacing w:before="0"/>
              <w:ind w:left="75"/>
              <w:jc w:val="left"/>
              <w:rPr>
                <w:sz w:val="16"/>
              </w:rPr>
            </w:pPr>
            <w:r>
              <w:rPr>
                <w:spacing w:val="-9"/>
                <w:w w:val="92"/>
                <w:sz w:val="16"/>
              </w:rPr>
              <w:t>T</w:t>
            </w:r>
            <w:r>
              <w:rPr>
                <w:spacing w:val="2"/>
                <w:w w:val="100"/>
                <w:sz w:val="16"/>
              </w:rPr>
              <w:t>o</w:t>
            </w:r>
            <w:r>
              <w:rPr>
                <w:w w:val="102"/>
                <w:sz w:val="16"/>
              </w:rPr>
              <w:t>p</w:t>
            </w:r>
            <w:r>
              <w:rPr>
                <w:spacing w:val="-12"/>
                <w:sz w:val="16"/>
              </w:rPr>
              <w:t> </w:t>
            </w:r>
            <w:r>
              <w:rPr>
                <w:spacing w:val="4"/>
                <w:w w:val="54"/>
                <w:sz w:val="16"/>
              </w:rPr>
              <w:t>1</w:t>
            </w:r>
            <w:r>
              <w:rPr>
                <w:spacing w:val="4"/>
                <w:w w:val="111"/>
                <w:sz w:val="16"/>
              </w:rPr>
              <w:t>0</w:t>
            </w:r>
            <w:r>
              <w:rPr>
                <w:w w:val="111"/>
                <w:sz w:val="16"/>
              </w:rPr>
              <w:t>0</w:t>
            </w:r>
          </w:p>
          <w:p>
            <w:pPr>
              <w:pStyle w:val="TableParagraph"/>
              <w:spacing w:before="7"/>
              <w:ind w:left="75"/>
              <w:jc w:val="left"/>
              <w:rPr>
                <w:sz w:val="16"/>
              </w:rPr>
            </w:pPr>
            <w:r>
              <w:rPr>
                <w:sz w:val="16"/>
              </w:rPr>
              <w:t>under 50</w:t>
            </w:r>
          </w:p>
        </w:tc>
        <w:tc>
          <w:tcPr>
            <w:tcW w:w="1134" w:type="dxa"/>
            <w:vMerge w:val="restart"/>
            <w:tcBorders>
              <w:top w:val="nil"/>
            </w:tcBorders>
            <w:shd w:val="clear" w:color="auto" w:fill="E6E7E8"/>
          </w:tcPr>
          <w:p>
            <w:pPr>
              <w:pStyle w:val="TableParagraph"/>
              <w:spacing w:before="0"/>
              <w:jc w:val="left"/>
              <w:rPr>
                <w:sz w:val="16"/>
              </w:rPr>
            </w:pPr>
          </w:p>
          <w:p>
            <w:pPr>
              <w:pStyle w:val="TableParagraph"/>
              <w:spacing w:before="0"/>
              <w:jc w:val="left"/>
              <w:rPr>
                <w:sz w:val="16"/>
              </w:rPr>
            </w:pPr>
          </w:p>
          <w:p>
            <w:pPr>
              <w:pStyle w:val="TableParagraph"/>
              <w:spacing w:before="2"/>
              <w:jc w:val="left"/>
              <w:rPr>
                <w:sz w:val="22"/>
              </w:rPr>
            </w:pPr>
          </w:p>
          <w:p>
            <w:pPr>
              <w:pStyle w:val="TableParagraph"/>
              <w:spacing w:line="249" w:lineRule="auto" w:before="0"/>
              <w:ind w:left="75" w:right="280"/>
              <w:jc w:val="left"/>
              <w:rPr>
                <w:sz w:val="16"/>
              </w:rPr>
            </w:pPr>
            <w:r>
              <w:rPr>
                <w:sz w:val="16"/>
              </w:rPr>
              <w:t>World </w:t>
            </w:r>
            <w:r>
              <w:rPr>
                <w:w w:val="95"/>
                <w:sz w:val="16"/>
              </w:rPr>
              <w:t>rankings</w:t>
            </w:r>
          </w:p>
        </w:tc>
        <w:tc>
          <w:tcPr>
            <w:tcW w:w="3402" w:type="dxa"/>
            <w:gridSpan w:val="3"/>
            <w:tcBorders>
              <w:top w:val="nil"/>
            </w:tcBorders>
            <w:shd w:val="clear" w:color="auto" w:fill="E6E7E8"/>
          </w:tcPr>
          <w:p>
            <w:pPr>
              <w:pStyle w:val="TableParagraph"/>
              <w:spacing w:before="0"/>
              <w:jc w:val="left"/>
              <w:rPr>
                <w:sz w:val="16"/>
              </w:rPr>
            </w:pPr>
          </w:p>
          <w:p>
            <w:pPr>
              <w:pStyle w:val="TableParagraph"/>
              <w:spacing w:before="136"/>
              <w:ind w:left="75"/>
              <w:jc w:val="left"/>
              <w:rPr>
                <w:sz w:val="16"/>
              </w:rPr>
            </w:pPr>
            <w:r>
              <w:rPr>
                <w:sz w:val="16"/>
              </w:rPr>
              <w:t>Subject rankings</w:t>
            </w:r>
          </w:p>
        </w:tc>
        <w:tc>
          <w:tcPr>
            <w:tcW w:w="1701" w:type="dxa"/>
            <w:tcBorders>
              <w:top w:val="nil"/>
            </w:tcBorders>
            <w:shd w:val="clear" w:color="auto" w:fill="E6E7E8"/>
          </w:tcPr>
          <w:p>
            <w:pPr>
              <w:pStyle w:val="TableParagraph"/>
              <w:spacing w:before="0"/>
              <w:jc w:val="left"/>
              <w:rPr>
                <w:sz w:val="16"/>
              </w:rPr>
            </w:pPr>
          </w:p>
          <w:p>
            <w:pPr>
              <w:pStyle w:val="TableParagraph"/>
              <w:spacing w:before="136"/>
              <w:ind w:left="75" w:right="340"/>
              <w:jc w:val="left"/>
              <w:rPr>
                <w:sz w:val="16"/>
              </w:rPr>
            </w:pPr>
            <w:r>
              <w:rPr>
                <w:sz w:val="16"/>
              </w:rPr>
              <w:t>Faculty rankings</w:t>
            </w:r>
          </w:p>
        </w:tc>
        <w:tc>
          <w:tcPr>
            <w:tcW w:w="1559" w:type="dxa"/>
            <w:tcBorders>
              <w:top w:val="nil"/>
            </w:tcBorders>
            <w:shd w:val="clear" w:color="auto" w:fill="E6E7E8"/>
          </w:tcPr>
          <w:p>
            <w:pPr>
              <w:pStyle w:val="TableParagraph"/>
              <w:spacing w:before="0"/>
              <w:jc w:val="left"/>
              <w:rPr>
                <w:sz w:val="16"/>
              </w:rPr>
            </w:pPr>
          </w:p>
          <w:p>
            <w:pPr>
              <w:pStyle w:val="TableParagraph"/>
              <w:spacing w:before="136"/>
              <w:ind w:left="75"/>
              <w:jc w:val="left"/>
              <w:rPr>
                <w:sz w:val="16"/>
              </w:rPr>
            </w:pPr>
            <w:r>
              <w:rPr>
                <w:w w:val="95"/>
                <w:sz w:val="16"/>
              </w:rPr>
              <w:t>Impact rankings</w:t>
            </w:r>
          </w:p>
        </w:tc>
      </w:tr>
      <w:tr>
        <w:trPr>
          <w:trHeight w:val="850" w:hRule="exact"/>
        </w:trPr>
        <w:tc>
          <w:tcPr>
            <w:tcW w:w="1167" w:type="dxa"/>
            <w:vMerge/>
            <w:shd w:val="clear" w:color="auto" w:fill="E6E7E8"/>
          </w:tcPr>
          <w:p>
            <w:pPr/>
          </w:p>
        </w:tc>
        <w:tc>
          <w:tcPr>
            <w:tcW w:w="1115" w:type="dxa"/>
            <w:vMerge/>
            <w:shd w:val="clear" w:color="auto" w:fill="E6E7E8"/>
          </w:tcPr>
          <w:p>
            <w:pPr/>
          </w:p>
        </w:tc>
        <w:tc>
          <w:tcPr>
            <w:tcW w:w="1134" w:type="dxa"/>
            <w:vMerge/>
            <w:shd w:val="clear" w:color="auto" w:fill="E6E7E8"/>
          </w:tcPr>
          <w:p>
            <w:pPr/>
          </w:p>
        </w:tc>
        <w:tc>
          <w:tcPr>
            <w:tcW w:w="1276" w:type="dxa"/>
            <w:shd w:val="clear" w:color="auto" w:fill="E6E7E8"/>
          </w:tcPr>
          <w:p>
            <w:pPr>
              <w:pStyle w:val="TableParagraph"/>
              <w:spacing w:before="0"/>
              <w:jc w:val="left"/>
              <w:rPr>
                <w:sz w:val="16"/>
              </w:rPr>
            </w:pPr>
          </w:p>
          <w:p>
            <w:pPr>
              <w:pStyle w:val="TableParagraph"/>
              <w:spacing w:before="130"/>
              <w:ind w:left="75" w:right="297"/>
              <w:jc w:val="left"/>
              <w:rPr>
                <w:sz w:val="16"/>
              </w:rPr>
            </w:pPr>
            <w:r>
              <w:rPr>
                <w:sz w:val="16"/>
              </w:rPr>
              <w:t>Top 200</w:t>
            </w:r>
          </w:p>
        </w:tc>
        <w:tc>
          <w:tcPr>
            <w:tcW w:w="1134" w:type="dxa"/>
            <w:shd w:val="clear" w:color="auto" w:fill="E6E7E8"/>
          </w:tcPr>
          <w:p>
            <w:pPr>
              <w:pStyle w:val="TableParagraph"/>
              <w:spacing w:before="0"/>
              <w:jc w:val="left"/>
              <w:rPr>
                <w:sz w:val="16"/>
              </w:rPr>
            </w:pPr>
          </w:p>
          <w:p>
            <w:pPr>
              <w:pStyle w:val="TableParagraph"/>
              <w:spacing w:before="130"/>
              <w:ind w:left="75" w:right="280"/>
              <w:jc w:val="left"/>
              <w:rPr>
                <w:sz w:val="16"/>
              </w:rPr>
            </w:pPr>
            <w:r>
              <w:rPr>
                <w:sz w:val="16"/>
              </w:rPr>
              <w:t>Top 300</w:t>
            </w:r>
          </w:p>
        </w:tc>
        <w:tc>
          <w:tcPr>
            <w:tcW w:w="992" w:type="dxa"/>
            <w:shd w:val="clear" w:color="auto" w:fill="E6E7E8"/>
          </w:tcPr>
          <w:p>
            <w:pPr>
              <w:pStyle w:val="TableParagraph"/>
              <w:spacing w:before="0"/>
              <w:jc w:val="left"/>
              <w:rPr>
                <w:sz w:val="16"/>
              </w:rPr>
            </w:pPr>
          </w:p>
          <w:p>
            <w:pPr>
              <w:pStyle w:val="TableParagraph"/>
              <w:spacing w:before="130"/>
              <w:ind w:left="75"/>
              <w:jc w:val="left"/>
              <w:rPr>
                <w:sz w:val="16"/>
              </w:rPr>
            </w:pPr>
            <w:r>
              <w:rPr>
                <w:w w:val="105"/>
                <w:sz w:val="16"/>
              </w:rPr>
              <w:t>Top 400</w:t>
            </w:r>
          </w:p>
        </w:tc>
        <w:tc>
          <w:tcPr>
            <w:tcW w:w="1701" w:type="dxa"/>
            <w:shd w:val="clear" w:color="auto" w:fill="E6E7E8"/>
          </w:tcPr>
          <w:p>
            <w:pPr>
              <w:pStyle w:val="TableParagraph"/>
              <w:spacing w:before="0"/>
              <w:jc w:val="left"/>
              <w:rPr>
                <w:sz w:val="16"/>
              </w:rPr>
            </w:pPr>
          </w:p>
          <w:p>
            <w:pPr>
              <w:pStyle w:val="TableParagraph"/>
              <w:spacing w:before="130"/>
              <w:ind w:left="75" w:right="340"/>
              <w:jc w:val="left"/>
              <w:rPr>
                <w:sz w:val="16"/>
              </w:rPr>
            </w:pPr>
            <w:r>
              <w:rPr>
                <w:sz w:val="16"/>
              </w:rPr>
              <w:t>Top 300</w:t>
            </w:r>
          </w:p>
        </w:tc>
        <w:tc>
          <w:tcPr>
            <w:tcW w:w="1559" w:type="dxa"/>
            <w:shd w:val="clear" w:color="auto" w:fill="E6E7E8"/>
          </w:tcPr>
          <w:p>
            <w:pPr>
              <w:pStyle w:val="TableParagraph"/>
              <w:spacing w:before="0"/>
              <w:jc w:val="left"/>
              <w:rPr>
                <w:sz w:val="16"/>
              </w:rPr>
            </w:pPr>
          </w:p>
          <w:p>
            <w:pPr>
              <w:pStyle w:val="TableParagraph"/>
              <w:spacing w:before="130"/>
              <w:ind w:left="75"/>
              <w:jc w:val="left"/>
              <w:rPr>
                <w:sz w:val="16"/>
              </w:rPr>
            </w:pPr>
            <w:r>
              <w:rPr>
                <w:spacing w:val="4"/>
                <w:w w:val="54"/>
                <w:sz w:val="16"/>
              </w:rPr>
              <w:t>1</w:t>
            </w:r>
            <w:r>
              <w:rPr>
                <w:spacing w:val="3"/>
                <w:w w:val="111"/>
                <w:sz w:val="16"/>
              </w:rPr>
              <w:t>0</w:t>
            </w:r>
            <w:r>
              <w:rPr>
                <w:w w:val="98"/>
                <w:sz w:val="16"/>
              </w:rPr>
              <w:t>th</w:t>
            </w:r>
            <w:r>
              <w:rPr>
                <w:spacing w:val="-12"/>
                <w:sz w:val="16"/>
              </w:rPr>
              <w:t> </w:t>
            </w:r>
            <w:r>
              <w:rPr>
                <w:spacing w:val="1"/>
                <w:w w:val="95"/>
                <w:sz w:val="16"/>
              </w:rPr>
              <w:t>i</w:t>
            </w:r>
            <w:r>
              <w:rPr>
                <w:w w:val="95"/>
                <w:sz w:val="16"/>
              </w:rPr>
              <w:t>n</w:t>
            </w:r>
            <w:r>
              <w:rPr>
                <w:spacing w:val="-12"/>
                <w:sz w:val="16"/>
              </w:rPr>
              <w:t> </w:t>
            </w:r>
            <w:r>
              <w:rPr>
                <w:w w:val="112"/>
                <w:sz w:val="16"/>
              </w:rPr>
              <w:t>A</w:t>
            </w:r>
            <w:r>
              <w:rPr>
                <w:spacing w:val="2"/>
                <w:w w:val="95"/>
                <w:sz w:val="16"/>
              </w:rPr>
              <w:t>u</w:t>
            </w:r>
            <w:r>
              <w:rPr>
                <w:spacing w:val="3"/>
                <w:w w:val="95"/>
                <w:sz w:val="16"/>
              </w:rPr>
              <w:t>s</w:t>
            </w:r>
            <w:r>
              <w:rPr>
                <w:w w:val="102"/>
                <w:sz w:val="16"/>
              </w:rPr>
              <w:t>t</w:t>
            </w:r>
            <w:r>
              <w:rPr>
                <w:spacing w:val="2"/>
                <w:w w:val="95"/>
                <w:sz w:val="16"/>
              </w:rPr>
              <w:t>r</w:t>
            </w:r>
            <w:r>
              <w:rPr>
                <w:spacing w:val="2"/>
                <w:w w:val="94"/>
                <w:sz w:val="16"/>
              </w:rPr>
              <w:t>a</w:t>
            </w:r>
            <w:r>
              <w:rPr>
                <w:w w:val="95"/>
                <w:sz w:val="16"/>
              </w:rPr>
              <w:t>l</w:t>
            </w:r>
            <w:r>
              <w:rPr>
                <w:spacing w:val="1"/>
                <w:w w:val="95"/>
                <w:sz w:val="16"/>
              </w:rPr>
              <w:t>i</w:t>
            </w:r>
            <w:r>
              <w:rPr>
                <w:w w:val="94"/>
                <w:sz w:val="16"/>
              </w:rPr>
              <w:t>a</w:t>
            </w:r>
          </w:p>
        </w:tc>
      </w:tr>
      <w:tr>
        <w:trPr>
          <w:trHeight w:val="1701" w:hRule="exact"/>
        </w:trPr>
        <w:tc>
          <w:tcPr>
            <w:tcW w:w="1167" w:type="dxa"/>
            <w:shd w:val="clear" w:color="auto" w:fill="E6E7E8"/>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4"/>
              </w:rPr>
            </w:pPr>
          </w:p>
          <w:p>
            <w:pPr>
              <w:pStyle w:val="TableParagraph"/>
              <w:spacing w:before="1"/>
              <w:ind w:left="75" w:right="121"/>
              <w:jc w:val="left"/>
              <w:rPr>
                <w:sz w:val="16"/>
              </w:rPr>
            </w:pPr>
            <w:r>
              <w:rPr>
                <w:spacing w:val="4"/>
                <w:w w:val="103"/>
                <w:sz w:val="16"/>
              </w:rPr>
              <w:t>4</w:t>
            </w:r>
            <w:r>
              <w:rPr>
                <w:spacing w:val="1"/>
                <w:w w:val="111"/>
                <w:sz w:val="16"/>
              </w:rPr>
              <w:t>0</w:t>
            </w:r>
            <w:r>
              <w:rPr>
                <w:spacing w:val="4"/>
                <w:w w:val="54"/>
                <w:sz w:val="16"/>
              </w:rPr>
              <w:t>1</w:t>
            </w:r>
            <w:r>
              <w:rPr>
                <w:spacing w:val="2"/>
                <w:w w:val="89"/>
                <w:sz w:val="16"/>
              </w:rPr>
              <w:t>–</w:t>
            </w:r>
            <w:r>
              <w:rPr>
                <w:spacing w:val="3"/>
                <w:w w:val="95"/>
                <w:sz w:val="16"/>
              </w:rPr>
              <w:t>5</w:t>
            </w:r>
            <w:r>
              <w:rPr>
                <w:spacing w:val="4"/>
                <w:w w:val="111"/>
                <w:sz w:val="16"/>
              </w:rPr>
              <w:t>0</w:t>
            </w:r>
            <w:r>
              <w:rPr>
                <w:w w:val="111"/>
                <w:sz w:val="16"/>
              </w:rPr>
              <w:t>0</w:t>
            </w:r>
          </w:p>
        </w:tc>
        <w:tc>
          <w:tcPr>
            <w:tcW w:w="1115" w:type="dxa"/>
            <w:shd w:val="clear" w:color="auto" w:fill="E6E7E8"/>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4"/>
              </w:rPr>
            </w:pPr>
          </w:p>
          <w:p>
            <w:pPr>
              <w:pStyle w:val="TableParagraph"/>
              <w:spacing w:before="1"/>
              <w:ind w:left="75"/>
              <w:jc w:val="left"/>
              <w:rPr>
                <w:sz w:val="16"/>
              </w:rPr>
            </w:pPr>
            <w:r>
              <w:rPr>
                <w:sz w:val="16"/>
              </w:rPr>
              <w:t>56</w:t>
            </w:r>
          </w:p>
        </w:tc>
        <w:tc>
          <w:tcPr>
            <w:tcW w:w="1134" w:type="dxa"/>
            <w:shd w:val="clear" w:color="auto" w:fill="E6E7E8"/>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4"/>
              </w:rPr>
            </w:pPr>
          </w:p>
          <w:p>
            <w:pPr>
              <w:pStyle w:val="TableParagraph"/>
              <w:spacing w:before="1"/>
              <w:ind w:left="75" w:right="280"/>
              <w:jc w:val="left"/>
              <w:rPr>
                <w:sz w:val="16"/>
              </w:rPr>
            </w:pPr>
            <w:r>
              <w:rPr>
                <w:spacing w:val="2"/>
                <w:w w:val="101"/>
                <w:sz w:val="16"/>
              </w:rPr>
              <w:t>6</w:t>
            </w:r>
            <w:r>
              <w:rPr>
                <w:spacing w:val="4"/>
                <w:w w:val="95"/>
                <w:sz w:val="16"/>
              </w:rPr>
              <w:t>5</w:t>
            </w:r>
            <w:r>
              <w:rPr>
                <w:spacing w:val="4"/>
                <w:w w:val="54"/>
                <w:sz w:val="16"/>
              </w:rPr>
              <w:t>1</w:t>
            </w:r>
            <w:r>
              <w:rPr>
                <w:spacing w:val="-7"/>
                <w:w w:val="90"/>
                <w:sz w:val="16"/>
              </w:rPr>
              <w:t>–</w:t>
            </w:r>
            <w:r>
              <w:rPr>
                <w:spacing w:val="-2"/>
                <w:w w:val="90"/>
                <w:sz w:val="16"/>
              </w:rPr>
              <w:t>7</w:t>
            </w:r>
            <w:r>
              <w:rPr>
                <w:spacing w:val="4"/>
                <w:w w:val="111"/>
                <w:sz w:val="16"/>
              </w:rPr>
              <w:t>0</w:t>
            </w:r>
            <w:r>
              <w:rPr>
                <w:w w:val="111"/>
                <w:sz w:val="16"/>
              </w:rPr>
              <w:t>0</w:t>
            </w:r>
          </w:p>
        </w:tc>
        <w:tc>
          <w:tcPr>
            <w:tcW w:w="1276" w:type="dxa"/>
            <w:shd w:val="clear" w:color="auto" w:fill="E6E7E8"/>
          </w:tcPr>
          <w:p>
            <w:pPr>
              <w:pStyle w:val="TableParagraph"/>
              <w:spacing w:before="10"/>
              <w:jc w:val="left"/>
              <w:rPr>
                <w:sz w:val="14"/>
              </w:rPr>
            </w:pPr>
          </w:p>
          <w:p>
            <w:pPr>
              <w:pStyle w:val="TableParagraph"/>
              <w:spacing w:line="249" w:lineRule="auto" w:before="0"/>
              <w:ind w:left="75" w:right="297"/>
              <w:jc w:val="left"/>
              <w:rPr>
                <w:sz w:val="16"/>
              </w:rPr>
            </w:pPr>
            <w:r>
              <w:rPr>
                <w:sz w:val="16"/>
              </w:rPr>
              <w:t>Agriculture / Forestry</w:t>
            </w:r>
          </w:p>
          <w:p>
            <w:pPr>
              <w:pStyle w:val="TableParagraph"/>
              <w:spacing w:before="0"/>
              <w:jc w:val="left"/>
              <w:rPr>
                <w:sz w:val="14"/>
              </w:rPr>
            </w:pPr>
          </w:p>
          <w:p>
            <w:pPr>
              <w:pStyle w:val="TableParagraph"/>
              <w:spacing w:before="0"/>
              <w:ind w:left="75" w:right="297"/>
              <w:jc w:val="left"/>
              <w:rPr>
                <w:sz w:val="16"/>
              </w:rPr>
            </w:pPr>
            <w:r>
              <w:rPr>
                <w:sz w:val="16"/>
              </w:rPr>
              <w:t>Education</w:t>
            </w:r>
          </w:p>
          <w:p>
            <w:pPr>
              <w:pStyle w:val="TableParagraph"/>
              <w:spacing w:before="7"/>
              <w:jc w:val="left"/>
              <w:rPr>
                <w:sz w:val="14"/>
              </w:rPr>
            </w:pPr>
          </w:p>
          <w:p>
            <w:pPr>
              <w:pStyle w:val="TableParagraph"/>
              <w:spacing w:line="249" w:lineRule="auto" w:before="1"/>
              <w:ind w:left="75" w:right="297"/>
              <w:jc w:val="left"/>
              <w:rPr>
                <w:sz w:val="16"/>
              </w:rPr>
            </w:pPr>
            <w:r>
              <w:rPr>
                <w:sz w:val="16"/>
              </w:rPr>
              <w:t>Psychology/ Sociology</w:t>
            </w:r>
          </w:p>
        </w:tc>
        <w:tc>
          <w:tcPr>
            <w:tcW w:w="1134" w:type="dxa"/>
            <w:shd w:val="clear" w:color="auto" w:fill="E6E7E8"/>
          </w:tcPr>
          <w:p>
            <w:pPr>
              <w:pStyle w:val="TableParagraph"/>
              <w:spacing w:before="0"/>
              <w:jc w:val="left"/>
              <w:rPr>
                <w:sz w:val="16"/>
              </w:rPr>
            </w:pPr>
          </w:p>
          <w:p>
            <w:pPr>
              <w:pStyle w:val="TableParagraph"/>
              <w:spacing w:before="0"/>
              <w:jc w:val="left"/>
              <w:rPr>
                <w:sz w:val="16"/>
              </w:rPr>
            </w:pPr>
          </w:p>
          <w:p>
            <w:pPr>
              <w:pStyle w:val="TableParagraph"/>
              <w:spacing w:before="6"/>
              <w:jc w:val="left"/>
              <w:rPr>
                <w:sz w:val="13"/>
              </w:rPr>
            </w:pPr>
          </w:p>
          <w:p>
            <w:pPr>
              <w:pStyle w:val="TableParagraph"/>
              <w:spacing w:line="249" w:lineRule="auto" w:before="0"/>
              <w:ind w:left="75" w:right="280"/>
              <w:jc w:val="left"/>
              <w:rPr>
                <w:sz w:val="16"/>
              </w:rPr>
            </w:pPr>
            <w:r>
              <w:rPr>
                <w:sz w:val="16"/>
              </w:rPr>
              <w:t>English Language/ Literature</w:t>
            </w:r>
          </w:p>
        </w:tc>
        <w:tc>
          <w:tcPr>
            <w:tcW w:w="992" w:type="dxa"/>
            <w:shd w:val="clear" w:color="auto" w:fill="E6E7E8"/>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4"/>
              </w:rPr>
            </w:pPr>
          </w:p>
          <w:p>
            <w:pPr>
              <w:pStyle w:val="TableParagraph"/>
              <w:spacing w:before="1"/>
              <w:ind w:left="75"/>
              <w:jc w:val="left"/>
              <w:rPr>
                <w:sz w:val="16"/>
              </w:rPr>
            </w:pPr>
            <w:r>
              <w:rPr>
                <w:sz w:val="16"/>
              </w:rPr>
              <w:t>Medicine</w:t>
            </w:r>
          </w:p>
        </w:tc>
        <w:tc>
          <w:tcPr>
            <w:tcW w:w="1701" w:type="dxa"/>
            <w:shd w:val="clear" w:color="auto" w:fill="E6E7E8"/>
          </w:tcPr>
          <w:p>
            <w:pPr>
              <w:pStyle w:val="TableParagraph"/>
              <w:spacing w:before="1"/>
              <w:jc w:val="left"/>
              <w:rPr>
                <w:sz w:val="23"/>
              </w:rPr>
            </w:pPr>
          </w:p>
          <w:p>
            <w:pPr>
              <w:pStyle w:val="TableParagraph"/>
              <w:spacing w:before="0"/>
              <w:ind w:left="75" w:right="340"/>
              <w:jc w:val="left"/>
              <w:rPr>
                <w:sz w:val="16"/>
              </w:rPr>
            </w:pPr>
            <w:r>
              <w:rPr>
                <w:sz w:val="16"/>
              </w:rPr>
              <w:t>Arts</w:t>
            </w:r>
          </w:p>
          <w:p>
            <w:pPr>
              <w:pStyle w:val="TableParagraph"/>
              <w:spacing w:before="7"/>
              <w:jc w:val="left"/>
              <w:rPr>
                <w:sz w:val="14"/>
              </w:rPr>
            </w:pPr>
          </w:p>
          <w:p>
            <w:pPr>
              <w:pStyle w:val="TableParagraph"/>
              <w:spacing w:line="249" w:lineRule="auto" w:before="1"/>
              <w:ind w:left="75" w:right="340"/>
              <w:jc w:val="left"/>
              <w:rPr>
                <w:sz w:val="16"/>
              </w:rPr>
            </w:pPr>
            <w:r>
              <w:rPr>
                <w:sz w:val="16"/>
              </w:rPr>
              <w:t>Humanities/Social Science</w:t>
            </w:r>
          </w:p>
          <w:p>
            <w:pPr>
              <w:pStyle w:val="TableParagraph"/>
              <w:spacing w:before="0"/>
              <w:jc w:val="left"/>
              <w:rPr>
                <w:sz w:val="14"/>
              </w:rPr>
            </w:pPr>
          </w:p>
          <w:p>
            <w:pPr>
              <w:pStyle w:val="TableParagraph"/>
              <w:spacing w:before="0"/>
              <w:ind w:left="75" w:right="340"/>
              <w:jc w:val="left"/>
              <w:rPr>
                <w:sz w:val="16"/>
              </w:rPr>
            </w:pPr>
            <w:r>
              <w:rPr>
                <w:sz w:val="16"/>
              </w:rPr>
              <w:t>Management</w:t>
            </w:r>
          </w:p>
        </w:tc>
        <w:tc>
          <w:tcPr>
            <w:tcW w:w="1559" w:type="dxa"/>
            <w:shd w:val="clear" w:color="auto" w:fill="E6E7E8"/>
          </w:tcPr>
          <w:p>
            <w:pPr>
              <w:pStyle w:val="TableParagraph"/>
              <w:spacing w:before="0"/>
              <w:jc w:val="left"/>
              <w:rPr>
                <w:sz w:val="16"/>
              </w:rPr>
            </w:pPr>
          </w:p>
          <w:p>
            <w:pPr>
              <w:pStyle w:val="TableParagraph"/>
              <w:spacing w:before="0"/>
              <w:jc w:val="left"/>
              <w:rPr>
                <w:sz w:val="16"/>
              </w:rPr>
            </w:pPr>
          </w:p>
          <w:p>
            <w:pPr>
              <w:pStyle w:val="TableParagraph"/>
              <w:spacing w:before="0"/>
              <w:jc w:val="left"/>
              <w:rPr>
                <w:sz w:val="16"/>
              </w:rPr>
            </w:pPr>
          </w:p>
          <w:p>
            <w:pPr>
              <w:pStyle w:val="TableParagraph"/>
              <w:spacing w:before="0"/>
              <w:jc w:val="left"/>
              <w:rPr>
                <w:sz w:val="14"/>
              </w:rPr>
            </w:pPr>
          </w:p>
          <w:p>
            <w:pPr>
              <w:pStyle w:val="TableParagraph"/>
              <w:spacing w:before="1"/>
              <w:ind w:left="75"/>
              <w:jc w:val="left"/>
              <w:rPr>
                <w:sz w:val="16"/>
              </w:rPr>
            </w:pPr>
            <w:r>
              <w:rPr>
                <w:sz w:val="16"/>
              </w:rPr>
              <w:t>259th Globally</w:t>
            </w:r>
          </w:p>
        </w:tc>
      </w:tr>
    </w:tbl>
    <w:p>
      <w:pPr>
        <w:spacing w:after="0"/>
        <w:jc w:val="left"/>
        <w:rPr>
          <w:sz w:val="16"/>
        </w:rPr>
        <w:sectPr>
          <w:type w:val="continuous"/>
          <w:pgSz w:w="11910" w:h="16840"/>
          <w:pgMar w:top="15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2"/>
      </w:pPr>
      <w:r>
        <w:rPr/>
        <w:t>process identifies course-related issues and reports on quality improvement initiatives introduced at the school and the program level to improve </w:t>
      </w:r>
      <w:r>
        <w:rPr>
          <w:spacing w:val="2"/>
        </w:rPr>
        <w:t>KPIs. </w:t>
      </w:r>
      <w:r>
        <w:rPr/>
        <w:t>The DVCA oversees the</w:t>
      </w:r>
      <w:r>
        <w:rPr>
          <w:spacing w:val="-16"/>
        </w:rPr>
        <w:t> </w:t>
      </w:r>
      <w:r>
        <w:rPr/>
        <w:t>annual</w:t>
      </w:r>
      <w:r>
        <w:rPr>
          <w:spacing w:val="-16"/>
        </w:rPr>
        <w:t> </w:t>
      </w:r>
      <w:r>
        <w:rPr/>
        <w:t>review</w:t>
      </w:r>
      <w:r>
        <w:rPr>
          <w:spacing w:val="-16"/>
        </w:rPr>
        <w:t> </w:t>
      </w:r>
      <w:r>
        <w:rPr/>
        <w:t>process</w:t>
      </w:r>
      <w:r>
        <w:rPr>
          <w:spacing w:val="-16"/>
        </w:rPr>
        <w:t> </w:t>
      </w:r>
      <w:r>
        <w:rPr/>
        <w:t>and</w:t>
      </w:r>
      <w:r>
        <w:rPr>
          <w:spacing w:val="-16"/>
        </w:rPr>
        <w:t> </w:t>
      </w:r>
      <w:r>
        <w:rPr/>
        <w:t>reports</w:t>
      </w:r>
      <w:r>
        <w:rPr>
          <w:spacing w:val="-16"/>
        </w:rPr>
        <w:t> </w:t>
      </w:r>
      <w:r>
        <w:rPr/>
        <w:t>to</w:t>
      </w:r>
      <w:r>
        <w:rPr>
          <w:spacing w:val="-16"/>
        </w:rPr>
        <w:t> </w:t>
      </w:r>
      <w:r>
        <w:rPr/>
        <w:t>the Senate</w:t>
      </w:r>
      <w:r>
        <w:rPr>
          <w:spacing w:val="-21"/>
        </w:rPr>
        <w:t> </w:t>
      </w:r>
      <w:r>
        <w:rPr/>
        <w:t>Education</w:t>
      </w:r>
      <w:r>
        <w:rPr>
          <w:spacing w:val="-21"/>
        </w:rPr>
        <w:t> </w:t>
      </w:r>
      <w:r>
        <w:rPr/>
        <w:t>Committee.</w:t>
      </w:r>
    </w:p>
    <w:p>
      <w:pPr>
        <w:pStyle w:val="BodyText"/>
        <w:rPr>
          <w:sz w:val="14"/>
        </w:rPr>
      </w:pPr>
    </w:p>
    <w:p>
      <w:pPr>
        <w:pStyle w:val="BodyText"/>
        <w:spacing w:line="249" w:lineRule="auto"/>
        <w:ind w:left="107" w:right="-2"/>
      </w:pPr>
      <w:r>
        <w:rPr/>
        <w:t>In</w:t>
      </w:r>
      <w:r>
        <w:rPr>
          <w:spacing w:val="-17"/>
        </w:rPr>
        <w:t> </w:t>
      </w:r>
      <w:r>
        <w:rPr/>
        <w:t>addition</w:t>
      </w:r>
      <w:r>
        <w:rPr>
          <w:spacing w:val="-17"/>
        </w:rPr>
        <w:t> </w:t>
      </w:r>
      <w:r>
        <w:rPr/>
        <w:t>to</w:t>
      </w:r>
      <w:r>
        <w:rPr>
          <w:spacing w:val="-17"/>
        </w:rPr>
        <w:t> </w:t>
      </w:r>
      <w:r>
        <w:rPr/>
        <w:t>supporting</w:t>
      </w:r>
      <w:r>
        <w:rPr>
          <w:spacing w:val="-17"/>
        </w:rPr>
        <w:t> </w:t>
      </w:r>
      <w:r>
        <w:rPr/>
        <w:t>the</w:t>
      </w:r>
      <w:r>
        <w:rPr>
          <w:spacing w:val="-17"/>
        </w:rPr>
        <w:t> </w:t>
      </w:r>
      <w:r>
        <w:rPr/>
        <w:t>above</w:t>
      </w:r>
      <w:r>
        <w:rPr>
          <w:spacing w:val="-17"/>
        </w:rPr>
        <w:t> </w:t>
      </w:r>
      <w:r>
        <w:rPr/>
        <w:t>activities, the </w:t>
      </w:r>
      <w:r>
        <w:rPr>
          <w:spacing w:val="2"/>
        </w:rPr>
        <w:t>OQP </w:t>
      </w:r>
      <w:r>
        <w:rPr/>
        <w:t>is responsible for student load planning, strategic information analysis and advice,</w:t>
      </w:r>
      <w:r>
        <w:rPr>
          <w:spacing w:val="-20"/>
        </w:rPr>
        <w:t> </w:t>
      </w:r>
      <w:r>
        <w:rPr/>
        <w:t>business</w:t>
      </w:r>
      <w:r>
        <w:rPr>
          <w:spacing w:val="-20"/>
        </w:rPr>
        <w:t> </w:t>
      </w:r>
      <w:r>
        <w:rPr/>
        <w:t>intelligence</w:t>
      </w:r>
      <w:r>
        <w:rPr>
          <w:spacing w:val="-20"/>
        </w:rPr>
        <w:t> </w:t>
      </w:r>
      <w:r>
        <w:rPr/>
        <w:t>and</w:t>
      </w:r>
      <w:r>
        <w:rPr>
          <w:spacing w:val="-20"/>
        </w:rPr>
        <w:t> </w:t>
      </w:r>
      <w:r>
        <w:rPr/>
        <w:t>institutional survey services for the University. The student</w:t>
      </w:r>
      <w:r>
        <w:rPr>
          <w:spacing w:val="-14"/>
        </w:rPr>
        <w:t> </w:t>
      </w:r>
      <w:r>
        <w:rPr/>
        <w:t>load-planning</w:t>
      </w:r>
      <w:r>
        <w:rPr>
          <w:spacing w:val="-14"/>
        </w:rPr>
        <w:t> </w:t>
      </w:r>
      <w:r>
        <w:rPr/>
        <w:t>model</w:t>
      </w:r>
      <w:r>
        <w:rPr>
          <w:spacing w:val="-14"/>
        </w:rPr>
        <w:t> </w:t>
      </w:r>
      <w:r>
        <w:rPr/>
        <w:t>–</w:t>
      </w:r>
      <w:r>
        <w:rPr>
          <w:spacing w:val="-14"/>
        </w:rPr>
        <w:t> </w:t>
      </w:r>
      <w:r>
        <w:rPr/>
        <w:t>a</w:t>
      </w:r>
      <w:r>
        <w:rPr>
          <w:spacing w:val="-14"/>
        </w:rPr>
        <w:t> </w:t>
      </w:r>
      <w:r>
        <w:rPr/>
        <w:t>key</w:t>
      </w:r>
      <w:r>
        <w:rPr>
          <w:spacing w:val="-14"/>
        </w:rPr>
        <w:t> </w:t>
      </w:r>
      <w:r>
        <w:rPr/>
        <w:t>input</w:t>
      </w:r>
      <w:r>
        <w:rPr>
          <w:spacing w:val="-14"/>
        </w:rPr>
        <w:t> </w:t>
      </w:r>
      <w:r>
        <w:rPr/>
        <w:t>to the University’s budgeting, forecasting and planning processes – is being migrated to a statistical</w:t>
      </w:r>
      <w:r>
        <w:rPr>
          <w:spacing w:val="-12"/>
        </w:rPr>
        <w:t> </w:t>
      </w:r>
      <w:r>
        <w:rPr/>
        <w:t>modelling</w:t>
      </w:r>
      <w:r>
        <w:rPr>
          <w:spacing w:val="-12"/>
        </w:rPr>
        <w:t> </w:t>
      </w:r>
      <w:r>
        <w:rPr/>
        <w:t>software</w:t>
      </w:r>
      <w:r>
        <w:rPr>
          <w:spacing w:val="-12"/>
        </w:rPr>
        <w:t> </w:t>
      </w:r>
      <w:r>
        <w:rPr/>
        <w:t>tool</w:t>
      </w:r>
      <w:r>
        <w:rPr>
          <w:spacing w:val="-12"/>
        </w:rPr>
        <w:t> </w:t>
      </w:r>
      <w:r>
        <w:rPr/>
        <w:t>to</w:t>
      </w:r>
      <w:r>
        <w:rPr>
          <w:spacing w:val="-12"/>
        </w:rPr>
        <w:t> </w:t>
      </w:r>
      <w:r>
        <w:rPr/>
        <w:t>improve the predictability of student load data and enhance</w:t>
      </w:r>
      <w:r>
        <w:rPr>
          <w:spacing w:val="-33"/>
        </w:rPr>
        <w:t> </w:t>
      </w:r>
      <w:r>
        <w:rPr/>
        <w:t>scenario</w:t>
      </w:r>
      <w:r>
        <w:rPr>
          <w:spacing w:val="-33"/>
        </w:rPr>
        <w:t> </w:t>
      </w:r>
      <w:r>
        <w:rPr/>
        <w:t>analysis.</w:t>
      </w:r>
    </w:p>
    <w:p>
      <w:pPr>
        <w:pStyle w:val="BodyText"/>
        <w:rPr>
          <w:sz w:val="14"/>
        </w:rPr>
      </w:pPr>
    </w:p>
    <w:p>
      <w:pPr>
        <w:pStyle w:val="BodyText"/>
        <w:spacing w:line="249" w:lineRule="auto"/>
        <w:ind w:left="107" w:right="-2"/>
      </w:pPr>
      <w:r>
        <w:rPr>
          <w:spacing w:val="1"/>
          <w:w w:val="80"/>
        </w:rPr>
        <w:t>In</w:t>
      </w:r>
      <w:r>
        <w:rPr>
          <w:w w:val="80"/>
        </w:rPr>
        <w:t> </w:t>
      </w:r>
      <w:r>
        <w:rPr>
          <w:spacing w:val="1"/>
          <w:w w:val="84"/>
        </w:rPr>
        <w:t>2015,</w:t>
      </w:r>
      <w:r>
        <w:rPr>
          <w:w w:val="84"/>
        </w:rPr>
        <w:t> </w:t>
      </w:r>
      <w:r>
        <w:rPr>
          <w:w w:val="97"/>
        </w:rPr>
        <w:t>the </w:t>
      </w:r>
      <w:r>
        <w:rPr>
          <w:spacing w:val="1"/>
          <w:w w:val="97"/>
        </w:rPr>
        <w:t>University</w:t>
      </w:r>
      <w:r>
        <w:rPr>
          <w:w w:val="97"/>
        </w:rPr>
        <w:t> </w:t>
      </w:r>
      <w:r>
        <w:rPr>
          <w:spacing w:val="1"/>
          <w:w w:val="98"/>
        </w:rPr>
        <w:t>began</w:t>
      </w:r>
      <w:r>
        <w:rPr>
          <w:w w:val="98"/>
        </w:rPr>
        <w:t> </w:t>
      </w:r>
      <w:r>
        <w:rPr>
          <w:w w:val="98"/>
        </w:rPr>
        <w:t>integrating </w:t>
      </w:r>
      <w:r>
        <w:rPr/>
        <w:t>student</w:t>
      </w:r>
      <w:r>
        <w:rPr>
          <w:spacing w:val="-14"/>
        </w:rPr>
        <w:t> </w:t>
      </w:r>
      <w:r>
        <w:rPr/>
        <w:t>learning</w:t>
      </w:r>
      <w:r>
        <w:rPr>
          <w:spacing w:val="-14"/>
        </w:rPr>
        <w:t> </w:t>
      </w:r>
      <w:r>
        <w:rPr/>
        <w:t>data</w:t>
      </w:r>
      <w:r>
        <w:rPr>
          <w:spacing w:val="-14"/>
        </w:rPr>
        <w:t> </w:t>
      </w:r>
      <w:r>
        <w:rPr/>
        <w:t>from</w:t>
      </w:r>
      <w:r>
        <w:rPr>
          <w:spacing w:val="-14"/>
        </w:rPr>
        <w:t> </w:t>
      </w:r>
      <w:r>
        <w:rPr/>
        <w:t>its</w:t>
      </w:r>
      <w:r>
        <w:rPr>
          <w:spacing w:val="-14"/>
        </w:rPr>
        <w:t> </w:t>
      </w:r>
      <w:r>
        <w:rPr/>
        <w:t>‘Views’</w:t>
      </w:r>
      <w:r>
        <w:rPr>
          <w:spacing w:val="-14"/>
        </w:rPr>
        <w:t> </w:t>
      </w:r>
      <w:r>
        <w:rPr/>
        <w:t>learning management</w:t>
      </w:r>
      <w:r>
        <w:rPr>
          <w:spacing w:val="-20"/>
        </w:rPr>
        <w:t> </w:t>
      </w:r>
      <w:r>
        <w:rPr/>
        <w:t>system</w:t>
      </w:r>
      <w:r>
        <w:rPr>
          <w:spacing w:val="-20"/>
        </w:rPr>
        <w:t> </w:t>
      </w:r>
      <w:r>
        <w:rPr/>
        <w:t>into</w:t>
      </w:r>
      <w:r>
        <w:rPr>
          <w:spacing w:val="-20"/>
        </w:rPr>
        <w:t> </w:t>
      </w:r>
      <w:r>
        <w:rPr/>
        <w:t>its</w:t>
      </w:r>
      <w:r>
        <w:rPr>
          <w:spacing w:val="-20"/>
        </w:rPr>
        <w:t> </w:t>
      </w:r>
      <w:r>
        <w:rPr/>
        <w:t>enterprise</w:t>
      </w:r>
    </w:p>
    <w:p>
      <w:pPr>
        <w:pStyle w:val="BodyText"/>
        <w:spacing w:line="249" w:lineRule="auto"/>
        <w:ind w:left="107" w:right="62"/>
      </w:pPr>
      <w:r>
        <w:rPr/>
        <w:t>data warehouse. With further development, the project could give the University key insights</w:t>
      </w:r>
      <w:r>
        <w:rPr>
          <w:spacing w:val="-20"/>
        </w:rPr>
        <w:t> </w:t>
      </w:r>
      <w:r>
        <w:rPr/>
        <w:t>into</w:t>
      </w:r>
      <w:r>
        <w:rPr>
          <w:spacing w:val="-20"/>
        </w:rPr>
        <w:t> </w:t>
      </w:r>
      <w:r>
        <w:rPr/>
        <w:t>the</w:t>
      </w:r>
      <w:r>
        <w:rPr>
          <w:spacing w:val="-20"/>
        </w:rPr>
        <w:t> </w:t>
      </w:r>
      <w:r>
        <w:rPr/>
        <w:t>student</w:t>
      </w:r>
      <w:r>
        <w:rPr>
          <w:spacing w:val="-20"/>
        </w:rPr>
        <w:t> </w:t>
      </w:r>
      <w:r>
        <w:rPr/>
        <w:t>experience,</w:t>
      </w:r>
      <w:r>
        <w:rPr>
          <w:spacing w:val="-20"/>
        </w:rPr>
        <w:t> </w:t>
      </w:r>
      <w:r>
        <w:rPr/>
        <w:t>learning outcomes</w:t>
      </w:r>
      <w:r>
        <w:rPr>
          <w:spacing w:val="-22"/>
        </w:rPr>
        <w:t> </w:t>
      </w:r>
      <w:r>
        <w:rPr/>
        <w:t>and</w:t>
      </w:r>
      <w:r>
        <w:rPr>
          <w:spacing w:val="-22"/>
        </w:rPr>
        <w:t> </w:t>
      </w:r>
      <w:r>
        <w:rPr/>
        <w:t>student</w:t>
      </w:r>
      <w:r>
        <w:rPr>
          <w:spacing w:val="-22"/>
        </w:rPr>
        <w:t> </w:t>
      </w:r>
      <w:r>
        <w:rPr/>
        <w:t>retention.</w:t>
      </w:r>
    </w:p>
    <w:p>
      <w:pPr>
        <w:pStyle w:val="BodyText"/>
        <w:rPr>
          <w:sz w:val="14"/>
        </w:rPr>
      </w:pPr>
    </w:p>
    <w:p>
      <w:pPr>
        <w:pStyle w:val="BodyText"/>
        <w:spacing w:line="249" w:lineRule="auto"/>
        <w:ind w:left="107" w:right="54"/>
      </w:pPr>
      <w:r>
        <w:rPr/>
        <w:t>The University has increased its focus on global rankings performance indicators as shown by the appointment of a Lead Dean for</w:t>
      </w:r>
      <w:r>
        <w:rPr>
          <w:spacing w:val="-19"/>
        </w:rPr>
        <w:t> </w:t>
      </w:r>
      <w:r>
        <w:rPr/>
        <w:t>Global</w:t>
      </w:r>
      <w:r>
        <w:rPr>
          <w:spacing w:val="-19"/>
        </w:rPr>
        <w:t> </w:t>
      </w:r>
      <w:r>
        <w:rPr/>
        <w:t>Rankings,</w:t>
      </w:r>
      <w:r>
        <w:rPr>
          <w:spacing w:val="-19"/>
        </w:rPr>
        <w:t> </w:t>
      </w:r>
      <w:r>
        <w:rPr/>
        <w:t>Professor</w:t>
      </w:r>
      <w:r>
        <w:rPr>
          <w:spacing w:val="-19"/>
        </w:rPr>
        <w:t> </w:t>
      </w:r>
      <w:r>
        <w:rPr/>
        <w:t>Kevin</w:t>
      </w:r>
      <w:r>
        <w:rPr>
          <w:spacing w:val="-19"/>
        </w:rPr>
        <w:t> </w:t>
      </w:r>
      <w:r>
        <w:rPr/>
        <w:t>Dunn,</w:t>
      </w:r>
      <w:r>
        <w:rPr>
          <w:spacing w:val="-19"/>
        </w:rPr>
        <w:t> </w:t>
      </w:r>
      <w:r>
        <w:rPr/>
        <w:t>in </w:t>
      </w:r>
      <w:r>
        <w:rPr>
          <w:spacing w:val="-1"/>
          <w:w w:val="97"/>
        </w:rPr>
        <w:t>late</w:t>
      </w:r>
      <w:r>
        <w:rPr>
          <w:w w:val="97"/>
        </w:rPr>
        <w:t> </w:t>
      </w:r>
      <w:r>
        <w:rPr>
          <w:spacing w:val="1"/>
          <w:w w:val="86"/>
        </w:rPr>
        <w:t>2014.</w:t>
      </w:r>
      <w:r>
        <w:rPr>
          <w:w w:val="86"/>
        </w:rPr>
        <w:t> </w:t>
      </w:r>
      <w:r>
        <w:rPr>
          <w:spacing w:val="1"/>
          <w:w w:val="80"/>
        </w:rPr>
        <w:t>In</w:t>
      </w:r>
      <w:r>
        <w:rPr>
          <w:w w:val="80"/>
        </w:rPr>
        <w:t> </w:t>
      </w:r>
      <w:r>
        <w:rPr>
          <w:spacing w:val="1"/>
          <w:w w:val="84"/>
        </w:rPr>
        <w:t>2015,</w:t>
      </w:r>
      <w:r>
        <w:rPr>
          <w:w w:val="84"/>
        </w:rPr>
        <w:t> </w:t>
      </w:r>
      <w:r>
        <w:rPr>
          <w:w w:val="97"/>
        </w:rPr>
        <w:t>the </w:t>
      </w:r>
      <w:r>
        <w:rPr>
          <w:spacing w:val="2"/>
          <w:w w:val="102"/>
        </w:rPr>
        <w:t>OQP</w:t>
      </w:r>
      <w:r>
        <w:rPr>
          <w:w w:val="102"/>
        </w:rPr>
        <w:t> </w:t>
      </w:r>
      <w:r>
        <w:rPr>
          <w:spacing w:val="1"/>
          <w:w w:val="98"/>
        </w:rPr>
        <w:t>advised</w:t>
      </w:r>
      <w:r>
        <w:rPr>
          <w:spacing w:val="-23"/>
          <w:w w:val="98"/>
        </w:rPr>
        <w:t> </w:t>
      </w:r>
      <w:r>
        <w:rPr>
          <w:spacing w:val="1"/>
          <w:w w:val="97"/>
        </w:rPr>
        <w:t>Professor</w:t>
      </w:r>
      <w:r>
        <w:rPr>
          <w:w w:val="97"/>
        </w:rPr>
        <w:t> </w:t>
      </w:r>
      <w:r>
        <w:rPr/>
        <w:t>Dunn on ranking outcomes, standing and quality</w:t>
      </w:r>
      <w:r>
        <w:rPr>
          <w:spacing w:val="-15"/>
        </w:rPr>
        <w:t> </w:t>
      </w:r>
      <w:r>
        <w:rPr/>
        <w:t>of</w:t>
      </w:r>
      <w:r>
        <w:rPr>
          <w:spacing w:val="-15"/>
        </w:rPr>
        <w:t> </w:t>
      </w:r>
      <w:r>
        <w:rPr/>
        <w:t>rankings,</w:t>
      </w:r>
      <w:r>
        <w:rPr>
          <w:spacing w:val="-15"/>
        </w:rPr>
        <w:t> </w:t>
      </w:r>
      <w:r>
        <w:rPr/>
        <w:t>opportunities</w:t>
      </w:r>
      <w:r>
        <w:rPr>
          <w:spacing w:val="-15"/>
        </w:rPr>
        <w:t> </w:t>
      </w:r>
      <w:r>
        <w:rPr/>
        <w:t>to</w:t>
      </w:r>
      <w:r>
        <w:rPr>
          <w:spacing w:val="-15"/>
        </w:rPr>
        <w:t> </w:t>
      </w:r>
      <w:r>
        <w:rPr/>
        <w:t>improve performance and the effect the University’s rebranding campaign had on rankings. The </w:t>
      </w:r>
      <w:r>
        <w:rPr>
          <w:spacing w:val="2"/>
        </w:rPr>
        <w:t>OQP </w:t>
      </w:r>
      <w:r>
        <w:rPr/>
        <w:t>communicated with staff across the University about the importance of rankings and the relevance to their disciplines. In addition,</w:t>
      </w:r>
      <w:r>
        <w:rPr>
          <w:spacing w:val="-16"/>
        </w:rPr>
        <w:t> </w:t>
      </w:r>
      <w:r>
        <w:rPr/>
        <w:t>the</w:t>
      </w:r>
      <w:r>
        <w:rPr>
          <w:spacing w:val="-16"/>
        </w:rPr>
        <w:t> </w:t>
      </w:r>
      <w:r>
        <w:rPr>
          <w:spacing w:val="2"/>
        </w:rPr>
        <w:t>OQP</w:t>
      </w:r>
      <w:r>
        <w:rPr>
          <w:spacing w:val="-16"/>
        </w:rPr>
        <w:t> </w:t>
      </w:r>
      <w:r>
        <w:rPr/>
        <w:t>enhanced</w:t>
      </w:r>
      <w:r>
        <w:rPr>
          <w:spacing w:val="-16"/>
        </w:rPr>
        <w:t> </w:t>
      </w:r>
      <w:r>
        <w:rPr/>
        <w:t>the</w:t>
      </w:r>
      <w:r>
        <w:rPr>
          <w:spacing w:val="-16"/>
        </w:rPr>
        <w:t> </w:t>
      </w:r>
      <w:r>
        <w:rPr/>
        <w:t>University’s data collection and submission processes to the</w:t>
      </w:r>
      <w:r>
        <w:rPr>
          <w:spacing w:val="-26"/>
        </w:rPr>
        <w:t> </w:t>
      </w:r>
      <w:r>
        <w:rPr/>
        <w:t>various</w:t>
      </w:r>
      <w:r>
        <w:rPr>
          <w:spacing w:val="-26"/>
        </w:rPr>
        <w:t> </w:t>
      </w:r>
      <w:r>
        <w:rPr/>
        <w:t>rankings</w:t>
      </w:r>
      <w:r>
        <w:rPr>
          <w:spacing w:val="-26"/>
        </w:rPr>
        <w:t> </w:t>
      </w:r>
      <w:r>
        <w:rPr/>
        <w:t>organisations.</w:t>
      </w:r>
    </w:p>
    <w:p>
      <w:pPr>
        <w:pStyle w:val="BodyText"/>
        <w:spacing w:before="6"/>
        <w:rPr>
          <w:sz w:val="21"/>
        </w:rPr>
      </w:pPr>
      <w:r>
        <w:rPr/>
        <w:br w:type="column"/>
      </w:r>
      <w:r>
        <w:rPr>
          <w:sz w:val="21"/>
        </w:rPr>
      </w:r>
    </w:p>
    <w:p>
      <w:pPr>
        <w:pStyle w:val="Heading5"/>
        <w:spacing w:line="260" w:lineRule="exact"/>
        <w:ind w:right="173"/>
      </w:pPr>
      <w:r>
        <w:rPr/>
        <w:t>OFFICE OF HIGHER </w:t>
      </w:r>
      <w:r>
        <w:rPr>
          <w:w w:val="95"/>
        </w:rPr>
        <w:t>EDUCATION POLICY AND </w:t>
      </w:r>
      <w:r>
        <w:rPr/>
        <w:t>PROJECTS</w:t>
      </w:r>
    </w:p>
    <w:p>
      <w:pPr>
        <w:pStyle w:val="BodyText"/>
        <w:spacing w:line="249" w:lineRule="auto" w:before="215"/>
        <w:ind w:left="107" w:right="3"/>
      </w:pPr>
      <w:r>
        <w:rPr/>
        <w:t>It</w:t>
      </w:r>
      <w:r>
        <w:rPr>
          <w:spacing w:val="-16"/>
        </w:rPr>
        <w:t> </w:t>
      </w:r>
      <w:r>
        <w:rPr/>
        <w:t>was</w:t>
      </w:r>
      <w:r>
        <w:rPr>
          <w:spacing w:val="-16"/>
        </w:rPr>
        <w:t> </w:t>
      </w:r>
      <w:r>
        <w:rPr/>
        <w:t>a</w:t>
      </w:r>
      <w:r>
        <w:rPr>
          <w:spacing w:val="-16"/>
        </w:rPr>
        <w:t> </w:t>
      </w:r>
      <w:r>
        <w:rPr/>
        <w:t>critical</w:t>
      </w:r>
      <w:r>
        <w:rPr>
          <w:spacing w:val="-16"/>
        </w:rPr>
        <w:t> </w:t>
      </w:r>
      <w:r>
        <w:rPr/>
        <w:t>year</w:t>
      </w:r>
      <w:r>
        <w:rPr>
          <w:spacing w:val="-16"/>
        </w:rPr>
        <w:t> </w:t>
      </w:r>
      <w:r>
        <w:rPr/>
        <w:t>for</w:t>
      </w:r>
      <w:r>
        <w:rPr>
          <w:spacing w:val="-16"/>
        </w:rPr>
        <w:t> </w:t>
      </w:r>
      <w:r>
        <w:rPr/>
        <w:t>the</w:t>
      </w:r>
      <w:r>
        <w:rPr>
          <w:spacing w:val="-16"/>
        </w:rPr>
        <w:t> </w:t>
      </w:r>
      <w:r>
        <w:rPr/>
        <w:t>higher</w:t>
      </w:r>
      <w:r>
        <w:rPr>
          <w:spacing w:val="-16"/>
        </w:rPr>
        <w:t> </w:t>
      </w:r>
      <w:r>
        <w:rPr/>
        <w:t>education sector and higher education policy in Australia.</w:t>
      </w:r>
      <w:r>
        <w:rPr>
          <w:spacing w:val="-20"/>
        </w:rPr>
        <w:t> </w:t>
      </w:r>
      <w:r>
        <w:rPr/>
        <w:t>The</w:t>
      </w:r>
      <w:r>
        <w:rPr>
          <w:spacing w:val="-20"/>
        </w:rPr>
        <w:t> </w:t>
      </w:r>
      <w:r>
        <w:rPr/>
        <w:t>Australian</w:t>
      </w:r>
      <w:r>
        <w:rPr>
          <w:spacing w:val="-20"/>
        </w:rPr>
        <w:t> </w:t>
      </w:r>
      <w:r>
        <w:rPr/>
        <w:t>Government’s</w:t>
      </w:r>
      <w:r>
        <w:rPr>
          <w:spacing w:val="-20"/>
        </w:rPr>
        <w:t> </w:t>
      </w:r>
      <w:r>
        <w:rPr/>
        <w:t>higher education</w:t>
      </w:r>
      <w:r>
        <w:rPr>
          <w:spacing w:val="-18"/>
        </w:rPr>
        <w:t> </w:t>
      </w:r>
      <w:r>
        <w:rPr/>
        <w:t>reforms</w:t>
      </w:r>
      <w:r>
        <w:rPr>
          <w:spacing w:val="-18"/>
        </w:rPr>
        <w:t> </w:t>
      </w:r>
      <w:r>
        <w:rPr/>
        <w:t>–</w:t>
      </w:r>
      <w:r>
        <w:rPr>
          <w:spacing w:val="-18"/>
        </w:rPr>
        <w:t> </w:t>
      </w:r>
      <w:r>
        <w:rPr/>
        <w:t>which</w:t>
      </w:r>
      <w:r>
        <w:rPr>
          <w:spacing w:val="-18"/>
        </w:rPr>
        <w:t> </w:t>
      </w:r>
      <w:r>
        <w:rPr/>
        <w:t>were</w:t>
      </w:r>
      <w:r>
        <w:rPr>
          <w:spacing w:val="-18"/>
        </w:rPr>
        <w:t> </w:t>
      </w:r>
      <w:r>
        <w:rPr/>
        <w:t>introduced</w:t>
      </w:r>
    </w:p>
    <w:p>
      <w:pPr>
        <w:pStyle w:val="BodyText"/>
        <w:spacing w:line="249" w:lineRule="auto"/>
        <w:ind w:left="107"/>
      </w:pPr>
      <w:r>
        <w:rPr>
          <w:w w:val="95"/>
        </w:rPr>
        <w:t>in</w:t>
      </w:r>
      <w:r>
        <w:rPr>
          <w:spacing w:val="-9"/>
          <w:w w:val="95"/>
        </w:rPr>
        <w:t> </w:t>
      </w:r>
      <w:r>
        <w:rPr>
          <w:w w:val="97"/>
        </w:rPr>
        <w:t>the</w:t>
      </w:r>
      <w:r>
        <w:rPr>
          <w:spacing w:val="-10"/>
          <w:w w:val="97"/>
        </w:rPr>
        <w:t> </w:t>
      </w:r>
      <w:r>
        <w:rPr>
          <w:spacing w:val="1"/>
          <w:w w:val="85"/>
        </w:rPr>
        <w:t>2014–15</w:t>
      </w:r>
      <w:r>
        <w:rPr>
          <w:spacing w:val="-4"/>
          <w:w w:val="85"/>
        </w:rPr>
        <w:t> </w:t>
      </w:r>
      <w:r>
        <w:rPr>
          <w:spacing w:val="1"/>
          <w:w w:val="100"/>
        </w:rPr>
        <w:t>Budget</w:t>
      </w:r>
      <w:r>
        <w:rPr>
          <w:spacing w:val="-11"/>
          <w:w w:val="100"/>
        </w:rPr>
        <w:t> </w:t>
      </w:r>
      <w:r>
        <w:rPr>
          <w:spacing w:val="1"/>
          <w:w w:val="97"/>
        </w:rPr>
        <w:t>and</w:t>
      </w:r>
      <w:r>
        <w:rPr>
          <w:spacing w:val="-9"/>
          <w:w w:val="97"/>
        </w:rPr>
        <w:t> </w:t>
      </w:r>
      <w:r>
        <w:rPr>
          <w:spacing w:val="1"/>
          <w:w w:val="98"/>
        </w:rPr>
        <w:t>included</w:t>
      </w:r>
      <w:r>
        <w:rPr>
          <w:spacing w:val="-10"/>
          <w:w w:val="98"/>
        </w:rPr>
        <w:t> </w:t>
      </w:r>
      <w:r>
        <w:rPr>
          <w:w w:val="97"/>
        </w:rPr>
        <w:t>the</w:t>
      </w:r>
      <w:r>
        <w:rPr>
          <w:spacing w:val="-10"/>
          <w:w w:val="97"/>
        </w:rPr>
        <w:t> </w:t>
      </w:r>
      <w:r>
        <w:rPr>
          <w:spacing w:val="1"/>
          <w:w w:val="99"/>
        </w:rPr>
        <w:t>most</w:t>
      </w:r>
      <w:r>
        <w:rPr>
          <w:w w:val="99"/>
        </w:rPr>
        <w:t> </w:t>
      </w:r>
      <w:r>
        <w:rPr/>
        <w:t>significant proposed changes to Australia’s higher education sector in more than 25 years – were defeated for a second time in the</w:t>
      </w:r>
      <w:r>
        <w:rPr>
          <w:spacing w:val="-19"/>
        </w:rPr>
        <w:t> </w:t>
      </w:r>
      <w:r>
        <w:rPr/>
        <w:t>Senate.</w:t>
      </w:r>
      <w:r>
        <w:rPr>
          <w:spacing w:val="-19"/>
        </w:rPr>
        <w:t> </w:t>
      </w:r>
      <w:r>
        <w:rPr/>
        <w:t>A</w:t>
      </w:r>
      <w:r>
        <w:rPr>
          <w:spacing w:val="-19"/>
        </w:rPr>
        <w:t> </w:t>
      </w:r>
      <w:r>
        <w:rPr/>
        <w:t>number</w:t>
      </w:r>
      <w:r>
        <w:rPr>
          <w:spacing w:val="-19"/>
        </w:rPr>
        <w:t> </w:t>
      </w:r>
      <w:r>
        <w:rPr/>
        <w:t>of</w:t>
      </w:r>
      <w:r>
        <w:rPr>
          <w:spacing w:val="-19"/>
        </w:rPr>
        <w:t> </w:t>
      </w:r>
      <w:r>
        <w:rPr/>
        <w:t>national</w:t>
      </w:r>
      <w:r>
        <w:rPr>
          <w:spacing w:val="-19"/>
        </w:rPr>
        <w:t> </w:t>
      </w:r>
      <w:r>
        <w:rPr/>
        <w:t>reviews</w:t>
      </w:r>
      <w:r>
        <w:rPr>
          <w:spacing w:val="-19"/>
        </w:rPr>
        <w:t> </w:t>
      </w:r>
      <w:r>
        <w:rPr/>
        <w:t>and inquiries</w:t>
      </w:r>
      <w:r>
        <w:rPr>
          <w:spacing w:val="-16"/>
        </w:rPr>
        <w:t> </w:t>
      </w:r>
      <w:r>
        <w:rPr/>
        <w:t>that</w:t>
      </w:r>
      <w:r>
        <w:rPr>
          <w:spacing w:val="-16"/>
        </w:rPr>
        <w:t> </w:t>
      </w:r>
      <w:r>
        <w:rPr/>
        <w:t>explored</w:t>
      </w:r>
      <w:r>
        <w:rPr>
          <w:spacing w:val="-16"/>
        </w:rPr>
        <w:t> </w:t>
      </w:r>
      <w:r>
        <w:rPr/>
        <w:t>fundamental</w:t>
      </w:r>
      <w:r>
        <w:rPr>
          <w:spacing w:val="-16"/>
        </w:rPr>
        <w:t> </w:t>
      </w:r>
      <w:r>
        <w:rPr/>
        <w:t>changes to</w:t>
      </w:r>
      <w:r>
        <w:rPr>
          <w:spacing w:val="-16"/>
        </w:rPr>
        <w:t> </w:t>
      </w:r>
      <w:r>
        <w:rPr/>
        <w:t>the</w:t>
      </w:r>
      <w:r>
        <w:rPr>
          <w:spacing w:val="-16"/>
        </w:rPr>
        <w:t> </w:t>
      </w:r>
      <w:r>
        <w:rPr/>
        <w:t>future</w:t>
      </w:r>
      <w:r>
        <w:rPr>
          <w:spacing w:val="-16"/>
        </w:rPr>
        <w:t> </w:t>
      </w:r>
      <w:r>
        <w:rPr/>
        <w:t>direction</w:t>
      </w:r>
      <w:r>
        <w:rPr>
          <w:spacing w:val="-16"/>
        </w:rPr>
        <w:t> </w:t>
      </w:r>
      <w:r>
        <w:rPr/>
        <w:t>of</w:t>
      </w:r>
      <w:r>
        <w:rPr>
          <w:spacing w:val="-16"/>
        </w:rPr>
        <w:t> </w:t>
      </w:r>
      <w:r>
        <w:rPr/>
        <w:t>Australia’s</w:t>
      </w:r>
      <w:r>
        <w:rPr>
          <w:spacing w:val="-16"/>
        </w:rPr>
        <w:t> </w:t>
      </w:r>
      <w:r>
        <w:rPr/>
        <w:t>higher</w:t>
      </w:r>
    </w:p>
    <w:p>
      <w:pPr>
        <w:pStyle w:val="BodyText"/>
        <w:spacing w:line="192" w:lineRule="exact"/>
        <w:ind w:left="107" w:right="-6"/>
      </w:pPr>
      <w:r>
        <w:rPr>
          <w:spacing w:val="3"/>
          <w:w w:val="95"/>
        </w:rPr>
        <w:t>e</w:t>
      </w:r>
      <w:r>
        <w:rPr>
          <w:spacing w:val="2"/>
          <w:w w:val="102"/>
        </w:rPr>
        <w:t>d</w:t>
      </w:r>
      <w:r>
        <w:rPr>
          <w:spacing w:val="2"/>
          <w:w w:val="95"/>
        </w:rPr>
        <w:t>u</w:t>
      </w:r>
      <w:r>
        <w:rPr>
          <w:spacing w:val="3"/>
          <w:w w:val="102"/>
        </w:rPr>
        <w:t>c</w:t>
      </w:r>
      <w:r>
        <w:rPr>
          <w:w w:val="94"/>
        </w:rPr>
        <w:t>a</w:t>
      </w:r>
      <w:r>
        <w:rPr>
          <w:w w:val="102"/>
        </w:rPr>
        <w:t>t</w:t>
      </w:r>
      <w:r>
        <w:rPr>
          <w:spacing w:val="1"/>
          <w:w w:val="95"/>
        </w:rPr>
        <w:t>i</w:t>
      </w:r>
      <w:r>
        <w:rPr>
          <w:spacing w:val="2"/>
          <w:w w:val="100"/>
        </w:rPr>
        <w:t>o</w:t>
      </w:r>
      <w:r>
        <w:rPr>
          <w:w w:val="95"/>
        </w:rPr>
        <w:t>n</w:t>
      </w:r>
      <w:r>
        <w:rPr>
          <w:spacing w:val="-12"/>
        </w:rPr>
        <w:t> </w:t>
      </w:r>
      <w:r>
        <w:rPr>
          <w:spacing w:val="2"/>
          <w:w w:val="95"/>
        </w:rPr>
        <w:t>s</w:t>
      </w:r>
      <w:r>
        <w:rPr>
          <w:spacing w:val="3"/>
          <w:w w:val="95"/>
        </w:rPr>
        <w:t>e</w:t>
      </w:r>
      <w:r>
        <w:rPr>
          <w:spacing w:val="4"/>
          <w:w w:val="102"/>
        </w:rPr>
        <w:t>c</w:t>
      </w:r>
      <w:r>
        <w:rPr>
          <w:spacing w:val="-2"/>
          <w:w w:val="102"/>
        </w:rPr>
        <w:t>t</w:t>
      </w:r>
      <w:r>
        <w:rPr>
          <w:spacing w:val="2"/>
          <w:w w:val="100"/>
        </w:rPr>
        <w:t>o</w:t>
      </w:r>
      <w:r>
        <w:rPr>
          <w:w w:val="95"/>
        </w:rPr>
        <w:t>r</w:t>
      </w:r>
      <w:r>
        <w:rPr>
          <w:spacing w:val="-12"/>
        </w:rPr>
        <w:t> </w:t>
      </w:r>
      <w:r>
        <w:rPr>
          <w:spacing w:val="-1"/>
          <w:w w:val="101"/>
        </w:rPr>
        <w:t>w</w:t>
      </w:r>
      <w:r>
        <w:rPr>
          <w:spacing w:val="2"/>
          <w:w w:val="95"/>
        </w:rPr>
        <w:t>e</w:t>
      </w:r>
      <w:r>
        <w:rPr>
          <w:spacing w:val="-1"/>
          <w:w w:val="95"/>
        </w:rPr>
        <w:t>r</w:t>
      </w:r>
      <w:r>
        <w:rPr>
          <w:w w:val="95"/>
        </w:rPr>
        <w:t>e</w:t>
      </w:r>
      <w:r>
        <w:rPr>
          <w:spacing w:val="-12"/>
        </w:rPr>
        <w:t> </w:t>
      </w:r>
      <w:r>
        <w:rPr>
          <w:spacing w:val="2"/>
          <w:w w:val="94"/>
        </w:rPr>
        <w:t>a</w:t>
      </w:r>
      <w:r>
        <w:rPr>
          <w:spacing w:val="1"/>
          <w:w w:val="95"/>
        </w:rPr>
        <w:t>l</w:t>
      </w:r>
      <w:r>
        <w:rPr>
          <w:spacing w:val="2"/>
          <w:w w:val="95"/>
        </w:rPr>
        <w:t>s</w:t>
      </w:r>
      <w:r>
        <w:rPr>
          <w:w w:val="100"/>
        </w:rPr>
        <w:t>o</w:t>
      </w:r>
      <w:r>
        <w:rPr>
          <w:spacing w:val="-12"/>
        </w:rPr>
        <w:t> </w:t>
      </w:r>
      <w:r>
        <w:rPr>
          <w:w w:val="102"/>
        </w:rPr>
        <w:t>c</w:t>
      </w:r>
      <w:r>
        <w:rPr>
          <w:spacing w:val="2"/>
          <w:w w:val="100"/>
        </w:rPr>
        <w:t>o</w:t>
      </w:r>
      <w:r>
        <w:rPr>
          <w:spacing w:val="2"/>
          <w:w w:val="98"/>
        </w:rPr>
        <w:t>m</w:t>
      </w:r>
      <w:r>
        <w:rPr>
          <w:spacing w:val="2"/>
          <w:w w:val="102"/>
        </w:rPr>
        <w:t>p</w:t>
      </w:r>
      <w:r>
        <w:rPr>
          <w:spacing w:val="2"/>
          <w:w w:val="95"/>
        </w:rPr>
        <w:t>l</w:t>
      </w:r>
      <w:r>
        <w:rPr>
          <w:w w:val="95"/>
        </w:rPr>
        <w:t>e</w:t>
      </w:r>
      <w:r>
        <w:rPr>
          <w:spacing w:val="-2"/>
          <w:w w:val="102"/>
        </w:rPr>
        <w:t>t</w:t>
      </w:r>
      <w:r>
        <w:rPr>
          <w:spacing w:val="3"/>
          <w:w w:val="95"/>
        </w:rPr>
        <w:t>e</w:t>
      </w:r>
      <w:r>
        <w:rPr>
          <w:w w:val="102"/>
        </w:rPr>
        <w:t>d</w:t>
      </w:r>
      <w:r>
        <w:rPr>
          <w:spacing w:val="-12"/>
        </w:rPr>
        <w:t> </w:t>
      </w:r>
      <w:r>
        <w:rPr>
          <w:spacing w:val="1"/>
          <w:w w:val="95"/>
        </w:rPr>
        <w:t>i</w:t>
      </w:r>
      <w:r>
        <w:rPr>
          <w:w w:val="95"/>
        </w:rPr>
        <w:t>n</w:t>
      </w:r>
      <w:r>
        <w:rPr>
          <w:spacing w:val="-12"/>
        </w:rPr>
        <w:t> </w:t>
      </w:r>
      <w:r>
        <w:rPr>
          <w:spacing w:val="2"/>
          <w:w w:val="93"/>
        </w:rPr>
        <w:t>2</w:t>
      </w:r>
      <w:r>
        <w:rPr>
          <w:spacing w:val="1"/>
          <w:w w:val="111"/>
        </w:rPr>
        <w:t>0</w:t>
      </w:r>
      <w:r>
        <w:rPr>
          <w:spacing w:val="2"/>
          <w:w w:val="54"/>
        </w:rPr>
        <w:t>1</w:t>
      </w:r>
      <w:r>
        <w:rPr>
          <w:spacing w:val="4"/>
          <w:w w:val="95"/>
        </w:rPr>
        <w:t>5</w:t>
      </w:r>
      <w:r>
        <w:rPr>
          <w:w w:val="68"/>
        </w:rPr>
        <w:t>.</w:t>
      </w:r>
    </w:p>
    <w:p>
      <w:pPr>
        <w:pStyle w:val="BodyText"/>
        <w:spacing w:before="7"/>
        <w:rPr>
          <w:sz w:val="14"/>
        </w:rPr>
      </w:pPr>
    </w:p>
    <w:p>
      <w:pPr>
        <w:pStyle w:val="BodyText"/>
        <w:spacing w:line="249" w:lineRule="auto" w:before="1"/>
        <w:ind w:left="107" w:right="153"/>
      </w:pPr>
      <w:r>
        <w:rPr>
          <w:spacing w:val="1"/>
          <w:w w:val="80"/>
        </w:rPr>
        <w:t>In</w:t>
      </w:r>
      <w:r>
        <w:rPr>
          <w:w w:val="80"/>
        </w:rPr>
        <w:t> </w:t>
      </w:r>
      <w:r>
        <w:rPr>
          <w:spacing w:val="1"/>
          <w:w w:val="84"/>
        </w:rPr>
        <w:t>2015,</w:t>
      </w:r>
      <w:r>
        <w:rPr>
          <w:w w:val="84"/>
        </w:rPr>
        <w:t> </w:t>
      </w:r>
      <w:r>
        <w:rPr>
          <w:w w:val="97"/>
        </w:rPr>
        <w:t>the </w:t>
      </w:r>
      <w:r>
        <w:rPr>
          <w:spacing w:val="1"/>
          <w:w w:val="98"/>
        </w:rPr>
        <w:t>Office</w:t>
      </w:r>
      <w:r>
        <w:rPr>
          <w:w w:val="98"/>
        </w:rPr>
        <w:t> </w:t>
      </w:r>
      <w:r>
        <w:rPr>
          <w:w w:val="99"/>
        </w:rPr>
        <w:t>of </w:t>
      </w:r>
      <w:r>
        <w:rPr>
          <w:spacing w:val="1"/>
          <w:w w:val="97"/>
        </w:rPr>
        <w:t>Higher</w:t>
      </w:r>
      <w:r>
        <w:rPr>
          <w:w w:val="97"/>
        </w:rPr>
        <w:t> </w:t>
      </w:r>
      <w:r>
        <w:rPr>
          <w:spacing w:val="1"/>
          <w:w w:val="98"/>
        </w:rPr>
        <w:t>Education</w:t>
      </w:r>
      <w:r>
        <w:rPr>
          <w:w w:val="98"/>
        </w:rPr>
        <w:t> </w:t>
      </w:r>
      <w:r>
        <w:rPr/>
        <w:t>Policy and Projects (OHEPP) continued to provide analysis and advice on key higher education issues to the University’s Board of</w:t>
      </w:r>
      <w:r>
        <w:rPr>
          <w:spacing w:val="-20"/>
        </w:rPr>
        <w:t> </w:t>
      </w:r>
      <w:r>
        <w:rPr/>
        <w:t>Trustees</w:t>
      </w:r>
      <w:r>
        <w:rPr>
          <w:spacing w:val="-20"/>
        </w:rPr>
        <w:t> </w:t>
      </w:r>
      <w:r>
        <w:rPr/>
        <w:t>and</w:t>
      </w:r>
      <w:r>
        <w:rPr>
          <w:spacing w:val="-20"/>
        </w:rPr>
        <w:t> </w:t>
      </w:r>
      <w:r>
        <w:rPr/>
        <w:t>Executive</w:t>
      </w:r>
      <w:r>
        <w:rPr>
          <w:spacing w:val="-20"/>
        </w:rPr>
        <w:t> </w:t>
      </w:r>
      <w:r>
        <w:rPr/>
        <w:t>Group.</w:t>
      </w:r>
      <w:r>
        <w:rPr>
          <w:spacing w:val="-20"/>
        </w:rPr>
        <w:t> </w:t>
      </w:r>
      <w:r>
        <w:rPr/>
        <w:t>The</w:t>
      </w:r>
      <w:r>
        <w:rPr>
          <w:spacing w:val="-20"/>
        </w:rPr>
        <w:t> </w:t>
      </w:r>
      <w:r>
        <w:rPr/>
        <w:t>Office also</w:t>
      </w:r>
      <w:r>
        <w:rPr>
          <w:spacing w:val="-13"/>
        </w:rPr>
        <w:t> </w:t>
      </w:r>
      <w:r>
        <w:rPr/>
        <w:t>contributed</w:t>
      </w:r>
      <w:r>
        <w:rPr>
          <w:spacing w:val="-13"/>
        </w:rPr>
        <w:t> </w:t>
      </w:r>
      <w:r>
        <w:rPr/>
        <w:t>to</w:t>
      </w:r>
      <w:r>
        <w:rPr>
          <w:spacing w:val="-13"/>
        </w:rPr>
        <w:t> </w:t>
      </w:r>
      <w:r>
        <w:rPr/>
        <w:t>national</w:t>
      </w:r>
      <w:r>
        <w:rPr>
          <w:spacing w:val="-13"/>
        </w:rPr>
        <w:t> </w:t>
      </w:r>
      <w:r>
        <w:rPr/>
        <w:t>policy</w:t>
      </w:r>
      <w:r>
        <w:rPr>
          <w:spacing w:val="-13"/>
        </w:rPr>
        <w:t> </w:t>
      </w:r>
      <w:r>
        <w:rPr/>
        <w:t>debates</w:t>
      </w:r>
    </w:p>
    <w:p>
      <w:pPr>
        <w:pStyle w:val="BodyText"/>
        <w:spacing w:line="249" w:lineRule="auto"/>
        <w:ind w:left="107" w:right="6"/>
      </w:pPr>
      <w:r>
        <w:rPr/>
        <w:t>through media commentary and submissions to national inquiries, most notably Senate inquiries into the Higher Education and </w:t>
      </w:r>
      <w:r>
        <w:rPr>
          <w:spacing w:val="1"/>
          <w:w w:val="96"/>
        </w:rPr>
        <w:t>Research</w:t>
      </w:r>
      <w:r>
        <w:rPr>
          <w:w w:val="96"/>
        </w:rPr>
        <w:t> </w:t>
      </w:r>
      <w:r>
        <w:rPr>
          <w:w w:val="98"/>
        </w:rPr>
        <w:t>Reform </w:t>
      </w:r>
      <w:r>
        <w:rPr>
          <w:spacing w:val="1"/>
          <w:w w:val="99"/>
        </w:rPr>
        <w:t>Amendment</w:t>
      </w:r>
      <w:r>
        <w:rPr>
          <w:w w:val="99"/>
        </w:rPr>
        <w:t> </w:t>
      </w:r>
      <w:r>
        <w:rPr>
          <w:w w:val="97"/>
        </w:rPr>
        <w:t>Bill </w:t>
      </w:r>
      <w:r>
        <w:rPr>
          <w:spacing w:val="1"/>
          <w:w w:val="90"/>
        </w:rPr>
        <w:t>2014</w:t>
      </w:r>
      <w:r>
        <w:rPr>
          <w:w w:val="90"/>
        </w:rPr>
        <w:t> </w:t>
      </w:r>
      <w:r>
        <w:rPr>
          <w:spacing w:val="1"/>
          <w:w w:val="97"/>
        </w:rPr>
        <w:t>and</w:t>
      </w:r>
      <w:r>
        <w:rPr>
          <w:w w:val="97"/>
        </w:rPr>
        <w:t> </w:t>
      </w:r>
      <w:r>
        <w:rPr/>
        <w:t>the Principles of the Higher Education and </w:t>
      </w:r>
      <w:r>
        <w:rPr>
          <w:spacing w:val="1"/>
          <w:w w:val="96"/>
        </w:rPr>
        <w:t>Research</w:t>
      </w:r>
      <w:r>
        <w:rPr>
          <w:w w:val="96"/>
        </w:rPr>
        <w:t> </w:t>
      </w:r>
      <w:r>
        <w:rPr>
          <w:w w:val="98"/>
        </w:rPr>
        <w:t>Reform </w:t>
      </w:r>
      <w:r>
        <w:rPr>
          <w:w w:val="97"/>
        </w:rPr>
        <w:t>Bill </w:t>
      </w:r>
      <w:r>
        <w:rPr>
          <w:spacing w:val="1"/>
          <w:w w:val="86"/>
        </w:rPr>
        <w:t>2014.</w:t>
      </w:r>
      <w:r>
        <w:rPr>
          <w:w w:val="86"/>
        </w:rPr>
        <w:t> </w:t>
      </w:r>
      <w:r>
        <w:rPr>
          <w:spacing w:val="1"/>
          <w:w w:val="94"/>
        </w:rPr>
        <w:t>The</w:t>
      </w:r>
      <w:r>
        <w:rPr>
          <w:w w:val="94"/>
        </w:rPr>
        <w:t> </w:t>
      </w:r>
      <w:r>
        <w:rPr>
          <w:spacing w:val="1"/>
          <w:w w:val="98"/>
        </w:rPr>
        <w:t>Office</w:t>
      </w:r>
      <w:r>
        <w:rPr>
          <w:w w:val="98"/>
        </w:rPr>
        <w:t> </w:t>
      </w:r>
      <w:r>
        <w:rPr>
          <w:w w:val="98"/>
        </w:rPr>
        <w:t>played </w:t>
      </w:r>
      <w:r>
        <w:rPr/>
        <w:t>a</w:t>
      </w:r>
      <w:r>
        <w:rPr>
          <w:spacing w:val="-15"/>
        </w:rPr>
        <w:t> </w:t>
      </w:r>
      <w:r>
        <w:rPr/>
        <w:t>key</w:t>
      </w:r>
      <w:r>
        <w:rPr>
          <w:spacing w:val="-15"/>
        </w:rPr>
        <w:t> </w:t>
      </w:r>
      <w:r>
        <w:rPr/>
        <w:t>role</w:t>
      </w:r>
      <w:r>
        <w:rPr>
          <w:spacing w:val="-15"/>
        </w:rPr>
        <w:t> </w:t>
      </w:r>
      <w:r>
        <w:rPr/>
        <w:t>in</w:t>
      </w:r>
      <w:r>
        <w:rPr>
          <w:spacing w:val="-15"/>
        </w:rPr>
        <w:t> </w:t>
      </w:r>
      <w:r>
        <w:rPr/>
        <w:t>analysing</w:t>
      </w:r>
      <w:r>
        <w:rPr>
          <w:spacing w:val="-15"/>
        </w:rPr>
        <w:t> </w:t>
      </w:r>
      <w:r>
        <w:rPr/>
        <w:t>higher</w:t>
      </w:r>
      <w:r>
        <w:rPr>
          <w:spacing w:val="-15"/>
        </w:rPr>
        <w:t> </w:t>
      </w:r>
      <w:r>
        <w:rPr/>
        <w:t>education</w:t>
      </w:r>
      <w:r>
        <w:rPr>
          <w:spacing w:val="-15"/>
        </w:rPr>
        <w:t> </w:t>
      </w:r>
      <w:r>
        <w:rPr/>
        <w:t>policy proposals to ensure the University was well positioned to </w:t>
      </w:r>
      <w:r>
        <w:rPr>
          <w:spacing w:val="2"/>
        </w:rPr>
        <w:t>assess </w:t>
      </w:r>
      <w:r>
        <w:rPr/>
        <w:t>and respond to their likely</w:t>
      </w:r>
      <w:r>
        <w:rPr>
          <w:spacing w:val="-21"/>
        </w:rPr>
        <w:t> </w:t>
      </w:r>
      <w:r>
        <w:rPr>
          <w:spacing w:val="2"/>
        </w:rPr>
        <w:t>effects.</w:t>
      </w:r>
      <w:r>
        <w:rPr>
          <w:spacing w:val="-21"/>
        </w:rPr>
        <w:t> </w:t>
      </w:r>
      <w:r>
        <w:rPr/>
        <w:t>The</w:t>
      </w:r>
      <w:r>
        <w:rPr>
          <w:spacing w:val="-21"/>
        </w:rPr>
        <w:t> </w:t>
      </w:r>
      <w:r>
        <w:rPr/>
        <w:t>Office</w:t>
      </w:r>
      <w:r>
        <w:rPr>
          <w:spacing w:val="-21"/>
        </w:rPr>
        <w:t> </w:t>
      </w:r>
      <w:r>
        <w:rPr/>
        <w:t>was</w:t>
      </w:r>
      <w:r>
        <w:rPr>
          <w:spacing w:val="-21"/>
        </w:rPr>
        <w:t> </w:t>
      </w:r>
      <w:r>
        <w:rPr/>
        <w:t>also</w:t>
      </w:r>
      <w:r>
        <w:rPr>
          <w:spacing w:val="-21"/>
        </w:rPr>
        <w:t> </w:t>
      </w:r>
      <w:r>
        <w:rPr/>
        <w:t>represented at a Universities Australia policy analysts meeting,</w:t>
      </w:r>
      <w:r>
        <w:rPr>
          <w:spacing w:val="-15"/>
        </w:rPr>
        <w:t> </w:t>
      </w:r>
      <w:r>
        <w:rPr/>
        <w:t>and</w:t>
      </w:r>
      <w:r>
        <w:rPr>
          <w:spacing w:val="-15"/>
        </w:rPr>
        <w:t> </w:t>
      </w:r>
      <w:r>
        <w:rPr/>
        <w:t>participated</w:t>
      </w:r>
      <w:r>
        <w:rPr>
          <w:spacing w:val="-15"/>
        </w:rPr>
        <w:t> </w:t>
      </w:r>
      <w:r>
        <w:rPr/>
        <w:t>in</w:t>
      </w:r>
      <w:r>
        <w:rPr>
          <w:spacing w:val="-15"/>
        </w:rPr>
        <w:t> </w:t>
      </w:r>
      <w:r>
        <w:rPr/>
        <w:t>a</w:t>
      </w:r>
      <w:r>
        <w:rPr>
          <w:spacing w:val="-15"/>
        </w:rPr>
        <w:t> </w:t>
      </w:r>
      <w:r>
        <w:rPr/>
        <w:t>working</w:t>
      </w:r>
      <w:r>
        <w:rPr>
          <w:spacing w:val="-15"/>
        </w:rPr>
        <w:t> </w:t>
      </w:r>
      <w:r>
        <w:rPr/>
        <w:t>group responsible for input into developing a key Universities</w:t>
      </w:r>
      <w:r>
        <w:rPr>
          <w:spacing w:val="-20"/>
        </w:rPr>
        <w:t> </w:t>
      </w:r>
      <w:r>
        <w:rPr/>
        <w:t>Australia</w:t>
      </w:r>
      <w:r>
        <w:rPr>
          <w:spacing w:val="-20"/>
        </w:rPr>
        <w:t> </w:t>
      </w:r>
      <w:r>
        <w:rPr/>
        <w:t>data</w:t>
      </w:r>
      <w:r>
        <w:rPr>
          <w:spacing w:val="-20"/>
        </w:rPr>
        <w:t> </w:t>
      </w:r>
      <w:r>
        <w:rPr/>
        <w:t>publication.</w:t>
      </w:r>
    </w:p>
    <w:p>
      <w:pPr>
        <w:pStyle w:val="BodyText"/>
        <w:rPr>
          <w:sz w:val="14"/>
        </w:rPr>
      </w:pPr>
    </w:p>
    <w:p>
      <w:pPr>
        <w:pStyle w:val="BodyText"/>
        <w:spacing w:line="247" w:lineRule="auto"/>
        <w:ind w:left="107" w:right="50"/>
      </w:pPr>
      <w:r>
        <w:rPr>
          <w:spacing w:val="1"/>
          <w:w w:val="80"/>
        </w:rPr>
        <w:t>In</w:t>
      </w:r>
      <w:r>
        <w:rPr>
          <w:w w:val="80"/>
        </w:rPr>
        <w:t> </w:t>
      </w:r>
      <w:r>
        <w:rPr>
          <w:w w:val="97"/>
        </w:rPr>
        <w:t>May </w:t>
      </w:r>
      <w:r>
        <w:rPr>
          <w:spacing w:val="1"/>
          <w:w w:val="84"/>
        </w:rPr>
        <w:t>2015,</w:t>
      </w:r>
      <w:r>
        <w:rPr>
          <w:w w:val="84"/>
        </w:rPr>
        <w:t> </w:t>
      </w:r>
      <w:r>
        <w:rPr>
          <w:w w:val="98"/>
        </w:rPr>
        <w:t>Western </w:t>
      </w:r>
      <w:r>
        <w:rPr>
          <w:spacing w:val="-1"/>
          <w:w w:val="99"/>
        </w:rPr>
        <w:t>Sydney</w:t>
      </w:r>
      <w:r>
        <w:rPr>
          <w:w w:val="99"/>
        </w:rPr>
        <w:t> </w:t>
      </w:r>
      <w:r>
        <w:rPr>
          <w:w w:val="97"/>
        </w:rPr>
        <w:t>University’s </w:t>
      </w:r>
      <w:r>
        <w:rPr/>
        <w:t>Vice-Chancellor, Professor Barney Glover, was elected Chair of Universities Australia, the peak body representing the university sector. An OHEPP representative was appointed to give Professor Glover policy and</w:t>
      </w:r>
      <w:r>
        <w:rPr>
          <w:spacing w:val="-16"/>
        </w:rPr>
        <w:t> </w:t>
      </w:r>
      <w:r>
        <w:rPr/>
        <w:t>analytical</w:t>
      </w:r>
      <w:r>
        <w:rPr>
          <w:spacing w:val="-16"/>
        </w:rPr>
        <w:t> </w:t>
      </w:r>
      <w:r>
        <w:rPr/>
        <w:t>support</w:t>
      </w:r>
      <w:r>
        <w:rPr>
          <w:spacing w:val="-16"/>
        </w:rPr>
        <w:t> </w:t>
      </w:r>
      <w:r>
        <w:rPr/>
        <w:t>in</w:t>
      </w:r>
      <w:r>
        <w:rPr>
          <w:spacing w:val="-16"/>
        </w:rPr>
        <w:t> </w:t>
      </w:r>
      <w:r>
        <w:rPr/>
        <w:t>this</w:t>
      </w:r>
      <w:r>
        <w:rPr>
          <w:spacing w:val="-16"/>
        </w:rPr>
        <w:t> </w:t>
      </w:r>
      <w:r>
        <w:rPr/>
        <w:t>new</w:t>
      </w:r>
      <w:r>
        <w:rPr>
          <w:spacing w:val="-16"/>
        </w:rPr>
        <w:t> </w:t>
      </w:r>
      <w:r>
        <w:rPr/>
        <w:t>role.</w:t>
      </w:r>
      <w:r>
        <w:rPr>
          <w:spacing w:val="-16"/>
        </w:rPr>
        <w:t> </w:t>
      </w:r>
      <w:r>
        <w:rPr/>
        <w:t>Since his appointment, Professor Glover’s notable achievements include a National Press Club address</w:t>
      </w:r>
      <w:r>
        <w:rPr>
          <w:spacing w:val="-19"/>
        </w:rPr>
        <w:t> </w:t>
      </w:r>
      <w:r>
        <w:rPr/>
        <w:t>in</w:t>
      </w:r>
      <w:r>
        <w:rPr>
          <w:spacing w:val="-19"/>
        </w:rPr>
        <w:t> </w:t>
      </w:r>
      <w:r>
        <w:rPr/>
        <w:t>October,</w:t>
      </w:r>
      <w:r>
        <w:rPr>
          <w:spacing w:val="-19"/>
        </w:rPr>
        <w:t> </w:t>
      </w:r>
      <w:r>
        <w:rPr/>
        <w:t>the</w:t>
      </w:r>
      <w:r>
        <w:rPr>
          <w:spacing w:val="-19"/>
        </w:rPr>
        <w:t> </w:t>
      </w:r>
      <w:r>
        <w:rPr/>
        <w:t>launch</w:t>
      </w:r>
      <w:r>
        <w:rPr>
          <w:spacing w:val="-19"/>
        </w:rPr>
        <w:t> </w:t>
      </w:r>
      <w:r>
        <w:rPr/>
        <w:t>of</w:t>
      </w:r>
      <w:r>
        <w:rPr>
          <w:spacing w:val="-19"/>
        </w:rPr>
        <w:t> </w:t>
      </w:r>
      <w:r>
        <w:rPr/>
        <w:t>Universities Australia’s </w:t>
      </w:r>
      <w:r>
        <w:rPr>
          <w:rFonts w:ascii="Century Gothic" w:hAnsi="Century Gothic"/>
          <w:i/>
        </w:rPr>
        <w:t>Keep it Clever </w:t>
      </w:r>
      <w:r>
        <w:rPr/>
        <w:t>policy statement, meetings</w:t>
      </w:r>
      <w:r>
        <w:rPr>
          <w:spacing w:val="-21"/>
        </w:rPr>
        <w:t> </w:t>
      </w:r>
      <w:r>
        <w:rPr/>
        <w:t>with</w:t>
      </w:r>
      <w:r>
        <w:rPr>
          <w:spacing w:val="-21"/>
        </w:rPr>
        <w:t> </w:t>
      </w:r>
      <w:r>
        <w:rPr/>
        <w:t>federal</w:t>
      </w:r>
      <w:r>
        <w:rPr>
          <w:spacing w:val="-21"/>
        </w:rPr>
        <w:t> </w:t>
      </w:r>
      <w:r>
        <w:rPr/>
        <w:t>ministers</w:t>
      </w:r>
      <w:r>
        <w:rPr>
          <w:spacing w:val="-21"/>
        </w:rPr>
        <w:t> </w:t>
      </w:r>
      <w:r>
        <w:rPr/>
        <w:t>and</w:t>
      </w:r>
      <w:r>
        <w:rPr>
          <w:spacing w:val="-21"/>
        </w:rPr>
        <w:t> </w:t>
      </w:r>
      <w:r>
        <w:rPr/>
        <w:t>senators, conference addresses and participation in numerous</w:t>
      </w:r>
      <w:r>
        <w:rPr>
          <w:spacing w:val="-30"/>
        </w:rPr>
        <w:t> </w:t>
      </w:r>
      <w:r>
        <w:rPr/>
        <w:t>media</w:t>
      </w:r>
      <w:r>
        <w:rPr>
          <w:spacing w:val="-30"/>
        </w:rPr>
        <w:t> </w:t>
      </w:r>
      <w:r>
        <w:rPr/>
        <w:t>events.</w:t>
      </w:r>
    </w:p>
    <w:p>
      <w:pPr>
        <w:pStyle w:val="BodyText"/>
        <w:spacing w:before="2"/>
        <w:rPr>
          <w:sz w:val="20"/>
        </w:rPr>
      </w:pPr>
      <w:r>
        <w:rPr/>
        <w:br w:type="column"/>
      </w:r>
      <w:r>
        <w:rPr>
          <w:sz w:val="20"/>
        </w:rPr>
      </w:r>
    </w:p>
    <w:p>
      <w:pPr>
        <w:pStyle w:val="BodyText"/>
        <w:spacing w:line="249" w:lineRule="auto"/>
        <w:ind w:left="107" w:right="224"/>
      </w:pPr>
      <w:r>
        <w:rPr/>
        <w:t>OHEPP continued to oversee the implementation of nine projects worth $3.6 million, funded by the Higher Education Participation and Partnerships Programme. This included submitting an interim report to the Australian Government, which was well received. All projects met their key </w:t>
      </w:r>
      <w:r>
        <w:rPr>
          <w:w w:val="97"/>
        </w:rPr>
        <w:t>performance </w:t>
      </w:r>
      <w:r>
        <w:rPr>
          <w:w w:val="98"/>
        </w:rPr>
        <w:t>indicators </w:t>
      </w:r>
      <w:r>
        <w:rPr>
          <w:w w:val="98"/>
        </w:rPr>
        <w:t>for </w:t>
      </w:r>
      <w:r>
        <w:rPr>
          <w:w w:val="88"/>
        </w:rPr>
        <w:t>2015 </w:t>
      </w:r>
      <w:r>
        <w:rPr>
          <w:w w:val="97"/>
        </w:rPr>
        <w:t>and </w:t>
      </w:r>
      <w:r>
        <w:rPr>
          <w:w w:val="97"/>
        </w:rPr>
        <w:t>funding </w:t>
      </w:r>
      <w:r>
        <w:rPr>
          <w:w w:val="97"/>
        </w:rPr>
        <w:t>will </w:t>
      </w:r>
      <w:r>
        <w:rPr>
          <w:w w:val="96"/>
        </w:rPr>
        <w:t>finish </w:t>
      </w:r>
      <w:r>
        <w:rPr>
          <w:w w:val="98"/>
        </w:rPr>
        <w:t>at </w:t>
      </w:r>
      <w:r>
        <w:rPr>
          <w:w w:val="97"/>
        </w:rPr>
        <w:t>the </w:t>
      </w:r>
      <w:r>
        <w:rPr>
          <w:w w:val="97"/>
        </w:rPr>
        <w:t>end </w:t>
      </w:r>
      <w:r>
        <w:rPr>
          <w:w w:val="99"/>
        </w:rPr>
        <w:t>of </w:t>
      </w:r>
      <w:r>
        <w:rPr>
          <w:w w:val="85"/>
        </w:rPr>
        <w:t>2016. </w:t>
      </w:r>
      <w:r>
        <w:rPr>
          <w:w w:val="94"/>
        </w:rPr>
        <w:t>The </w:t>
      </w:r>
      <w:r>
        <w:rPr>
          <w:w w:val="98"/>
        </w:rPr>
        <w:t>Office </w:t>
      </w:r>
      <w:r>
        <w:rPr>
          <w:w w:val="96"/>
        </w:rPr>
        <w:t>also </w:t>
      </w:r>
      <w:r>
        <w:rPr/>
        <w:t>organised several networking lunches for staff and key external stakeholders working in the area of pathways to university for</w:t>
      </w:r>
    </w:p>
    <w:p>
      <w:pPr>
        <w:pStyle w:val="BodyText"/>
        <w:spacing w:line="249" w:lineRule="auto"/>
        <w:ind w:left="107" w:right="224"/>
      </w:pPr>
      <w:r>
        <w:rPr/>
        <w:t>the</w:t>
      </w:r>
      <w:r>
        <w:rPr>
          <w:spacing w:val="-21"/>
        </w:rPr>
        <w:t> </w:t>
      </w:r>
      <w:r>
        <w:rPr/>
        <w:t>Aboriginal</w:t>
      </w:r>
      <w:r>
        <w:rPr>
          <w:spacing w:val="-21"/>
        </w:rPr>
        <w:t> </w:t>
      </w:r>
      <w:r>
        <w:rPr/>
        <w:t>and</w:t>
      </w:r>
      <w:r>
        <w:rPr>
          <w:spacing w:val="-21"/>
        </w:rPr>
        <w:t> </w:t>
      </w:r>
      <w:r>
        <w:rPr/>
        <w:t>Torres</w:t>
      </w:r>
      <w:r>
        <w:rPr>
          <w:spacing w:val="-21"/>
        </w:rPr>
        <w:t> </w:t>
      </w:r>
      <w:r>
        <w:rPr/>
        <w:t>Strait</w:t>
      </w:r>
      <w:r>
        <w:rPr>
          <w:spacing w:val="-21"/>
        </w:rPr>
        <w:t> </w:t>
      </w:r>
      <w:r>
        <w:rPr/>
        <w:t>Islander community.</w:t>
      </w:r>
    </w:p>
    <w:p>
      <w:pPr>
        <w:pStyle w:val="BodyText"/>
        <w:spacing w:before="11"/>
        <w:rPr>
          <w:sz w:val="13"/>
        </w:rPr>
      </w:pPr>
    </w:p>
    <w:p>
      <w:pPr>
        <w:pStyle w:val="BodyText"/>
        <w:spacing w:line="247" w:lineRule="auto"/>
        <w:ind w:left="107" w:right="120"/>
      </w:pPr>
      <w:r>
        <w:rPr/>
        <w:t>The Office prepared both the </w:t>
      </w:r>
      <w:r>
        <w:rPr>
          <w:rFonts w:ascii="Century Gothic"/>
          <w:i/>
        </w:rPr>
        <w:t>Indigenous </w:t>
      </w:r>
      <w:r>
        <w:rPr>
          <w:rFonts w:ascii="Century Gothic"/>
          <w:i/>
        </w:rPr>
        <w:t>Education Statement </w:t>
      </w:r>
      <w:r>
        <w:rPr/>
        <w:t>and the </w:t>
      </w:r>
      <w:r>
        <w:rPr>
          <w:rFonts w:ascii="Century Gothic"/>
          <w:i/>
        </w:rPr>
        <w:t>Indigenous </w:t>
      </w:r>
      <w:r>
        <w:rPr>
          <w:rFonts w:ascii="Century Gothic"/>
          <w:i/>
        </w:rPr>
        <w:t>Advancement Strategy</w:t>
      </w:r>
      <w:r>
        <w:rPr/>
        <w:t>, and successfully secured funding for the Indigenous Tutorial Assistance Scheme. The Office was also involved in transitioning and integrating key OHEPP functions into the Office of Aboriginal and Torres Strait Islander Employment</w:t>
      </w:r>
    </w:p>
    <w:p>
      <w:pPr>
        <w:pStyle w:val="BodyText"/>
        <w:spacing w:line="249" w:lineRule="auto" w:before="1"/>
        <w:ind w:left="107" w:right="497"/>
      </w:pPr>
      <w:r>
        <w:rPr/>
        <w:t>and Engagement, to bring together and strengthen opportunities for Aboriginal and Torres Strait Islander students and community.</w:t>
      </w:r>
    </w:p>
    <w:p>
      <w:pPr>
        <w:pStyle w:val="BodyText"/>
        <w:spacing w:before="6"/>
        <w:rPr>
          <w:sz w:val="22"/>
        </w:rPr>
      </w:pPr>
    </w:p>
    <w:p>
      <w:pPr>
        <w:pStyle w:val="Heading5"/>
        <w:ind w:right="224"/>
      </w:pPr>
      <w:bookmarkStart w:name="_TOC_250017" w:id="8"/>
      <w:bookmarkEnd w:id="8"/>
      <w:r>
        <w:rPr>
          <w:w w:val="95"/>
        </w:rPr>
        <w:t>CODE OF CONDUCT</w:t>
      </w:r>
    </w:p>
    <w:p>
      <w:pPr>
        <w:pStyle w:val="BodyText"/>
        <w:spacing w:line="247" w:lineRule="auto" w:before="209"/>
        <w:ind w:left="107" w:right="120"/>
        <w:rPr>
          <w:rFonts w:ascii="Calibri" w:hAnsi="Calibri"/>
        </w:rPr>
      </w:pPr>
      <w:r>
        <w:rPr/>
        <w:t>The University is committed to maintaining high standards of personal and professional conduct in all its activities. These standards are outlined in the University’s Code of Conduct. The Code establishes the ethical framework within which the University operates, and guides students, visitors and contractors on the ethical standards we expect they will also uphold when engaging with</w:t>
      </w:r>
      <w:r>
        <w:rPr>
          <w:spacing w:val="-21"/>
        </w:rPr>
        <w:t> </w:t>
      </w:r>
      <w:r>
        <w:rPr/>
        <w:t>the</w:t>
      </w:r>
      <w:r>
        <w:rPr>
          <w:spacing w:val="-21"/>
        </w:rPr>
        <w:t> </w:t>
      </w:r>
      <w:r>
        <w:rPr/>
        <w:t>University.</w:t>
      </w:r>
      <w:r>
        <w:rPr>
          <w:spacing w:val="-21"/>
        </w:rPr>
        <w:t> </w:t>
      </w:r>
      <w:r>
        <w:rPr/>
        <w:t>It</w:t>
      </w:r>
      <w:r>
        <w:rPr>
          <w:spacing w:val="-21"/>
        </w:rPr>
        <w:t> </w:t>
      </w:r>
      <w:r>
        <w:rPr/>
        <w:t>outlines</w:t>
      </w:r>
      <w:r>
        <w:rPr>
          <w:spacing w:val="-21"/>
        </w:rPr>
        <w:t> </w:t>
      </w:r>
      <w:r>
        <w:rPr/>
        <w:t>what</w:t>
      </w:r>
      <w:r>
        <w:rPr>
          <w:spacing w:val="-21"/>
        </w:rPr>
        <w:t> </w:t>
      </w:r>
      <w:r>
        <w:rPr/>
        <w:t>is</w:t>
      </w:r>
      <w:r>
        <w:rPr>
          <w:spacing w:val="-21"/>
        </w:rPr>
        <w:t> </w:t>
      </w:r>
      <w:r>
        <w:rPr/>
        <w:t>required of</w:t>
      </w:r>
      <w:r>
        <w:rPr>
          <w:spacing w:val="-17"/>
        </w:rPr>
        <w:t> </w:t>
      </w:r>
      <w:r>
        <w:rPr/>
        <w:t>members</w:t>
      </w:r>
      <w:r>
        <w:rPr>
          <w:spacing w:val="-17"/>
        </w:rPr>
        <w:t> </w:t>
      </w:r>
      <w:r>
        <w:rPr/>
        <w:t>of</w:t>
      </w:r>
      <w:r>
        <w:rPr>
          <w:spacing w:val="-17"/>
        </w:rPr>
        <w:t> </w:t>
      </w:r>
      <w:r>
        <w:rPr/>
        <w:t>the</w:t>
      </w:r>
      <w:r>
        <w:rPr>
          <w:spacing w:val="-17"/>
        </w:rPr>
        <w:t> </w:t>
      </w:r>
      <w:r>
        <w:rPr/>
        <w:t>University</w:t>
      </w:r>
      <w:r>
        <w:rPr>
          <w:spacing w:val="-17"/>
        </w:rPr>
        <w:t> </w:t>
      </w:r>
      <w:r>
        <w:rPr/>
        <w:t>community,</w:t>
      </w:r>
      <w:r>
        <w:rPr>
          <w:spacing w:val="-17"/>
        </w:rPr>
        <w:t> </w:t>
      </w:r>
      <w:r>
        <w:rPr/>
        <w:t>and recognises that the University and its policies operate in the context of state and federal laws. The Code of Conduct can be accessed online at: </w:t>
      </w:r>
      <w:r>
        <w:rPr>
          <w:rFonts w:ascii="Calibri" w:hAnsi="Calibri"/>
          <w:spacing w:val="2"/>
        </w:rPr>
        <w:t>policies.uws.edu.au/view.current. </w:t>
      </w:r>
      <w:r>
        <w:rPr>
          <w:rFonts w:ascii="Calibri" w:hAnsi="Calibri"/>
        </w:rPr>
        <w:t>php?id=00072</w:t>
      </w:r>
    </w:p>
    <w:p>
      <w:pPr>
        <w:pStyle w:val="BodyText"/>
        <w:spacing w:before="2"/>
        <w:rPr>
          <w:rFonts w:ascii="Calibri"/>
          <w:sz w:val="13"/>
        </w:rPr>
      </w:pPr>
    </w:p>
    <w:p>
      <w:pPr>
        <w:pStyle w:val="BodyText"/>
        <w:spacing w:line="254" w:lineRule="auto"/>
        <w:ind w:left="107" w:right="82"/>
        <w:rPr>
          <w:rFonts w:ascii="Calibri" w:hAnsi="Calibri"/>
        </w:rPr>
      </w:pPr>
      <w:r>
        <w:rPr/>
        <w:t>All of the University’s policies are published in an online database, available at: </w:t>
      </w:r>
      <w:r>
        <w:rPr>
          <w:rFonts w:ascii="Calibri" w:hAnsi="Calibri"/>
        </w:rPr>
        <w:t>policies.uws.edu.au</w:t>
      </w:r>
    </w:p>
    <w:p>
      <w:pPr>
        <w:spacing w:after="0" w:line="254" w:lineRule="auto"/>
        <w:rPr>
          <w:rFonts w:ascii="Calibri" w:hAnsi="Calibri"/>
        </w:rPr>
        <w:sectPr>
          <w:type w:val="continuous"/>
          <w:pgSz w:w="11910" w:h="16840"/>
          <w:pgMar w:top="1580" w:bottom="280" w:left="800" w:right="800"/>
          <w:cols w:num="3" w:equalWidth="0">
            <w:col w:w="3278" w:space="162"/>
            <w:col w:w="3289" w:space="151"/>
            <w:col w:w="3430"/>
          </w:cols>
        </w:sectPr>
      </w:pPr>
    </w:p>
    <w:p>
      <w:pPr>
        <w:pStyle w:val="BodyText"/>
        <w:spacing w:before="6"/>
        <w:rPr>
          <w:rFonts w:ascii="Calibri"/>
          <w:sz w:val="28"/>
        </w:rPr>
      </w:pPr>
    </w:p>
    <w:p>
      <w:pPr>
        <w:pStyle w:val="Heading2"/>
        <w:rPr>
          <w:b w:val="0"/>
        </w:rPr>
      </w:pPr>
      <w:bookmarkStart w:name="_TOC_250016" w:id="9"/>
      <w:bookmarkEnd w:id="9"/>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36"/>
          <w:footerReference w:type="default" r:id="rId37"/>
          <w:pgSz w:w="11910" w:h="16840"/>
          <w:pgMar w:footer="473" w:header="494" w:top="680" w:bottom="660" w:left="800" w:right="800"/>
          <w:pgNumType w:start="12"/>
        </w:sectPr>
      </w:pPr>
    </w:p>
    <w:p>
      <w:pPr>
        <w:pStyle w:val="Heading5"/>
        <w:spacing w:before="197"/>
        <w:ind w:left="114" w:right="95"/>
      </w:pPr>
      <w:bookmarkStart w:name="_TOC_250015" w:id="10"/>
      <w:bookmarkEnd w:id="10"/>
      <w:r>
        <w:rPr>
          <w:w w:val="95"/>
        </w:rPr>
        <w:t>SCHOOL OF BUSINESS</w:t>
      </w:r>
    </w:p>
    <w:p>
      <w:pPr>
        <w:pStyle w:val="BodyText"/>
        <w:rPr>
          <w:rFonts w:ascii="Gotham Narrow Bold"/>
          <w:b/>
          <w:sz w:val="25"/>
        </w:rPr>
      </w:pPr>
    </w:p>
    <w:p>
      <w:pPr>
        <w:pStyle w:val="Heading8"/>
        <w:ind w:right="95"/>
      </w:pPr>
      <w:r>
        <w:rPr/>
        <w:t>OVERVIEW</w:t>
      </w:r>
    </w:p>
    <w:p>
      <w:pPr>
        <w:pStyle w:val="BodyText"/>
        <w:spacing w:line="249" w:lineRule="auto" w:before="86"/>
        <w:ind w:left="107" w:right="95"/>
      </w:pPr>
      <w:r>
        <w:rPr>
          <w:w w:val="80"/>
        </w:rPr>
        <w:t>In </w:t>
      </w:r>
      <w:r>
        <w:rPr>
          <w:w w:val="84"/>
        </w:rPr>
        <w:t>2015, </w:t>
      </w:r>
      <w:r>
        <w:rPr>
          <w:w w:val="97"/>
        </w:rPr>
        <w:t>the </w:t>
      </w:r>
      <w:r>
        <w:rPr>
          <w:w w:val="98"/>
        </w:rPr>
        <w:t>School </w:t>
      </w:r>
      <w:r>
        <w:rPr>
          <w:w w:val="99"/>
        </w:rPr>
        <w:t>of </w:t>
      </w:r>
      <w:r>
        <w:rPr>
          <w:w w:val="96"/>
        </w:rPr>
        <w:t>Business </w:t>
      </w:r>
      <w:r>
        <w:rPr>
          <w:w w:val="97"/>
        </w:rPr>
        <w:t>initiated </w:t>
      </w:r>
      <w:r>
        <w:rPr/>
        <w:t>wide-ranging changes to its leadership, degree offerings and financial sustainability, repositioning it to be in line with the University’s new brand and capitalise on the opportunities this will bring.</w:t>
      </w:r>
    </w:p>
    <w:p>
      <w:pPr>
        <w:pStyle w:val="BodyText"/>
        <w:spacing w:before="6"/>
        <w:rPr>
          <w:sz w:val="14"/>
        </w:rPr>
      </w:pPr>
    </w:p>
    <w:p>
      <w:pPr>
        <w:pStyle w:val="Heading8"/>
        <w:ind w:left="123" w:right="95"/>
      </w:pPr>
      <w:r>
        <w:rPr>
          <w:color w:val="636466"/>
        </w:rPr>
        <w:t>Leadership</w:t>
      </w:r>
    </w:p>
    <w:p>
      <w:pPr>
        <w:pStyle w:val="BodyText"/>
        <w:spacing w:line="249" w:lineRule="auto" w:before="86"/>
        <w:ind w:left="107" w:right="43"/>
      </w:pPr>
      <w:r>
        <w:rPr/>
        <w:t>The Deputy Vice-Chancellor and Vice- President (Research and Development), Professor Scott </w:t>
      </w:r>
      <w:r>
        <w:rPr>
          <w:spacing w:val="2"/>
        </w:rPr>
        <w:t>Holmes, </w:t>
      </w:r>
      <w:r>
        <w:rPr/>
        <w:t>accepted a dual appointment as Dean of the School of </w:t>
      </w:r>
      <w:r>
        <w:rPr>
          <w:spacing w:val="1"/>
          <w:w w:val="96"/>
        </w:rPr>
        <w:t>Business</w:t>
      </w:r>
      <w:r>
        <w:rPr>
          <w:w w:val="96"/>
        </w:rPr>
        <w:t> </w:t>
      </w:r>
      <w:r>
        <w:rPr>
          <w:w w:val="95"/>
        </w:rPr>
        <w:t>in </w:t>
      </w:r>
      <w:r>
        <w:rPr>
          <w:spacing w:val="1"/>
          <w:w w:val="91"/>
        </w:rPr>
        <w:t>mid-2015.</w:t>
      </w:r>
      <w:r>
        <w:rPr>
          <w:w w:val="91"/>
        </w:rPr>
        <w:t> </w:t>
      </w:r>
      <w:r>
        <w:rPr>
          <w:spacing w:val="1"/>
          <w:w w:val="96"/>
        </w:rPr>
        <w:t>He</w:t>
      </w:r>
      <w:r>
        <w:rPr>
          <w:w w:val="96"/>
        </w:rPr>
        <w:t> </w:t>
      </w:r>
      <w:r>
        <w:rPr>
          <w:spacing w:val="1"/>
          <w:w w:val="95"/>
        </w:rPr>
        <w:t>has</w:t>
      </w:r>
      <w:r>
        <w:rPr>
          <w:w w:val="95"/>
        </w:rPr>
        <w:t> </w:t>
      </w:r>
      <w:r>
        <w:rPr>
          <w:w w:val="97"/>
        </w:rPr>
        <w:t>since </w:t>
      </w:r>
      <w:r>
        <w:rPr>
          <w:spacing w:val="1"/>
          <w:w w:val="97"/>
        </w:rPr>
        <w:t>been</w:t>
      </w:r>
      <w:r>
        <w:rPr>
          <w:w w:val="97"/>
        </w:rPr>
        <w:t> </w:t>
      </w:r>
      <w:r>
        <w:rPr/>
        <w:t>changing the School’s focus to ‘enterprise futures’, connecting it with businesses and the community to ensure that students gain relevant</w:t>
      </w:r>
      <w:r>
        <w:rPr>
          <w:spacing w:val="-16"/>
        </w:rPr>
        <w:t> </w:t>
      </w:r>
      <w:r>
        <w:rPr/>
        <w:t>knowledge</w:t>
      </w:r>
      <w:r>
        <w:rPr>
          <w:spacing w:val="-16"/>
        </w:rPr>
        <w:t> </w:t>
      </w:r>
      <w:r>
        <w:rPr/>
        <w:t>and</w:t>
      </w:r>
      <w:r>
        <w:rPr>
          <w:spacing w:val="-16"/>
        </w:rPr>
        <w:t> </w:t>
      </w:r>
      <w:r>
        <w:rPr/>
        <w:t>experience</w:t>
      </w:r>
      <w:r>
        <w:rPr>
          <w:spacing w:val="-16"/>
        </w:rPr>
        <w:t> </w:t>
      </w:r>
      <w:r>
        <w:rPr/>
        <w:t>across</w:t>
      </w:r>
      <w:r>
        <w:rPr>
          <w:spacing w:val="-16"/>
        </w:rPr>
        <w:t> </w:t>
      </w:r>
      <w:r>
        <w:rPr/>
        <w:t>a range</w:t>
      </w:r>
      <w:r>
        <w:rPr>
          <w:spacing w:val="-19"/>
        </w:rPr>
        <w:t> </w:t>
      </w:r>
      <w:r>
        <w:rPr/>
        <w:t>of</w:t>
      </w:r>
      <w:r>
        <w:rPr>
          <w:spacing w:val="-19"/>
        </w:rPr>
        <w:t> </w:t>
      </w:r>
      <w:r>
        <w:rPr/>
        <w:t>existing</w:t>
      </w:r>
      <w:r>
        <w:rPr>
          <w:spacing w:val="-19"/>
        </w:rPr>
        <w:t> </w:t>
      </w:r>
      <w:r>
        <w:rPr/>
        <w:t>and</w:t>
      </w:r>
      <w:r>
        <w:rPr>
          <w:spacing w:val="-19"/>
        </w:rPr>
        <w:t> </w:t>
      </w:r>
      <w:r>
        <w:rPr/>
        <w:t>future</w:t>
      </w:r>
      <w:r>
        <w:rPr>
          <w:spacing w:val="-19"/>
        </w:rPr>
        <w:t> </w:t>
      </w:r>
      <w:r>
        <w:rPr/>
        <w:t>business</w:t>
      </w:r>
      <w:r>
        <w:rPr>
          <w:spacing w:val="-19"/>
        </w:rPr>
        <w:t> </w:t>
      </w:r>
      <w:r>
        <w:rPr/>
        <w:t>models.</w:t>
      </w:r>
    </w:p>
    <w:p>
      <w:pPr>
        <w:pStyle w:val="BodyText"/>
        <w:rPr>
          <w:sz w:val="14"/>
        </w:rPr>
      </w:pPr>
    </w:p>
    <w:p>
      <w:pPr>
        <w:pStyle w:val="BodyText"/>
        <w:spacing w:line="249" w:lineRule="auto"/>
        <w:ind w:left="107" w:right="183"/>
      </w:pPr>
      <w:r>
        <w:rPr/>
        <w:t>The School’s leadership has supported this shift in focus, providing quality student support to achieve the shared vision of improved research and teaching results.</w:t>
      </w:r>
    </w:p>
    <w:p>
      <w:pPr>
        <w:pStyle w:val="BodyText"/>
        <w:spacing w:before="6"/>
        <w:rPr>
          <w:sz w:val="14"/>
        </w:rPr>
      </w:pPr>
    </w:p>
    <w:p>
      <w:pPr>
        <w:pStyle w:val="Heading8"/>
        <w:ind w:left="123" w:right="95"/>
      </w:pPr>
      <w:r>
        <w:rPr>
          <w:color w:val="636466"/>
          <w:w w:val="95"/>
        </w:rPr>
        <w:t>New offerings</w:t>
      </w:r>
    </w:p>
    <w:p>
      <w:pPr>
        <w:pStyle w:val="BodyText"/>
        <w:spacing w:line="249" w:lineRule="auto" w:before="86"/>
        <w:ind w:left="107" w:right="43"/>
      </w:pPr>
      <w:r>
        <w:rPr>
          <w:w w:val="80"/>
        </w:rPr>
        <w:t>In </w:t>
      </w:r>
      <w:r>
        <w:rPr>
          <w:w w:val="97"/>
        </w:rPr>
        <w:t>the </w:t>
      </w:r>
      <w:r>
        <w:rPr>
          <w:w w:val="90"/>
        </w:rPr>
        <w:t>2016 </w:t>
      </w:r>
      <w:r>
        <w:rPr>
          <w:w w:val="97"/>
        </w:rPr>
        <w:t>autumn </w:t>
      </w:r>
      <w:r>
        <w:rPr>
          <w:w w:val="93"/>
        </w:rPr>
        <w:t>semester, </w:t>
      </w:r>
      <w:r>
        <w:rPr>
          <w:w w:val="97"/>
        </w:rPr>
        <w:t>the </w:t>
      </w:r>
      <w:r>
        <w:rPr>
          <w:w w:val="98"/>
        </w:rPr>
        <w:t>School </w:t>
      </w:r>
      <w:r>
        <w:rPr>
          <w:w w:val="95"/>
        </w:rPr>
        <w:t>is </w:t>
      </w:r>
      <w:r>
        <w:rPr/>
        <w:t>offering two new undergraduate degrees, the Bachelor of Business and Bachelor of Accounting. These degrees replace the Bachelor of Business and Commerce degree.</w:t>
      </w:r>
    </w:p>
    <w:p>
      <w:pPr>
        <w:pStyle w:val="BodyText"/>
        <w:rPr>
          <w:sz w:val="14"/>
        </w:rPr>
      </w:pPr>
    </w:p>
    <w:p>
      <w:pPr>
        <w:pStyle w:val="BodyText"/>
        <w:spacing w:line="249" w:lineRule="auto"/>
        <w:ind w:left="107" w:right="156"/>
      </w:pPr>
      <w:r>
        <w:rPr>
          <w:spacing w:val="1"/>
          <w:w w:val="94"/>
        </w:rPr>
        <w:t>The</w:t>
      </w:r>
      <w:r>
        <w:rPr>
          <w:w w:val="94"/>
        </w:rPr>
        <w:t> </w:t>
      </w:r>
      <w:r>
        <w:rPr>
          <w:spacing w:val="1"/>
          <w:w w:val="98"/>
        </w:rPr>
        <w:t>School</w:t>
      </w:r>
      <w:r>
        <w:rPr>
          <w:w w:val="98"/>
        </w:rPr>
        <w:t> </w:t>
      </w:r>
      <w:r>
        <w:rPr>
          <w:spacing w:val="1"/>
          <w:w w:val="98"/>
        </w:rPr>
        <w:t>spent</w:t>
      </w:r>
      <w:r>
        <w:rPr>
          <w:w w:val="98"/>
        </w:rPr>
        <w:t> </w:t>
      </w:r>
      <w:r>
        <w:rPr>
          <w:w w:val="94"/>
        </w:rPr>
        <w:t>a </w:t>
      </w:r>
      <w:r>
        <w:rPr>
          <w:spacing w:val="1"/>
          <w:w w:val="98"/>
        </w:rPr>
        <w:t>long</w:t>
      </w:r>
      <w:r>
        <w:rPr>
          <w:w w:val="98"/>
        </w:rPr>
        <w:t> </w:t>
      </w:r>
      <w:r>
        <w:rPr>
          <w:w w:val="98"/>
        </w:rPr>
        <w:t>time </w:t>
      </w:r>
      <w:r>
        <w:rPr>
          <w:w w:val="95"/>
        </w:rPr>
        <w:t>in </w:t>
      </w:r>
      <w:r>
        <w:rPr>
          <w:spacing w:val="1"/>
          <w:w w:val="88"/>
        </w:rPr>
        <w:t>2015</w:t>
      </w:r>
      <w:r>
        <w:rPr>
          <w:w w:val="88"/>
        </w:rPr>
        <w:t> </w:t>
      </w:r>
      <w:r>
        <w:rPr/>
        <w:t>preparing these innovative degrees to ensure</w:t>
      </w:r>
      <w:r>
        <w:rPr>
          <w:spacing w:val="-20"/>
        </w:rPr>
        <w:t> </w:t>
      </w:r>
      <w:r>
        <w:rPr/>
        <w:t>they</w:t>
      </w:r>
      <w:r>
        <w:rPr>
          <w:spacing w:val="-20"/>
        </w:rPr>
        <w:t> </w:t>
      </w:r>
      <w:r>
        <w:rPr/>
        <w:t>are</w:t>
      </w:r>
      <w:r>
        <w:rPr>
          <w:spacing w:val="-20"/>
        </w:rPr>
        <w:t> </w:t>
      </w:r>
      <w:r>
        <w:rPr/>
        <w:t>attractive</w:t>
      </w:r>
      <w:r>
        <w:rPr>
          <w:spacing w:val="-20"/>
        </w:rPr>
        <w:t> </w:t>
      </w:r>
      <w:r>
        <w:rPr/>
        <w:t>to</w:t>
      </w:r>
      <w:r>
        <w:rPr>
          <w:spacing w:val="-20"/>
        </w:rPr>
        <w:t> </w:t>
      </w:r>
      <w:r>
        <w:rPr/>
        <w:t>the</w:t>
      </w:r>
      <w:r>
        <w:rPr>
          <w:spacing w:val="-20"/>
        </w:rPr>
        <w:t> </w:t>
      </w:r>
      <w:r>
        <w:rPr/>
        <w:t>market.</w:t>
      </w:r>
      <w:r>
        <w:rPr>
          <w:spacing w:val="-20"/>
        </w:rPr>
        <w:t> </w:t>
      </w:r>
      <w:r>
        <w:rPr/>
        <w:t>In addition to simplifying the course structure and enhancing the relevance of courses offered</w:t>
      </w:r>
      <w:r>
        <w:rPr>
          <w:spacing w:val="-17"/>
        </w:rPr>
        <w:t> </w:t>
      </w:r>
      <w:r>
        <w:rPr/>
        <w:t>within</w:t>
      </w:r>
      <w:r>
        <w:rPr>
          <w:spacing w:val="-17"/>
        </w:rPr>
        <w:t> </w:t>
      </w:r>
      <w:r>
        <w:rPr/>
        <w:t>these</w:t>
      </w:r>
      <w:r>
        <w:rPr>
          <w:spacing w:val="-17"/>
        </w:rPr>
        <w:t> </w:t>
      </w:r>
      <w:r>
        <w:rPr/>
        <w:t>degrees,</w:t>
      </w:r>
      <w:r>
        <w:rPr>
          <w:spacing w:val="-17"/>
        </w:rPr>
        <w:t> </w:t>
      </w:r>
      <w:r>
        <w:rPr/>
        <w:t>the</w:t>
      </w:r>
      <w:r>
        <w:rPr>
          <w:spacing w:val="-17"/>
        </w:rPr>
        <w:t> </w:t>
      </w:r>
      <w:r>
        <w:rPr/>
        <w:t>School</w:t>
      </w:r>
      <w:r>
        <w:rPr>
          <w:spacing w:val="-17"/>
        </w:rPr>
        <w:t> </w:t>
      </w:r>
      <w:r>
        <w:rPr/>
        <w:t>ran an advertising campaign under the tagline ‘Change</w:t>
      </w:r>
      <w:r>
        <w:rPr>
          <w:spacing w:val="-21"/>
        </w:rPr>
        <w:t> </w:t>
      </w:r>
      <w:r>
        <w:rPr/>
        <w:t>Maker’.</w:t>
      </w:r>
      <w:r>
        <w:rPr>
          <w:spacing w:val="-21"/>
        </w:rPr>
        <w:t> </w:t>
      </w:r>
      <w:r>
        <w:rPr/>
        <w:t>Early</w:t>
      </w:r>
      <w:r>
        <w:rPr>
          <w:spacing w:val="-21"/>
        </w:rPr>
        <w:t> </w:t>
      </w:r>
      <w:r>
        <w:rPr/>
        <w:t>market</w:t>
      </w:r>
      <w:r>
        <w:rPr>
          <w:spacing w:val="-21"/>
        </w:rPr>
        <w:t> </w:t>
      </w:r>
      <w:r>
        <w:rPr/>
        <w:t>impressions</w:t>
      </w:r>
      <w:r>
        <w:rPr>
          <w:spacing w:val="-21"/>
        </w:rPr>
        <w:t> </w:t>
      </w:r>
      <w:r>
        <w:rPr/>
        <w:t>of the</w:t>
      </w:r>
      <w:r>
        <w:rPr>
          <w:spacing w:val="-19"/>
        </w:rPr>
        <w:t> </w:t>
      </w:r>
      <w:r>
        <w:rPr/>
        <w:t>degrees’</w:t>
      </w:r>
      <w:r>
        <w:rPr>
          <w:spacing w:val="-19"/>
        </w:rPr>
        <w:t> </w:t>
      </w:r>
      <w:r>
        <w:rPr/>
        <w:t>structure</w:t>
      </w:r>
      <w:r>
        <w:rPr>
          <w:spacing w:val="-19"/>
        </w:rPr>
        <w:t> </w:t>
      </w:r>
      <w:r>
        <w:rPr/>
        <w:t>are</w:t>
      </w:r>
      <w:r>
        <w:rPr>
          <w:spacing w:val="-19"/>
        </w:rPr>
        <w:t> </w:t>
      </w:r>
      <w:r>
        <w:rPr/>
        <w:t>very</w:t>
      </w:r>
      <w:r>
        <w:rPr>
          <w:spacing w:val="-19"/>
        </w:rPr>
        <w:t> </w:t>
      </w:r>
      <w:r>
        <w:rPr/>
        <w:t>positive.</w:t>
      </w:r>
    </w:p>
    <w:p>
      <w:pPr>
        <w:pStyle w:val="BodyText"/>
        <w:spacing w:before="6"/>
        <w:rPr>
          <w:sz w:val="14"/>
        </w:rPr>
      </w:pPr>
    </w:p>
    <w:p>
      <w:pPr>
        <w:pStyle w:val="Heading8"/>
        <w:ind w:left="123" w:right="95"/>
      </w:pPr>
      <w:r>
        <w:rPr>
          <w:color w:val="636466"/>
          <w:w w:val="95"/>
        </w:rPr>
        <w:t>Financial sustainability</w:t>
      </w:r>
    </w:p>
    <w:p>
      <w:pPr>
        <w:pStyle w:val="BodyText"/>
        <w:spacing w:line="249" w:lineRule="auto" w:before="86"/>
        <w:ind w:left="107" w:right="-2"/>
      </w:pPr>
      <w:r>
        <w:rPr/>
        <w:t>The School’s reliance on the CGS and </w:t>
      </w:r>
      <w:r>
        <w:rPr>
          <w:spacing w:val="2"/>
        </w:rPr>
        <w:t>HECS- </w:t>
      </w:r>
      <w:r>
        <w:rPr/>
        <w:t>HELP</w:t>
      </w:r>
      <w:r>
        <w:rPr>
          <w:spacing w:val="-13"/>
        </w:rPr>
        <w:t> </w:t>
      </w:r>
      <w:r>
        <w:rPr/>
        <w:t>undergraduate</w:t>
      </w:r>
      <w:r>
        <w:rPr>
          <w:spacing w:val="-13"/>
        </w:rPr>
        <w:t> </w:t>
      </w:r>
      <w:r>
        <w:rPr/>
        <w:t>model</w:t>
      </w:r>
      <w:r>
        <w:rPr>
          <w:spacing w:val="-13"/>
        </w:rPr>
        <w:t> </w:t>
      </w:r>
      <w:r>
        <w:rPr/>
        <w:t>makes</w:t>
      </w:r>
      <w:r>
        <w:rPr>
          <w:spacing w:val="-13"/>
        </w:rPr>
        <w:t> </w:t>
      </w:r>
      <w:r>
        <w:rPr/>
        <w:t>the</w:t>
      </w:r>
      <w:r>
        <w:rPr>
          <w:spacing w:val="-13"/>
        </w:rPr>
        <w:t> </w:t>
      </w:r>
      <w:r>
        <w:rPr/>
        <w:t>School vulnerable to changes in domestic demand. The new degree programs and repositioning of the School’s brand will assist in increasing the</w:t>
      </w:r>
      <w:r>
        <w:rPr>
          <w:spacing w:val="-13"/>
        </w:rPr>
        <w:t> </w:t>
      </w:r>
      <w:r>
        <w:rPr/>
        <w:t>CGS</w:t>
      </w:r>
      <w:r>
        <w:rPr>
          <w:spacing w:val="-13"/>
        </w:rPr>
        <w:t> </w:t>
      </w:r>
      <w:r>
        <w:rPr/>
        <w:t>and</w:t>
      </w:r>
      <w:r>
        <w:rPr>
          <w:spacing w:val="-13"/>
        </w:rPr>
        <w:t> </w:t>
      </w:r>
      <w:r>
        <w:rPr>
          <w:spacing w:val="2"/>
        </w:rPr>
        <w:t>HECS-HELP</w:t>
      </w:r>
      <w:r>
        <w:rPr>
          <w:spacing w:val="-13"/>
        </w:rPr>
        <w:t> </w:t>
      </w:r>
      <w:r>
        <w:rPr/>
        <w:t>load</w:t>
      </w:r>
      <w:r>
        <w:rPr>
          <w:spacing w:val="-13"/>
        </w:rPr>
        <w:t> </w:t>
      </w:r>
      <w:r>
        <w:rPr/>
        <w:t>and</w:t>
      </w:r>
      <w:r>
        <w:rPr>
          <w:spacing w:val="-13"/>
        </w:rPr>
        <w:t> </w:t>
      </w:r>
      <w:r>
        <w:rPr/>
        <w:t>prepare</w:t>
      </w:r>
      <w:r>
        <w:rPr>
          <w:spacing w:val="-13"/>
        </w:rPr>
        <w:t> </w:t>
      </w:r>
      <w:r>
        <w:rPr/>
        <w:t>the School</w:t>
      </w:r>
      <w:r>
        <w:rPr>
          <w:spacing w:val="-15"/>
        </w:rPr>
        <w:t> </w:t>
      </w:r>
      <w:r>
        <w:rPr/>
        <w:t>for</w:t>
      </w:r>
      <w:r>
        <w:rPr>
          <w:spacing w:val="-15"/>
        </w:rPr>
        <w:t> </w:t>
      </w:r>
      <w:r>
        <w:rPr/>
        <w:t>any</w:t>
      </w:r>
      <w:r>
        <w:rPr>
          <w:spacing w:val="-15"/>
        </w:rPr>
        <w:t> </w:t>
      </w:r>
      <w:r>
        <w:rPr/>
        <w:t>developments</w:t>
      </w:r>
      <w:r>
        <w:rPr>
          <w:spacing w:val="-15"/>
        </w:rPr>
        <w:t> </w:t>
      </w:r>
      <w:r>
        <w:rPr/>
        <w:t>in</w:t>
      </w:r>
      <w:r>
        <w:rPr>
          <w:spacing w:val="-15"/>
        </w:rPr>
        <w:t> </w:t>
      </w:r>
      <w:r>
        <w:rPr/>
        <w:t>the</w:t>
      </w:r>
      <w:r>
        <w:rPr>
          <w:spacing w:val="-15"/>
        </w:rPr>
        <w:t> </w:t>
      </w:r>
      <w:r>
        <w:rPr/>
        <w:t>currently</w:t>
      </w:r>
    </w:p>
    <w:p>
      <w:pPr>
        <w:pStyle w:val="BodyText"/>
        <w:spacing w:before="9"/>
      </w:pPr>
      <w:r>
        <w:rPr/>
        <w:br w:type="column"/>
      </w:r>
      <w:r>
        <w:rPr/>
      </w:r>
    </w:p>
    <w:p>
      <w:pPr>
        <w:pStyle w:val="BodyText"/>
        <w:spacing w:before="1"/>
        <w:ind w:left="107" w:right="-17"/>
      </w:pPr>
      <w:r>
        <w:rPr/>
        <w:t>stalled higher education reform package.</w:t>
      </w:r>
    </w:p>
    <w:p>
      <w:pPr>
        <w:pStyle w:val="BodyText"/>
        <w:spacing w:line="249" w:lineRule="auto" w:before="7"/>
        <w:ind w:left="107" w:right="-17"/>
      </w:pPr>
      <w:r>
        <w:rPr/>
        <w:t>In addition to these activities, the School is using</w:t>
      </w:r>
      <w:r>
        <w:rPr>
          <w:spacing w:val="-15"/>
        </w:rPr>
        <w:t> </w:t>
      </w:r>
      <w:r>
        <w:rPr/>
        <w:t>strategies</w:t>
      </w:r>
      <w:r>
        <w:rPr>
          <w:spacing w:val="-15"/>
        </w:rPr>
        <w:t> </w:t>
      </w:r>
      <w:r>
        <w:rPr/>
        <w:t>to</w:t>
      </w:r>
      <w:r>
        <w:rPr>
          <w:spacing w:val="-15"/>
        </w:rPr>
        <w:t> </w:t>
      </w:r>
      <w:r>
        <w:rPr/>
        <w:t>build</w:t>
      </w:r>
      <w:r>
        <w:rPr>
          <w:spacing w:val="-15"/>
        </w:rPr>
        <w:t> </w:t>
      </w:r>
      <w:r>
        <w:rPr/>
        <w:t>postgraduate</w:t>
      </w:r>
      <w:r>
        <w:rPr>
          <w:spacing w:val="-15"/>
        </w:rPr>
        <w:t> </w:t>
      </w:r>
      <w:r>
        <w:rPr/>
        <w:t>student numbers, focusing on the international market.</w:t>
      </w:r>
    </w:p>
    <w:p>
      <w:pPr>
        <w:pStyle w:val="BodyText"/>
        <w:rPr>
          <w:sz w:val="14"/>
        </w:rPr>
      </w:pPr>
    </w:p>
    <w:p>
      <w:pPr>
        <w:pStyle w:val="BodyText"/>
        <w:spacing w:line="249" w:lineRule="auto"/>
        <w:ind w:left="107" w:right="186"/>
      </w:pPr>
      <w:r>
        <w:rPr/>
        <w:t>The School is developing alternative entry pathways to a masters degree, including a ‘qualifying’ program, to increase demand for the course. Similarly, the School has preliminary approval to institute a fee scholarship in selected, highly competitive international markets to increase student</w:t>
      </w:r>
    </w:p>
    <w:p>
      <w:pPr>
        <w:pStyle w:val="BodyText"/>
        <w:spacing w:line="192" w:lineRule="exact"/>
        <w:ind w:left="107" w:right="-17"/>
      </w:pPr>
      <w:r>
        <w:rPr/>
        <w:t>intake</w:t>
      </w:r>
      <w:r>
        <w:rPr>
          <w:spacing w:val="-24"/>
        </w:rPr>
        <w:t> </w:t>
      </w:r>
      <w:r>
        <w:rPr/>
        <w:t>and</w:t>
      </w:r>
      <w:r>
        <w:rPr>
          <w:spacing w:val="-24"/>
        </w:rPr>
        <w:t> </w:t>
      </w:r>
      <w:r>
        <w:rPr/>
        <w:t>match</w:t>
      </w:r>
      <w:r>
        <w:rPr>
          <w:spacing w:val="-24"/>
        </w:rPr>
        <w:t> </w:t>
      </w:r>
      <w:r>
        <w:rPr/>
        <w:t>other</w:t>
      </w:r>
      <w:r>
        <w:rPr>
          <w:spacing w:val="-24"/>
        </w:rPr>
        <w:t> </w:t>
      </w:r>
      <w:r>
        <w:rPr/>
        <w:t>universities’</w:t>
      </w:r>
      <w:r>
        <w:rPr>
          <w:spacing w:val="-24"/>
        </w:rPr>
        <w:t> </w:t>
      </w:r>
      <w:r>
        <w:rPr/>
        <w:t>offerings.</w:t>
      </w:r>
    </w:p>
    <w:p>
      <w:pPr>
        <w:pStyle w:val="BodyText"/>
        <w:spacing w:before="2"/>
        <w:rPr>
          <w:sz w:val="15"/>
        </w:rPr>
      </w:pPr>
    </w:p>
    <w:p>
      <w:pPr>
        <w:pStyle w:val="Heading8"/>
        <w:ind w:left="119" w:right="-17"/>
      </w:pPr>
      <w:r>
        <w:rPr>
          <w:color w:val="636466"/>
        </w:rPr>
        <w:t>Staff</w:t>
      </w:r>
    </w:p>
    <w:p>
      <w:pPr>
        <w:pStyle w:val="BodyText"/>
        <w:spacing w:line="249" w:lineRule="auto" w:before="86"/>
        <w:ind w:left="107" w:right="-17"/>
      </w:pPr>
      <w:r>
        <w:rPr/>
        <w:t>The School of Business staff members continue to thrive in changing circumstances.</w:t>
      </w:r>
    </w:p>
    <w:p>
      <w:pPr>
        <w:pStyle w:val="BodyText"/>
        <w:rPr>
          <w:sz w:val="14"/>
        </w:rPr>
      </w:pPr>
    </w:p>
    <w:p>
      <w:pPr>
        <w:pStyle w:val="BodyText"/>
        <w:spacing w:line="249" w:lineRule="auto"/>
        <w:ind w:left="107" w:right="214"/>
      </w:pPr>
      <w:r>
        <w:rPr>
          <w:w w:val="98"/>
        </w:rPr>
        <w:t>Relocations </w:t>
      </w:r>
      <w:r>
        <w:rPr>
          <w:w w:val="99"/>
        </w:rPr>
        <w:t>of </w:t>
      </w:r>
      <w:r>
        <w:rPr>
          <w:w w:val="97"/>
        </w:rPr>
        <w:t>staff </w:t>
      </w:r>
      <w:r>
        <w:rPr>
          <w:w w:val="97"/>
        </w:rPr>
        <w:t>members </w:t>
      </w:r>
      <w:r>
        <w:rPr>
          <w:w w:val="95"/>
        </w:rPr>
        <w:t>in </w:t>
      </w:r>
      <w:r>
        <w:rPr>
          <w:w w:val="88"/>
        </w:rPr>
        <w:t>2015 </w:t>
      </w:r>
      <w:r>
        <w:rPr>
          <w:w w:val="98"/>
        </w:rPr>
        <w:t>at </w:t>
      </w:r>
      <w:r>
        <w:rPr/>
        <w:t>both the Parramatta and Campbelltown campuses caused minimal disruption to the School’s activities. The School’s move to One Parramatta Square, scheduled for </w:t>
      </w:r>
      <w:r>
        <w:rPr>
          <w:w w:val="83"/>
        </w:rPr>
        <w:t>2017, </w:t>
      </w:r>
      <w:r>
        <w:rPr>
          <w:w w:val="95"/>
        </w:rPr>
        <w:t>is </w:t>
      </w:r>
      <w:r>
        <w:rPr>
          <w:w w:val="98"/>
        </w:rPr>
        <w:t>being </w:t>
      </w:r>
      <w:r>
        <w:rPr>
          <w:w w:val="97"/>
        </w:rPr>
        <w:t>handled </w:t>
      </w:r>
      <w:r>
        <w:rPr>
          <w:w w:val="95"/>
        </w:rPr>
        <w:t>in </w:t>
      </w:r>
      <w:r>
        <w:rPr>
          <w:w w:val="94"/>
        </w:rPr>
        <w:t>a </w:t>
      </w:r>
      <w:r>
        <w:rPr>
          <w:w w:val="97"/>
        </w:rPr>
        <w:t>professional </w:t>
      </w:r>
      <w:r>
        <w:rPr>
          <w:w w:val="97"/>
        </w:rPr>
        <w:t>and</w:t>
      </w:r>
    </w:p>
    <w:p>
      <w:pPr>
        <w:pStyle w:val="BodyText"/>
        <w:spacing w:line="249" w:lineRule="auto"/>
        <w:ind w:left="107" w:right="44"/>
      </w:pPr>
      <w:r>
        <w:rPr/>
        <w:t>consultative</w:t>
      </w:r>
      <w:r>
        <w:rPr>
          <w:spacing w:val="-24"/>
        </w:rPr>
        <w:t> </w:t>
      </w:r>
      <w:r>
        <w:rPr/>
        <w:t>manner.</w:t>
      </w:r>
      <w:r>
        <w:rPr>
          <w:spacing w:val="-24"/>
        </w:rPr>
        <w:t> </w:t>
      </w:r>
      <w:r>
        <w:rPr/>
        <w:t>Preparation</w:t>
      </w:r>
      <w:r>
        <w:rPr>
          <w:spacing w:val="-24"/>
        </w:rPr>
        <w:t> </w:t>
      </w:r>
      <w:r>
        <w:rPr/>
        <w:t>is</w:t>
      </w:r>
      <w:r>
        <w:rPr>
          <w:spacing w:val="-24"/>
        </w:rPr>
        <w:t> </w:t>
      </w:r>
      <w:r>
        <w:rPr/>
        <w:t>underway on</w:t>
      </w:r>
      <w:r>
        <w:rPr>
          <w:spacing w:val="-16"/>
        </w:rPr>
        <w:t> </w:t>
      </w:r>
      <w:r>
        <w:rPr/>
        <w:t>the</w:t>
      </w:r>
      <w:r>
        <w:rPr>
          <w:spacing w:val="-16"/>
        </w:rPr>
        <w:t> </w:t>
      </w:r>
      <w:r>
        <w:rPr/>
        <w:t>teaching</w:t>
      </w:r>
      <w:r>
        <w:rPr>
          <w:spacing w:val="-16"/>
        </w:rPr>
        <w:t> </w:t>
      </w:r>
      <w:r>
        <w:rPr/>
        <w:t>and</w:t>
      </w:r>
      <w:r>
        <w:rPr>
          <w:spacing w:val="-16"/>
        </w:rPr>
        <w:t> </w:t>
      </w:r>
      <w:r>
        <w:rPr/>
        <w:t>learning</w:t>
      </w:r>
      <w:r>
        <w:rPr>
          <w:spacing w:val="-16"/>
        </w:rPr>
        <w:t> </w:t>
      </w:r>
      <w:r>
        <w:rPr/>
        <w:t>design</w:t>
      </w:r>
      <w:r>
        <w:rPr>
          <w:spacing w:val="-16"/>
        </w:rPr>
        <w:t> </w:t>
      </w:r>
      <w:r>
        <w:rPr/>
        <w:t>for</w:t>
      </w:r>
    </w:p>
    <w:p>
      <w:pPr>
        <w:pStyle w:val="BodyText"/>
        <w:spacing w:line="249" w:lineRule="auto"/>
        <w:ind w:left="107" w:right="534"/>
        <w:jc w:val="both"/>
      </w:pPr>
      <w:r>
        <w:rPr/>
        <w:t>the</w:t>
      </w:r>
      <w:r>
        <w:rPr>
          <w:spacing w:val="-18"/>
        </w:rPr>
        <w:t> </w:t>
      </w:r>
      <w:r>
        <w:rPr/>
        <w:t>new</w:t>
      </w:r>
      <w:r>
        <w:rPr>
          <w:spacing w:val="-18"/>
        </w:rPr>
        <w:t> </w:t>
      </w:r>
      <w:r>
        <w:rPr/>
        <w:t>facilities,</w:t>
      </w:r>
      <w:r>
        <w:rPr>
          <w:spacing w:val="-18"/>
        </w:rPr>
        <w:t> </w:t>
      </w:r>
      <w:r>
        <w:rPr/>
        <w:t>as</w:t>
      </w:r>
      <w:r>
        <w:rPr>
          <w:spacing w:val="-18"/>
        </w:rPr>
        <w:t> </w:t>
      </w:r>
      <w:r>
        <w:rPr/>
        <w:t>well</w:t>
      </w:r>
      <w:r>
        <w:rPr>
          <w:spacing w:val="-18"/>
        </w:rPr>
        <w:t> </w:t>
      </w:r>
      <w:r>
        <w:rPr/>
        <w:t>as</w:t>
      </w:r>
      <w:r>
        <w:rPr>
          <w:spacing w:val="-18"/>
        </w:rPr>
        <w:t> </w:t>
      </w:r>
      <w:r>
        <w:rPr/>
        <w:t>on</w:t>
      </w:r>
      <w:r>
        <w:rPr>
          <w:spacing w:val="-18"/>
        </w:rPr>
        <w:t> </w:t>
      </w:r>
      <w:r>
        <w:rPr/>
        <w:t>process and</w:t>
      </w:r>
      <w:r>
        <w:rPr>
          <w:spacing w:val="-14"/>
        </w:rPr>
        <w:t> </w:t>
      </w:r>
      <w:r>
        <w:rPr/>
        <w:t>practice</w:t>
      </w:r>
      <w:r>
        <w:rPr>
          <w:spacing w:val="-14"/>
        </w:rPr>
        <w:t> </w:t>
      </w:r>
      <w:r>
        <w:rPr/>
        <w:t>reviews</w:t>
      </w:r>
      <w:r>
        <w:rPr>
          <w:spacing w:val="-14"/>
        </w:rPr>
        <w:t> </w:t>
      </w:r>
      <w:r>
        <w:rPr/>
        <w:t>for</w:t>
      </w:r>
      <w:r>
        <w:rPr>
          <w:spacing w:val="-14"/>
        </w:rPr>
        <w:t> </w:t>
      </w:r>
      <w:r>
        <w:rPr/>
        <w:t>academic</w:t>
      </w:r>
      <w:r>
        <w:rPr>
          <w:spacing w:val="-14"/>
        </w:rPr>
        <w:t> </w:t>
      </w:r>
      <w:r>
        <w:rPr/>
        <w:t>and professional</w:t>
      </w:r>
      <w:r>
        <w:rPr>
          <w:spacing w:val="-24"/>
        </w:rPr>
        <w:t> </w:t>
      </w:r>
      <w:r>
        <w:rPr/>
        <w:t>staff</w:t>
      </w:r>
      <w:r>
        <w:rPr>
          <w:spacing w:val="-25"/>
        </w:rPr>
        <w:t> </w:t>
      </w:r>
      <w:r>
        <w:rPr/>
        <w:t>members.</w:t>
      </w:r>
    </w:p>
    <w:p>
      <w:pPr>
        <w:pStyle w:val="BodyText"/>
        <w:rPr>
          <w:sz w:val="14"/>
        </w:rPr>
      </w:pPr>
    </w:p>
    <w:p>
      <w:pPr>
        <w:pStyle w:val="BodyText"/>
        <w:spacing w:line="249" w:lineRule="auto"/>
        <w:ind w:left="107" w:right="142"/>
      </w:pPr>
      <w:r>
        <w:rPr>
          <w:w w:val="94"/>
        </w:rPr>
        <w:t>The </w:t>
      </w:r>
      <w:r>
        <w:rPr>
          <w:w w:val="96"/>
        </w:rPr>
        <w:t>results </w:t>
      </w:r>
      <w:r>
        <w:rPr>
          <w:w w:val="99"/>
        </w:rPr>
        <w:t>of </w:t>
      </w:r>
      <w:r>
        <w:rPr>
          <w:w w:val="97"/>
        </w:rPr>
        <w:t>the </w:t>
      </w:r>
      <w:r>
        <w:rPr>
          <w:w w:val="88"/>
        </w:rPr>
        <w:t>2015 </w:t>
      </w:r>
      <w:r>
        <w:rPr>
          <w:w w:val="99"/>
        </w:rPr>
        <w:t>My </w:t>
      </w:r>
      <w:r>
        <w:rPr>
          <w:w w:val="100"/>
        </w:rPr>
        <w:t>Voice </w:t>
      </w:r>
      <w:r>
        <w:rPr>
          <w:w w:val="97"/>
        </w:rPr>
        <w:t>survey </w:t>
      </w:r>
      <w:r>
        <w:rPr/>
        <w:t>were positive, showing improvements from </w:t>
      </w:r>
      <w:r>
        <w:rPr>
          <w:w w:val="84"/>
        </w:rPr>
        <w:t>2012. </w:t>
      </w:r>
      <w:r>
        <w:rPr>
          <w:w w:val="94"/>
        </w:rPr>
        <w:t>The </w:t>
      </w:r>
      <w:r>
        <w:rPr>
          <w:w w:val="97"/>
        </w:rPr>
        <w:t>survey </w:t>
      </w:r>
      <w:r>
        <w:rPr>
          <w:w w:val="98"/>
        </w:rPr>
        <w:t>identified </w:t>
      </w:r>
      <w:r>
        <w:rPr>
          <w:w w:val="95"/>
        </w:rPr>
        <w:t>areas </w:t>
      </w:r>
      <w:r>
        <w:rPr>
          <w:w w:val="98"/>
        </w:rPr>
        <w:t>that </w:t>
      </w:r>
      <w:r>
        <w:rPr>
          <w:w w:val="97"/>
        </w:rPr>
        <w:t>need </w:t>
      </w:r>
      <w:r>
        <w:rPr/>
        <w:t>attention, and action will be taken.</w:t>
      </w:r>
    </w:p>
    <w:p>
      <w:pPr>
        <w:pStyle w:val="BodyText"/>
        <w:rPr>
          <w:sz w:val="14"/>
        </w:rPr>
      </w:pPr>
    </w:p>
    <w:p>
      <w:pPr>
        <w:pStyle w:val="BodyText"/>
        <w:spacing w:line="249" w:lineRule="auto"/>
        <w:ind w:left="107" w:right="251"/>
      </w:pPr>
      <w:r>
        <w:rPr/>
        <w:t>The School continues to emphasise the importance of cultivating leadership, giving priority to developing research and </w:t>
      </w:r>
      <w:r>
        <w:rPr>
          <w:w w:val="98"/>
        </w:rPr>
        <w:t>governance </w:t>
      </w:r>
      <w:r>
        <w:rPr>
          <w:w w:val="96"/>
        </w:rPr>
        <w:t>leaders </w:t>
      </w:r>
      <w:r>
        <w:rPr>
          <w:w w:val="94"/>
        </w:rPr>
        <w:t>internally. </w:t>
      </w:r>
      <w:r>
        <w:rPr>
          <w:w w:val="80"/>
        </w:rPr>
        <w:t>In </w:t>
      </w:r>
      <w:r>
        <w:rPr>
          <w:w w:val="84"/>
        </w:rPr>
        <w:t>2015,</w:t>
      </w:r>
    </w:p>
    <w:p>
      <w:pPr>
        <w:pStyle w:val="BodyText"/>
        <w:spacing w:line="249" w:lineRule="auto"/>
        <w:ind w:left="107" w:right="44"/>
      </w:pPr>
      <w:r>
        <w:rPr/>
        <w:t>professional leadership coaching continued for</w:t>
      </w:r>
      <w:r>
        <w:rPr>
          <w:spacing w:val="-15"/>
        </w:rPr>
        <w:t> </w:t>
      </w:r>
      <w:r>
        <w:rPr/>
        <w:t>staff</w:t>
      </w:r>
      <w:r>
        <w:rPr>
          <w:spacing w:val="-15"/>
        </w:rPr>
        <w:t> </w:t>
      </w:r>
      <w:r>
        <w:rPr/>
        <w:t>members</w:t>
      </w:r>
      <w:r>
        <w:rPr>
          <w:spacing w:val="-15"/>
        </w:rPr>
        <w:t> </w:t>
      </w:r>
      <w:r>
        <w:rPr/>
        <w:t>new</w:t>
      </w:r>
      <w:r>
        <w:rPr>
          <w:spacing w:val="-15"/>
        </w:rPr>
        <w:t> </w:t>
      </w:r>
      <w:r>
        <w:rPr/>
        <w:t>to</w:t>
      </w:r>
      <w:r>
        <w:rPr>
          <w:spacing w:val="-15"/>
        </w:rPr>
        <w:t> </w:t>
      </w:r>
      <w:r>
        <w:rPr/>
        <w:t>the</w:t>
      </w:r>
      <w:r>
        <w:rPr>
          <w:spacing w:val="-15"/>
        </w:rPr>
        <w:t> </w:t>
      </w:r>
      <w:r>
        <w:rPr/>
        <w:t>roles</w:t>
      </w:r>
      <w:r>
        <w:rPr>
          <w:spacing w:val="-15"/>
        </w:rPr>
        <w:t> </w:t>
      </w:r>
      <w:r>
        <w:rPr/>
        <w:t>of</w:t>
      </w:r>
      <w:r>
        <w:rPr>
          <w:spacing w:val="-15"/>
        </w:rPr>
        <w:t> </w:t>
      </w:r>
      <w:r>
        <w:rPr/>
        <w:t>Director of Academic Program and other similar leadership</w:t>
      </w:r>
      <w:r>
        <w:rPr>
          <w:spacing w:val="-31"/>
        </w:rPr>
        <w:t> </w:t>
      </w:r>
      <w:r>
        <w:rPr/>
        <w:t>positions.</w:t>
      </w:r>
    </w:p>
    <w:p>
      <w:pPr>
        <w:pStyle w:val="BodyText"/>
        <w:rPr>
          <w:sz w:val="14"/>
        </w:rPr>
      </w:pPr>
    </w:p>
    <w:p>
      <w:pPr>
        <w:pStyle w:val="BodyText"/>
        <w:spacing w:line="247" w:lineRule="auto"/>
        <w:ind w:left="107" w:right="108"/>
      </w:pPr>
      <w:r>
        <w:rPr/>
        <w:t>The School’s professional staff members have</w:t>
      </w:r>
      <w:r>
        <w:rPr>
          <w:spacing w:val="-17"/>
        </w:rPr>
        <w:t> </w:t>
      </w:r>
      <w:r>
        <w:rPr/>
        <w:t>once</w:t>
      </w:r>
      <w:r>
        <w:rPr>
          <w:spacing w:val="-17"/>
        </w:rPr>
        <w:t> </w:t>
      </w:r>
      <w:r>
        <w:rPr/>
        <w:t>again</w:t>
      </w:r>
      <w:r>
        <w:rPr>
          <w:spacing w:val="-17"/>
        </w:rPr>
        <w:t> </w:t>
      </w:r>
      <w:r>
        <w:rPr/>
        <w:t>completed</w:t>
      </w:r>
      <w:r>
        <w:rPr>
          <w:spacing w:val="-17"/>
        </w:rPr>
        <w:t> </w:t>
      </w:r>
      <w:r>
        <w:rPr/>
        <w:t>an</w:t>
      </w:r>
      <w:r>
        <w:rPr>
          <w:spacing w:val="-17"/>
        </w:rPr>
        <w:t> </w:t>
      </w:r>
      <w:r>
        <w:rPr/>
        <w:t>external</w:t>
      </w:r>
      <w:r>
        <w:rPr>
          <w:spacing w:val="-17"/>
        </w:rPr>
        <w:t> </w:t>
      </w:r>
      <w:r>
        <w:rPr/>
        <w:t>audit through</w:t>
      </w:r>
      <w:r>
        <w:rPr>
          <w:spacing w:val="-19"/>
        </w:rPr>
        <w:t> </w:t>
      </w:r>
      <w:r>
        <w:rPr/>
        <w:t>SAI</w:t>
      </w:r>
      <w:r>
        <w:rPr>
          <w:spacing w:val="-19"/>
        </w:rPr>
        <w:t> </w:t>
      </w:r>
      <w:r>
        <w:rPr/>
        <w:t>Global</w:t>
      </w:r>
      <w:r>
        <w:rPr>
          <w:spacing w:val="-19"/>
        </w:rPr>
        <w:t> </w:t>
      </w:r>
      <w:r>
        <w:rPr/>
        <w:t>and</w:t>
      </w:r>
      <w:r>
        <w:rPr>
          <w:spacing w:val="-19"/>
        </w:rPr>
        <w:t> </w:t>
      </w:r>
      <w:r>
        <w:rPr/>
        <w:t>have</w:t>
      </w:r>
      <w:r>
        <w:rPr>
          <w:spacing w:val="-19"/>
        </w:rPr>
        <w:t> </w:t>
      </w:r>
      <w:r>
        <w:rPr/>
        <w:t>maintained</w:t>
      </w:r>
      <w:r>
        <w:rPr>
          <w:spacing w:val="-19"/>
        </w:rPr>
        <w:t> </w:t>
      </w:r>
      <w:r>
        <w:rPr/>
        <w:t>ISO </w:t>
      </w:r>
      <w:r>
        <w:rPr>
          <w:spacing w:val="2"/>
          <w:w w:val="94"/>
        </w:rPr>
        <w:t>9001:2008</w:t>
      </w:r>
      <w:r>
        <w:rPr>
          <w:w w:val="94"/>
        </w:rPr>
        <w:t> </w:t>
      </w:r>
      <w:r>
        <w:rPr>
          <w:rFonts w:ascii="Century Gothic" w:hAnsi="Century Gothic"/>
          <w:i/>
          <w:spacing w:val="1"/>
          <w:w w:val="92"/>
        </w:rPr>
        <w:t>Quality</w:t>
      </w:r>
      <w:r>
        <w:rPr>
          <w:rFonts w:ascii="Century Gothic" w:hAnsi="Century Gothic"/>
          <w:i/>
          <w:w w:val="92"/>
        </w:rPr>
        <w:t> </w:t>
      </w:r>
      <w:r>
        <w:rPr>
          <w:rFonts w:ascii="Century Gothic" w:hAnsi="Century Gothic"/>
          <w:i/>
          <w:spacing w:val="1"/>
          <w:w w:val="83"/>
        </w:rPr>
        <w:t>management</w:t>
      </w:r>
      <w:r>
        <w:rPr>
          <w:rFonts w:ascii="Century Gothic" w:hAnsi="Century Gothic"/>
          <w:i/>
          <w:w w:val="83"/>
        </w:rPr>
        <w:t> </w:t>
      </w:r>
      <w:r>
        <w:rPr>
          <w:rFonts w:ascii="Century Gothic" w:hAnsi="Century Gothic"/>
          <w:i/>
          <w:w w:val="97"/>
        </w:rPr>
        <w:t>systems </w:t>
      </w:r>
      <w:r>
        <w:rPr>
          <w:w w:val="89"/>
        </w:rPr>
        <w:t>– </w:t>
      </w:r>
      <w:r>
        <w:rPr>
          <w:rFonts w:ascii="Century Gothic" w:hAnsi="Century Gothic"/>
          <w:i/>
        </w:rPr>
        <w:t>Requirements</w:t>
      </w:r>
      <w:r>
        <w:rPr>
          <w:rFonts w:ascii="Century Gothic" w:hAnsi="Century Gothic"/>
          <w:i/>
          <w:spacing w:val="-26"/>
        </w:rPr>
        <w:t> </w:t>
      </w:r>
      <w:r>
        <w:rPr/>
        <w:t>certification.</w:t>
      </w:r>
      <w:r>
        <w:rPr>
          <w:spacing w:val="-31"/>
        </w:rPr>
        <w:t> </w:t>
      </w:r>
      <w:r>
        <w:rPr/>
        <w:t>This</w:t>
      </w:r>
      <w:r>
        <w:rPr>
          <w:spacing w:val="-31"/>
        </w:rPr>
        <w:t> </w:t>
      </w:r>
      <w:r>
        <w:rPr/>
        <w:t>recognises that</w:t>
      </w:r>
      <w:r>
        <w:rPr>
          <w:spacing w:val="-17"/>
        </w:rPr>
        <w:t> </w:t>
      </w:r>
      <w:r>
        <w:rPr/>
        <w:t>the</w:t>
      </w:r>
      <w:r>
        <w:rPr>
          <w:spacing w:val="-17"/>
        </w:rPr>
        <w:t> </w:t>
      </w:r>
      <w:r>
        <w:rPr/>
        <w:t>systems</w:t>
      </w:r>
      <w:r>
        <w:rPr>
          <w:spacing w:val="-17"/>
        </w:rPr>
        <w:t> </w:t>
      </w:r>
      <w:r>
        <w:rPr/>
        <w:t>and</w:t>
      </w:r>
      <w:r>
        <w:rPr>
          <w:spacing w:val="-17"/>
        </w:rPr>
        <w:t> </w:t>
      </w:r>
      <w:r>
        <w:rPr/>
        <w:t>processes</w:t>
      </w:r>
      <w:r>
        <w:rPr>
          <w:spacing w:val="-17"/>
        </w:rPr>
        <w:t> </w:t>
      </w:r>
      <w:r>
        <w:rPr/>
        <w:t>our</w:t>
      </w:r>
    </w:p>
    <w:p>
      <w:pPr>
        <w:pStyle w:val="BodyText"/>
        <w:spacing w:line="249" w:lineRule="auto" w:before="1"/>
        <w:ind w:left="107"/>
        <w:jc w:val="both"/>
      </w:pPr>
      <w:r>
        <w:rPr/>
        <w:t>professional</w:t>
      </w:r>
      <w:r>
        <w:rPr>
          <w:spacing w:val="-17"/>
        </w:rPr>
        <w:t> </w:t>
      </w:r>
      <w:r>
        <w:rPr/>
        <w:t>staff</w:t>
      </w:r>
      <w:r>
        <w:rPr>
          <w:spacing w:val="-17"/>
        </w:rPr>
        <w:t> </w:t>
      </w:r>
      <w:r>
        <w:rPr/>
        <w:t>members</w:t>
      </w:r>
      <w:r>
        <w:rPr>
          <w:spacing w:val="-17"/>
        </w:rPr>
        <w:t> </w:t>
      </w:r>
      <w:r>
        <w:rPr/>
        <w:t>follow</w:t>
      </w:r>
      <w:r>
        <w:rPr>
          <w:spacing w:val="-17"/>
        </w:rPr>
        <w:t> </w:t>
      </w:r>
      <w:r>
        <w:rPr/>
        <w:t>are</w:t>
      </w:r>
      <w:r>
        <w:rPr>
          <w:spacing w:val="-17"/>
        </w:rPr>
        <w:t> </w:t>
      </w:r>
      <w:r>
        <w:rPr/>
        <w:t>meeting the</w:t>
      </w:r>
      <w:r>
        <w:rPr>
          <w:spacing w:val="-15"/>
        </w:rPr>
        <w:t> </w:t>
      </w:r>
      <w:r>
        <w:rPr/>
        <w:t>demands</w:t>
      </w:r>
      <w:r>
        <w:rPr>
          <w:spacing w:val="-15"/>
        </w:rPr>
        <w:t> </w:t>
      </w:r>
      <w:r>
        <w:rPr/>
        <w:t>of</w:t>
      </w:r>
      <w:r>
        <w:rPr>
          <w:spacing w:val="-15"/>
        </w:rPr>
        <w:t> </w:t>
      </w:r>
      <w:r>
        <w:rPr/>
        <w:t>the</w:t>
      </w:r>
      <w:r>
        <w:rPr>
          <w:spacing w:val="-15"/>
        </w:rPr>
        <w:t> </w:t>
      </w:r>
      <w:r>
        <w:rPr/>
        <w:t>School,</w:t>
      </w:r>
      <w:r>
        <w:rPr>
          <w:spacing w:val="-15"/>
        </w:rPr>
        <w:t> </w:t>
      </w:r>
      <w:r>
        <w:rPr/>
        <w:t>the</w:t>
      </w:r>
      <w:r>
        <w:rPr>
          <w:spacing w:val="-15"/>
        </w:rPr>
        <w:t> </w:t>
      </w:r>
      <w:r>
        <w:rPr/>
        <w:t>academic</w:t>
      </w:r>
      <w:r>
        <w:rPr>
          <w:spacing w:val="-15"/>
        </w:rPr>
        <w:t> </w:t>
      </w:r>
      <w:r>
        <w:rPr/>
        <w:t>staff and</w:t>
      </w:r>
      <w:r>
        <w:rPr>
          <w:spacing w:val="-26"/>
        </w:rPr>
        <w:t> </w:t>
      </w:r>
      <w:r>
        <w:rPr/>
        <w:t>students.</w:t>
      </w:r>
    </w:p>
    <w:p>
      <w:pPr>
        <w:pStyle w:val="BodyText"/>
        <w:spacing w:before="4"/>
        <w:rPr>
          <w:sz w:val="17"/>
        </w:rPr>
      </w:pPr>
      <w:r>
        <w:rPr/>
        <w:br w:type="column"/>
      </w:r>
      <w:r>
        <w:rPr>
          <w:sz w:val="17"/>
        </w:rPr>
      </w:r>
    </w:p>
    <w:p>
      <w:pPr>
        <w:pStyle w:val="Heading8"/>
        <w:ind w:right="287"/>
      </w:pPr>
      <w:r>
        <w:rPr>
          <w:w w:val="95"/>
        </w:rPr>
        <w:t>TEACHING AND LEARNING</w:t>
      </w:r>
    </w:p>
    <w:p>
      <w:pPr>
        <w:pStyle w:val="BodyText"/>
        <w:spacing w:line="249" w:lineRule="auto" w:before="86"/>
        <w:ind w:left="107" w:right="96"/>
      </w:pPr>
      <w:r>
        <w:rPr/>
        <w:t>The development of the Bachelor of Business and Bachelor of Accounting degrees is a major undertaking. Current school leavers and industry partners alike have shown considerable interest in these highly innovative programs. It is also encouraging that international partners, particularly in the Chinese market, have responded positively to the new Postgraduate Qualifying Program.</w:t>
      </w:r>
    </w:p>
    <w:p>
      <w:pPr>
        <w:pStyle w:val="BodyText"/>
        <w:rPr>
          <w:sz w:val="14"/>
        </w:rPr>
      </w:pPr>
    </w:p>
    <w:p>
      <w:pPr>
        <w:pStyle w:val="BodyText"/>
        <w:spacing w:line="249" w:lineRule="auto"/>
        <w:ind w:left="107" w:right="34"/>
      </w:pPr>
      <w:r>
        <w:rPr>
          <w:w w:val="80"/>
        </w:rPr>
        <w:t>In </w:t>
      </w:r>
      <w:r>
        <w:rPr>
          <w:w w:val="84"/>
        </w:rPr>
        <w:t>2015, </w:t>
      </w:r>
      <w:r>
        <w:rPr>
          <w:w w:val="97"/>
        </w:rPr>
        <w:t>the </w:t>
      </w:r>
      <w:r>
        <w:rPr>
          <w:w w:val="98"/>
        </w:rPr>
        <w:t>School </w:t>
      </w:r>
      <w:r>
        <w:rPr>
          <w:w w:val="98"/>
        </w:rPr>
        <w:t>continued </w:t>
      </w:r>
      <w:r>
        <w:rPr>
          <w:w w:val="98"/>
        </w:rPr>
        <w:t>developing </w:t>
      </w:r>
      <w:r>
        <w:rPr>
          <w:w w:val="97"/>
        </w:rPr>
        <w:t>the </w:t>
      </w:r>
      <w:r>
        <w:rPr/>
        <w:t>pedagogy to support blended delivery, and consolidated work on blending undergraduate units. The School has shifted the emphasis to providing one-on-one, just-in-time training</w:t>
      </w:r>
    </w:p>
    <w:p>
      <w:pPr>
        <w:pStyle w:val="BodyText"/>
        <w:spacing w:line="249" w:lineRule="auto"/>
        <w:ind w:left="107" w:right="287"/>
      </w:pPr>
      <w:r>
        <w:rPr/>
        <w:t>to build professional capacity and support specific</w:t>
      </w:r>
      <w:r>
        <w:rPr>
          <w:spacing w:val="-12"/>
        </w:rPr>
        <w:t> </w:t>
      </w:r>
      <w:r>
        <w:rPr/>
        <w:t>educational</w:t>
      </w:r>
      <w:r>
        <w:rPr>
          <w:spacing w:val="-12"/>
        </w:rPr>
        <w:t> </w:t>
      </w:r>
      <w:r>
        <w:rPr/>
        <w:t>technologies</w:t>
      </w:r>
      <w:r>
        <w:rPr>
          <w:spacing w:val="-12"/>
        </w:rPr>
        <w:t> </w:t>
      </w:r>
      <w:r>
        <w:rPr/>
        <w:t>and</w:t>
      </w:r>
      <w:r>
        <w:rPr>
          <w:spacing w:val="-12"/>
        </w:rPr>
        <w:t> </w:t>
      </w:r>
      <w:r>
        <w:rPr/>
        <w:t>tools such</w:t>
      </w:r>
      <w:r>
        <w:rPr>
          <w:spacing w:val="-18"/>
        </w:rPr>
        <w:t> </w:t>
      </w:r>
      <w:r>
        <w:rPr/>
        <w:t>as</w:t>
      </w:r>
      <w:r>
        <w:rPr>
          <w:spacing w:val="-18"/>
        </w:rPr>
        <w:t> </w:t>
      </w:r>
      <w:r>
        <w:rPr/>
        <w:t>vodcasting,</w:t>
      </w:r>
      <w:r>
        <w:rPr>
          <w:spacing w:val="-18"/>
        </w:rPr>
        <w:t> </w:t>
      </w:r>
      <w:r>
        <w:rPr/>
        <w:t>online</w:t>
      </w:r>
      <w:r>
        <w:rPr>
          <w:spacing w:val="-18"/>
        </w:rPr>
        <w:t> </w:t>
      </w:r>
      <w:r>
        <w:rPr/>
        <w:t>marking</w:t>
      </w:r>
      <w:r>
        <w:rPr>
          <w:spacing w:val="-18"/>
        </w:rPr>
        <w:t> </w:t>
      </w:r>
      <w:r>
        <w:rPr/>
        <w:t>and</w:t>
      </w:r>
      <w:r>
        <w:rPr>
          <w:spacing w:val="-18"/>
        </w:rPr>
        <w:t> </w:t>
      </w:r>
      <w:r>
        <w:rPr/>
        <w:t>the </w:t>
      </w:r>
      <w:r>
        <w:rPr>
          <w:spacing w:val="1"/>
          <w:w w:val="97"/>
        </w:rPr>
        <w:t>functionalities</w:t>
      </w:r>
      <w:r>
        <w:rPr>
          <w:w w:val="97"/>
        </w:rPr>
        <w:t> </w:t>
      </w:r>
      <w:r>
        <w:rPr>
          <w:w w:val="96"/>
        </w:rPr>
        <w:t>available </w:t>
      </w:r>
      <w:r>
        <w:rPr>
          <w:w w:val="95"/>
        </w:rPr>
        <w:t>in </w:t>
      </w:r>
      <w:r>
        <w:rPr>
          <w:spacing w:val="2"/>
          <w:w w:val="94"/>
        </w:rPr>
        <w:t>vUWS.</w:t>
      </w:r>
      <w:r>
        <w:rPr>
          <w:w w:val="94"/>
        </w:rPr>
        <w:t> </w:t>
      </w:r>
      <w:r>
        <w:rPr>
          <w:spacing w:val="1"/>
          <w:w w:val="80"/>
        </w:rPr>
        <w:t>In</w:t>
      </w:r>
      <w:r>
        <w:rPr>
          <w:spacing w:val="6"/>
          <w:w w:val="80"/>
        </w:rPr>
        <w:t> </w:t>
      </w:r>
      <w:r>
        <w:rPr>
          <w:spacing w:val="1"/>
          <w:w w:val="84"/>
        </w:rPr>
        <w:t>2015,</w:t>
      </w:r>
    </w:p>
    <w:p>
      <w:pPr>
        <w:pStyle w:val="BodyText"/>
        <w:spacing w:line="249" w:lineRule="auto"/>
        <w:ind w:left="107" w:right="78"/>
      </w:pPr>
      <w:r>
        <w:rPr/>
        <w:t>a key focus was designing and developing fully online units for three programs: the Master of Commerce (Financial Planning), the online EMBA, and the Bachelor of Business Administration (BBA). Thirteen fully online </w:t>
      </w:r>
      <w:r>
        <w:rPr>
          <w:w w:val="96"/>
        </w:rPr>
        <w:t>units </w:t>
      </w:r>
      <w:r>
        <w:rPr>
          <w:w w:val="97"/>
        </w:rPr>
        <w:t>were </w:t>
      </w:r>
      <w:r>
        <w:rPr>
          <w:w w:val="99"/>
        </w:rPr>
        <w:t>developed </w:t>
      </w:r>
      <w:r>
        <w:rPr>
          <w:w w:val="97"/>
        </w:rPr>
        <w:t>and </w:t>
      </w:r>
      <w:r>
        <w:rPr>
          <w:w w:val="98"/>
        </w:rPr>
        <w:t>offered </w:t>
      </w:r>
      <w:r>
        <w:rPr>
          <w:w w:val="95"/>
        </w:rPr>
        <w:t>in </w:t>
      </w:r>
      <w:r>
        <w:rPr>
          <w:w w:val="84"/>
        </w:rPr>
        <w:t>2015, </w:t>
      </w:r>
      <w:r>
        <w:rPr>
          <w:w w:val="97"/>
        </w:rPr>
        <w:t>and </w:t>
      </w:r>
      <w:r>
        <w:rPr>
          <w:w w:val="97"/>
        </w:rPr>
        <w:t>more </w:t>
      </w:r>
      <w:r>
        <w:rPr>
          <w:w w:val="95"/>
        </w:rPr>
        <w:t>are </w:t>
      </w:r>
      <w:r>
        <w:rPr>
          <w:w w:val="98"/>
        </w:rPr>
        <w:t>being </w:t>
      </w:r>
      <w:r>
        <w:rPr>
          <w:w w:val="99"/>
        </w:rPr>
        <w:t>developed </w:t>
      </w:r>
      <w:r>
        <w:rPr>
          <w:w w:val="98"/>
        </w:rPr>
        <w:t>for </w:t>
      </w:r>
      <w:r>
        <w:rPr>
          <w:w w:val="85"/>
        </w:rPr>
        <w:t>2016.</w:t>
      </w:r>
    </w:p>
    <w:p>
      <w:pPr>
        <w:pStyle w:val="BodyText"/>
        <w:rPr>
          <w:sz w:val="14"/>
        </w:rPr>
      </w:pPr>
    </w:p>
    <w:p>
      <w:pPr>
        <w:pStyle w:val="BodyText"/>
        <w:spacing w:line="249" w:lineRule="auto"/>
        <w:ind w:left="107" w:right="81"/>
      </w:pPr>
      <w:r>
        <w:rPr/>
        <w:t>Teaching and learning innovation were high </w:t>
      </w:r>
      <w:r>
        <w:rPr>
          <w:w w:val="98"/>
        </w:rPr>
        <w:t>on </w:t>
      </w:r>
      <w:r>
        <w:rPr>
          <w:w w:val="97"/>
        </w:rPr>
        <w:t>the </w:t>
      </w:r>
      <w:r>
        <w:rPr>
          <w:w w:val="97"/>
        </w:rPr>
        <w:t>agenda </w:t>
      </w:r>
      <w:r>
        <w:rPr>
          <w:w w:val="95"/>
        </w:rPr>
        <w:t>in </w:t>
      </w:r>
      <w:r>
        <w:rPr>
          <w:w w:val="84"/>
        </w:rPr>
        <w:t>2015. </w:t>
      </w:r>
      <w:r>
        <w:rPr>
          <w:w w:val="94"/>
        </w:rPr>
        <w:t>The </w:t>
      </w:r>
      <w:r>
        <w:rPr>
          <w:w w:val="98"/>
        </w:rPr>
        <w:t>Blended </w:t>
      </w:r>
      <w:r>
        <w:rPr>
          <w:w w:val="97"/>
        </w:rPr>
        <w:t>Learning </w:t>
      </w:r>
      <w:r>
        <w:rPr/>
        <w:t>team identified the need for specialised support resources for online postgraduate students, and designed and built the state-of- the-art Online Student Orientation website.</w:t>
      </w:r>
    </w:p>
    <w:p>
      <w:pPr>
        <w:pStyle w:val="BodyText"/>
        <w:rPr>
          <w:sz w:val="14"/>
        </w:rPr>
      </w:pPr>
    </w:p>
    <w:p>
      <w:pPr>
        <w:pStyle w:val="BodyText"/>
        <w:spacing w:line="249" w:lineRule="auto"/>
        <w:ind w:left="107" w:right="168"/>
      </w:pPr>
      <w:r>
        <w:rPr>
          <w:w w:val="99"/>
        </w:rPr>
        <w:t>Another </w:t>
      </w:r>
      <w:r>
        <w:rPr>
          <w:w w:val="97"/>
        </w:rPr>
        <w:t>innovative </w:t>
      </w:r>
      <w:r>
        <w:rPr>
          <w:w w:val="96"/>
        </w:rPr>
        <w:t>project </w:t>
      </w:r>
      <w:r>
        <w:rPr>
          <w:w w:val="97"/>
        </w:rPr>
        <w:t>launched </w:t>
      </w:r>
      <w:r>
        <w:rPr>
          <w:w w:val="95"/>
        </w:rPr>
        <w:t>in </w:t>
      </w:r>
      <w:r>
        <w:rPr>
          <w:w w:val="88"/>
        </w:rPr>
        <w:t>2015 </w:t>
      </w:r>
      <w:r>
        <w:rPr/>
        <w:t>was the Sport Management program to improve student engagement and academic readiness. Further programs include an online interactive resources package to</w:t>
      </w:r>
    </w:p>
    <w:p>
      <w:pPr>
        <w:pStyle w:val="BodyText"/>
        <w:spacing w:line="249" w:lineRule="auto"/>
        <w:ind w:left="107" w:right="145"/>
      </w:pPr>
      <w:r>
        <w:rPr/>
        <w:t>help prepare students for work in individual units, which has received positive feedback. Similar resources can be developed for other programs in the School.</w:t>
      </w:r>
    </w:p>
    <w:p>
      <w:pPr>
        <w:pStyle w:val="BodyText"/>
        <w:rPr>
          <w:sz w:val="14"/>
        </w:rPr>
      </w:pPr>
    </w:p>
    <w:p>
      <w:pPr>
        <w:pStyle w:val="BodyText"/>
        <w:spacing w:line="249" w:lineRule="auto"/>
        <w:ind w:left="107" w:right="121"/>
      </w:pPr>
      <w:r>
        <w:rPr/>
        <w:t>The School’s work has been showcased in a variety of different channels, including the Financial Planning Association (FPA) and the Western Sydney University Designing for</w:t>
      </w:r>
    </w:p>
    <w:p>
      <w:pPr>
        <w:pStyle w:val="BodyText"/>
        <w:spacing w:line="249" w:lineRule="auto"/>
        <w:ind w:left="107" w:right="20"/>
      </w:pPr>
      <w:r>
        <w:rPr>
          <w:w w:val="97"/>
        </w:rPr>
        <w:t>Learning </w:t>
      </w:r>
      <w:r>
        <w:rPr>
          <w:w w:val="97"/>
        </w:rPr>
        <w:t>Showcase </w:t>
      </w:r>
      <w:r>
        <w:rPr>
          <w:w w:val="95"/>
        </w:rPr>
        <w:t>in </w:t>
      </w:r>
      <w:r>
        <w:rPr>
          <w:w w:val="98"/>
        </w:rPr>
        <w:t>December </w:t>
      </w:r>
      <w:r>
        <w:rPr>
          <w:w w:val="84"/>
        </w:rPr>
        <w:t>2015, </w:t>
      </w:r>
      <w:r>
        <w:rPr>
          <w:w w:val="96"/>
        </w:rPr>
        <w:t>where </w:t>
      </w:r>
      <w:r>
        <w:rPr/>
        <w:t>staff members presented learning innovations.</w:t>
      </w:r>
    </w:p>
    <w:p>
      <w:pPr>
        <w:pStyle w:val="BodyText"/>
        <w:rPr>
          <w:sz w:val="14"/>
        </w:rPr>
      </w:pPr>
    </w:p>
    <w:p>
      <w:pPr>
        <w:pStyle w:val="BodyText"/>
        <w:spacing w:line="247" w:lineRule="auto"/>
        <w:ind w:left="107" w:right="128"/>
      </w:pPr>
      <w:r>
        <w:rPr/>
        <w:t>The School has also participated in the University-wide Pathways to Success project, as well as </w:t>
      </w:r>
      <w:r>
        <w:rPr>
          <w:rFonts w:ascii="Century Gothic"/>
          <w:i/>
        </w:rPr>
        <w:t>Max Potential </w:t>
      </w:r>
      <w:r>
        <w:rPr/>
        <w:t>and a dedicated</w:t>
      </w:r>
    </w:p>
    <w:p>
      <w:pPr>
        <w:spacing w:after="0" w:line="247" w:lineRule="auto"/>
        <w:sectPr>
          <w:type w:val="continuous"/>
          <w:pgSz w:w="11910" w:h="16840"/>
          <w:pgMar w:top="1580" w:bottom="280" w:left="800" w:right="800"/>
          <w:cols w:num="3" w:equalWidth="0">
            <w:col w:w="3319" w:space="120"/>
            <w:col w:w="3311" w:space="128"/>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114"/>
      </w:pPr>
      <w:r>
        <w:rPr/>
        <w:t>program of connecting with high schools in the</w:t>
      </w:r>
      <w:r>
        <w:rPr>
          <w:spacing w:val="-17"/>
        </w:rPr>
        <w:t> </w:t>
      </w:r>
      <w:r>
        <w:rPr/>
        <w:t>Western</w:t>
      </w:r>
      <w:r>
        <w:rPr>
          <w:spacing w:val="-17"/>
        </w:rPr>
        <w:t> </w:t>
      </w:r>
      <w:r>
        <w:rPr/>
        <w:t>Sydney</w:t>
      </w:r>
      <w:r>
        <w:rPr>
          <w:spacing w:val="-17"/>
        </w:rPr>
        <w:t> </w:t>
      </w:r>
      <w:r>
        <w:rPr/>
        <w:t>catchment</w:t>
      </w:r>
      <w:r>
        <w:rPr>
          <w:spacing w:val="-17"/>
        </w:rPr>
        <w:t> </w:t>
      </w:r>
      <w:r>
        <w:rPr/>
        <w:t>to</w:t>
      </w:r>
      <w:r>
        <w:rPr>
          <w:spacing w:val="-17"/>
        </w:rPr>
        <w:t> </w:t>
      </w:r>
      <w:r>
        <w:rPr/>
        <w:t>showcase the</w:t>
      </w:r>
      <w:r>
        <w:rPr>
          <w:spacing w:val="-17"/>
        </w:rPr>
        <w:t> </w:t>
      </w:r>
      <w:r>
        <w:rPr/>
        <w:t>new</w:t>
      </w:r>
      <w:r>
        <w:rPr>
          <w:spacing w:val="-17"/>
        </w:rPr>
        <w:t> </w:t>
      </w:r>
      <w:r>
        <w:rPr/>
        <w:t>brand</w:t>
      </w:r>
      <w:r>
        <w:rPr>
          <w:spacing w:val="-17"/>
        </w:rPr>
        <w:t> </w:t>
      </w:r>
      <w:r>
        <w:rPr/>
        <w:t>and</w:t>
      </w:r>
      <w:r>
        <w:rPr>
          <w:spacing w:val="-17"/>
        </w:rPr>
        <w:t> </w:t>
      </w:r>
      <w:r>
        <w:rPr/>
        <w:t>discuss</w:t>
      </w:r>
      <w:r>
        <w:rPr>
          <w:spacing w:val="-17"/>
        </w:rPr>
        <w:t> </w:t>
      </w:r>
      <w:r>
        <w:rPr/>
        <w:t>the</w:t>
      </w:r>
      <w:r>
        <w:rPr>
          <w:spacing w:val="-17"/>
        </w:rPr>
        <w:t> </w:t>
      </w:r>
      <w:r>
        <w:rPr/>
        <w:t>new</w:t>
      </w:r>
      <w:r>
        <w:rPr>
          <w:spacing w:val="-17"/>
        </w:rPr>
        <w:t> </w:t>
      </w:r>
      <w:r>
        <w:rPr/>
        <w:t>degrees.</w:t>
      </w:r>
    </w:p>
    <w:p>
      <w:pPr>
        <w:pStyle w:val="BodyText"/>
        <w:spacing w:before="7"/>
        <w:rPr>
          <w:sz w:val="21"/>
        </w:rPr>
      </w:pPr>
    </w:p>
    <w:p>
      <w:pPr>
        <w:pStyle w:val="Heading8"/>
        <w:ind w:right="788"/>
      </w:pPr>
      <w:r>
        <w:rPr/>
        <w:t>ACCREDITATION</w:t>
      </w:r>
    </w:p>
    <w:p>
      <w:pPr>
        <w:pStyle w:val="BodyText"/>
        <w:spacing w:line="249" w:lineRule="auto" w:before="86"/>
        <w:ind w:left="107" w:right="310"/>
      </w:pPr>
      <w:r>
        <w:rPr>
          <w:spacing w:val="1"/>
          <w:w w:val="97"/>
        </w:rPr>
        <w:t>During</w:t>
      </w:r>
      <w:r>
        <w:rPr>
          <w:w w:val="97"/>
        </w:rPr>
        <w:t> </w:t>
      </w:r>
      <w:r>
        <w:rPr>
          <w:spacing w:val="1"/>
          <w:w w:val="84"/>
        </w:rPr>
        <w:t>2015,</w:t>
      </w:r>
      <w:r>
        <w:rPr>
          <w:w w:val="84"/>
        </w:rPr>
        <w:t> </w:t>
      </w:r>
      <w:r>
        <w:rPr>
          <w:w w:val="97"/>
        </w:rPr>
        <w:t>the </w:t>
      </w:r>
      <w:r>
        <w:rPr>
          <w:spacing w:val="1"/>
          <w:w w:val="98"/>
        </w:rPr>
        <w:t>Bachelor</w:t>
      </w:r>
      <w:r>
        <w:rPr>
          <w:w w:val="98"/>
        </w:rPr>
        <w:t> </w:t>
      </w:r>
      <w:r>
        <w:rPr>
          <w:w w:val="99"/>
        </w:rPr>
        <w:t>of </w:t>
      </w:r>
      <w:r>
        <w:rPr>
          <w:spacing w:val="1"/>
          <w:w w:val="96"/>
        </w:rPr>
        <w:t>Business</w:t>
      </w:r>
      <w:r>
        <w:rPr>
          <w:w w:val="96"/>
        </w:rPr>
        <w:t> </w:t>
      </w:r>
      <w:r>
        <w:rPr/>
        <w:t>and</w:t>
      </w:r>
      <w:r>
        <w:rPr>
          <w:spacing w:val="-12"/>
        </w:rPr>
        <w:t> </w:t>
      </w:r>
      <w:r>
        <w:rPr/>
        <w:t>Bachelor</w:t>
      </w:r>
      <w:r>
        <w:rPr>
          <w:spacing w:val="-12"/>
        </w:rPr>
        <w:t> </w:t>
      </w:r>
      <w:r>
        <w:rPr/>
        <w:t>of</w:t>
      </w:r>
      <w:r>
        <w:rPr>
          <w:spacing w:val="-12"/>
        </w:rPr>
        <w:t> </w:t>
      </w:r>
      <w:r>
        <w:rPr/>
        <w:t>Accounting</w:t>
      </w:r>
      <w:r>
        <w:rPr>
          <w:spacing w:val="-12"/>
        </w:rPr>
        <w:t> </w:t>
      </w:r>
      <w:r>
        <w:rPr/>
        <w:t>courses</w:t>
      </w:r>
      <w:r>
        <w:rPr>
          <w:spacing w:val="-12"/>
        </w:rPr>
        <w:t> </w:t>
      </w:r>
      <w:r>
        <w:rPr/>
        <w:t>were</w:t>
      </w:r>
    </w:p>
    <w:p>
      <w:pPr>
        <w:pStyle w:val="BodyText"/>
        <w:spacing w:line="249" w:lineRule="auto"/>
        <w:ind w:left="107" w:right="35"/>
      </w:pPr>
      <w:r>
        <w:rPr/>
        <w:t>approved.</w:t>
      </w:r>
      <w:r>
        <w:rPr>
          <w:spacing w:val="-17"/>
        </w:rPr>
        <w:t> </w:t>
      </w:r>
      <w:r>
        <w:rPr/>
        <w:t>Each</w:t>
      </w:r>
      <w:r>
        <w:rPr>
          <w:spacing w:val="-17"/>
        </w:rPr>
        <w:t> </w:t>
      </w:r>
      <w:r>
        <w:rPr/>
        <w:t>course</w:t>
      </w:r>
      <w:r>
        <w:rPr>
          <w:spacing w:val="-17"/>
        </w:rPr>
        <w:t> </w:t>
      </w:r>
      <w:r>
        <w:rPr/>
        <w:t>required</w:t>
      </w:r>
      <w:r>
        <w:rPr>
          <w:spacing w:val="-17"/>
        </w:rPr>
        <w:t> </w:t>
      </w:r>
      <w:r>
        <w:rPr/>
        <w:t>accreditation by the relevant professional bodies. CPA Australia, Chartered Accountants Australia and New Zealand (CAANZ) and the Institute of</w:t>
      </w:r>
      <w:r>
        <w:rPr>
          <w:spacing w:val="-13"/>
        </w:rPr>
        <w:t> </w:t>
      </w:r>
      <w:r>
        <w:rPr/>
        <w:t>Public</w:t>
      </w:r>
      <w:r>
        <w:rPr>
          <w:spacing w:val="-13"/>
        </w:rPr>
        <w:t> </w:t>
      </w:r>
      <w:r>
        <w:rPr/>
        <w:t>Accountants</w:t>
      </w:r>
      <w:r>
        <w:rPr>
          <w:spacing w:val="-13"/>
        </w:rPr>
        <w:t> </w:t>
      </w:r>
      <w:r>
        <w:rPr/>
        <w:t>(IPA)</w:t>
      </w:r>
      <w:r>
        <w:rPr>
          <w:spacing w:val="-13"/>
        </w:rPr>
        <w:t> </w:t>
      </w:r>
      <w:r>
        <w:rPr/>
        <w:t>all</w:t>
      </w:r>
      <w:r>
        <w:rPr>
          <w:spacing w:val="-13"/>
        </w:rPr>
        <w:t> </w:t>
      </w:r>
      <w:r>
        <w:rPr/>
        <w:t>accredited</w:t>
      </w:r>
    </w:p>
    <w:p>
      <w:pPr>
        <w:pStyle w:val="BodyText"/>
        <w:spacing w:line="249" w:lineRule="auto"/>
        <w:ind w:left="107" w:right="112"/>
      </w:pPr>
      <w:r>
        <w:rPr/>
        <w:t>the</w:t>
      </w:r>
      <w:r>
        <w:rPr>
          <w:spacing w:val="-13"/>
        </w:rPr>
        <w:t> </w:t>
      </w:r>
      <w:r>
        <w:rPr/>
        <w:t>Bachelor</w:t>
      </w:r>
      <w:r>
        <w:rPr>
          <w:spacing w:val="-13"/>
        </w:rPr>
        <w:t> </w:t>
      </w:r>
      <w:r>
        <w:rPr/>
        <w:t>of</w:t>
      </w:r>
      <w:r>
        <w:rPr>
          <w:spacing w:val="-13"/>
        </w:rPr>
        <w:t> </w:t>
      </w:r>
      <w:r>
        <w:rPr/>
        <w:t>Business</w:t>
      </w:r>
      <w:r>
        <w:rPr>
          <w:spacing w:val="-13"/>
        </w:rPr>
        <w:t> </w:t>
      </w:r>
      <w:r>
        <w:rPr/>
        <w:t>with</w:t>
      </w:r>
      <w:r>
        <w:rPr>
          <w:spacing w:val="-13"/>
        </w:rPr>
        <w:t> </w:t>
      </w:r>
      <w:r>
        <w:rPr/>
        <w:t>an</w:t>
      </w:r>
      <w:r>
        <w:rPr>
          <w:spacing w:val="-13"/>
        </w:rPr>
        <w:t> </w:t>
      </w:r>
      <w:r>
        <w:rPr/>
        <w:t>Accounting major; the Australian Property Institute accredited the degree with a Property major;</w:t>
      </w:r>
      <w:r>
        <w:rPr>
          <w:spacing w:val="-21"/>
        </w:rPr>
        <w:t> </w:t>
      </w:r>
      <w:r>
        <w:rPr/>
        <w:t>and</w:t>
      </w:r>
      <w:r>
        <w:rPr>
          <w:spacing w:val="-21"/>
        </w:rPr>
        <w:t> </w:t>
      </w:r>
      <w:r>
        <w:rPr/>
        <w:t>the</w:t>
      </w:r>
      <w:r>
        <w:rPr>
          <w:spacing w:val="-21"/>
        </w:rPr>
        <w:t> </w:t>
      </w:r>
      <w:r>
        <w:rPr/>
        <w:t>Australian</w:t>
      </w:r>
      <w:r>
        <w:rPr>
          <w:spacing w:val="-21"/>
        </w:rPr>
        <w:t> </w:t>
      </w:r>
      <w:r>
        <w:rPr/>
        <w:t>Human</w:t>
      </w:r>
      <w:r>
        <w:rPr>
          <w:spacing w:val="-21"/>
        </w:rPr>
        <w:t> </w:t>
      </w:r>
      <w:r>
        <w:rPr/>
        <w:t>Resources Institute’s (AHRI’s) National Accreditation Council will make its decision on a Human Resource and Management major in June </w:t>
      </w:r>
      <w:r>
        <w:rPr>
          <w:spacing w:val="2"/>
          <w:w w:val="85"/>
        </w:rPr>
        <w:t>2016.</w:t>
      </w:r>
      <w:r>
        <w:rPr>
          <w:w w:val="85"/>
        </w:rPr>
        <w:t> </w:t>
      </w:r>
      <w:r>
        <w:rPr>
          <w:spacing w:val="-1"/>
          <w:w w:val="106"/>
        </w:rPr>
        <w:t>CPA</w:t>
      </w:r>
      <w:r>
        <w:rPr>
          <w:w w:val="106"/>
        </w:rPr>
        <w:t> </w:t>
      </w:r>
      <w:r>
        <w:rPr>
          <w:spacing w:val="1"/>
          <w:w w:val="95"/>
        </w:rPr>
        <w:t>Australia,</w:t>
      </w:r>
      <w:r>
        <w:rPr>
          <w:w w:val="95"/>
        </w:rPr>
        <w:t> </w:t>
      </w:r>
      <w:r>
        <w:rPr>
          <w:spacing w:val="2"/>
          <w:w w:val="100"/>
        </w:rPr>
        <w:t>CAANZ,</w:t>
      </w:r>
      <w:r>
        <w:rPr>
          <w:w w:val="100"/>
        </w:rPr>
        <w:t> </w:t>
      </w:r>
      <w:r>
        <w:rPr>
          <w:w w:val="97"/>
        </w:rPr>
        <w:t>the </w:t>
      </w:r>
      <w:r>
        <w:rPr>
          <w:spacing w:val="-1"/>
          <w:w w:val="93"/>
        </w:rPr>
        <w:t>IPA</w:t>
      </w:r>
      <w:r>
        <w:rPr>
          <w:w w:val="93"/>
        </w:rPr>
        <w:t> </w:t>
      </w:r>
      <w:r>
        <w:rPr>
          <w:spacing w:val="1"/>
          <w:w w:val="97"/>
        </w:rPr>
        <w:t>and</w:t>
      </w:r>
      <w:r>
        <w:rPr>
          <w:w w:val="97"/>
        </w:rPr>
        <w:t> </w:t>
      </w:r>
      <w:r>
        <w:rPr/>
        <w:t>the</w:t>
      </w:r>
      <w:r>
        <w:rPr>
          <w:spacing w:val="-14"/>
        </w:rPr>
        <w:t> </w:t>
      </w:r>
      <w:r>
        <w:rPr/>
        <w:t>Financial</w:t>
      </w:r>
      <w:r>
        <w:rPr>
          <w:spacing w:val="-14"/>
        </w:rPr>
        <w:t> </w:t>
      </w:r>
      <w:r>
        <w:rPr/>
        <w:t>Planning</w:t>
      </w:r>
      <w:r>
        <w:rPr>
          <w:spacing w:val="-14"/>
        </w:rPr>
        <w:t> </w:t>
      </w:r>
      <w:r>
        <w:rPr/>
        <w:t>Education</w:t>
      </w:r>
      <w:r>
        <w:rPr>
          <w:spacing w:val="-14"/>
        </w:rPr>
        <w:t> </w:t>
      </w:r>
      <w:r>
        <w:rPr/>
        <w:t>Council</w:t>
      </w:r>
    </w:p>
    <w:p>
      <w:pPr>
        <w:pStyle w:val="BodyText"/>
        <w:spacing w:line="249" w:lineRule="auto"/>
        <w:ind w:left="107" w:right="-15"/>
      </w:pPr>
      <w:r>
        <w:rPr/>
        <w:t>all accredited the Bachelor of Accounting. Confirmation of these accreditations before </w:t>
      </w:r>
      <w:r>
        <w:rPr>
          <w:w w:val="97"/>
        </w:rPr>
        <w:t>the </w:t>
      </w:r>
      <w:r>
        <w:rPr>
          <w:w w:val="96"/>
        </w:rPr>
        <w:t>launch </w:t>
      </w:r>
      <w:r>
        <w:rPr>
          <w:w w:val="99"/>
        </w:rPr>
        <w:t>of </w:t>
      </w:r>
      <w:r>
        <w:rPr>
          <w:w w:val="97"/>
        </w:rPr>
        <w:t>the </w:t>
      </w:r>
      <w:r>
        <w:rPr>
          <w:w w:val="97"/>
        </w:rPr>
        <w:t>courses </w:t>
      </w:r>
      <w:r>
        <w:rPr>
          <w:w w:val="95"/>
        </w:rPr>
        <w:t>in </w:t>
      </w:r>
      <w:r>
        <w:rPr>
          <w:w w:val="97"/>
        </w:rPr>
        <w:t>autumn </w:t>
      </w:r>
      <w:r>
        <w:rPr>
          <w:w w:val="90"/>
        </w:rPr>
        <w:t>2016 </w:t>
      </w:r>
      <w:r>
        <w:rPr>
          <w:w w:val="95"/>
        </w:rPr>
        <w:t>is </w:t>
      </w:r>
      <w:r>
        <w:rPr>
          <w:w w:val="94"/>
        </w:rPr>
        <w:t>a </w:t>
      </w:r>
      <w:r>
        <w:rPr/>
        <w:t>great achievement and a positive enticement to potential new students.</w:t>
      </w:r>
    </w:p>
    <w:p>
      <w:pPr>
        <w:pStyle w:val="BodyText"/>
        <w:rPr>
          <w:sz w:val="14"/>
        </w:rPr>
      </w:pPr>
    </w:p>
    <w:p>
      <w:pPr>
        <w:pStyle w:val="BodyText"/>
        <w:spacing w:line="249" w:lineRule="auto"/>
        <w:ind w:left="107" w:right="239"/>
      </w:pPr>
      <w:r>
        <w:rPr/>
        <w:t>In February, the School became eligible to proceed towards accreditation with the</w:t>
      </w:r>
    </w:p>
    <w:p>
      <w:pPr>
        <w:pStyle w:val="BodyText"/>
        <w:spacing w:line="249" w:lineRule="auto"/>
        <w:ind w:left="107" w:right="-8"/>
      </w:pPr>
      <w:r>
        <w:rPr/>
        <w:t>Association to Advance Collegiate Schools of Business (AACSB). The next stage towards accreditation is to submit the Initial Self Evaluation Report (iSER), and a mentor has been allocated to assist the School through this next stage. The School had a successful meeting with this mentor in October, gaining positive</w:t>
      </w:r>
      <w:r>
        <w:rPr>
          <w:spacing w:val="-13"/>
        </w:rPr>
        <w:t> </w:t>
      </w:r>
      <w:r>
        <w:rPr/>
        <w:t>feedback</w:t>
      </w:r>
      <w:r>
        <w:rPr>
          <w:spacing w:val="-13"/>
        </w:rPr>
        <w:t> </w:t>
      </w:r>
      <w:r>
        <w:rPr/>
        <w:t>about</w:t>
      </w:r>
      <w:r>
        <w:rPr>
          <w:spacing w:val="-13"/>
        </w:rPr>
        <w:t> </w:t>
      </w:r>
      <w:r>
        <w:rPr/>
        <w:t>the</w:t>
      </w:r>
      <w:r>
        <w:rPr>
          <w:spacing w:val="-13"/>
        </w:rPr>
        <w:t> </w:t>
      </w:r>
      <w:r>
        <w:rPr/>
        <w:t>School’s</w:t>
      </w:r>
      <w:r>
        <w:rPr>
          <w:spacing w:val="-13"/>
        </w:rPr>
        <w:t> </w:t>
      </w:r>
      <w:r>
        <w:rPr/>
        <w:t>progress towards</w:t>
      </w:r>
      <w:r>
        <w:rPr>
          <w:spacing w:val="-18"/>
        </w:rPr>
        <w:t> </w:t>
      </w:r>
      <w:r>
        <w:rPr/>
        <w:t>the</w:t>
      </w:r>
      <w:r>
        <w:rPr>
          <w:spacing w:val="-18"/>
        </w:rPr>
        <w:t> </w:t>
      </w:r>
      <w:r>
        <w:rPr/>
        <w:t>standards</w:t>
      </w:r>
      <w:r>
        <w:rPr>
          <w:spacing w:val="-18"/>
        </w:rPr>
        <w:t> </w:t>
      </w:r>
      <w:r>
        <w:rPr/>
        <w:t>alignment,</w:t>
      </w:r>
      <w:r>
        <w:rPr>
          <w:spacing w:val="-18"/>
        </w:rPr>
        <w:t> </w:t>
      </w:r>
      <w:r>
        <w:rPr/>
        <w:t>particularly the work towards the Assurance of Learning process, our student-centred focus and industry engagement. The mentor believes that the School is in a good position to be approved to proceed towards accreditation after</w:t>
      </w:r>
      <w:r>
        <w:rPr>
          <w:spacing w:val="-22"/>
        </w:rPr>
        <w:t> </w:t>
      </w:r>
      <w:r>
        <w:rPr/>
        <w:t>the</w:t>
      </w:r>
      <w:r>
        <w:rPr>
          <w:spacing w:val="-22"/>
        </w:rPr>
        <w:t> </w:t>
      </w:r>
      <w:r>
        <w:rPr/>
        <w:t>iSER</w:t>
      </w:r>
      <w:r>
        <w:rPr>
          <w:spacing w:val="-22"/>
        </w:rPr>
        <w:t> </w:t>
      </w:r>
      <w:r>
        <w:rPr/>
        <w:t>submission.</w:t>
      </w:r>
    </w:p>
    <w:p>
      <w:pPr>
        <w:pStyle w:val="BodyText"/>
        <w:spacing w:before="7"/>
        <w:rPr>
          <w:sz w:val="21"/>
        </w:rPr>
      </w:pPr>
    </w:p>
    <w:p>
      <w:pPr>
        <w:pStyle w:val="Heading8"/>
        <w:ind w:right="788"/>
      </w:pPr>
      <w:r>
        <w:rPr/>
        <w:t>RESEARCH</w:t>
      </w:r>
    </w:p>
    <w:p>
      <w:pPr>
        <w:pStyle w:val="BodyText"/>
        <w:spacing w:line="249" w:lineRule="auto" w:before="86"/>
        <w:ind w:left="107"/>
      </w:pPr>
      <w:r>
        <w:rPr/>
        <w:t>It was a year of change and The School looked closely at its research position and areas</w:t>
      </w:r>
      <w:r>
        <w:rPr>
          <w:spacing w:val="-16"/>
        </w:rPr>
        <w:t> </w:t>
      </w:r>
      <w:r>
        <w:rPr/>
        <w:t>of</w:t>
      </w:r>
      <w:r>
        <w:rPr>
          <w:spacing w:val="-16"/>
        </w:rPr>
        <w:t> </w:t>
      </w:r>
      <w:r>
        <w:rPr/>
        <w:t>expertise</w:t>
      </w:r>
      <w:r>
        <w:rPr>
          <w:spacing w:val="-16"/>
        </w:rPr>
        <w:t> </w:t>
      </w:r>
      <w:r>
        <w:rPr/>
        <w:t>and</w:t>
      </w:r>
      <w:r>
        <w:rPr>
          <w:spacing w:val="-16"/>
        </w:rPr>
        <w:t> </w:t>
      </w:r>
      <w:r>
        <w:rPr/>
        <w:t>considered</w:t>
      </w:r>
      <w:r>
        <w:rPr>
          <w:spacing w:val="-16"/>
        </w:rPr>
        <w:t> </w:t>
      </w:r>
      <w:r>
        <w:rPr/>
        <w:t>the</w:t>
      </w:r>
      <w:r>
        <w:rPr>
          <w:spacing w:val="-16"/>
        </w:rPr>
        <w:t> </w:t>
      </w:r>
      <w:r>
        <w:rPr/>
        <w:t>future shape and direction of research. A whole of School</w:t>
      </w:r>
      <w:r>
        <w:rPr>
          <w:spacing w:val="-15"/>
        </w:rPr>
        <w:t> </w:t>
      </w:r>
      <w:r>
        <w:rPr/>
        <w:t>Research</w:t>
      </w:r>
      <w:r>
        <w:rPr>
          <w:spacing w:val="-15"/>
        </w:rPr>
        <w:t> </w:t>
      </w:r>
      <w:r>
        <w:rPr/>
        <w:t>Forum</w:t>
      </w:r>
      <w:r>
        <w:rPr>
          <w:spacing w:val="-15"/>
        </w:rPr>
        <w:t> </w:t>
      </w:r>
      <w:r>
        <w:rPr/>
        <w:t>was</w:t>
      </w:r>
      <w:r>
        <w:rPr>
          <w:spacing w:val="-15"/>
        </w:rPr>
        <w:t> </w:t>
      </w:r>
      <w:r>
        <w:rPr/>
        <w:t>held</w:t>
      </w:r>
      <w:r>
        <w:rPr>
          <w:spacing w:val="-15"/>
        </w:rPr>
        <w:t> </w:t>
      </w:r>
      <w:r>
        <w:rPr/>
        <w:t>to</w:t>
      </w:r>
      <w:r>
        <w:rPr>
          <w:spacing w:val="-15"/>
        </w:rPr>
        <w:t> </w:t>
      </w:r>
      <w:r>
        <w:rPr/>
        <w:t>mark</w:t>
      </w:r>
      <w:r>
        <w:rPr>
          <w:spacing w:val="-15"/>
        </w:rPr>
        <w:t> </w:t>
      </w:r>
      <w:r>
        <w:rPr/>
        <w:t>the beginning of a shift towards an alternative model</w:t>
      </w:r>
      <w:r>
        <w:rPr>
          <w:spacing w:val="-17"/>
        </w:rPr>
        <w:t> </w:t>
      </w:r>
      <w:r>
        <w:rPr/>
        <w:t>of</w:t>
      </w:r>
      <w:r>
        <w:rPr>
          <w:spacing w:val="-17"/>
        </w:rPr>
        <w:t> </w:t>
      </w:r>
      <w:r>
        <w:rPr/>
        <w:t>research</w:t>
      </w:r>
      <w:r>
        <w:rPr>
          <w:spacing w:val="-17"/>
        </w:rPr>
        <w:t> </w:t>
      </w:r>
      <w:r>
        <w:rPr/>
        <w:t>to</w:t>
      </w:r>
      <w:r>
        <w:rPr>
          <w:spacing w:val="-17"/>
        </w:rPr>
        <w:t> </w:t>
      </w:r>
      <w:r>
        <w:rPr/>
        <w:t>supersede</w:t>
      </w:r>
      <w:r>
        <w:rPr>
          <w:spacing w:val="-17"/>
        </w:rPr>
        <w:t> </w:t>
      </w:r>
      <w:r>
        <w:rPr/>
        <w:t>the</w:t>
      </w:r>
      <w:r>
        <w:rPr>
          <w:spacing w:val="-17"/>
        </w:rPr>
        <w:t> </w:t>
      </w:r>
      <w:r>
        <w:rPr/>
        <w:t>Business</w:t>
      </w:r>
    </w:p>
    <w:p>
      <w:pPr>
        <w:pStyle w:val="BodyText"/>
        <w:spacing w:before="2"/>
        <w:rPr>
          <w:sz w:val="20"/>
        </w:rPr>
      </w:pPr>
      <w:r>
        <w:rPr/>
        <w:br w:type="column"/>
      </w:r>
      <w:r>
        <w:rPr>
          <w:sz w:val="20"/>
        </w:rPr>
      </w:r>
    </w:p>
    <w:p>
      <w:pPr>
        <w:pStyle w:val="BodyText"/>
        <w:spacing w:line="249" w:lineRule="auto"/>
        <w:ind w:left="107" w:right="11"/>
        <w:jc w:val="both"/>
      </w:pPr>
      <w:r>
        <w:rPr/>
        <w:t>Sustainability,</w:t>
      </w:r>
      <w:r>
        <w:rPr>
          <w:spacing w:val="-17"/>
        </w:rPr>
        <w:t> </w:t>
      </w:r>
      <w:r>
        <w:rPr/>
        <w:t>Business</w:t>
      </w:r>
      <w:r>
        <w:rPr>
          <w:spacing w:val="-17"/>
        </w:rPr>
        <w:t> </w:t>
      </w:r>
      <w:r>
        <w:rPr/>
        <w:t>Networks</w:t>
      </w:r>
      <w:r>
        <w:rPr>
          <w:spacing w:val="-17"/>
        </w:rPr>
        <w:t> </w:t>
      </w:r>
      <w:r>
        <w:rPr/>
        <w:t>and</w:t>
      </w:r>
      <w:r>
        <w:rPr>
          <w:spacing w:val="-17"/>
        </w:rPr>
        <w:t> </w:t>
      </w:r>
      <w:r>
        <w:rPr/>
        <w:t>Supply Chain</w:t>
      </w:r>
      <w:r>
        <w:rPr>
          <w:spacing w:val="-15"/>
        </w:rPr>
        <w:t> </w:t>
      </w:r>
      <w:r>
        <w:rPr/>
        <w:t>Research</w:t>
      </w:r>
      <w:r>
        <w:rPr>
          <w:spacing w:val="-15"/>
        </w:rPr>
        <w:t> </w:t>
      </w:r>
      <w:r>
        <w:rPr/>
        <w:t>Node</w:t>
      </w:r>
      <w:r>
        <w:rPr>
          <w:spacing w:val="-15"/>
        </w:rPr>
        <w:t> </w:t>
      </w:r>
      <w:r>
        <w:rPr/>
        <w:t>and</w:t>
      </w:r>
      <w:r>
        <w:rPr>
          <w:spacing w:val="-15"/>
        </w:rPr>
        <w:t> </w:t>
      </w:r>
      <w:r>
        <w:rPr/>
        <w:t>Business</w:t>
      </w:r>
      <w:r>
        <w:rPr>
          <w:spacing w:val="-15"/>
        </w:rPr>
        <w:t> </w:t>
      </w:r>
      <w:r>
        <w:rPr/>
        <w:t>Education Research</w:t>
      </w:r>
      <w:r>
        <w:rPr>
          <w:spacing w:val="-28"/>
        </w:rPr>
        <w:t> </w:t>
      </w:r>
      <w:r>
        <w:rPr/>
        <w:t>Node.</w:t>
      </w:r>
    </w:p>
    <w:p>
      <w:pPr>
        <w:pStyle w:val="BodyText"/>
        <w:rPr>
          <w:sz w:val="14"/>
        </w:rPr>
      </w:pPr>
    </w:p>
    <w:p>
      <w:pPr>
        <w:pStyle w:val="BodyText"/>
        <w:spacing w:line="249" w:lineRule="auto"/>
        <w:ind w:left="107" w:right="4"/>
      </w:pPr>
      <w:r>
        <w:rPr/>
        <w:t>Based on a more organic and flexible approach, the new model emphasises staff members’ strengths, interests and expertise. As such, it encourages self-organising research clusters, constituted by academics with similar and/or complementary research interests or skills. The model encourages collaborative scholarship within or across disciplines that will reward academics and increase research productivity at the School.</w:t>
      </w:r>
    </w:p>
    <w:p>
      <w:pPr>
        <w:pStyle w:val="BodyText"/>
        <w:rPr>
          <w:sz w:val="14"/>
        </w:rPr>
      </w:pPr>
    </w:p>
    <w:p>
      <w:pPr>
        <w:pStyle w:val="BodyText"/>
        <w:spacing w:line="249" w:lineRule="auto"/>
        <w:ind w:left="107" w:right="-9"/>
      </w:pPr>
      <w:r>
        <w:rPr>
          <w:w w:val="80"/>
        </w:rPr>
        <w:t>In </w:t>
      </w:r>
      <w:r>
        <w:rPr>
          <w:w w:val="84"/>
        </w:rPr>
        <w:t>2015, </w:t>
      </w:r>
      <w:r>
        <w:rPr>
          <w:w w:val="97"/>
        </w:rPr>
        <w:t>the </w:t>
      </w:r>
      <w:r>
        <w:rPr>
          <w:w w:val="98"/>
        </w:rPr>
        <w:t>School </w:t>
      </w:r>
      <w:r>
        <w:rPr>
          <w:w w:val="98"/>
        </w:rPr>
        <w:t>continued </w:t>
      </w:r>
      <w:r>
        <w:rPr>
          <w:w w:val="101"/>
        </w:rPr>
        <w:t>to </w:t>
      </w:r>
      <w:r>
        <w:rPr>
          <w:w w:val="95"/>
        </w:rPr>
        <w:t>use </w:t>
      </w:r>
      <w:r>
        <w:rPr>
          <w:w w:val="96"/>
        </w:rPr>
        <w:t>six </w:t>
      </w:r>
      <w:r>
        <w:rPr/>
        <w:t>Research Liaison Officers (RLOs). The RLOs provide support for visitors and assist with grant applications, as well as networking for applied research and engagement projects. The positions are unpaid and the roles are appointed from expressions of interest made from within the School.</w:t>
      </w:r>
    </w:p>
    <w:p>
      <w:pPr>
        <w:pStyle w:val="BodyText"/>
        <w:rPr>
          <w:sz w:val="14"/>
        </w:rPr>
      </w:pPr>
    </w:p>
    <w:p>
      <w:pPr>
        <w:pStyle w:val="BodyText"/>
        <w:spacing w:line="249" w:lineRule="auto"/>
        <w:ind w:left="107" w:right="-2"/>
      </w:pPr>
      <w:r>
        <w:rPr>
          <w:spacing w:val="1"/>
          <w:w w:val="80"/>
        </w:rPr>
        <w:t>In</w:t>
      </w:r>
      <w:r>
        <w:rPr>
          <w:w w:val="80"/>
        </w:rPr>
        <w:t> </w:t>
      </w:r>
      <w:r>
        <w:rPr>
          <w:spacing w:val="1"/>
          <w:w w:val="100"/>
        </w:rPr>
        <w:t>October</w:t>
      </w:r>
      <w:r>
        <w:rPr>
          <w:w w:val="100"/>
        </w:rPr>
        <w:t> </w:t>
      </w:r>
      <w:r>
        <w:rPr>
          <w:spacing w:val="1"/>
          <w:w w:val="84"/>
        </w:rPr>
        <w:t>2015,</w:t>
      </w:r>
      <w:r>
        <w:rPr>
          <w:w w:val="84"/>
        </w:rPr>
        <w:t> </w:t>
      </w:r>
      <w:r>
        <w:rPr>
          <w:spacing w:val="-1"/>
          <w:w w:val="98"/>
        </w:rPr>
        <w:t>we</w:t>
      </w:r>
      <w:r>
        <w:rPr>
          <w:w w:val="98"/>
        </w:rPr>
        <w:t> </w:t>
      </w:r>
      <w:r>
        <w:rPr>
          <w:spacing w:val="1"/>
          <w:w w:val="97"/>
        </w:rPr>
        <w:t>had</w:t>
      </w:r>
      <w:r>
        <w:rPr>
          <w:w w:val="97"/>
        </w:rPr>
        <w:t> </w:t>
      </w:r>
      <w:r>
        <w:rPr>
          <w:spacing w:val="2"/>
          <w:w w:val="88"/>
        </w:rPr>
        <w:t>109</w:t>
      </w:r>
      <w:r>
        <w:rPr>
          <w:w w:val="88"/>
        </w:rPr>
        <w:t> </w:t>
      </w:r>
      <w:r>
        <w:rPr>
          <w:spacing w:val="1"/>
          <w:w w:val="97"/>
        </w:rPr>
        <w:t>higher-degree</w:t>
      </w:r>
      <w:r>
        <w:rPr>
          <w:w w:val="97"/>
        </w:rPr>
        <w:t> </w:t>
      </w:r>
      <w:r>
        <w:rPr/>
        <w:t>students. Many students graduated in the previous 12 months. The Higher Degree Research</w:t>
      </w:r>
      <w:r>
        <w:rPr>
          <w:spacing w:val="-20"/>
        </w:rPr>
        <w:t> </w:t>
      </w:r>
      <w:r>
        <w:rPr/>
        <w:t>Forum</w:t>
      </w:r>
      <w:r>
        <w:rPr>
          <w:spacing w:val="-20"/>
        </w:rPr>
        <w:t> </w:t>
      </w:r>
      <w:r>
        <w:rPr/>
        <w:t>was</w:t>
      </w:r>
      <w:r>
        <w:rPr>
          <w:spacing w:val="-20"/>
        </w:rPr>
        <w:t> </w:t>
      </w:r>
      <w:r>
        <w:rPr/>
        <w:t>held</w:t>
      </w:r>
      <w:r>
        <w:rPr>
          <w:spacing w:val="-20"/>
        </w:rPr>
        <w:t> </w:t>
      </w:r>
      <w:r>
        <w:rPr/>
        <w:t>in</w:t>
      </w:r>
      <w:r>
        <w:rPr>
          <w:spacing w:val="-20"/>
        </w:rPr>
        <w:t> </w:t>
      </w:r>
      <w:r>
        <w:rPr/>
        <w:t>October,</w:t>
      </w:r>
      <w:r>
        <w:rPr>
          <w:spacing w:val="-20"/>
        </w:rPr>
        <w:t> </w:t>
      </w:r>
      <w:r>
        <w:rPr/>
        <w:t>with</w:t>
      </w:r>
      <w:r>
        <w:rPr>
          <w:spacing w:val="-20"/>
        </w:rPr>
        <w:t> </w:t>
      </w:r>
      <w:r>
        <w:rPr/>
        <w:t>18 students</w:t>
      </w:r>
      <w:r>
        <w:rPr>
          <w:spacing w:val="-18"/>
        </w:rPr>
        <w:t> </w:t>
      </w:r>
      <w:r>
        <w:rPr/>
        <w:t>showcasing</w:t>
      </w:r>
      <w:r>
        <w:rPr>
          <w:spacing w:val="-18"/>
        </w:rPr>
        <w:t> </w:t>
      </w:r>
      <w:r>
        <w:rPr/>
        <w:t>their</w:t>
      </w:r>
      <w:r>
        <w:rPr>
          <w:spacing w:val="-18"/>
        </w:rPr>
        <w:t> </w:t>
      </w:r>
      <w:r>
        <w:rPr/>
        <w:t>work</w:t>
      </w:r>
      <w:r>
        <w:rPr>
          <w:spacing w:val="-18"/>
        </w:rPr>
        <w:t> </w:t>
      </w:r>
      <w:r>
        <w:rPr/>
        <w:t>and</w:t>
      </w:r>
      <w:r>
        <w:rPr>
          <w:spacing w:val="-18"/>
        </w:rPr>
        <w:t> </w:t>
      </w:r>
      <w:r>
        <w:rPr/>
        <w:t>progress.</w:t>
      </w:r>
    </w:p>
    <w:p>
      <w:pPr>
        <w:pStyle w:val="BodyText"/>
        <w:rPr>
          <w:sz w:val="14"/>
        </w:rPr>
      </w:pPr>
    </w:p>
    <w:p>
      <w:pPr>
        <w:pStyle w:val="BodyText"/>
        <w:spacing w:line="249" w:lineRule="auto"/>
        <w:ind w:left="107" w:right="-2"/>
      </w:pPr>
      <w:r>
        <w:rPr/>
        <w:t>The</w:t>
      </w:r>
      <w:r>
        <w:rPr>
          <w:spacing w:val="-16"/>
        </w:rPr>
        <w:t> </w:t>
      </w:r>
      <w:r>
        <w:rPr/>
        <w:t>School</w:t>
      </w:r>
      <w:r>
        <w:rPr>
          <w:spacing w:val="-16"/>
        </w:rPr>
        <w:t> </w:t>
      </w:r>
      <w:r>
        <w:rPr/>
        <w:t>of</w:t>
      </w:r>
      <w:r>
        <w:rPr>
          <w:spacing w:val="-16"/>
        </w:rPr>
        <w:t> </w:t>
      </w:r>
      <w:r>
        <w:rPr/>
        <w:t>Business</w:t>
      </w:r>
      <w:r>
        <w:rPr>
          <w:spacing w:val="-16"/>
        </w:rPr>
        <w:t> </w:t>
      </w:r>
      <w:r>
        <w:rPr/>
        <w:t>had</w:t>
      </w:r>
      <w:r>
        <w:rPr>
          <w:spacing w:val="-16"/>
        </w:rPr>
        <w:t> </w:t>
      </w:r>
      <w:r>
        <w:rPr/>
        <w:t>a</w:t>
      </w:r>
      <w:r>
        <w:rPr>
          <w:spacing w:val="-16"/>
        </w:rPr>
        <w:t> </w:t>
      </w:r>
      <w:r>
        <w:rPr/>
        <w:t>lively</w:t>
      </w:r>
      <w:r>
        <w:rPr>
          <w:spacing w:val="-16"/>
        </w:rPr>
        <w:t> </w:t>
      </w:r>
      <w:r>
        <w:rPr/>
        <w:t>year</w:t>
      </w:r>
      <w:r>
        <w:rPr>
          <w:spacing w:val="-16"/>
        </w:rPr>
        <w:t> </w:t>
      </w:r>
      <w:r>
        <w:rPr/>
        <w:t>of guest</w:t>
      </w:r>
      <w:r>
        <w:rPr>
          <w:spacing w:val="-25"/>
        </w:rPr>
        <w:t> </w:t>
      </w:r>
      <w:r>
        <w:rPr/>
        <w:t>speakers</w:t>
      </w:r>
      <w:r>
        <w:rPr>
          <w:spacing w:val="-25"/>
        </w:rPr>
        <w:t> </w:t>
      </w:r>
      <w:r>
        <w:rPr/>
        <w:t>and</w:t>
      </w:r>
      <w:r>
        <w:rPr>
          <w:spacing w:val="-25"/>
        </w:rPr>
        <w:t> </w:t>
      </w:r>
      <w:r>
        <w:rPr/>
        <w:t>visitors,</w:t>
      </w:r>
      <w:r>
        <w:rPr>
          <w:spacing w:val="-25"/>
        </w:rPr>
        <w:t> </w:t>
      </w:r>
      <w:r>
        <w:rPr/>
        <w:t>including:</w:t>
      </w:r>
    </w:p>
    <w:p>
      <w:pPr>
        <w:pStyle w:val="BodyText"/>
        <w:spacing w:before="11"/>
        <w:rPr>
          <w:sz w:val="13"/>
        </w:rPr>
      </w:pPr>
    </w:p>
    <w:p>
      <w:pPr>
        <w:pStyle w:val="BodyText"/>
        <w:spacing w:line="247" w:lineRule="auto"/>
        <w:ind w:left="333" w:right="-2" w:hanging="227"/>
      </w:pPr>
      <w:r>
        <w:rPr>
          <w:rFonts w:ascii="Century Gothic" w:hAnsi="Century Gothic"/>
          <w:b/>
          <w:w w:val="115"/>
        </w:rPr>
        <w:t>≥ </w:t>
      </w:r>
      <w:r>
        <w:rPr/>
        <w:t>Professor Peter Naudé, Manchester Business School, discussing his paper ‘Making the “Qualitative” in fuzzy set Qualitative Comparative Analysis Work: The Example of Relational Attractiveness of the Customer’</w:t>
      </w:r>
    </w:p>
    <w:p>
      <w:pPr>
        <w:pStyle w:val="BodyText"/>
        <w:spacing w:line="247" w:lineRule="auto" w:before="57"/>
        <w:ind w:left="333" w:right="29" w:hanging="227"/>
      </w:pPr>
      <w:r>
        <w:rPr>
          <w:rFonts w:ascii="Century Gothic" w:hAnsi="Century Gothic"/>
          <w:b/>
          <w:w w:val="115"/>
        </w:rPr>
        <w:t>≥ </w:t>
      </w:r>
      <w:r>
        <w:rPr/>
        <w:t>Professor Russell Belk, York University, presenting</w:t>
      </w:r>
      <w:r>
        <w:rPr>
          <w:spacing w:val="-19"/>
        </w:rPr>
        <w:t> </w:t>
      </w:r>
      <w:r>
        <w:rPr/>
        <w:t>his</w:t>
      </w:r>
      <w:r>
        <w:rPr>
          <w:spacing w:val="-19"/>
        </w:rPr>
        <w:t> </w:t>
      </w:r>
      <w:r>
        <w:rPr/>
        <w:t>paper</w:t>
      </w:r>
      <w:r>
        <w:rPr>
          <w:spacing w:val="-19"/>
        </w:rPr>
        <w:t> </w:t>
      </w:r>
      <w:r>
        <w:rPr/>
        <w:t>‘Qualitative</w:t>
      </w:r>
      <w:r>
        <w:rPr>
          <w:spacing w:val="-19"/>
        </w:rPr>
        <w:t> </w:t>
      </w:r>
      <w:r>
        <w:rPr/>
        <w:t>Research Methods in Consumer Psychology – Ethnography and</w:t>
      </w:r>
      <w:r>
        <w:rPr>
          <w:spacing w:val="-35"/>
        </w:rPr>
        <w:t> </w:t>
      </w:r>
      <w:r>
        <w:rPr/>
        <w:t>Culture’</w:t>
      </w:r>
    </w:p>
    <w:p>
      <w:pPr>
        <w:pStyle w:val="BodyText"/>
        <w:spacing w:line="247" w:lineRule="auto" w:before="57"/>
        <w:ind w:left="333" w:right="62" w:hanging="227"/>
      </w:pPr>
      <w:r>
        <w:rPr>
          <w:rFonts w:ascii="Century Gothic" w:hAnsi="Century Gothic"/>
          <w:b/>
          <w:w w:val="115"/>
        </w:rPr>
        <w:t>≥ </w:t>
      </w:r>
      <w:r>
        <w:rPr/>
        <w:t>Linda Hollebeek , Senior Lecturer, Auckland University of Technology, presented ‘Consumer Community Engagement Practices in a Virtual Brand Community – A Typology’</w:t>
      </w:r>
    </w:p>
    <w:p>
      <w:pPr>
        <w:pStyle w:val="BodyText"/>
        <w:spacing w:line="247" w:lineRule="auto" w:before="57"/>
        <w:ind w:left="333" w:right="104" w:hanging="227"/>
      </w:pPr>
      <w:r>
        <w:rPr>
          <w:rFonts w:ascii="Century Gothic" w:hAnsi="Century Gothic"/>
          <w:b/>
          <w:w w:val="115"/>
        </w:rPr>
        <w:t>≥ </w:t>
      </w:r>
      <w:r>
        <w:rPr/>
        <w:t>Professor </w:t>
      </w:r>
      <w:r>
        <w:rPr>
          <w:spacing w:val="-2"/>
        </w:rPr>
        <w:t>Ted </w:t>
      </w:r>
      <w:r>
        <w:rPr/>
        <w:t>Miller, Pacific Institute for Research</w:t>
      </w:r>
      <w:r>
        <w:rPr>
          <w:spacing w:val="-26"/>
        </w:rPr>
        <w:t> </w:t>
      </w:r>
      <w:r>
        <w:rPr/>
        <w:t>&amp;</w:t>
      </w:r>
      <w:r>
        <w:rPr>
          <w:spacing w:val="-26"/>
        </w:rPr>
        <w:t> </w:t>
      </w:r>
      <w:r>
        <w:rPr/>
        <w:t>Evaluation,</w:t>
      </w:r>
      <w:r>
        <w:rPr>
          <w:spacing w:val="-26"/>
        </w:rPr>
        <w:t> </w:t>
      </w:r>
      <w:r>
        <w:rPr>
          <w:spacing w:val="2"/>
        </w:rPr>
        <w:t>Maryland,</w:t>
      </w:r>
      <w:r>
        <w:rPr>
          <w:spacing w:val="-26"/>
        </w:rPr>
        <w:t> </w:t>
      </w:r>
      <w:r>
        <w:rPr/>
        <w:t>US</w:t>
      </w:r>
      <w:r>
        <w:rPr>
          <w:spacing w:val="-26"/>
        </w:rPr>
        <w:t> </w:t>
      </w:r>
      <w:r>
        <w:rPr/>
        <w:t>and Adjunct Professor at Western Australia Curtin University’s Centre for Population Health Research, ran a seminar titled ‘Prevention</w:t>
      </w:r>
      <w:r>
        <w:rPr>
          <w:spacing w:val="-19"/>
        </w:rPr>
        <w:t> </w:t>
      </w:r>
      <w:r>
        <w:rPr/>
        <w:t>versus</w:t>
      </w:r>
      <w:r>
        <w:rPr>
          <w:spacing w:val="-19"/>
        </w:rPr>
        <w:t> </w:t>
      </w:r>
      <w:r>
        <w:rPr/>
        <w:t>Cure:</w:t>
      </w:r>
      <w:r>
        <w:rPr>
          <w:spacing w:val="-19"/>
        </w:rPr>
        <w:t> </w:t>
      </w:r>
      <w:r>
        <w:rPr/>
        <w:t>Costs</w:t>
      </w:r>
      <w:r>
        <w:rPr>
          <w:spacing w:val="-19"/>
        </w:rPr>
        <w:t> </w:t>
      </w:r>
      <w:r>
        <w:rPr/>
        <w:t>of</w:t>
      </w:r>
      <w:r>
        <w:rPr>
          <w:spacing w:val="-19"/>
        </w:rPr>
        <w:t> </w:t>
      </w:r>
      <w:r>
        <w:rPr/>
        <w:t>US</w:t>
      </w:r>
    </w:p>
    <w:p>
      <w:pPr>
        <w:pStyle w:val="BodyText"/>
        <w:spacing w:before="2"/>
        <w:rPr>
          <w:sz w:val="20"/>
        </w:rPr>
      </w:pPr>
      <w:r>
        <w:rPr/>
        <w:br w:type="column"/>
      </w:r>
      <w:r>
        <w:rPr>
          <w:sz w:val="20"/>
        </w:rPr>
      </w:r>
    </w:p>
    <w:p>
      <w:pPr>
        <w:pStyle w:val="BodyText"/>
        <w:spacing w:line="249" w:lineRule="auto"/>
        <w:ind w:left="333" w:right="357"/>
      </w:pPr>
      <w:r>
        <w:rPr/>
        <w:t>Residential</w:t>
      </w:r>
      <w:r>
        <w:rPr>
          <w:spacing w:val="-21"/>
        </w:rPr>
        <w:t> </w:t>
      </w:r>
      <w:r>
        <w:rPr/>
        <w:t>Fire</w:t>
      </w:r>
      <w:r>
        <w:rPr>
          <w:spacing w:val="-21"/>
        </w:rPr>
        <w:t> </w:t>
      </w:r>
      <w:r>
        <w:rPr/>
        <w:t>Injury</w:t>
      </w:r>
      <w:r>
        <w:rPr>
          <w:spacing w:val="-21"/>
        </w:rPr>
        <w:t> </w:t>
      </w:r>
      <w:r>
        <w:rPr/>
        <w:t>and</w:t>
      </w:r>
      <w:r>
        <w:rPr>
          <w:spacing w:val="-21"/>
        </w:rPr>
        <w:t> </w:t>
      </w:r>
      <w:r>
        <w:rPr/>
        <w:t>Savings</w:t>
      </w:r>
      <w:r>
        <w:rPr>
          <w:spacing w:val="-21"/>
        </w:rPr>
        <w:t> </w:t>
      </w:r>
      <w:r>
        <w:rPr/>
        <w:t>from Prevention’</w:t>
      </w:r>
    </w:p>
    <w:p>
      <w:pPr>
        <w:pStyle w:val="BodyText"/>
        <w:spacing w:line="247" w:lineRule="auto" w:before="55"/>
        <w:ind w:left="333" w:right="213" w:hanging="227"/>
      </w:pPr>
      <w:r>
        <w:rPr>
          <w:rFonts w:ascii="Century Gothic" w:hAnsi="Century Gothic"/>
          <w:b/>
          <w:w w:val="115"/>
        </w:rPr>
        <w:t>≥ </w:t>
      </w:r>
      <w:r>
        <w:rPr/>
        <w:t>Dr Neal Arthur, University of New South Wales, delivered a seminar titled ‘Capital Expenditure and Its Impact on Future Profitability: An Empirical Study of Australian Firms’</w:t>
      </w:r>
    </w:p>
    <w:p>
      <w:pPr>
        <w:pStyle w:val="BodyText"/>
        <w:spacing w:line="247" w:lineRule="auto" w:before="57"/>
        <w:ind w:left="333" w:right="415" w:hanging="227"/>
      </w:pPr>
      <w:r>
        <w:rPr>
          <w:rFonts w:ascii="Century Gothic" w:hAnsi="Century Gothic"/>
          <w:b/>
          <w:w w:val="115"/>
        </w:rPr>
        <w:t>≥ </w:t>
      </w:r>
      <w:r>
        <w:rPr/>
        <w:t>Professor Cristina Chaminade, Lund University, conducted a seminar titled ‘Changing Knowledge Dynamics and Globalisation of Innovation’</w:t>
      </w:r>
    </w:p>
    <w:p>
      <w:pPr>
        <w:pStyle w:val="BodyText"/>
        <w:spacing w:line="247" w:lineRule="auto" w:before="57"/>
        <w:ind w:left="333" w:right="668" w:hanging="227"/>
        <w:jc w:val="both"/>
      </w:pPr>
      <w:r>
        <w:rPr>
          <w:rFonts w:ascii="Century Gothic" w:hAnsi="Century Gothic"/>
          <w:b/>
          <w:w w:val="115"/>
        </w:rPr>
        <w:t>≥ </w:t>
      </w:r>
      <w:r>
        <w:rPr/>
        <w:t>Professor Robert Faff, University of Queensland,</w:t>
      </w:r>
      <w:r>
        <w:rPr>
          <w:spacing w:val="-23"/>
        </w:rPr>
        <w:t> </w:t>
      </w:r>
      <w:r>
        <w:rPr/>
        <w:t>presented</w:t>
      </w:r>
      <w:r>
        <w:rPr>
          <w:spacing w:val="-23"/>
        </w:rPr>
        <w:t> </w:t>
      </w:r>
      <w:r>
        <w:rPr/>
        <w:t>an</w:t>
      </w:r>
      <w:r>
        <w:rPr>
          <w:spacing w:val="-23"/>
        </w:rPr>
        <w:t> </w:t>
      </w:r>
      <w:r>
        <w:rPr/>
        <w:t>informal seminar</w:t>
      </w:r>
      <w:r>
        <w:rPr>
          <w:spacing w:val="-22"/>
        </w:rPr>
        <w:t> </w:t>
      </w:r>
      <w:r>
        <w:rPr/>
        <w:t>on</w:t>
      </w:r>
      <w:r>
        <w:rPr>
          <w:spacing w:val="-22"/>
        </w:rPr>
        <w:t> </w:t>
      </w:r>
      <w:r>
        <w:rPr/>
        <w:t>publishing</w:t>
      </w:r>
      <w:r>
        <w:rPr>
          <w:spacing w:val="-22"/>
        </w:rPr>
        <w:t> </w:t>
      </w:r>
      <w:r>
        <w:rPr/>
        <w:t>tips.</w:t>
      </w:r>
    </w:p>
    <w:p>
      <w:pPr>
        <w:pStyle w:val="BodyText"/>
        <w:spacing w:before="2"/>
        <w:rPr>
          <w:sz w:val="14"/>
        </w:rPr>
      </w:pPr>
    </w:p>
    <w:p>
      <w:pPr>
        <w:pStyle w:val="BodyText"/>
        <w:spacing w:line="249" w:lineRule="auto"/>
        <w:ind w:left="107" w:right="182"/>
      </w:pPr>
      <w:r>
        <w:rPr/>
        <w:t>Eight women were awarded grants from the Women’s Research Fellowship, a University initiative.</w:t>
      </w:r>
    </w:p>
    <w:p>
      <w:pPr>
        <w:pStyle w:val="BodyText"/>
        <w:spacing w:before="7"/>
        <w:rPr>
          <w:sz w:val="21"/>
        </w:rPr>
      </w:pPr>
    </w:p>
    <w:p>
      <w:pPr>
        <w:pStyle w:val="Heading8"/>
        <w:ind w:right="287"/>
      </w:pPr>
      <w:r>
        <w:rPr/>
        <w:t>ENGAGEMENT</w:t>
      </w:r>
    </w:p>
    <w:p>
      <w:pPr>
        <w:pStyle w:val="BodyText"/>
        <w:spacing w:line="249" w:lineRule="auto" w:before="86"/>
        <w:ind w:left="107" w:right="168"/>
      </w:pPr>
      <w:r>
        <w:rPr/>
        <w:t>The School increased engagement activities </w:t>
      </w:r>
      <w:r>
        <w:rPr>
          <w:w w:val="95"/>
        </w:rPr>
        <w:t>in </w:t>
      </w:r>
      <w:r>
        <w:rPr>
          <w:w w:val="94"/>
        </w:rPr>
        <w:t>a </w:t>
      </w:r>
      <w:r>
        <w:rPr>
          <w:w w:val="96"/>
        </w:rPr>
        <w:t>range </w:t>
      </w:r>
      <w:r>
        <w:rPr>
          <w:w w:val="99"/>
        </w:rPr>
        <w:t>of </w:t>
      </w:r>
      <w:r>
        <w:rPr>
          <w:w w:val="95"/>
        </w:rPr>
        <w:t>areas </w:t>
      </w:r>
      <w:r>
        <w:rPr>
          <w:w w:val="95"/>
        </w:rPr>
        <w:t>in </w:t>
      </w:r>
      <w:r>
        <w:rPr>
          <w:w w:val="84"/>
        </w:rPr>
        <w:t>2015. </w:t>
      </w:r>
      <w:r>
        <w:rPr>
          <w:w w:val="80"/>
        </w:rPr>
        <w:t>In </w:t>
      </w:r>
      <w:r>
        <w:rPr>
          <w:w w:val="98"/>
        </w:rPr>
        <w:t>addition </w:t>
      </w:r>
      <w:r>
        <w:rPr>
          <w:w w:val="101"/>
        </w:rPr>
        <w:t>to </w:t>
      </w:r>
      <w:r>
        <w:rPr/>
        <w:t>continuing to support programs such as</w:t>
      </w:r>
    </w:p>
    <w:p>
      <w:pPr>
        <w:pStyle w:val="BodyText"/>
        <w:spacing w:line="247" w:lineRule="auto"/>
        <w:ind w:left="107" w:right="119"/>
      </w:pPr>
      <w:r>
        <w:rPr/>
        <w:t>the Western Sydney Awards for Business Excellence, the Lucy Mentoring Program and </w:t>
      </w:r>
      <w:r>
        <w:rPr>
          <w:rFonts w:ascii="Century Gothic" w:hAnsi="Century Gothic"/>
          <w:i/>
        </w:rPr>
        <w:t>Max Potential </w:t>
      </w:r>
      <w:r>
        <w:rPr/>
        <w:t>in the Hills and Parramatta regions, the School held one-on-one meetings with business organisations across the Western Sydney region and wider Sydney. A number of these visits were at the organisations’ request, but increasingly the School is targeting organisations where there is have an existing relationship or there is mutual benefit in making contact.</w:t>
      </w:r>
    </w:p>
    <w:p>
      <w:pPr>
        <w:pStyle w:val="BodyText"/>
        <w:spacing w:before="2"/>
        <w:rPr>
          <w:sz w:val="14"/>
        </w:rPr>
      </w:pPr>
    </w:p>
    <w:p>
      <w:pPr>
        <w:pStyle w:val="BodyText"/>
        <w:spacing w:line="249" w:lineRule="auto"/>
        <w:ind w:left="107" w:right="177"/>
      </w:pPr>
      <w:r>
        <w:rPr/>
        <w:t>Several organisations have requested assistance with their intern programs and see</w:t>
      </w:r>
      <w:r>
        <w:rPr>
          <w:spacing w:val="-16"/>
        </w:rPr>
        <w:t> </w:t>
      </w:r>
      <w:r>
        <w:rPr/>
        <w:t>the</w:t>
      </w:r>
      <w:r>
        <w:rPr>
          <w:spacing w:val="-16"/>
        </w:rPr>
        <w:t> </w:t>
      </w:r>
      <w:r>
        <w:rPr/>
        <w:t>School</w:t>
      </w:r>
      <w:r>
        <w:rPr>
          <w:spacing w:val="-16"/>
        </w:rPr>
        <w:t> </w:t>
      </w:r>
      <w:r>
        <w:rPr/>
        <w:t>as</w:t>
      </w:r>
      <w:r>
        <w:rPr>
          <w:spacing w:val="-16"/>
        </w:rPr>
        <w:t> </w:t>
      </w:r>
      <w:r>
        <w:rPr/>
        <w:t>a</w:t>
      </w:r>
      <w:r>
        <w:rPr>
          <w:spacing w:val="-16"/>
        </w:rPr>
        <w:t> </w:t>
      </w:r>
      <w:r>
        <w:rPr/>
        <w:t>valuable</w:t>
      </w:r>
      <w:r>
        <w:rPr>
          <w:spacing w:val="-16"/>
        </w:rPr>
        <w:t> </w:t>
      </w:r>
      <w:r>
        <w:rPr/>
        <w:t>source</w:t>
      </w:r>
      <w:r>
        <w:rPr>
          <w:spacing w:val="-16"/>
        </w:rPr>
        <w:t> </w:t>
      </w:r>
      <w:r>
        <w:rPr/>
        <w:t>of</w:t>
      </w:r>
      <w:r>
        <w:rPr>
          <w:spacing w:val="-16"/>
        </w:rPr>
        <w:t> </w:t>
      </w:r>
      <w:r>
        <w:rPr/>
        <w:t>future staff members. The School has worked with organisations</w:t>
      </w:r>
      <w:r>
        <w:rPr>
          <w:spacing w:val="-23"/>
        </w:rPr>
        <w:t> </w:t>
      </w:r>
      <w:r>
        <w:rPr/>
        <w:t>including</w:t>
      </w:r>
      <w:r>
        <w:rPr>
          <w:spacing w:val="-23"/>
        </w:rPr>
        <w:t> </w:t>
      </w:r>
      <w:r>
        <w:rPr/>
        <w:t>a</w:t>
      </w:r>
      <w:r>
        <w:rPr>
          <w:spacing w:val="-23"/>
        </w:rPr>
        <w:t> </w:t>
      </w:r>
      <w:r>
        <w:rPr/>
        <w:t>major</w:t>
      </w:r>
      <w:r>
        <w:rPr>
          <w:spacing w:val="-23"/>
        </w:rPr>
        <w:t> </w:t>
      </w:r>
      <w:r>
        <w:rPr/>
        <w:t>retailer,</w:t>
      </w:r>
      <w:r>
        <w:rPr>
          <w:spacing w:val="-23"/>
        </w:rPr>
        <w:t> </w:t>
      </w:r>
      <w:r>
        <w:rPr/>
        <w:t>large government</w:t>
      </w:r>
      <w:r>
        <w:rPr>
          <w:spacing w:val="-21"/>
        </w:rPr>
        <w:t> </w:t>
      </w:r>
      <w:r>
        <w:rPr/>
        <w:t>organisations,</w:t>
      </w:r>
      <w:r>
        <w:rPr>
          <w:spacing w:val="-21"/>
        </w:rPr>
        <w:t> </w:t>
      </w:r>
      <w:r>
        <w:rPr/>
        <w:t>local</w:t>
      </w:r>
      <w:r>
        <w:rPr>
          <w:spacing w:val="-21"/>
        </w:rPr>
        <w:t> </w:t>
      </w:r>
      <w:r>
        <w:rPr/>
        <w:t>councils,</w:t>
      </w:r>
      <w:r>
        <w:rPr>
          <w:spacing w:val="-24"/>
        </w:rPr>
        <w:t> </w:t>
      </w:r>
      <w:r>
        <w:rPr/>
        <w:t>two</w:t>
      </w:r>
      <w:r>
        <w:rPr>
          <w:spacing w:val="-12"/>
        </w:rPr>
        <w:t> </w:t>
      </w:r>
      <w:r>
        <w:rPr/>
        <w:t>of</w:t>
      </w:r>
      <w:r>
        <w:rPr>
          <w:spacing w:val="-13"/>
        </w:rPr>
        <w:t> </w:t>
      </w:r>
      <w:r>
        <w:rPr/>
        <w:t>the</w:t>
      </w:r>
      <w:r>
        <w:rPr>
          <w:spacing w:val="-13"/>
        </w:rPr>
        <w:t> </w:t>
      </w:r>
      <w:r>
        <w:rPr/>
        <w:t>‘Big</w:t>
      </w:r>
      <w:r>
        <w:rPr>
          <w:spacing w:val="-13"/>
        </w:rPr>
        <w:t> </w:t>
      </w:r>
      <w:r>
        <w:rPr/>
        <w:t>Four’</w:t>
      </w:r>
      <w:r>
        <w:rPr>
          <w:spacing w:val="-13"/>
        </w:rPr>
        <w:t> </w:t>
      </w:r>
      <w:r>
        <w:rPr/>
        <w:t>accounting</w:t>
      </w:r>
      <w:r>
        <w:rPr>
          <w:spacing w:val="-13"/>
        </w:rPr>
        <w:t> </w:t>
      </w:r>
      <w:r>
        <w:rPr/>
        <w:t>firms</w:t>
      </w:r>
      <w:r>
        <w:rPr>
          <w:spacing w:val="-13"/>
        </w:rPr>
        <w:t> </w:t>
      </w:r>
      <w:r>
        <w:rPr/>
        <w:t>and</w:t>
      </w:r>
      <w:r>
        <w:rPr>
          <w:spacing w:val="-13"/>
        </w:rPr>
        <w:t> </w:t>
      </w:r>
      <w:r>
        <w:rPr/>
        <w:t>a</w:t>
      </w:r>
      <w:r>
        <w:rPr>
          <w:spacing w:val="-4"/>
        </w:rPr>
        <w:t> </w:t>
      </w:r>
      <w:r>
        <w:rPr/>
        <w:t>large automotive retailer. The School assisted some of these organisations with promoting their intern programs; and held </w:t>
      </w:r>
      <w:r>
        <w:rPr>
          <w:spacing w:val="2"/>
        </w:rPr>
        <w:t>on-campus </w:t>
      </w:r>
      <w:r>
        <w:rPr/>
        <w:t>information sessions for students close to graduating.</w:t>
      </w:r>
      <w:r>
        <w:rPr>
          <w:spacing w:val="-16"/>
        </w:rPr>
        <w:t> </w:t>
      </w:r>
      <w:r>
        <w:rPr/>
        <w:t>The</w:t>
      </w:r>
      <w:r>
        <w:rPr>
          <w:spacing w:val="-16"/>
        </w:rPr>
        <w:t> </w:t>
      </w:r>
      <w:r>
        <w:rPr/>
        <w:t>School</w:t>
      </w:r>
      <w:r>
        <w:rPr>
          <w:spacing w:val="-16"/>
        </w:rPr>
        <w:t> </w:t>
      </w:r>
      <w:r>
        <w:rPr/>
        <w:t>also</w:t>
      </w:r>
      <w:r>
        <w:rPr>
          <w:spacing w:val="-16"/>
        </w:rPr>
        <w:t> </w:t>
      </w:r>
      <w:r>
        <w:rPr/>
        <w:t>worked</w:t>
      </w:r>
      <w:r>
        <w:rPr>
          <w:spacing w:val="-16"/>
        </w:rPr>
        <w:t> </w:t>
      </w:r>
      <w:r>
        <w:rPr/>
        <w:t>with</w:t>
      </w:r>
      <w:r>
        <w:rPr>
          <w:spacing w:val="-16"/>
        </w:rPr>
        <w:t> </w:t>
      </w:r>
      <w:r>
        <w:rPr/>
        <w:t>the University’s</w:t>
      </w:r>
      <w:r>
        <w:rPr>
          <w:spacing w:val="-20"/>
        </w:rPr>
        <w:t> </w:t>
      </w:r>
      <w:r>
        <w:rPr/>
        <w:t>Careers</w:t>
      </w:r>
      <w:r>
        <w:rPr>
          <w:spacing w:val="-20"/>
        </w:rPr>
        <w:t> </w:t>
      </w:r>
      <w:r>
        <w:rPr/>
        <w:t>unit,</w:t>
      </w:r>
      <w:r>
        <w:rPr>
          <w:spacing w:val="-20"/>
        </w:rPr>
        <w:t> </w:t>
      </w:r>
      <w:r>
        <w:rPr/>
        <w:t>holding</w:t>
      </w:r>
      <w:r>
        <w:rPr>
          <w:spacing w:val="-20"/>
        </w:rPr>
        <w:t> </w:t>
      </w:r>
      <w:r>
        <w:rPr/>
        <w:t>information nights that focused on specific industries or professional</w:t>
      </w:r>
      <w:r>
        <w:rPr>
          <w:spacing w:val="-23"/>
        </w:rPr>
        <w:t> </w:t>
      </w:r>
      <w:r>
        <w:rPr/>
        <w:t>areas</w:t>
      </w:r>
      <w:r>
        <w:rPr>
          <w:spacing w:val="-23"/>
        </w:rPr>
        <w:t> </w:t>
      </w:r>
      <w:r>
        <w:rPr/>
        <w:t>of</w:t>
      </w:r>
      <w:r>
        <w:rPr>
          <w:spacing w:val="-23"/>
        </w:rPr>
        <w:t> </w:t>
      </w:r>
      <w:r>
        <w:rPr/>
        <w:t>work.</w:t>
      </w:r>
    </w:p>
    <w:p>
      <w:pPr>
        <w:pStyle w:val="BodyText"/>
        <w:rPr>
          <w:sz w:val="14"/>
        </w:rPr>
      </w:pPr>
    </w:p>
    <w:p>
      <w:pPr>
        <w:pStyle w:val="BodyText"/>
        <w:spacing w:line="249" w:lineRule="auto"/>
        <w:ind w:left="107" w:right="143"/>
      </w:pPr>
      <w:r>
        <w:rPr/>
        <w:t>In</w:t>
      </w:r>
      <w:r>
        <w:rPr>
          <w:spacing w:val="-17"/>
        </w:rPr>
        <w:t> </w:t>
      </w:r>
      <w:r>
        <w:rPr/>
        <w:t>other</w:t>
      </w:r>
      <w:r>
        <w:rPr>
          <w:spacing w:val="-17"/>
        </w:rPr>
        <w:t> </w:t>
      </w:r>
      <w:r>
        <w:rPr/>
        <w:t>projects,</w:t>
      </w:r>
      <w:r>
        <w:rPr>
          <w:spacing w:val="-17"/>
        </w:rPr>
        <w:t> </w:t>
      </w:r>
      <w:r>
        <w:rPr/>
        <w:t>members</w:t>
      </w:r>
      <w:r>
        <w:rPr>
          <w:spacing w:val="-17"/>
        </w:rPr>
        <w:t> </w:t>
      </w:r>
      <w:r>
        <w:rPr/>
        <w:t>of</w:t>
      </w:r>
      <w:r>
        <w:rPr>
          <w:spacing w:val="-17"/>
        </w:rPr>
        <w:t> </w:t>
      </w:r>
      <w:r>
        <w:rPr/>
        <w:t>the</w:t>
      </w:r>
      <w:r>
        <w:rPr>
          <w:spacing w:val="-17"/>
        </w:rPr>
        <w:t> </w:t>
      </w:r>
      <w:r>
        <w:rPr/>
        <w:t>School</w:t>
      </w:r>
      <w:r>
        <w:rPr>
          <w:spacing w:val="-17"/>
        </w:rPr>
        <w:t> </w:t>
      </w:r>
      <w:r>
        <w:rPr/>
        <w:t>met a</w:t>
      </w:r>
      <w:r>
        <w:rPr>
          <w:spacing w:val="-17"/>
        </w:rPr>
        <w:t> </w:t>
      </w:r>
      <w:r>
        <w:rPr/>
        <w:t>number</w:t>
      </w:r>
      <w:r>
        <w:rPr>
          <w:spacing w:val="-17"/>
        </w:rPr>
        <w:t> </w:t>
      </w:r>
      <w:r>
        <w:rPr/>
        <w:t>of</w:t>
      </w:r>
      <w:r>
        <w:rPr>
          <w:spacing w:val="-17"/>
        </w:rPr>
        <w:t> </w:t>
      </w:r>
      <w:r>
        <w:rPr/>
        <w:t>organisations</w:t>
      </w:r>
      <w:r>
        <w:rPr>
          <w:spacing w:val="-17"/>
        </w:rPr>
        <w:t> </w:t>
      </w:r>
      <w:r>
        <w:rPr/>
        <w:t>to</w:t>
      </w:r>
      <w:r>
        <w:rPr>
          <w:spacing w:val="-17"/>
        </w:rPr>
        <w:t> </w:t>
      </w:r>
      <w:r>
        <w:rPr/>
        <w:t>discuss</w:t>
      </w:r>
      <w:r>
        <w:rPr>
          <w:spacing w:val="-17"/>
        </w:rPr>
        <w:t> </w:t>
      </w:r>
      <w:r>
        <w:rPr/>
        <w:t>potential</w:t>
      </w:r>
    </w:p>
    <w:p>
      <w:pPr>
        <w:spacing w:after="0" w:line="249" w:lineRule="auto"/>
        <w:sectPr>
          <w:type w:val="continuous"/>
          <w:pgSz w:w="11910" w:h="16840"/>
          <w:pgMar w:top="1580" w:bottom="280" w:left="800" w:right="800"/>
          <w:cols w:num="3" w:equalWidth="0">
            <w:col w:w="3289" w:space="150"/>
            <w:col w:w="3278" w:space="161"/>
            <w:col w:w="3432"/>
          </w:cols>
        </w:sectPr>
      </w:pPr>
    </w:p>
    <w:p>
      <w:pPr>
        <w:pStyle w:val="BodyText"/>
        <w:spacing w:before="10"/>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9" w:lineRule="auto"/>
        <w:ind w:left="107" w:right="-16"/>
      </w:pPr>
      <w:r>
        <w:rPr/>
        <w:t>research or consultancy work and gave some of these organisations information about courses</w:t>
      </w:r>
      <w:r>
        <w:rPr>
          <w:spacing w:val="-16"/>
        </w:rPr>
        <w:t> </w:t>
      </w:r>
      <w:r>
        <w:rPr/>
        <w:t>their</w:t>
      </w:r>
      <w:r>
        <w:rPr>
          <w:spacing w:val="-16"/>
        </w:rPr>
        <w:t> </w:t>
      </w:r>
      <w:r>
        <w:rPr/>
        <w:t>staff</w:t>
      </w:r>
      <w:r>
        <w:rPr>
          <w:spacing w:val="-16"/>
        </w:rPr>
        <w:t> </w:t>
      </w:r>
      <w:r>
        <w:rPr/>
        <w:t>members</w:t>
      </w:r>
      <w:r>
        <w:rPr>
          <w:spacing w:val="-16"/>
        </w:rPr>
        <w:t> </w:t>
      </w:r>
      <w:r>
        <w:rPr/>
        <w:t>may</w:t>
      </w:r>
      <w:r>
        <w:rPr>
          <w:spacing w:val="-16"/>
        </w:rPr>
        <w:t> </w:t>
      </w:r>
      <w:r>
        <w:rPr/>
        <w:t>wish</w:t>
      </w:r>
      <w:r>
        <w:rPr>
          <w:spacing w:val="-16"/>
        </w:rPr>
        <w:t> </w:t>
      </w:r>
      <w:r>
        <w:rPr/>
        <w:t>to</w:t>
      </w:r>
      <w:r>
        <w:rPr>
          <w:spacing w:val="-16"/>
        </w:rPr>
        <w:t> </w:t>
      </w:r>
      <w:r>
        <w:rPr/>
        <w:t>study at Western Sydney University. The School sees real opportunities for Executive and Professional Education and is in discussions with a major professional body and a training organisation to train or jointly train their members.</w:t>
      </w:r>
      <w:r>
        <w:rPr>
          <w:spacing w:val="-17"/>
        </w:rPr>
        <w:t> </w:t>
      </w:r>
      <w:r>
        <w:rPr/>
        <w:t>At</w:t>
      </w:r>
      <w:r>
        <w:rPr>
          <w:spacing w:val="-17"/>
        </w:rPr>
        <w:t> </w:t>
      </w:r>
      <w:r>
        <w:rPr/>
        <w:t>this</w:t>
      </w:r>
      <w:r>
        <w:rPr>
          <w:spacing w:val="-17"/>
        </w:rPr>
        <w:t> </w:t>
      </w:r>
      <w:r>
        <w:rPr/>
        <w:t>stage,</w:t>
      </w:r>
      <w:r>
        <w:rPr>
          <w:spacing w:val="-17"/>
        </w:rPr>
        <w:t> </w:t>
      </w:r>
      <w:r>
        <w:rPr/>
        <w:t>the</w:t>
      </w:r>
      <w:r>
        <w:rPr>
          <w:spacing w:val="-17"/>
        </w:rPr>
        <w:t> </w:t>
      </w:r>
      <w:r>
        <w:rPr/>
        <w:t>School</w:t>
      </w:r>
      <w:r>
        <w:rPr>
          <w:spacing w:val="-17"/>
        </w:rPr>
        <w:t> </w:t>
      </w:r>
      <w:r>
        <w:rPr/>
        <w:t>anticipates launching Executive Education courses early </w:t>
      </w:r>
      <w:r>
        <w:rPr>
          <w:w w:val="95"/>
        </w:rPr>
        <w:t>in </w:t>
      </w:r>
      <w:r>
        <w:rPr>
          <w:spacing w:val="2"/>
          <w:w w:val="85"/>
        </w:rPr>
        <w:t>2016,</w:t>
      </w:r>
      <w:r>
        <w:rPr>
          <w:w w:val="85"/>
        </w:rPr>
        <w:t> </w:t>
      </w:r>
      <w:r>
        <w:rPr>
          <w:spacing w:val="1"/>
          <w:w w:val="95"/>
        </w:rPr>
        <w:t>subject</w:t>
      </w:r>
      <w:r>
        <w:rPr>
          <w:w w:val="95"/>
        </w:rPr>
        <w:t> </w:t>
      </w:r>
      <w:r>
        <w:rPr>
          <w:spacing w:val="-1"/>
          <w:w w:val="101"/>
        </w:rPr>
        <w:t>to</w:t>
      </w:r>
      <w:r>
        <w:rPr>
          <w:spacing w:val="-11"/>
          <w:w w:val="101"/>
        </w:rPr>
        <w:t> </w:t>
      </w:r>
      <w:r>
        <w:rPr>
          <w:spacing w:val="1"/>
          <w:w w:val="95"/>
        </w:rPr>
        <w:t>approval.</w:t>
      </w:r>
    </w:p>
    <w:p>
      <w:pPr>
        <w:pStyle w:val="BodyText"/>
        <w:rPr>
          <w:sz w:val="14"/>
        </w:rPr>
      </w:pPr>
    </w:p>
    <w:p>
      <w:pPr>
        <w:pStyle w:val="BodyText"/>
        <w:spacing w:line="249" w:lineRule="auto"/>
        <w:ind w:left="107"/>
      </w:pPr>
      <w:r>
        <w:rPr/>
        <w:t>The School has continued to focus on identifying projects in organisations where postgraduate and undergraduate students may</w:t>
      </w:r>
      <w:r>
        <w:rPr>
          <w:spacing w:val="-23"/>
        </w:rPr>
        <w:t> </w:t>
      </w:r>
      <w:r>
        <w:rPr/>
        <w:t>be</w:t>
      </w:r>
      <w:r>
        <w:rPr>
          <w:spacing w:val="-23"/>
        </w:rPr>
        <w:t> </w:t>
      </w:r>
      <w:r>
        <w:rPr/>
        <w:t>able</w:t>
      </w:r>
      <w:r>
        <w:rPr>
          <w:spacing w:val="-23"/>
        </w:rPr>
        <w:t> </w:t>
      </w:r>
      <w:r>
        <w:rPr/>
        <w:t>to</w:t>
      </w:r>
      <w:r>
        <w:rPr>
          <w:spacing w:val="-23"/>
        </w:rPr>
        <w:t> </w:t>
      </w:r>
      <w:r>
        <w:rPr/>
        <w:t>work</w:t>
      </w:r>
      <w:r>
        <w:rPr>
          <w:spacing w:val="-23"/>
        </w:rPr>
        <w:t> </w:t>
      </w:r>
      <w:r>
        <w:rPr/>
        <w:t>as</w:t>
      </w:r>
      <w:r>
        <w:rPr>
          <w:spacing w:val="-23"/>
        </w:rPr>
        <w:t> </w:t>
      </w:r>
      <w:r>
        <w:rPr/>
        <w:t>a</w:t>
      </w:r>
      <w:r>
        <w:rPr>
          <w:spacing w:val="-23"/>
        </w:rPr>
        <w:t> </w:t>
      </w:r>
      <w:r>
        <w:rPr/>
        <w:t>part</w:t>
      </w:r>
      <w:r>
        <w:rPr>
          <w:spacing w:val="-23"/>
        </w:rPr>
        <w:t> </w:t>
      </w:r>
      <w:r>
        <w:rPr/>
        <w:t>of</w:t>
      </w:r>
      <w:r>
        <w:rPr>
          <w:spacing w:val="-23"/>
        </w:rPr>
        <w:t> </w:t>
      </w:r>
      <w:r>
        <w:rPr/>
        <w:t>an</w:t>
      </w:r>
      <w:r>
        <w:rPr>
          <w:spacing w:val="-23"/>
        </w:rPr>
        <w:t> </w:t>
      </w:r>
      <w:r>
        <w:rPr/>
        <w:t>assessment item, often in groups and sometimes individually. This gives students hands-on business experience, enabling them to apply what</w:t>
      </w:r>
      <w:r>
        <w:rPr>
          <w:spacing w:val="-33"/>
        </w:rPr>
        <w:t> </w:t>
      </w:r>
      <w:r>
        <w:rPr/>
        <w:t>they</w:t>
      </w:r>
      <w:r>
        <w:rPr>
          <w:spacing w:val="-33"/>
        </w:rPr>
        <w:t> </w:t>
      </w:r>
      <w:r>
        <w:rPr/>
        <w:t>are</w:t>
      </w:r>
      <w:r>
        <w:rPr>
          <w:spacing w:val="-33"/>
        </w:rPr>
        <w:t> </w:t>
      </w:r>
      <w:r>
        <w:rPr/>
        <w:t>learning</w:t>
      </w:r>
      <w:r>
        <w:rPr>
          <w:spacing w:val="-33"/>
        </w:rPr>
        <w:t> </w:t>
      </w:r>
      <w:r>
        <w:rPr/>
        <w:t>to</w:t>
      </w:r>
      <w:r>
        <w:rPr>
          <w:spacing w:val="-33"/>
        </w:rPr>
        <w:t> </w:t>
      </w:r>
      <w:r>
        <w:rPr/>
        <w:t>real</w:t>
      </w:r>
      <w:r>
        <w:rPr>
          <w:spacing w:val="-33"/>
        </w:rPr>
        <w:t> </w:t>
      </w:r>
      <w:r>
        <w:rPr/>
        <w:t>situations.</w:t>
      </w:r>
    </w:p>
    <w:p>
      <w:pPr>
        <w:pStyle w:val="BodyText"/>
        <w:rPr>
          <w:sz w:val="14"/>
        </w:rPr>
      </w:pPr>
    </w:p>
    <w:p>
      <w:pPr>
        <w:pStyle w:val="BodyText"/>
        <w:spacing w:line="249" w:lineRule="auto"/>
        <w:ind w:left="107" w:right="93"/>
      </w:pPr>
      <w:r>
        <w:rPr/>
        <w:t>The School retains close links with local and national business organisations, attending functions</w:t>
      </w:r>
      <w:r>
        <w:rPr>
          <w:spacing w:val="-16"/>
        </w:rPr>
        <w:t> </w:t>
      </w:r>
      <w:r>
        <w:rPr/>
        <w:t>where</w:t>
      </w:r>
      <w:r>
        <w:rPr>
          <w:spacing w:val="-16"/>
        </w:rPr>
        <w:t> </w:t>
      </w:r>
      <w:r>
        <w:rPr/>
        <w:t>staff</w:t>
      </w:r>
      <w:r>
        <w:rPr>
          <w:spacing w:val="-16"/>
        </w:rPr>
        <w:t> </w:t>
      </w:r>
      <w:r>
        <w:rPr/>
        <w:t>members</w:t>
      </w:r>
      <w:r>
        <w:rPr>
          <w:spacing w:val="-16"/>
        </w:rPr>
        <w:t> </w:t>
      </w:r>
      <w:r>
        <w:rPr/>
        <w:t>often</w:t>
      </w:r>
      <w:r>
        <w:rPr>
          <w:spacing w:val="-16"/>
        </w:rPr>
        <w:t> </w:t>
      </w:r>
      <w:r>
        <w:rPr/>
        <w:t>speak, and taking the opportunity to promote the School. This provides support for those organisations,</w:t>
      </w:r>
      <w:r>
        <w:rPr>
          <w:spacing w:val="-18"/>
        </w:rPr>
        <w:t> </w:t>
      </w:r>
      <w:r>
        <w:rPr/>
        <w:t>keeps</w:t>
      </w:r>
      <w:r>
        <w:rPr>
          <w:spacing w:val="-18"/>
        </w:rPr>
        <w:t> </w:t>
      </w:r>
      <w:r>
        <w:rPr/>
        <w:t>the</w:t>
      </w:r>
      <w:r>
        <w:rPr>
          <w:spacing w:val="-18"/>
        </w:rPr>
        <w:t> </w:t>
      </w:r>
      <w:r>
        <w:rPr/>
        <w:t>School</w:t>
      </w:r>
      <w:r>
        <w:rPr>
          <w:spacing w:val="-18"/>
        </w:rPr>
        <w:t> </w:t>
      </w:r>
      <w:r>
        <w:rPr/>
        <w:t>in</w:t>
      </w:r>
      <w:r>
        <w:rPr>
          <w:spacing w:val="-18"/>
        </w:rPr>
        <w:t> </w:t>
      </w:r>
      <w:r>
        <w:rPr/>
        <w:t>touch</w:t>
      </w:r>
      <w:r>
        <w:rPr>
          <w:spacing w:val="-18"/>
        </w:rPr>
        <w:t> </w:t>
      </w:r>
      <w:r>
        <w:rPr/>
        <w:t>with local business issues and delivers business contacts</w:t>
      </w:r>
      <w:r>
        <w:rPr>
          <w:spacing w:val="-14"/>
        </w:rPr>
        <w:t> </w:t>
      </w:r>
      <w:r>
        <w:rPr/>
        <w:t>for</w:t>
      </w:r>
      <w:r>
        <w:rPr>
          <w:spacing w:val="-14"/>
        </w:rPr>
        <w:t> </w:t>
      </w:r>
      <w:r>
        <w:rPr/>
        <w:t>the</w:t>
      </w:r>
      <w:r>
        <w:rPr>
          <w:spacing w:val="-14"/>
        </w:rPr>
        <w:t> </w:t>
      </w:r>
      <w:r>
        <w:rPr/>
        <w:t>School’s</w:t>
      </w:r>
      <w:r>
        <w:rPr>
          <w:spacing w:val="-14"/>
        </w:rPr>
        <w:t> </w:t>
      </w:r>
      <w:r>
        <w:rPr/>
        <w:t>programs.</w:t>
      </w:r>
    </w:p>
    <w:p>
      <w:pPr>
        <w:pStyle w:val="BodyText"/>
      </w:pPr>
    </w:p>
    <w:p>
      <w:pPr>
        <w:pStyle w:val="Heading5"/>
        <w:spacing w:line="260" w:lineRule="exact" w:before="101"/>
        <w:ind w:left="118" w:hanging="4"/>
      </w:pPr>
      <w:r>
        <w:rPr>
          <w:w w:val="95"/>
        </w:rPr>
        <w:t>SCHOOL OF COMPUTING, </w:t>
      </w:r>
      <w:r>
        <w:rPr/>
        <w:t>ENGINEERING AND MATHEMATICS</w:t>
      </w:r>
    </w:p>
    <w:p>
      <w:pPr>
        <w:pStyle w:val="BodyText"/>
        <w:spacing w:line="249" w:lineRule="auto" w:before="215"/>
        <w:ind w:left="107" w:right="295"/>
      </w:pPr>
      <w:r>
        <w:rPr/>
        <w:t>The School of Computing, Engineering and Mathematics (SCEM) at Western Sydney University is a driver of academic</w:t>
      </w:r>
    </w:p>
    <w:p>
      <w:pPr>
        <w:pStyle w:val="BodyText"/>
        <w:spacing w:line="249" w:lineRule="auto"/>
        <w:ind w:left="107" w:right="80"/>
      </w:pPr>
      <w:r>
        <w:rPr/>
        <w:t>entrepreneurship, creative experimentation, </w:t>
      </w:r>
      <w:r>
        <w:rPr>
          <w:w w:val="97"/>
        </w:rPr>
        <w:t>innovation </w:t>
      </w:r>
      <w:r>
        <w:rPr>
          <w:w w:val="97"/>
        </w:rPr>
        <w:t>and </w:t>
      </w:r>
      <w:r>
        <w:rPr>
          <w:w w:val="95"/>
        </w:rPr>
        <w:t>disruption. </w:t>
      </w:r>
      <w:r>
        <w:rPr>
          <w:w w:val="80"/>
        </w:rPr>
        <w:t>In </w:t>
      </w:r>
      <w:r>
        <w:rPr>
          <w:w w:val="84"/>
        </w:rPr>
        <w:t>2015, </w:t>
      </w:r>
      <w:r>
        <w:rPr>
          <w:w w:val="97"/>
        </w:rPr>
        <w:t>the </w:t>
      </w:r>
      <w:r>
        <w:rPr>
          <w:w w:val="98"/>
        </w:rPr>
        <w:t>School </w:t>
      </w:r>
      <w:r>
        <w:rPr/>
        <w:t>focused on developing and implementing </w:t>
      </w:r>
      <w:r>
        <w:rPr>
          <w:w w:val="95"/>
        </w:rPr>
        <w:t>student-centred  initiatives, including:</w:t>
      </w:r>
    </w:p>
    <w:p>
      <w:pPr>
        <w:pStyle w:val="BodyText"/>
        <w:spacing w:before="11"/>
        <w:rPr>
          <w:sz w:val="13"/>
        </w:rPr>
      </w:pPr>
    </w:p>
    <w:p>
      <w:pPr>
        <w:pStyle w:val="BodyText"/>
        <w:spacing w:line="247" w:lineRule="auto"/>
        <w:ind w:left="333" w:right="11" w:hanging="227"/>
      </w:pPr>
      <w:r>
        <w:rPr>
          <w:rFonts w:ascii="Century Gothic" w:hAnsi="Century Gothic"/>
          <w:b/>
          <w:w w:val="115"/>
        </w:rPr>
        <w:t>≥ </w:t>
      </w:r>
      <w:r>
        <w:rPr/>
        <w:t>shaping new, distinct academic programs that offer engaged learning experiences, integrating high-impact research, tangible development and entrepreneurial opportunities</w:t>
      </w:r>
    </w:p>
    <w:p>
      <w:pPr>
        <w:pStyle w:val="BodyText"/>
        <w:spacing w:line="247" w:lineRule="auto" w:before="57"/>
        <w:ind w:left="333" w:right="136" w:hanging="227"/>
      </w:pPr>
      <w:r>
        <w:rPr>
          <w:rFonts w:ascii="Century Gothic" w:hAnsi="Century Gothic"/>
          <w:b/>
          <w:w w:val="115"/>
        </w:rPr>
        <w:t>≥ </w:t>
      </w:r>
      <w:r>
        <w:rPr/>
        <w:t>establishing new integrated research and development projects with measurable impacts and extensive student involvement</w:t>
      </w:r>
    </w:p>
    <w:p>
      <w:pPr>
        <w:pStyle w:val="BodyText"/>
        <w:spacing w:line="244" w:lineRule="auto" w:before="57"/>
        <w:ind w:left="333" w:right="425" w:hanging="227"/>
      </w:pPr>
      <w:r>
        <w:rPr>
          <w:rFonts w:ascii="Century Gothic" w:hAnsi="Century Gothic"/>
          <w:b/>
          <w:w w:val="115"/>
        </w:rPr>
        <w:t>≥ </w:t>
      </w:r>
      <w:r>
        <w:rPr/>
        <w:t>further extending the national and international presence of the School</w:t>
      </w:r>
    </w:p>
    <w:p>
      <w:pPr>
        <w:pStyle w:val="BodyText"/>
        <w:spacing w:before="10"/>
      </w:pPr>
      <w:r>
        <w:rPr/>
        <w:br w:type="column"/>
      </w:r>
      <w:r>
        <w:rPr/>
      </w:r>
    </w:p>
    <w:p>
      <w:pPr>
        <w:pStyle w:val="BodyText"/>
        <w:spacing w:line="249" w:lineRule="auto"/>
        <w:ind w:left="404" w:right="-12"/>
      </w:pPr>
      <w:r>
        <w:rPr/>
        <w:t>through its academic and professional outreach, and a broad range of partnerships and community involvement</w:t>
      </w:r>
    </w:p>
    <w:p>
      <w:pPr>
        <w:pStyle w:val="BodyText"/>
        <w:spacing w:line="247" w:lineRule="auto" w:before="55"/>
        <w:ind w:left="404" w:right="2" w:hanging="227"/>
      </w:pPr>
      <w:r>
        <w:rPr>
          <w:rFonts w:ascii="Century Gothic" w:hAnsi="Century Gothic"/>
          <w:b/>
          <w:w w:val="115"/>
        </w:rPr>
        <w:t>≥  </w:t>
      </w:r>
      <w:r>
        <w:rPr/>
        <w:t>leading the university-wide development of</w:t>
      </w:r>
      <w:r>
        <w:rPr>
          <w:spacing w:val="-17"/>
        </w:rPr>
        <w:t> </w:t>
      </w:r>
      <w:r>
        <w:rPr/>
        <w:t>data</w:t>
      </w:r>
      <w:r>
        <w:rPr>
          <w:spacing w:val="-17"/>
        </w:rPr>
        <w:t> </w:t>
      </w:r>
      <w:r>
        <w:rPr/>
        <w:t>science</w:t>
      </w:r>
      <w:r>
        <w:rPr>
          <w:spacing w:val="-17"/>
        </w:rPr>
        <w:t> </w:t>
      </w:r>
      <w:r>
        <w:rPr/>
        <w:t>and</w:t>
      </w:r>
      <w:r>
        <w:rPr>
          <w:spacing w:val="-17"/>
        </w:rPr>
        <w:t> </w:t>
      </w:r>
      <w:r>
        <w:rPr/>
        <w:t>analytics</w:t>
      </w:r>
      <w:r>
        <w:rPr>
          <w:spacing w:val="-17"/>
        </w:rPr>
        <w:t> </w:t>
      </w:r>
      <w:r>
        <w:rPr/>
        <w:t>strength,</w:t>
      </w:r>
      <w:r>
        <w:rPr>
          <w:spacing w:val="-17"/>
        </w:rPr>
        <w:t> </w:t>
      </w:r>
      <w:r>
        <w:rPr/>
        <w:t>with the aim of underpinning all four research themes.</w:t>
      </w:r>
    </w:p>
    <w:p>
      <w:pPr>
        <w:pStyle w:val="BodyText"/>
      </w:pPr>
    </w:p>
    <w:p>
      <w:pPr>
        <w:pStyle w:val="BodyText"/>
        <w:spacing w:before="11"/>
        <w:rPr>
          <w:sz w:val="12"/>
        </w:rPr>
      </w:pPr>
    </w:p>
    <w:p>
      <w:pPr>
        <w:pStyle w:val="Heading6"/>
        <w:ind w:right="19" w:hanging="61"/>
        <w:rPr>
          <w:b w:val="0"/>
        </w:rPr>
      </w:pPr>
      <w:r>
        <w:rPr/>
        <w:pict>
          <v:line style="position:absolute;mso-position-horizontal-relative:page;mso-position-vertical-relative:paragraph;z-index:1288" from="217.3228pt,-5.323195pt" to="377.95280pt,-5.323195pt" stroked="true" strokeweight="1.5pt" strokecolor="#000000">
            <w10:wrap type="none"/>
          </v:line>
        </w:pict>
      </w:r>
      <w:r>
        <w:rPr>
          <w:b w:val="0"/>
        </w:rPr>
        <w:t>“In popular culture, the entrepreneur is the rogue genius who succeeds without – or in spite of – education. </w:t>
      </w:r>
      <w:r>
        <w:rPr>
          <w:b w:val="0"/>
          <w:spacing w:val="2"/>
        </w:rPr>
        <w:t>And </w:t>
      </w:r>
      <w:r>
        <w:rPr>
          <w:b w:val="0"/>
        </w:rPr>
        <w:t>it would be extremely convenient if that were true.” Entrepreneurship “is a human endeavour, requiring attention to the way that our attitudes are shaped, our </w:t>
      </w:r>
      <w:r>
        <w:rPr>
          <w:b w:val="0"/>
          <w:spacing w:val="2"/>
        </w:rPr>
        <w:t>skills </w:t>
      </w:r>
      <w:r>
        <w:rPr>
          <w:b w:val="0"/>
        </w:rPr>
        <w:t>developed, our networks formed. </w:t>
      </w:r>
      <w:r>
        <w:rPr>
          <w:b w:val="0"/>
          <w:spacing w:val="2"/>
        </w:rPr>
        <w:t>And </w:t>
      </w:r>
      <w:r>
        <w:rPr>
          <w:b w:val="0"/>
        </w:rPr>
        <w:t>so it is inseparable from education</w:t>
      </w:r>
      <w:r>
        <w:rPr>
          <w:b w:val="0"/>
          <w:spacing w:val="-7"/>
        </w:rPr>
        <w:t> </w:t>
      </w:r>
      <w:r>
        <w:rPr>
          <w:b w:val="0"/>
        </w:rPr>
        <w:t>–</w:t>
      </w:r>
      <w:r>
        <w:rPr>
          <w:b w:val="0"/>
          <w:spacing w:val="-7"/>
        </w:rPr>
        <w:t> </w:t>
      </w:r>
      <w:r>
        <w:rPr>
          <w:b w:val="0"/>
        </w:rPr>
        <w:t>not</w:t>
      </w:r>
      <w:r>
        <w:rPr>
          <w:b w:val="0"/>
          <w:spacing w:val="-7"/>
        </w:rPr>
        <w:t> </w:t>
      </w:r>
      <w:r>
        <w:rPr>
          <w:b w:val="0"/>
        </w:rPr>
        <w:t>independent</w:t>
      </w:r>
      <w:r>
        <w:rPr>
          <w:b w:val="0"/>
          <w:spacing w:val="-7"/>
        </w:rPr>
        <w:t> </w:t>
      </w:r>
      <w:r>
        <w:rPr>
          <w:b w:val="0"/>
        </w:rPr>
        <w:t>of</w:t>
      </w:r>
      <w:r>
        <w:rPr>
          <w:b w:val="0"/>
          <w:spacing w:val="-7"/>
        </w:rPr>
        <w:t> </w:t>
      </w:r>
      <w:r>
        <w:rPr>
          <w:b w:val="0"/>
        </w:rPr>
        <w:t>it.”</w:t>
      </w:r>
    </w:p>
    <w:p>
      <w:pPr>
        <w:pStyle w:val="BodyText"/>
        <w:spacing w:line="247" w:lineRule="auto" w:before="162"/>
        <w:ind w:left="178" w:right="-12"/>
      </w:pPr>
      <w:r>
        <w:rPr/>
        <w:t>This quote from Professor Ian Chubb, AC’s introduction to the Office of the Chief Scientist’s report </w:t>
      </w:r>
      <w:r>
        <w:rPr>
          <w:rFonts w:ascii="Century Gothic" w:hAnsi="Century Gothic"/>
          <w:i/>
        </w:rPr>
        <w:t>Boosting high-impact </w:t>
      </w:r>
      <w:r>
        <w:rPr>
          <w:rFonts w:ascii="Century Gothic" w:hAnsi="Century Gothic"/>
          <w:i/>
        </w:rPr>
        <w:t>entrepreneurship in Australia – A role for universities</w:t>
      </w:r>
      <w:r>
        <w:rPr>
          <w:rFonts w:ascii="Century Gothic" w:hAnsi="Century Gothic"/>
          <w:i/>
          <w:spacing w:val="-26"/>
        </w:rPr>
        <w:t> </w:t>
      </w:r>
      <w:r>
        <w:rPr/>
        <w:t>(Spike</w:t>
      </w:r>
      <w:r>
        <w:rPr>
          <w:spacing w:val="-31"/>
        </w:rPr>
        <w:t> </w:t>
      </w:r>
      <w:r>
        <w:rPr/>
        <w:t>Innovation,</w:t>
      </w:r>
      <w:r>
        <w:rPr>
          <w:spacing w:val="-31"/>
        </w:rPr>
        <w:t> </w:t>
      </w:r>
      <w:r>
        <w:rPr/>
        <w:t>October</w:t>
      </w:r>
      <w:r>
        <w:rPr>
          <w:spacing w:val="-31"/>
        </w:rPr>
        <w:t> </w:t>
      </w:r>
      <w:r>
        <w:rPr/>
        <w:t>2015), summarises</w:t>
      </w:r>
      <w:r>
        <w:rPr>
          <w:spacing w:val="-22"/>
        </w:rPr>
        <w:t> </w:t>
      </w:r>
      <w:r>
        <w:rPr/>
        <w:t>the</w:t>
      </w:r>
      <w:r>
        <w:rPr>
          <w:spacing w:val="-22"/>
        </w:rPr>
        <w:t> </w:t>
      </w:r>
      <w:r>
        <w:rPr/>
        <w:t>role</w:t>
      </w:r>
      <w:r>
        <w:rPr>
          <w:spacing w:val="-22"/>
        </w:rPr>
        <w:t> </w:t>
      </w:r>
      <w:r>
        <w:rPr/>
        <w:t>of</w:t>
      </w:r>
      <w:r>
        <w:rPr>
          <w:spacing w:val="-22"/>
        </w:rPr>
        <w:t> </w:t>
      </w:r>
      <w:r>
        <w:rPr/>
        <w:t>entrepreneurship</w:t>
      </w:r>
      <w:r>
        <w:rPr>
          <w:spacing w:val="-22"/>
        </w:rPr>
        <w:t> </w:t>
      </w:r>
      <w:r>
        <w:rPr/>
        <w:t>in</w:t>
      </w:r>
      <w:r>
        <w:rPr>
          <w:spacing w:val="-22"/>
        </w:rPr>
        <w:t> </w:t>
      </w:r>
      <w:r>
        <w:rPr/>
        <w:t>the contemporary world and the need to change our</w:t>
      </w:r>
      <w:r>
        <w:rPr>
          <w:spacing w:val="-20"/>
        </w:rPr>
        <w:t> </w:t>
      </w:r>
      <w:r>
        <w:rPr/>
        <w:t>mindsets</w:t>
      </w:r>
      <w:r>
        <w:rPr>
          <w:spacing w:val="-20"/>
        </w:rPr>
        <w:t> </w:t>
      </w:r>
      <w:r>
        <w:rPr/>
        <w:t>to</w:t>
      </w:r>
      <w:r>
        <w:rPr>
          <w:spacing w:val="-20"/>
        </w:rPr>
        <w:t> </w:t>
      </w:r>
      <w:r>
        <w:rPr/>
        <w:t>encourage</w:t>
      </w:r>
      <w:r>
        <w:rPr>
          <w:spacing w:val="-20"/>
        </w:rPr>
        <w:t> </w:t>
      </w:r>
      <w:r>
        <w:rPr/>
        <w:t>entrepreneurialism through</w:t>
      </w:r>
      <w:r>
        <w:rPr>
          <w:spacing w:val="-18"/>
        </w:rPr>
        <w:t> </w:t>
      </w:r>
      <w:r>
        <w:rPr/>
        <w:t>the</w:t>
      </w:r>
      <w:r>
        <w:rPr>
          <w:spacing w:val="-18"/>
        </w:rPr>
        <w:t> </w:t>
      </w:r>
      <w:r>
        <w:rPr/>
        <w:t>student</w:t>
      </w:r>
      <w:r>
        <w:rPr>
          <w:spacing w:val="-18"/>
        </w:rPr>
        <w:t> </w:t>
      </w:r>
      <w:r>
        <w:rPr/>
        <w:t>learning</w:t>
      </w:r>
      <w:r>
        <w:rPr>
          <w:spacing w:val="-18"/>
        </w:rPr>
        <w:t> </w:t>
      </w:r>
      <w:r>
        <w:rPr/>
        <w:t>experience</w:t>
      </w:r>
    </w:p>
    <w:p>
      <w:pPr>
        <w:pStyle w:val="BodyText"/>
        <w:spacing w:line="249" w:lineRule="auto" w:before="1"/>
        <w:ind w:left="178" w:right="-12"/>
      </w:pPr>
      <w:r>
        <w:rPr/>
        <w:t>and grow future professionals with the entrepreneurial</w:t>
      </w:r>
      <w:r>
        <w:rPr>
          <w:spacing w:val="-20"/>
        </w:rPr>
        <w:t> </w:t>
      </w:r>
      <w:r>
        <w:rPr/>
        <w:t>skills</w:t>
      </w:r>
      <w:r>
        <w:rPr>
          <w:spacing w:val="-20"/>
        </w:rPr>
        <w:t> </w:t>
      </w:r>
      <w:r>
        <w:rPr/>
        <w:t>to</w:t>
      </w:r>
      <w:r>
        <w:rPr>
          <w:spacing w:val="-20"/>
        </w:rPr>
        <w:t> </w:t>
      </w:r>
      <w:r>
        <w:rPr/>
        <w:t>disrupt</w:t>
      </w:r>
      <w:r>
        <w:rPr>
          <w:spacing w:val="-20"/>
        </w:rPr>
        <w:t> </w:t>
      </w:r>
      <w:r>
        <w:rPr/>
        <w:t>and</w:t>
      </w:r>
      <w:r>
        <w:rPr>
          <w:spacing w:val="-20"/>
        </w:rPr>
        <w:t> </w:t>
      </w:r>
      <w:r>
        <w:rPr/>
        <w:t>transform industries.</w:t>
      </w:r>
    </w:p>
    <w:p>
      <w:pPr>
        <w:pStyle w:val="BodyText"/>
        <w:rPr>
          <w:sz w:val="14"/>
        </w:rPr>
      </w:pPr>
    </w:p>
    <w:p>
      <w:pPr>
        <w:pStyle w:val="BodyText"/>
        <w:spacing w:line="249" w:lineRule="auto"/>
        <w:ind w:left="178" w:right="-12"/>
      </w:pPr>
      <w:r>
        <w:rPr/>
        <w:t>Together with the Australian Government’s National Innovation and Science Agenda, this report</w:t>
      </w:r>
      <w:r>
        <w:rPr>
          <w:spacing w:val="-16"/>
        </w:rPr>
        <w:t> </w:t>
      </w:r>
      <w:r>
        <w:rPr/>
        <w:t>has</w:t>
      </w:r>
      <w:r>
        <w:rPr>
          <w:spacing w:val="-16"/>
        </w:rPr>
        <w:t> </w:t>
      </w:r>
      <w:r>
        <w:rPr/>
        <w:t>been</w:t>
      </w:r>
      <w:r>
        <w:rPr>
          <w:spacing w:val="-16"/>
        </w:rPr>
        <w:t> </w:t>
      </w:r>
      <w:r>
        <w:rPr/>
        <w:t>an</w:t>
      </w:r>
      <w:r>
        <w:rPr>
          <w:spacing w:val="-16"/>
        </w:rPr>
        <w:t> </w:t>
      </w:r>
      <w:r>
        <w:rPr/>
        <w:t>essential</w:t>
      </w:r>
      <w:r>
        <w:rPr>
          <w:spacing w:val="-16"/>
        </w:rPr>
        <w:t> </w:t>
      </w:r>
      <w:r>
        <w:rPr/>
        <w:t>beacon</w:t>
      </w:r>
      <w:r>
        <w:rPr>
          <w:spacing w:val="-16"/>
        </w:rPr>
        <w:t> </w:t>
      </w:r>
      <w:r>
        <w:rPr/>
        <w:t>in</w:t>
      </w:r>
      <w:r>
        <w:rPr>
          <w:spacing w:val="-16"/>
        </w:rPr>
        <w:t> </w:t>
      </w:r>
      <w:r>
        <w:rPr/>
        <w:t>guiding </w:t>
      </w:r>
      <w:r>
        <w:rPr>
          <w:spacing w:val="1"/>
          <w:w w:val="99"/>
        </w:rPr>
        <w:t>SCEM</w:t>
      </w:r>
      <w:r>
        <w:rPr>
          <w:w w:val="99"/>
        </w:rPr>
        <w:t> </w:t>
      </w:r>
      <w:r>
        <w:rPr>
          <w:spacing w:val="1"/>
          <w:w w:val="98"/>
        </w:rPr>
        <w:t>activities</w:t>
      </w:r>
      <w:r>
        <w:rPr>
          <w:w w:val="98"/>
        </w:rPr>
        <w:t> </w:t>
      </w:r>
      <w:r>
        <w:rPr>
          <w:w w:val="95"/>
        </w:rPr>
        <w:t>in </w:t>
      </w:r>
      <w:r>
        <w:rPr>
          <w:spacing w:val="1"/>
          <w:w w:val="84"/>
        </w:rPr>
        <w:t>2015.</w:t>
      </w:r>
      <w:r>
        <w:rPr>
          <w:w w:val="84"/>
        </w:rPr>
        <w:t> </w:t>
      </w:r>
      <w:r>
        <w:rPr>
          <w:spacing w:val="1"/>
          <w:w w:val="94"/>
        </w:rPr>
        <w:t>The</w:t>
      </w:r>
      <w:r>
        <w:rPr>
          <w:w w:val="94"/>
        </w:rPr>
        <w:t> </w:t>
      </w:r>
      <w:r>
        <w:rPr>
          <w:spacing w:val="1"/>
          <w:w w:val="98"/>
        </w:rPr>
        <w:t>School</w:t>
      </w:r>
      <w:r>
        <w:rPr>
          <w:w w:val="98"/>
        </w:rPr>
        <w:t> </w:t>
      </w:r>
      <w:r>
        <w:rPr>
          <w:w w:val="95"/>
        </w:rPr>
        <w:t>is </w:t>
      </w:r>
      <w:r>
        <w:rPr>
          <w:w w:val="98"/>
        </w:rPr>
        <w:t>pivotal </w:t>
      </w:r>
      <w:r>
        <w:rPr/>
        <w:t>to</w:t>
      </w:r>
      <w:r>
        <w:rPr>
          <w:spacing w:val="-18"/>
        </w:rPr>
        <w:t> </w:t>
      </w:r>
      <w:r>
        <w:rPr/>
        <w:t>the</w:t>
      </w:r>
      <w:r>
        <w:rPr>
          <w:spacing w:val="-18"/>
        </w:rPr>
        <w:t> </w:t>
      </w:r>
      <w:r>
        <w:rPr/>
        <w:t>Western</w:t>
      </w:r>
      <w:r>
        <w:rPr>
          <w:spacing w:val="-18"/>
        </w:rPr>
        <w:t> </w:t>
      </w:r>
      <w:r>
        <w:rPr/>
        <w:t>Sydney</w:t>
      </w:r>
      <w:r>
        <w:rPr>
          <w:spacing w:val="-18"/>
        </w:rPr>
        <w:t> </w:t>
      </w:r>
      <w:r>
        <w:rPr/>
        <w:t>innovation</w:t>
      </w:r>
      <w:r>
        <w:rPr>
          <w:spacing w:val="-18"/>
        </w:rPr>
        <w:t> </w:t>
      </w:r>
      <w:r>
        <w:rPr/>
        <w:t>ecosystem. </w:t>
      </w:r>
      <w:r>
        <w:rPr>
          <w:spacing w:val="1"/>
          <w:w w:val="99"/>
        </w:rPr>
        <w:t>SCEM</w:t>
      </w:r>
      <w:r>
        <w:rPr>
          <w:w w:val="99"/>
        </w:rPr>
        <w:t> </w:t>
      </w:r>
      <w:r>
        <w:rPr>
          <w:w w:val="97"/>
        </w:rPr>
        <w:t>entered </w:t>
      </w:r>
      <w:r>
        <w:rPr>
          <w:spacing w:val="1"/>
          <w:w w:val="88"/>
        </w:rPr>
        <w:t>2015</w:t>
      </w:r>
      <w:r>
        <w:rPr>
          <w:w w:val="88"/>
        </w:rPr>
        <w:t> </w:t>
      </w:r>
      <w:r>
        <w:rPr>
          <w:w w:val="98"/>
        </w:rPr>
        <w:t>with </w:t>
      </w:r>
      <w:r>
        <w:rPr>
          <w:spacing w:val="1"/>
          <w:w w:val="97"/>
        </w:rPr>
        <w:t>established</w:t>
      </w:r>
      <w:r>
        <w:rPr>
          <w:spacing w:val="-33"/>
          <w:w w:val="97"/>
        </w:rPr>
        <w:t> </w:t>
      </w:r>
      <w:r>
        <w:rPr>
          <w:spacing w:val="1"/>
          <w:w w:val="98"/>
        </w:rPr>
        <w:t>academic</w:t>
      </w:r>
      <w:r>
        <w:rPr>
          <w:w w:val="98"/>
        </w:rPr>
        <w:t> </w:t>
      </w:r>
      <w:r>
        <w:rPr/>
        <w:t>systems</w:t>
      </w:r>
      <w:r>
        <w:rPr>
          <w:spacing w:val="-16"/>
        </w:rPr>
        <w:t> </w:t>
      </w:r>
      <w:r>
        <w:rPr/>
        <w:t>and</w:t>
      </w:r>
      <w:r>
        <w:rPr>
          <w:spacing w:val="-16"/>
        </w:rPr>
        <w:t> </w:t>
      </w:r>
      <w:r>
        <w:rPr/>
        <w:t>structures</w:t>
      </w:r>
      <w:r>
        <w:rPr>
          <w:spacing w:val="-16"/>
        </w:rPr>
        <w:t> </w:t>
      </w:r>
      <w:r>
        <w:rPr/>
        <w:t>to</w:t>
      </w:r>
      <w:r>
        <w:rPr>
          <w:spacing w:val="-16"/>
        </w:rPr>
        <w:t> </w:t>
      </w:r>
      <w:r>
        <w:rPr/>
        <w:t>support</w:t>
      </w:r>
      <w:r>
        <w:rPr>
          <w:spacing w:val="-16"/>
        </w:rPr>
        <w:t> </w:t>
      </w:r>
      <w:r>
        <w:rPr/>
        <w:t>innovation, agility and academic entrepreneurship. The year saw substantially improved interaction between the disciplines, with steady enrolments</w:t>
      </w:r>
      <w:r>
        <w:rPr>
          <w:spacing w:val="-19"/>
        </w:rPr>
        <w:t> </w:t>
      </w:r>
      <w:r>
        <w:rPr/>
        <w:t>in</w:t>
      </w:r>
      <w:r>
        <w:rPr>
          <w:spacing w:val="-19"/>
        </w:rPr>
        <w:t> </w:t>
      </w:r>
      <w:r>
        <w:rPr/>
        <w:t>the</w:t>
      </w:r>
      <w:r>
        <w:rPr>
          <w:spacing w:val="-19"/>
        </w:rPr>
        <w:t> </w:t>
      </w:r>
      <w:r>
        <w:rPr/>
        <w:t>School’s</w:t>
      </w:r>
      <w:r>
        <w:rPr>
          <w:spacing w:val="-19"/>
        </w:rPr>
        <w:t> </w:t>
      </w:r>
      <w:r>
        <w:rPr/>
        <w:t>programs.</w:t>
      </w:r>
    </w:p>
    <w:p>
      <w:pPr>
        <w:pStyle w:val="BodyText"/>
        <w:spacing w:before="7"/>
        <w:rPr>
          <w:sz w:val="21"/>
        </w:rPr>
      </w:pPr>
    </w:p>
    <w:p>
      <w:pPr>
        <w:pStyle w:val="Heading8"/>
        <w:spacing w:line="249" w:lineRule="auto"/>
        <w:ind w:left="178" w:right="-12"/>
      </w:pPr>
      <w:r>
        <w:rPr>
          <w:w w:val="95"/>
        </w:rPr>
        <w:t>LEARNING, TEACHING AND ACADEMIC </w:t>
      </w:r>
      <w:r>
        <w:rPr/>
        <w:t>ENTREPRENEURSHIP</w:t>
      </w:r>
    </w:p>
    <w:p>
      <w:pPr>
        <w:pStyle w:val="BodyText"/>
        <w:spacing w:line="249" w:lineRule="auto" w:before="79"/>
        <w:ind w:left="178" w:right="173"/>
      </w:pPr>
      <w:r>
        <w:rPr>
          <w:w w:val="80"/>
        </w:rPr>
        <w:t>In </w:t>
      </w:r>
      <w:r>
        <w:rPr>
          <w:w w:val="84"/>
        </w:rPr>
        <w:t>2015, </w:t>
      </w:r>
      <w:r>
        <w:rPr>
          <w:w w:val="97"/>
        </w:rPr>
        <w:t>the </w:t>
      </w:r>
      <w:r>
        <w:rPr>
          <w:w w:val="98"/>
        </w:rPr>
        <w:t>activities </w:t>
      </w:r>
      <w:r>
        <w:rPr>
          <w:w w:val="95"/>
        </w:rPr>
        <w:t>in </w:t>
      </w:r>
      <w:r>
        <w:rPr>
          <w:w w:val="97"/>
        </w:rPr>
        <w:t>this </w:t>
      </w:r>
      <w:r>
        <w:rPr>
          <w:w w:val="95"/>
        </w:rPr>
        <w:t>area </w:t>
      </w:r>
      <w:r>
        <w:rPr>
          <w:w w:val="97"/>
        </w:rPr>
        <w:t>were </w:t>
      </w:r>
      <w:r>
        <w:rPr/>
        <w:t>underpinned by the School’s philosophy, which promotes four student success clusters: ‘computational thinking’, ‘systems</w:t>
      </w:r>
    </w:p>
    <w:p>
      <w:pPr>
        <w:pStyle w:val="BodyText"/>
        <w:spacing w:before="10"/>
      </w:pPr>
      <w:r>
        <w:rPr/>
        <w:br w:type="column"/>
      </w:r>
      <w:r>
        <w:rPr/>
      </w:r>
    </w:p>
    <w:p>
      <w:pPr>
        <w:pStyle w:val="BodyText"/>
        <w:spacing w:line="249" w:lineRule="auto"/>
        <w:ind w:left="107" w:right="147"/>
      </w:pPr>
      <w:r>
        <w:rPr/>
        <w:t>thinking’, ‘design thinking’ and ‘data-driven, analytical</w:t>
      </w:r>
      <w:r>
        <w:rPr>
          <w:spacing w:val="-18"/>
        </w:rPr>
        <w:t> </w:t>
      </w:r>
      <w:r>
        <w:rPr/>
        <w:t>thinking’.</w:t>
      </w:r>
      <w:r>
        <w:rPr>
          <w:spacing w:val="-18"/>
        </w:rPr>
        <w:t> </w:t>
      </w:r>
      <w:r>
        <w:rPr/>
        <w:t>The</w:t>
      </w:r>
      <w:r>
        <w:rPr>
          <w:spacing w:val="-18"/>
        </w:rPr>
        <w:t> </w:t>
      </w:r>
      <w:r>
        <w:rPr/>
        <w:t>School</w:t>
      </w:r>
      <w:r>
        <w:rPr>
          <w:spacing w:val="-18"/>
        </w:rPr>
        <w:t> </w:t>
      </w:r>
      <w:r>
        <w:rPr/>
        <w:t>has</w:t>
      </w:r>
      <w:r>
        <w:rPr>
          <w:spacing w:val="-18"/>
        </w:rPr>
        <w:t> </w:t>
      </w:r>
      <w:r>
        <w:rPr/>
        <w:t>developed multidisciplinary learning scenarios and supporting mechanisms, which integrate these competencies with the acquisition of </w:t>
      </w:r>
      <w:r>
        <w:rPr>
          <w:w w:val="95"/>
        </w:rPr>
        <w:t>entrepreneurial</w:t>
      </w:r>
      <w:r>
        <w:rPr>
          <w:spacing w:val="18"/>
          <w:w w:val="95"/>
        </w:rPr>
        <w:t> </w:t>
      </w:r>
      <w:r>
        <w:rPr>
          <w:w w:val="95"/>
        </w:rPr>
        <w:t>skills.</w:t>
      </w:r>
    </w:p>
    <w:p>
      <w:pPr>
        <w:pStyle w:val="BodyText"/>
        <w:rPr>
          <w:sz w:val="14"/>
        </w:rPr>
      </w:pPr>
    </w:p>
    <w:p>
      <w:pPr>
        <w:pStyle w:val="BodyText"/>
        <w:spacing w:line="249" w:lineRule="auto"/>
        <w:ind w:left="107" w:right="108"/>
      </w:pPr>
      <w:r>
        <w:rPr/>
        <w:t>In alignment with this approach and to meet evolving industry requirements, the industrial design program has been overhauled.</w:t>
      </w:r>
    </w:p>
    <w:p>
      <w:pPr>
        <w:pStyle w:val="BodyText"/>
        <w:rPr>
          <w:sz w:val="14"/>
        </w:rPr>
      </w:pPr>
    </w:p>
    <w:p>
      <w:pPr>
        <w:pStyle w:val="BodyText"/>
        <w:spacing w:line="249" w:lineRule="auto"/>
        <w:ind w:left="107" w:right="34"/>
      </w:pPr>
      <w:r>
        <w:rPr/>
        <w:t>The School expanded opportunities for work- integrated and interdisciplinary learning. The multidisciplinary engineering and product design project ‘Sustainable Electric Scooter’ provided a hands-on, research-led and</w:t>
      </w:r>
    </w:p>
    <w:p>
      <w:pPr>
        <w:pStyle w:val="BodyText"/>
        <w:spacing w:line="249" w:lineRule="auto"/>
        <w:ind w:left="107" w:right="139"/>
      </w:pPr>
      <w:r>
        <w:rPr/>
        <w:t>work-integrated learning experience for students from the undergraduate design and engineering programs.</w:t>
      </w:r>
    </w:p>
    <w:p>
      <w:pPr>
        <w:pStyle w:val="BodyText"/>
        <w:rPr>
          <w:sz w:val="14"/>
        </w:rPr>
      </w:pPr>
    </w:p>
    <w:p>
      <w:pPr>
        <w:pStyle w:val="BodyText"/>
        <w:spacing w:line="249" w:lineRule="auto"/>
        <w:ind w:left="107" w:right="84"/>
      </w:pPr>
      <w:r>
        <w:rPr/>
        <w:t>The Formula SAE-A Project has been officially opened and embedded into curricula for</w:t>
      </w:r>
    </w:p>
    <w:p>
      <w:pPr>
        <w:pStyle w:val="BodyText"/>
        <w:spacing w:line="249" w:lineRule="auto"/>
        <w:ind w:left="107" w:right="287"/>
      </w:pPr>
      <w:r>
        <w:rPr/>
        <w:t>both the undergraduate and postgraduate programs in mechanical engineering, and robotic and mechatronic engineering.</w:t>
      </w:r>
    </w:p>
    <w:p>
      <w:pPr>
        <w:pStyle w:val="BodyText"/>
        <w:rPr>
          <w:sz w:val="14"/>
        </w:rPr>
      </w:pPr>
    </w:p>
    <w:p>
      <w:pPr>
        <w:pStyle w:val="BodyText"/>
        <w:spacing w:line="249" w:lineRule="auto"/>
        <w:ind w:left="107" w:right="198"/>
      </w:pPr>
      <w:r>
        <w:rPr/>
        <w:t>The students in the Information Systems program have been participating in a work- integrated learning project involving real- life small to medium-sized enterprises in Picton, studying and identifying the most appropriate technology solutions to improve the companies’ business operations.</w:t>
      </w:r>
    </w:p>
    <w:p>
      <w:pPr>
        <w:pStyle w:val="BodyText"/>
        <w:rPr>
          <w:sz w:val="14"/>
        </w:rPr>
      </w:pPr>
    </w:p>
    <w:p>
      <w:pPr>
        <w:pStyle w:val="BodyText"/>
        <w:spacing w:line="249" w:lineRule="auto"/>
        <w:ind w:left="107" w:right="238"/>
      </w:pPr>
      <w:r>
        <w:rPr/>
        <w:t>The School continues to build its capacity for the agile and rapid design of academic programs in collaboration across the University, so it can thrive in the highly dynamic and competitive higher education environment.</w:t>
      </w:r>
      <w:r>
        <w:rPr>
          <w:spacing w:val="-20"/>
        </w:rPr>
        <w:t> </w:t>
      </w:r>
      <w:r>
        <w:rPr/>
        <w:t>In</w:t>
      </w:r>
      <w:r>
        <w:rPr>
          <w:spacing w:val="-20"/>
        </w:rPr>
        <w:t> </w:t>
      </w:r>
      <w:r>
        <w:rPr/>
        <w:t>addition</w:t>
      </w:r>
      <w:r>
        <w:rPr>
          <w:spacing w:val="-20"/>
        </w:rPr>
        <w:t> </w:t>
      </w:r>
      <w:r>
        <w:rPr/>
        <w:t>to</w:t>
      </w:r>
      <w:r>
        <w:rPr>
          <w:spacing w:val="-20"/>
        </w:rPr>
        <w:t> </w:t>
      </w:r>
      <w:r>
        <w:rPr/>
        <w:t>the</w:t>
      </w:r>
      <w:r>
        <w:rPr>
          <w:spacing w:val="-20"/>
        </w:rPr>
        <w:t> </w:t>
      </w:r>
      <w:r>
        <w:rPr/>
        <w:t>modularised and</w:t>
      </w:r>
      <w:r>
        <w:rPr>
          <w:spacing w:val="-18"/>
        </w:rPr>
        <w:t> </w:t>
      </w:r>
      <w:r>
        <w:rPr/>
        <w:t>flexible</w:t>
      </w:r>
      <w:r>
        <w:rPr>
          <w:spacing w:val="-18"/>
        </w:rPr>
        <w:t> </w:t>
      </w:r>
      <w:r>
        <w:rPr/>
        <w:t>curriculum</w:t>
      </w:r>
      <w:r>
        <w:rPr>
          <w:spacing w:val="-18"/>
        </w:rPr>
        <w:t> </w:t>
      </w:r>
      <w:r>
        <w:rPr/>
        <w:t>structures</w:t>
      </w:r>
      <w:r>
        <w:rPr>
          <w:spacing w:val="-18"/>
        </w:rPr>
        <w:t> </w:t>
      </w:r>
      <w:r>
        <w:rPr/>
        <w:t>created</w:t>
      </w:r>
      <w:r>
        <w:rPr>
          <w:spacing w:val="-18"/>
        </w:rPr>
        <w:t> </w:t>
      </w:r>
      <w:r>
        <w:rPr/>
        <w:t>as</w:t>
      </w:r>
    </w:p>
    <w:p>
      <w:pPr>
        <w:pStyle w:val="BodyText"/>
        <w:spacing w:line="249" w:lineRule="auto"/>
        <w:ind w:left="107" w:right="54"/>
      </w:pPr>
      <w:r>
        <w:rPr/>
        <w:t>part of the reshaping of the existing academic programs, the School focused on developing markedly different interdisciplinary academic programs and double degrees.</w:t>
      </w:r>
    </w:p>
    <w:p>
      <w:pPr>
        <w:pStyle w:val="BodyText"/>
        <w:rPr>
          <w:sz w:val="14"/>
        </w:rPr>
      </w:pPr>
    </w:p>
    <w:p>
      <w:pPr>
        <w:pStyle w:val="BodyText"/>
        <w:spacing w:line="249" w:lineRule="auto"/>
        <w:ind w:left="107" w:right="121"/>
      </w:pPr>
      <w:r>
        <w:rPr/>
        <w:t>Strategic</w:t>
      </w:r>
      <w:r>
        <w:rPr>
          <w:spacing w:val="-20"/>
        </w:rPr>
        <w:t> </w:t>
      </w:r>
      <w:r>
        <w:rPr/>
        <w:t>priority</w:t>
      </w:r>
      <w:r>
        <w:rPr>
          <w:spacing w:val="-20"/>
        </w:rPr>
        <w:t> </w:t>
      </w:r>
      <w:r>
        <w:rPr/>
        <w:t>has</w:t>
      </w:r>
      <w:r>
        <w:rPr>
          <w:spacing w:val="-20"/>
        </w:rPr>
        <w:t> </w:t>
      </w:r>
      <w:r>
        <w:rPr/>
        <w:t>been</w:t>
      </w:r>
      <w:r>
        <w:rPr>
          <w:spacing w:val="-20"/>
        </w:rPr>
        <w:t> </w:t>
      </w:r>
      <w:r>
        <w:rPr/>
        <w:t>given</w:t>
      </w:r>
      <w:r>
        <w:rPr>
          <w:spacing w:val="-20"/>
        </w:rPr>
        <w:t> </w:t>
      </w:r>
      <w:r>
        <w:rPr/>
        <w:t>to</w:t>
      </w:r>
      <w:r>
        <w:rPr>
          <w:spacing w:val="-20"/>
        </w:rPr>
        <w:t> </w:t>
      </w:r>
      <w:r>
        <w:rPr/>
        <w:t>developing the undergraduate and postgraduate data </w:t>
      </w:r>
      <w:r>
        <w:rPr>
          <w:w w:val="97"/>
        </w:rPr>
        <w:t>science </w:t>
      </w:r>
      <w:r>
        <w:rPr>
          <w:spacing w:val="1"/>
          <w:w w:val="98"/>
        </w:rPr>
        <w:t>academic</w:t>
      </w:r>
      <w:r>
        <w:rPr>
          <w:w w:val="98"/>
        </w:rPr>
        <w:t> </w:t>
      </w:r>
      <w:r>
        <w:rPr>
          <w:w w:val="98"/>
        </w:rPr>
        <w:t>programs </w:t>
      </w:r>
      <w:r>
        <w:rPr>
          <w:w w:val="98"/>
        </w:rPr>
        <w:t>that </w:t>
      </w:r>
      <w:r>
        <w:rPr>
          <w:spacing w:val="1"/>
          <w:w w:val="97"/>
        </w:rPr>
        <w:t>start</w:t>
      </w:r>
      <w:r>
        <w:rPr>
          <w:w w:val="97"/>
        </w:rPr>
        <w:t> </w:t>
      </w:r>
      <w:r>
        <w:rPr>
          <w:w w:val="95"/>
        </w:rPr>
        <w:t>in </w:t>
      </w:r>
      <w:r>
        <w:rPr>
          <w:spacing w:val="1"/>
          <w:w w:val="85"/>
        </w:rPr>
        <w:t>2016.</w:t>
      </w:r>
      <w:r>
        <w:rPr>
          <w:w w:val="85"/>
        </w:rPr>
        <w:t> </w:t>
      </w:r>
      <w:r>
        <w:rPr/>
        <w:t>The trans-disciplinary undergraduate degree (which</w:t>
      </w:r>
      <w:r>
        <w:rPr>
          <w:spacing w:val="-20"/>
        </w:rPr>
        <w:t> </w:t>
      </w:r>
      <w:r>
        <w:rPr/>
        <w:t>is</w:t>
      </w:r>
      <w:r>
        <w:rPr>
          <w:spacing w:val="-20"/>
        </w:rPr>
        <w:t> </w:t>
      </w:r>
      <w:r>
        <w:rPr/>
        <w:t>undertaken</w:t>
      </w:r>
      <w:r>
        <w:rPr>
          <w:spacing w:val="-20"/>
        </w:rPr>
        <w:t> </w:t>
      </w:r>
      <w:r>
        <w:rPr/>
        <w:t>as</w:t>
      </w:r>
      <w:r>
        <w:rPr>
          <w:spacing w:val="-20"/>
        </w:rPr>
        <w:t> </w:t>
      </w:r>
      <w:r>
        <w:rPr/>
        <w:t>a</w:t>
      </w:r>
      <w:r>
        <w:rPr>
          <w:spacing w:val="-20"/>
        </w:rPr>
        <w:t> </w:t>
      </w:r>
      <w:r>
        <w:rPr/>
        <w:t>double</w:t>
      </w:r>
      <w:r>
        <w:rPr>
          <w:spacing w:val="-20"/>
        </w:rPr>
        <w:t> </w:t>
      </w:r>
      <w:r>
        <w:rPr/>
        <w:t>degree</w:t>
      </w:r>
      <w:r>
        <w:rPr>
          <w:spacing w:val="-20"/>
        </w:rPr>
        <w:t> </w:t>
      </w:r>
      <w:r>
        <w:rPr/>
        <w:t>with another discipline) aims to equip graduates with</w:t>
      </w:r>
      <w:r>
        <w:rPr>
          <w:spacing w:val="-19"/>
        </w:rPr>
        <w:t> </w:t>
      </w:r>
      <w:r>
        <w:rPr/>
        <w:t>the</w:t>
      </w:r>
      <w:r>
        <w:rPr>
          <w:spacing w:val="-19"/>
        </w:rPr>
        <w:t> </w:t>
      </w:r>
      <w:r>
        <w:rPr/>
        <w:t>capabilities</w:t>
      </w:r>
      <w:r>
        <w:rPr>
          <w:spacing w:val="-19"/>
        </w:rPr>
        <w:t> </w:t>
      </w:r>
      <w:r>
        <w:rPr/>
        <w:t>to</w:t>
      </w:r>
      <w:r>
        <w:rPr>
          <w:spacing w:val="-19"/>
        </w:rPr>
        <w:t> </w:t>
      </w:r>
      <w:r>
        <w:rPr/>
        <w:t>embark</w:t>
      </w:r>
      <w:r>
        <w:rPr>
          <w:spacing w:val="-19"/>
        </w:rPr>
        <w:t> </w:t>
      </w:r>
      <w:r>
        <w:rPr/>
        <w:t>on</w:t>
      </w:r>
      <w:r>
        <w:rPr>
          <w:spacing w:val="-19"/>
        </w:rPr>
        <w:t> </w:t>
      </w:r>
      <w:r>
        <w:rPr/>
        <w:t>data-</w:t>
      </w:r>
    </w:p>
    <w:p>
      <w:pPr>
        <w:pStyle w:val="BodyText"/>
        <w:spacing w:line="249" w:lineRule="auto"/>
        <w:ind w:left="107" w:right="121"/>
      </w:pPr>
      <w:r>
        <w:rPr/>
        <w:t>driven</w:t>
      </w:r>
      <w:r>
        <w:rPr>
          <w:spacing w:val="-27"/>
        </w:rPr>
        <w:t> </w:t>
      </w:r>
      <w:r>
        <w:rPr/>
        <w:t>investigations</w:t>
      </w:r>
      <w:r>
        <w:rPr>
          <w:spacing w:val="-27"/>
        </w:rPr>
        <w:t> </w:t>
      </w:r>
      <w:r>
        <w:rPr/>
        <w:t>in</w:t>
      </w:r>
      <w:r>
        <w:rPr>
          <w:spacing w:val="-27"/>
        </w:rPr>
        <w:t> </w:t>
      </w:r>
      <w:r>
        <w:rPr/>
        <w:t>their</w:t>
      </w:r>
      <w:r>
        <w:rPr>
          <w:spacing w:val="-27"/>
        </w:rPr>
        <w:t> </w:t>
      </w:r>
      <w:r>
        <w:rPr/>
        <w:t>study</w:t>
      </w:r>
      <w:r>
        <w:rPr>
          <w:spacing w:val="-27"/>
        </w:rPr>
        <w:t> </w:t>
      </w:r>
      <w:r>
        <w:rPr/>
        <w:t>areas.</w:t>
      </w:r>
      <w:r>
        <w:rPr>
          <w:spacing w:val="-27"/>
        </w:rPr>
        <w:t> </w:t>
      </w:r>
      <w:r>
        <w:rPr/>
        <w:t>The program</w:t>
      </w:r>
      <w:r>
        <w:rPr>
          <w:spacing w:val="-23"/>
        </w:rPr>
        <w:t> </w:t>
      </w:r>
      <w:r>
        <w:rPr/>
        <w:t>recognises</w:t>
      </w:r>
      <w:r>
        <w:rPr>
          <w:spacing w:val="-23"/>
        </w:rPr>
        <w:t> </w:t>
      </w:r>
      <w:r>
        <w:rPr/>
        <w:t>that</w:t>
      </w:r>
      <w:r>
        <w:rPr>
          <w:spacing w:val="-23"/>
        </w:rPr>
        <w:t> </w:t>
      </w:r>
      <w:r>
        <w:rPr/>
        <w:t>data</w:t>
      </w:r>
      <w:r>
        <w:rPr>
          <w:spacing w:val="-23"/>
        </w:rPr>
        <w:t> </w:t>
      </w:r>
      <w:r>
        <w:rPr/>
        <w:t>science</w:t>
      </w:r>
      <w:r>
        <w:rPr>
          <w:spacing w:val="-23"/>
        </w:rPr>
        <w:t> </w:t>
      </w:r>
      <w:r>
        <w:rPr/>
        <w:t>needs</w:t>
      </w:r>
    </w:p>
    <w:p>
      <w:pPr>
        <w:spacing w:after="0" w:line="249" w:lineRule="auto"/>
        <w:sectPr>
          <w:type w:val="continuous"/>
          <w:pgSz w:w="11910" w:h="16840"/>
          <w:pgMar w:top="1580" w:bottom="280" w:left="800" w:right="800"/>
          <w:cols w:num="3" w:equalWidth="0">
            <w:col w:w="3320" w:space="48"/>
            <w:col w:w="3391" w:space="11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17"/>
      </w:pPr>
      <w:r>
        <w:rPr/>
        <w:t>to be embedded into specialty programs to enable graduates to become professionals who are competitively positioned to succeed in today’s data-rich business environments. The postgraduate degree addresses the rapidly growing demand across almost all domains of human endeavour for specialists with in-depth knowledge and practical skills for</w:t>
      </w:r>
      <w:r>
        <w:rPr>
          <w:spacing w:val="-21"/>
        </w:rPr>
        <w:t> </w:t>
      </w:r>
      <w:r>
        <w:rPr/>
        <w:t>making</w:t>
      </w:r>
      <w:r>
        <w:rPr>
          <w:spacing w:val="-21"/>
        </w:rPr>
        <w:t> </w:t>
      </w:r>
      <w:r>
        <w:rPr/>
        <w:t>sense</w:t>
      </w:r>
      <w:r>
        <w:rPr>
          <w:spacing w:val="-21"/>
        </w:rPr>
        <w:t> </w:t>
      </w:r>
      <w:r>
        <w:rPr/>
        <w:t>of</w:t>
      </w:r>
      <w:r>
        <w:rPr>
          <w:spacing w:val="-21"/>
        </w:rPr>
        <w:t> </w:t>
      </w:r>
      <w:r>
        <w:rPr/>
        <w:t>vast</w:t>
      </w:r>
      <w:r>
        <w:rPr>
          <w:spacing w:val="-21"/>
        </w:rPr>
        <w:t> </w:t>
      </w:r>
      <w:r>
        <w:rPr/>
        <w:t>quantities</w:t>
      </w:r>
      <w:r>
        <w:rPr>
          <w:spacing w:val="-21"/>
        </w:rPr>
        <w:t> </w:t>
      </w:r>
      <w:r>
        <w:rPr/>
        <w:t>of</w:t>
      </w:r>
      <w:r>
        <w:rPr>
          <w:spacing w:val="-21"/>
        </w:rPr>
        <w:t> </w:t>
      </w:r>
      <w:r>
        <w:rPr/>
        <w:t>data</w:t>
      </w:r>
      <w:r>
        <w:rPr>
          <w:spacing w:val="-21"/>
        </w:rPr>
        <w:t> </w:t>
      </w:r>
      <w:r>
        <w:rPr/>
        <w:t>and information.</w:t>
      </w:r>
    </w:p>
    <w:p>
      <w:pPr>
        <w:pStyle w:val="BodyText"/>
        <w:rPr>
          <w:sz w:val="14"/>
        </w:rPr>
      </w:pPr>
    </w:p>
    <w:p>
      <w:pPr>
        <w:pStyle w:val="BodyText"/>
        <w:spacing w:line="249" w:lineRule="auto"/>
        <w:ind w:left="107" w:right="17"/>
      </w:pPr>
      <w:r>
        <w:rPr/>
        <w:t>The School continued to enhance the nomenclature</w:t>
      </w:r>
      <w:r>
        <w:rPr>
          <w:spacing w:val="-18"/>
        </w:rPr>
        <w:t> </w:t>
      </w:r>
      <w:r>
        <w:rPr/>
        <w:t>of</w:t>
      </w:r>
      <w:r>
        <w:rPr>
          <w:spacing w:val="-18"/>
        </w:rPr>
        <w:t> </w:t>
      </w:r>
      <w:r>
        <w:rPr/>
        <w:t>its</w:t>
      </w:r>
      <w:r>
        <w:rPr>
          <w:spacing w:val="-18"/>
        </w:rPr>
        <w:t> </w:t>
      </w:r>
      <w:r>
        <w:rPr/>
        <w:t>double</w:t>
      </w:r>
      <w:r>
        <w:rPr>
          <w:spacing w:val="-18"/>
        </w:rPr>
        <w:t> </w:t>
      </w:r>
      <w:r>
        <w:rPr/>
        <w:t>degrees.</w:t>
      </w:r>
      <w:r>
        <w:rPr>
          <w:spacing w:val="-18"/>
        </w:rPr>
        <w:t> </w:t>
      </w:r>
      <w:r>
        <w:rPr/>
        <w:t>Together with the School of </w:t>
      </w:r>
      <w:r>
        <w:rPr>
          <w:spacing w:val="2"/>
        </w:rPr>
        <w:t>Business, </w:t>
      </w:r>
      <w:r>
        <w:rPr/>
        <w:t>SCEM finalised double degrees in engineering and business, and with the School of Law it delivered degrees</w:t>
      </w:r>
      <w:r>
        <w:rPr>
          <w:spacing w:val="-19"/>
        </w:rPr>
        <w:t> </w:t>
      </w:r>
      <w:r>
        <w:rPr/>
        <w:t>in</w:t>
      </w:r>
      <w:r>
        <w:rPr>
          <w:spacing w:val="-19"/>
        </w:rPr>
        <w:t> </w:t>
      </w:r>
      <w:r>
        <w:rPr/>
        <w:t>construction</w:t>
      </w:r>
      <w:r>
        <w:rPr>
          <w:spacing w:val="-19"/>
        </w:rPr>
        <w:t> </w:t>
      </w:r>
      <w:r>
        <w:rPr/>
        <w:t>management</w:t>
      </w:r>
      <w:r>
        <w:rPr>
          <w:spacing w:val="-19"/>
        </w:rPr>
        <w:t> </w:t>
      </w:r>
      <w:r>
        <w:rPr/>
        <w:t>and</w:t>
      </w:r>
      <w:r>
        <w:rPr>
          <w:spacing w:val="-19"/>
        </w:rPr>
        <w:t> </w:t>
      </w:r>
      <w:r>
        <w:rPr/>
        <w:t>law.</w:t>
      </w:r>
    </w:p>
    <w:p>
      <w:pPr>
        <w:pStyle w:val="BodyText"/>
        <w:rPr>
          <w:sz w:val="14"/>
        </w:rPr>
      </w:pPr>
    </w:p>
    <w:p>
      <w:pPr>
        <w:pStyle w:val="BodyText"/>
        <w:spacing w:line="249" w:lineRule="auto"/>
        <w:ind w:left="107" w:right="95"/>
      </w:pPr>
      <w:r>
        <w:rPr>
          <w:spacing w:val="1"/>
          <w:w w:val="80"/>
        </w:rPr>
        <w:t>In</w:t>
      </w:r>
      <w:r>
        <w:rPr>
          <w:w w:val="80"/>
        </w:rPr>
        <w:t> </w:t>
      </w:r>
      <w:r>
        <w:rPr>
          <w:spacing w:val="1"/>
          <w:w w:val="84"/>
        </w:rPr>
        <w:t>2015,</w:t>
      </w:r>
      <w:r>
        <w:rPr>
          <w:w w:val="84"/>
        </w:rPr>
        <w:t> </w:t>
      </w:r>
      <w:r>
        <w:rPr>
          <w:w w:val="97"/>
        </w:rPr>
        <w:t>the </w:t>
      </w:r>
      <w:r>
        <w:rPr>
          <w:spacing w:val="1"/>
          <w:w w:val="98"/>
        </w:rPr>
        <w:t>School</w:t>
      </w:r>
      <w:r>
        <w:rPr>
          <w:w w:val="98"/>
        </w:rPr>
        <w:t> </w:t>
      </w:r>
      <w:r>
        <w:rPr>
          <w:w w:val="98"/>
        </w:rPr>
        <w:t>offered </w:t>
      </w:r>
      <w:r>
        <w:rPr>
          <w:spacing w:val="1"/>
          <w:w w:val="97"/>
        </w:rPr>
        <w:t>substantially</w:t>
      </w:r>
      <w:r>
        <w:rPr>
          <w:w w:val="97"/>
        </w:rPr>
        <w:t> </w:t>
      </w:r>
      <w:r>
        <w:rPr/>
        <w:t>redesigned two-year masters programs in ICT, engineering, building surveying, fire safety</w:t>
      </w:r>
      <w:r>
        <w:rPr>
          <w:spacing w:val="-21"/>
        </w:rPr>
        <w:t> </w:t>
      </w:r>
      <w:r>
        <w:rPr/>
        <w:t>engineering</w:t>
      </w:r>
      <w:r>
        <w:rPr>
          <w:spacing w:val="-21"/>
        </w:rPr>
        <w:t> </w:t>
      </w:r>
      <w:r>
        <w:rPr/>
        <w:t>and</w:t>
      </w:r>
      <w:r>
        <w:rPr>
          <w:spacing w:val="-21"/>
        </w:rPr>
        <w:t> </w:t>
      </w:r>
      <w:r>
        <w:rPr/>
        <w:t>bushfire</w:t>
      </w:r>
      <w:r>
        <w:rPr>
          <w:spacing w:val="-21"/>
        </w:rPr>
        <w:t> </w:t>
      </w:r>
      <w:r>
        <w:rPr/>
        <w:t>protection.</w:t>
      </w:r>
      <w:r>
        <w:rPr>
          <w:spacing w:val="-21"/>
        </w:rPr>
        <w:t> </w:t>
      </w:r>
      <w:r>
        <w:rPr/>
        <w:t>It laid</w:t>
      </w:r>
      <w:r>
        <w:rPr>
          <w:spacing w:val="-16"/>
        </w:rPr>
        <w:t> </w:t>
      </w:r>
      <w:r>
        <w:rPr/>
        <w:t>the</w:t>
      </w:r>
      <w:r>
        <w:rPr>
          <w:spacing w:val="-16"/>
        </w:rPr>
        <w:t> </w:t>
      </w:r>
      <w:r>
        <w:rPr/>
        <w:t>foundations</w:t>
      </w:r>
      <w:r>
        <w:rPr>
          <w:spacing w:val="-16"/>
        </w:rPr>
        <w:t> </w:t>
      </w:r>
      <w:r>
        <w:rPr/>
        <w:t>for</w:t>
      </w:r>
      <w:r>
        <w:rPr>
          <w:spacing w:val="-16"/>
        </w:rPr>
        <w:t> </w:t>
      </w:r>
      <w:r>
        <w:rPr/>
        <w:t>creating</w:t>
      </w:r>
      <w:r>
        <w:rPr>
          <w:spacing w:val="-16"/>
        </w:rPr>
        <w:t> </w:t>
      </w:r>
      <w:r>
        <w:rPr/>
        <w:t>specialised</w:t>
      </w:r>
    </w:p>
    <w:p>
      <w:pPr>
        <w:pStyle w:val="BodyText"/>
        <w:spacing w:line="249" w:lineRule="auto"/>
        <w:ind w:left="107" w:right="-4"/>
      </w:pPr>
      <w:r>
        <w:rPr/>
        <w:t>technology</w:t>
      </w:r>
      <w:r>
        <w:rPr>
          <w:spacing w:val="-14"/>
        </w:rPr>
        <w:t> </w:t>
      </w:r>
      <w:r>
        <w:rPr/>
        <w:t>streams</w:t>
      </w:r>
      <w:r>
        <w:rPr>
          <w:spacing w:val="-14"/>
        </w:rPr>
        <w:t> </w:t>
      </w:r>
      <w:r>
        <w:rPr/>
        <w:t>in</w:t>
      </w:r>
      <w:r>
        <w:rPr>
          <w:spacing w:val="-14"/>
        </w:rPr>
        <w:t> </w:t>
      </w:r>
      <w:r>
        <w:rPr/>
        <w:t>postgraduate</w:t>
      </w:r>
      <w:r>
        <w:rPr>
          <w:spacing w:val="-14"/>
        </w:rPr>
        <w:t> </w:t>
      </w:r>
      <w:r>
        <w:rPr/>
        <w:t>programs across</w:t>
      </w:r>
      <w:r>
        <w:rPr>
          <w:spacing w:val="-26"/>
        </w:rPr>
        <w:t> </w:t>
      </w:r>
      <w:r>
        <w:rPr/>
        <w:t>the</w:t>
      </w:r>
      <w:r>
        <w:rPr>
          <w:spacing w:val="-26"/>
        </w:rPr>
        <w:t> </w:t>
      </w:r>
      <w:r>
        <w:rPr/>
        <w:t>University.</w:t>
      </w:r>
      <w:r>
        <w:rPr>
          <w:spacing w:val="-26"/>
        </w:rPr>
        <w:t> </w:t>
      </w:r>
      <w:r>
        <w:rPr/>
        <w:t>In</w:t>
      </w:r>
      <w:r>
        <w:rPr>
          <w:spacing w:val="-26"/>
        </w:rPr>
        <w:t> </w:t>
      </w:r>
      <w:r>
        <w:rPr/>
        <w:t>particular,</w:t>
      </w:r>
      <w:r>
        <w:rPr>
          <w:spacing w:val="-26"/>
        </w:rPr>
        <w:t> </w:t>
      </w:r>
      <w:r>
        <w:rPr/>
        <w:t>it</w:t>
      </w:r>
      <w:r>
        <w:rPr>
          <w:spacing w:val="-26"/>
        </w:rPr>
        <w:t> </w:t>
      </w:r>
      <w:r>
        <w:rPr/>
        <w:t>offers</w:t>
      </w:r>
    </w:p>
    <w:p>
      <w:pPr>
        <w:pStyle w:val="BodyText"/>
        <w:spacing w:line="249" w:lineRule="auto"/>
        <w:ind w:left="107" w:right="114"/>
      </w:pPr>
      <w:r>
        <w:rPr/>
        <w:t>the ICT specialisation in the University’s Master of Business Administration program. Specialisations in data science, project management and other areas are in preparation.</w:t>
      </w:r>
    </w:p>
    <w:p>
      <w:pPr>
        <w:pStyle w:val="BodyText"/>
        <w:rPr>
          <w:sz w:val="14"/>
        </w:rPr>
      </w:pPr>
    </w:p>
    <w:p>
      <w:pPr>
        <w:pStyle w:val="BodyText"/>
        <w:spacing w:line="249" w:lineRule="auto"/>
        <w:ind w:left="107" w:right="-4"/>
      </w:pPr>
      <w:r>
        <w:rPr/>
        <w:t>The School contributed extensively to The Academy, in the development and delivery of the novel double-degree Bachelor in Applied Leadership and Critical Thinking.</w:t>
      </w:r>
    </w:p>
    <w:p>
      <w:pPr>
        <w:pStyle w:val="BodyText"/>
        <w:rPr>
          <w:sz w:val="14"/>
        </w:rPr>
      </w:pPr>
    </w:p>
    <w:p>
      <w:pPr>
        <w:pStyle w:val="BodyText"/>
        <w:spacing w:line="249" w:lineRule="auto"/>
        <w:ind w:left="107" w:right="152"/>
      </w:pPr>
      <w:r>
        <w:rPr/>
        <w:t>Flexibility and convenience in learning, and access to staff expertise are essential parts </w:t>
      </w:r>
      <w:r>
        <w:rPr>
          <w:w w:val="99"/>
        </w:rPr>
        <w:t>of </w:t>
      </w:r>
      <w:r>
        <w:rPr>
          <w:w w:val="98"/>
        </w:rPr>
        <w:t>student </w:t>
      </w:r>
      <w:r>
        <w:rPr>
          <w:w w:val="96"/>
        </w:rPr>
        <w:t>centricity. </w:t>
      </w:r>
      <w:r>
        <w:rPr>
          <w:w w:val="80"/>
        </w:rPr>
        <w:t>In </w:t>
      </w:r>
      <w:r>
        <w:rPr>
          <w:w w:val="84"/>
        </w:rPr>
        <w:t>2015, </w:t>
      </w:r>
      <w:r>
        <w:rPr>
          <w:w w:val="97"/>
        </w:rPr>
        <w:t>the </w:t>
      </w:r>
      <w:r>
        <w:rPr>
          <w:w w:val="98"/>
        </w:rPr>
        <w:t>School </w:t>
      </w:r>
      <w:r>
        <w:rPr/>
        <w:t>continued to enhance blended learning methodologies in all its courses. Priority was also given to developing blended learning curricula in areas with significant staffing pressures – such as construction</w:t>
      </w:r>
    </w:p>
    <w:p>
      <w:pPr>
        <w:pStyle w:val="BodyText"/>
        <w:spacing w:line="249" w:lineRule="auto"/>
        <w:ind w:left="107" w:right="6"/>
      </w:pPr>
      <w:r>
        <w:rPr/>
        <w:t>management,</w:t>
      </w:r>
      <w:r>
        <w:rPr>
          <w:spacing w:val="-20"/>
        </w:rPr>
        <w:t> </w:t>
      </w:r>
      <w:r>
        <w:rPr/>
        <w:t>where</w:t>
      </w:r>
      <w:r>
        <w:rPr>
          <w:spacing w:val="-20"/>
        </w:rPr>
        <w:t> </w:t>
      </w:r>
      <w:r>
        <w:rPr/>
        <w:t>the</w:t>
      </w:r>
      <w:r>
        <w:rPr>
          <w:spacing w:val="-20"/>
        </w:rPr>
        <w:t> </w:t>
      </w:r>
      <w:r>
        <w:rPr/>
        <w:t>anticipated</w:t>
      </w:r>
      <w:r>
        <w:rPr>
          <w:spacing w:val="-20"/>
        </w:rPr>
        <w:t> </w:t>
      </w:r>
      <w:r>
        <w:rPr/>
        <w:t>efficiency dividend offered by blended learning will be most</w:t>
      </w:r>
      <w:r>
        <w:rPr>
          <w:spacing w:val="-18"/>
        </w:rPr>
        <w:t> </w:t>
      </w:r>
      <w:r>
        <w:rPr/>
        <w:t>useful</w:t>
      </w:r>
      <w:r>
        <w:rPr>
          <w:spacing w:val="-18"/>
        </w:rPr>
        <w:t> </w:t>
      </w:r>
      <w:r>
        <w:rPr/>
        <w:t>in</w:t>
      </w:r>
      <w:r>
        <w:rPr>
          <w:spacing w:val="-18"/>
        </w:rPr>
        <w:t> </w:t>
      </w:r>
      <w:r>
        <w:rPr/>
        <w:t>the</w:t>
      </w:r>
      <w:r>
        <w:rPr>
          <w:spacing w:val="-18"/>
        </w:rPr>
        <w:t> </w:t>
      </w:r>
      <w:r>
        <w:rPr/>
        <w:t>short</w:t>
      </w:r>
      <w:r>
        <w:rPr>
          <w:spacing w:val="-18"/>
        </w:rPr>
        <w:t> </w:t>
      </w:r>
      <w:r>
        <w:rPr/>
        <w:t>and</w:t>
      </w:r>
      <w:r>
        <w:rPr>
          <w:spacing w:val="-18"/>
        </w:rPr>
        <w:t> </w:t>
      </w:r>
      <w:r>
        <w:rPr/>
        <w:t>medium</w:t>
      </w:r>
      <w:r>
        <w:rPr>
          <w:spacing w:val="-18"/>
        </w:rPr>
        <w:t> </w:t>
      </w:r>
      <w:r>
        <w:rPr/>
        <w:t>term.</w:t>
      </w:r>
    </w:p>
    <w:p>
      <w:pPr>
        <w:pStyle w:val="BodyText"/>
        <w:rPr>
          <w:sz w:val="14"/>
        </w:rPr>
      </w:pPr>
    </w:p>
    <w:p>
      <w:pPr>
        <w:pStyle w:val="BodyText"/>
        <w:spacing w:line="249" w:lineRule="auto"/>
        <w:ind w:left="107" w:right="155"/>
      </w:pPr>
      <w:r>
        <w:rPr/>
        <w:t>SCEM leadership in digital disruption in education has been well recognised. Dr Anton Bogdanovych won the </w:t>
      </w:r>
      <w:r>
        <w:rPr>
          <w:spacing w:val="2"/>
        </w:rPr>
        <w:t>ICT </w:t>
      </w:r>
      <w:r>
        <w:rPr/>
        <w:t>Higher </w:t>
      </w:r>
      <w:r>
        <w:rPr>
          <w:spacing w:val="1"/>
          <w:w w:val="98"/>
        </w:rPr>
        <w:t>Education</w:t>
      </w:r>
      <w:r>
        <w:rPr>
          <w:w w:val="98"/>
        </w:rPr>
        <w:t> </w:t>
      </w:r>
      <w:r>
        <w:rPr>
          <w:w w:val="99"/>
        </w:rPr>
        <w:t>Educator </w:t>
      </w:r>
      <w:r>
        <w:rPr>
          <w:w w:val="99"/>
        </w:rPr>
        <w:t>of </w:t>
      </w:r>
      <w:r>
        <w:rPr>
          <w:w w:val="97"/>
        </w:rPr>
        <w:t>the </w:t>
      </w:r>
      <w:r>
        <w:rPr>
          <w:spacing w:val="-2"/>
          <w:w w:val="97"/>
        </w:rPr>
        <w:t>Year</w:t>
      </w:r>
      <w:r>
        <w:rPr>
          <w:w w:val="97"/>
        </w:rPr>
        <w:t> </w:t>
      </w:r>
      <w:r>
        <w:rPr>
          <w:spacing w:val="1"/>
          <w:w w:val="88"/>
        </w:rPr>
        <w:t>2015</w:t>
      </w:r>
      <w:r>
        <w:rPr>
          <w:w w:val="88"/>
        </w:rPr>
        <w:t> </w:t>
      </w:r>
      <w:r>
        <w:rPr>
          <w:w w:val="97"/>
        </w:rPr>
        <w:t>award </w:t>
      </w:r>
      <w:r>
        <w:rPr/>
        <w:t>at the Australian Computer Society Digital Disruptors Awards, and Dr Tomas Trescak received</w:t>
      </w:r>
      <w:r>
        <w:rPr>
          <w:spacing w:val="-17"/>
        </w:rPr>
        <w:t> </w:t>
      </w:r>
      <w:r>
        <w:rPr/>
        <w:t>a</w:t>
      </w:r>
      <w:r>
        <w:rPr>
          <w:spacing w:val="-17"/>
        </w:rPr>
        <w:t> </w:t>
      </w:r>
      <w:r>
        <w:rPr/>
        <w:t>Gold</w:t>
      </w:r>
      <w:r>
        <w:rPr>
          <w:spacing w:val="-17"/>
        </w:rPr>
        <w:t> </w:t>
      </w:r>
      <w:r>
        <w:rPr/>
        <w:t>award</w:t>
      </w:r>
      <w:r>
        <w:rPr>
          <w:spacing w:val="-17"/>
        </w:rPr>
        <w:t> </w:t>
      </w:r>
      <w:r>
        <w:rPr/>
        <w:t>in</w:t>
      </w:r>
      <w:r>
        <w:rPr>
          <w:spacing w:val="-17"/>
        </w:rPr>
        <w:t> </w:t>
      </w:r>
      <w:r>
        <w:rPr/>
        <w:t>the</w:t>
      </w:r>
      <w:r>
        <w:rPr>
          <w:spacing w:val="-17"/>
        </w:rPr>
        <w:t> </w:t>
      </w:r>
      <w:r>
        <w:rPr/>
        <w:t>same</w:t>
      </w:r>
      <w:r>
        <w:rPr>
          <w:spacing w:val="-17"/>
        </w:rPr>
        <w:t> </w:t>
      </w:r>
      <w:r>
        <w:rPr/>
        <w:t>category.</w:t>
      </w:r>
    </w:p>
    <w:p>
      <w:pPr>
        <w:pStyle w:val="BodyText"/>
        <w:spacing w:before="2"/>
        <w:rPr>
          <w:sz w:val="20"/>
        </w:rPr>
      </w:pPr>
      <w:r>
        <w:rPr/>
        <w:br w:type="column"/>
      </w:r>
      <w:r>
        <w:rPr>
          <w:sz w:val="20"/>
        </w:rPr>
      </w:r>
    </w:p>
    <w:p>
      <w:pPr>
        <w:pStyle w:val="BodyText"/>
        <w:spacing w:line="249" w:lineRule="auto"/>
        <w:ind w:left="107" w:right="-17"/>
      </w:pPr>
      <w:r>
        <w:rPr>
          <w:spacing w:val="1"/>
          <w:w w:val="80"/>
        </w:rPr>
        <w:t>In</w:t>
      </w:r>
      <w:r>
        <w:rPr>
          <w:w w:val="80"/>
        </w:rPr>
        <w:t> </w:t>
      </w:r>
      <w:r>
        <w:rPr>
          <w:spacing w:val="1"/>
          <w:w w:val="84"/>
        </w:rPr>
        <w:t>2015,</w:t>
      </w:r>
      <w:r>
        <w:rPr>
          <w:w w:val="84"/>
        </w:rPr>
        <w:t> </w:t>
      </w:r>
      <w:r>
        <w:rPr>
          <w:w w:val="97"/>
        </w:rPr>
        <w:t>the </w:t>
      </w:r>
      <w:r>
        <w:rPr>
          <w:spacing w:val="1"/>
          <w:w w:val="98"/>
        </w:rPr>
        <w:t>School</w:t>
      </w:r>
      <w:r>
        <w:rPr>
          <w:w w:val="98"/>
        </w:rPr>
        <w:t> </w:t>
      </w:r>
      <w:r>
        <w:rPr>
          <w:spacing w:val="1"/>
          <w:w w:val="97"/>
        </w:rPr>
        <w:t>increased</w:t>
      </w:r>
      <w:r>
        <w:rPr>
          <w:w w:val="97"/>
        </w:rPr>
        <w:t> </w:t>
      </w:r>
      <w:r>
        <w:rPr>
          <w:spacing w:val="1"/>
          <w:w w:val="97"/>
        </w:rPr>
        <w:t>its</w:t>
      </w:r>
      <w:r>
        <w:rPr>
          <w:w w:val="97"/>
        </w:rPr>
        <w:t> </w:t>
      </w:r>
      <w:r>
        <w:rPr>
          <w:w w:val="96"/>
        </w:rPr>
        <w:t>international </w:t>
      </w:r>
      <w:r>
        <w:rPr/>
        <w:t>enrolments, notably in the Bachelor of Information</w:t>
      </w:r>
      <w:r>
        <w:rPr>
          <w:spacing w:val="-33"/>
        </w:rPr>
        <w:t> </w:t>
      </w:r>
      <w:r>
        <w:rPr/>
        <w:t>and</w:t>
      </w:r>
      <w:r>
        <w:rPr>
          <w:spacing w:val="-33"/>
        </w:rPr>
        <w:t> </w:t>
      </w:r>
      <w:r>
        <w:rPr/>
        <w:t>Communications</w:t>
      </w:r>
      <w:r>
        <w:rPr>
          <w:spacing w:val="-33"/>
        </w:rPr>
        <w:t> </w:t>
      </w:r>
      <w:r>
        <w:rPr/>
        <w:t>Technology,</w:t>
      </w:r>
    </w:p>
    <w:p>
      <w:pPr>
        <w:pStyle w:val="BodyText"/>
        <w:spacing w:line="249" w:lineRule="auto"/>
        <w:ind w:left="107" w:right="76"/>
      </w:pPr>
      <w:r>
        <w:rPr/>
        <w:t>Bachelor of Information Systems, Bachelor of Engineering and Bachelor of Construction</w:t>
      </w:r>
    </w:p>
    <w:p>
      <w:pPr>
        <w:pStyle w:val="BodyText"/>
        <w:spacing w:line="249" w:lineRule="auto"/>
        <w:ind w:left="107" w:right="-17"/>
      </w:pPr>
      <w:r>
        <w:rPr/>
        <w:t>Management undergraduate degrees. Among the postgraduate degrees, the new Master</w:t>
      </w:r>
    </w:p>
    <w:p>
      <w:pPr>
        <w:pStyle w:val="BodyText"/>
        <w:spacing w:line="249" w:lineRule="auto"/>
        <w:ind w:left="107" w:right="-17"/>
      </w:pPr>
      <w:r>
        <w:rPr/>
        <w:t>of Engineering was the leader in attracting </w:t>
      </w:r>
      <w:r>
        <w:rPr>
          <w:w w:val="96"/>
        </w:rPr>
        <w:t>international </w:t>
      </w:r>
      <w:r>
        <w:rPr>
          <w:spacing w:val="2"/>
          <w:w w:val="94"/>
        </w:rPr>
        <w:t>students.</w:t>
      </w:r>
      <w:r>
        <w:rPr>
          <w:w w:val="94"/>
        </w:rPr>
        <w:t> </w:t>
      </w:r>
      <w:r>
        <w:rPr>
          <w:spacing w:val="1"/>
          <w:w w:val="80"/>
        </w:rPr>
        <w:t>In</w:t>
      </w:r>
      <w:r>
        <w:rPr>
          <w:w w:val="80"/>
        </w:rPr>
        <w:t> </w:t>
      </w:r>
      <w:r>
        <w:rPr>
          <w:spacing w:val="2"/>
          <w:w w:val="85"/>
        </w:rPr>
        <w:t>2016,</w:t>
      </w:r>
      <w:r>
        <w:rPr>
          <w:w w:val="85"/>
        </w:rPr>
        <w:t> </w:t>
      </w:r>
      <w:r>
        <w:rPr>
          <w:w w:val="97"/>
        </w:rPr>
        <w:t>the </w:t>
      </w:r>
      <w:r>
        <w:rPr>
          <w:spacing w:val="1"/>
          <w:w w:val="98"/>
        </w:rPr>
        <w:t>School</w:t>
      </w:r>
      <w:r>
        <w:rPr>
          <w:w w:val="98"/>
        </w:rPr>
        <w:t> </w:t>
      </w:r>
      <w:r>
        <w:rPr>
          <w:w w:val="95"/>
        </w:rPr>
        <w:t>is </w:t>
      </w:r>
      <w:r>
        <w:rPr/>
        <w:t>working</w:t>
      </w:r>
      <w:r>
        <w:rPr>
          <w:spacing w:val="-18"/>
        </w:rPr>
        <w:t> </w:t>
      </w:r>
      <w:r>
        <w:rPr/>
        <w:t>on</w:t>
      </w:r>
      <w:r>
        <w:rPr>
          <w:spacing w:val="-18"/>
        </w:rPr>
        <w:t> </w:t>
      </w:r>
      <w:r>
        <w:rPr/>
        <w:t>increasing</w:t>
      </w:r>
      <w:r>
        <w:rPr>
          <w:spacing w:val="-18"/>
        </w:rPr>
        <w:t> </w:t>
      </w:r>
      <w:r>
        <w:rPr/>
        <w:t>its</w:t>
      </w:r>
      <w:r>
        <w:rPr>
          <w:spacing w:val="-18"/>
        </w:rPr>
        <w:t> </w:t>
      </w:r>
      <w:r>
        <w:rPr/>
        <w:t>international</w:t>
      </w:r>
      <w:r>
        <w:rPr>
          <w:spacing w:val="-18"/>
        </w:rPr>
        <w:t> </w:t>
      </w:r>
      <w:r>
        <w:rPr/>
        <w:t>student numbers</w:t>
      </w:r>
      <w:r>
        <w:rPr>
          <w:spacing w:val="-16"/>
        </w:rPr>
        <w:t> </w:t>
      </w:r>
      <w:r>
        <w:rPr/>
        <w:t>in</w:t>
      </w:r>
      <w:r>
        <w:rPr>
          <w:spacing w:val="-16"/>
        </w:rPr>
        <w:t> </w:t>
      </w:r>
      <w:r>
        <w:rPr/>
        <w:t>the</w:t>
      </w:r>
      <w:r>
        <w:rPr>
          <w:spacing w:val="-16"/>
        </w:rPr>
        <w:t> </w:t>
      </w:r>
      <w:r>
        <w:rPr/>
        <w:t>areas</w:t>
      </w:r>
      <w:r>
        <w:rPr>
          <w:spacing w:val="-16"/>
        </w:rPr>
        <w:t> </w:t>
      </w:r>
      <w:r>
        <w:rPr/>
        <w:t>of</w:t>
      </w:r>
      <w:r>
        <w:rPr>
          <w:spacing w:val="-16"/>
        </w:rPr>
        <w:t> </w:t>
      </w:r>
      <w:r>
        <w:rPr/>
        <w:t>industrial</w:t>
      </w:r>
      <w:r>
        <w:rPr>
          <w:spacing w:val="-16"/>
        </w:rPr>
        <w:t> </w:t>
      </w:r>
      <w:r>
        <w:rPr/>
        <w:t>design</w:t>
      </w:r>
      <w:r>
        <w:rPr>
          <w:spacing w:val="-16"/>
        </w:rPr>
        <w:t> </w:t>
      </w:r>
      <w:r>
        <w:rPr/>
        <w:t>and data</w:t>
      </w:r>
      <w:r>
        <w:rPr>
          <w:spacing w:val="-31"/>
        </w:rPr>
        <w:t> </w:t>
      </w:r>
      <w:r>
        <w:rPr/>
        <w:t>science.</w:t>
      </w:r>
    </w:p>
    <w:p>
      <w:pPr>
        <w:pStyle w:val="BodyText"/>
        <w:rPr>
          <w:sz w:val="14"/>
        </w:rPr>
      </w:pPr>
    </w:p>
    <w:p>
      <w:pPr>
        <w:pStyle w:val="BodyText"/>
        <w:spacing w:line="249" w:lineRule="auto"/>
        <w:ind w:left="107" w:right="-17"/>
      </w:pPr>
      <w:r>
        <w:rPr/>
        <w:t>An</w:t>
      </w:r>
      <w:r>
        <w:rPr>
          <w:spacing w:val="-29"/>
        </w:rPr>
        <w:t> </w:t>
      </w:r>
      <w:r>
        <w:rPr/>
        <w:t>essential</w:t>
      </w:r>
      <w:r>
        <w:rPr>
          <w:spacing w:val="-29"/>
        </w:rPr>
        <w:t> </w:t>
      </w:r>
      <w:r>
        <w:rPr>
          <w:spacing w:val="-3"/>
        </w:rPr>
        <w:t>feature</w:t>
      </w:r>
      <w:r>
        <w:rPr>
          <w:spacing w:val="-29"/>
        </w:rPr>
        <w:t> </w:t>
      </w:r>
      <w:r>
        <w:rPr/>
        <w:t>of</w:t>
      </w:r>
      <w:r>
        <w:rPr>
          <w:spacing w:val="-29"/>
        </w:rPr>
        <w:t> </w:t>
      </w:r>
      <w:r>
        <w:rPr/>
        <w:t>the</w:t>
      </w:r>
      <w:r>
        <w:rPr>
          <w:spacing w:val="-29"/>
        </w:rPr>
        <w:t> </w:t>
      </w:r>
      <w:r>
        <w:rPr/>
        <w:t>School’s</w:t>
      </w:r>
      <w:r>
        <w:rPr>
          <w:spacing w:val="-29"/>
        </w:rPr>
        <w:t> </w:t>
      </w:r>
      <w:r>
        <w:rPr/>
        <w:t>strategy</w:t>
      </w:r>
      <w:r>
        <w:rPr>
          <w:spacing w:val="-29"/>
        </w:rPr>
        <w:t> </w:t>
      </w:r>
      <w:r>
        <w:rPr/>
        <w:t>for maintaining academic standards is achieving professional </w:t>
      </w:r>
      <w:r>
        <w:rPr>
          <w:spacing w:val="-3"/>
        </w:rPr>
        <w:t>accreditation </w:t>
      </w:r>
      <w:r>
        <w:rPr/>
        <w:t>for all its programs. </w:t>
      </w:r>
      <w:r>
        <w:rPr>
          <w:spacing w:val="-2"/>
          <w:w w:val="97"/>
        </w:rPr>
        <w:t>During</w:t>
      </w:r>
      <w:r>
        <w:rPr>
          <w:spacing w:val="-12"/>
          <w:w w:val="97"/>
        </w:rPr>
        <w:t> </w:t>
      </w:r>
      <w:r>
        <w:rPr>
          <w:spacing w:val="-1"/>
          <w:w w:val="84"/>
        </w:rPr>
        <w:t>2015,</w:t>
      </w:r>
      <w:r>
        <w:rPr>
          <w:spacing w:val="-5"/>
          <w:w w:val="84"/>
        </w:rPr>
        <w:t> </w:t>
      </w:r>
      <w:r>
        <w:rPr>
          <w:spacing w:val="-2"/>
          <w:w w:val="97"/>
        </w:rPr>
        <w:t>the</w:t>
      </w:r>
      <w:r>
        <w:rPr>
          <w:spacing w:val="-12"/>
          <w:w w:val="97"/>
        </w:rPr>
        <w:t> </w:t>
      </w:r>
      <w:r>
        <w:rPr>
          <w:spacing w:val="-1"/>
          <w:w w:val="98"/>
        </w:rPr>
        <w:t>School</w:t>
      </w:r>
      <w:r>
        <w:rPr>
          <w:spacing w:val="-12"/>
          <w:w w:val="98"/>
        </w:rPr>
        <w:t> </w:t>
      </w:r>
      <w:r>
        <w:rPr>
          <w:spacing w:val="-3"/>
          <w:w w:val="99"/>
        </w:rPr>
        <w:t>completed</w:t>
      </w:r>
      <w:r>
        <w:rPr>
          <w:spacing w:val="-13"/>
          <w:w w:val="99"/>
        </w:rPr>
        <w:t> </w:t>
      </w:r>
      <w:r>
        <w:rPr>
          <w:spacing w:val="-3"/>
          <w:w w:val="98"/>
        </w:rPr>
        <w:t>accreditation</w:t>
      </w:r>
      <w:r>
        <w:rPr>
          <w:w w:val="98"/>
        </w:rPr>
        <w:t> </w:t>
      </w:r>
      <w:r>
        <w:rPr/>
        <w:t>for</w:t>
      </w:r>
      <w:r>
        <w:rPr>
          <w:spacing w:val="-32"/>
        </w:rPr>
        <w:t> </w:t>
      </w:r>
      <w:r>
        <w:rPr/>
        <w:t>the</w:t>
      </w:r>
      <w:r>
        <w:rPr>
          <w:spacing w:val="-32"/>
        </w:rPr>
        <w:t> </w:t>
      </w:r>
      <w:r>
        <w:rPr/>
        <w:t>undergraduate</w:t>
      </w:r>
      <w:r>
        <w:rPr>
          <w:spacing w:val="-32"/>
        </w:rPr>
        <w:t> </w:t>
      </w:r>
      <w:r>
        <w:rPr/>
        <w:t>and</w:t>
      </w:r>
      <w:r>
        <w:rPr>
          <w:spacing w:val="-32"/>
        </w:rPr>
        <w:t> </w:t>
      </w:r>
      <w:r>
        <w:rPr/>
        <w:t>masters</w:t>
      </w:r>
      <w:r>
        <w:rPr>
          <w:spacing w:val="-32"/>
        </w:rPr>
        <w:t> </w:t>
      </w:r>
      <w:r>
        <w:rPr>
          <w:spacing w:val="-3"/>
        </w:rPr>
        <w:t>coursework </w:t>
      </w:r>
      <w:r>
        <w:rPr/>
        <w:t>academic</w:t>
      </w:r>
      <w:r>
        <w:rPr>
          <w:spacing w:val="-34"/>
        </w:rPr>
        <w:t> </w:t>
      </w:r>
      <w:r>
        <w:rPr/>
        <w:t>programs</w:t>
      </w:r>
      <w:r>
        <w:rPr>
          <w:spacing w:val="-34"/>
        </w:rPr>
        <w:t> </w:t>
      </w:r>
      <w:r>
        <w:rPr/>
        <w:t>in</w:t>
      </w:r>
      <w:r>
        <w:rPr>
          <w:spacing w:val="-34"/>
        </w:rPr>
        <w:t> </w:t>
      </w:r>
      <w:r>
        <w:rPr/>
        <w:t>computing,</w:t>
      </w:r>
      <w:r>
        <w:rPr>
          <w:spacing w:val="-34"/>
        </w:rPr>
        <w:t> </w:t>
      </w:r>
      <w:r>
        <w:rPr/>
        <w:t>engineering </w:t>
      </w:r>
      <w:r>
        <w:rPr>
          <w:w w:val="95"/>
        </w:rPr>
        <w:t>and</w:t>
      </w:r>
      <w:r>
        <w:rPr>
          <w:spacing w:val="-11"/>
          <w:w w:val="95"/>
        </w:rPr>
        <w:t> </w:t>
      </w:r>
      <w:r>
        <w:rPr>
          <w:w w:val="95"/>
        </w:rPr>
        <w:t>construction</w:t>
      </w:r>
      <w:r>
        <w:rPr>
          <w:spacing w:val="-11"/>
          <w:w w:val="95"/>
        </w:rPr>
        <w:t> </w:t>
      </w:r>
      <w:r>
        <w:rPr>
          <w:w w:val="95"/>
        </w:rPr>
        <w:t>management.</w:t>
      </w:r>
      <w:r>
        <w:rPr>
          <w:spacing w:val="-11"/>
          <w:w w:val="95"/>
        </w:rPr>
        <w:t> </w:t>
      </w:r>
      <w:r>
        <w:rPr>
          <w:w w:val="95"/>
        </w:rPr>
        <w:t>The</w:t>
      </w:r>
      <w:r>
        <w:rPr>
          <w:spacing w:val="-11"/>
          <w:w w:val="95"/>
        </w:rPr>
        <w:t> </w:t>
      </w:r>
      <w:r>
        <w:rPr>
          <w:spacing w:val="-3"/>
          <w:w w:val="95"/>
        </w:rPr>
        <w:t>four-</w:t>
      </w:r>
    </w:p>
    <w:p>
      <w:pPr>
        <w:pStyle w:val="BodyText"/>
        <w:spacing w:line="249" w:lineRule="auto"/>
        <w:ind w:left="107" w:right="259"/>
      </w:pPr>
      <w:r>
        <w:rPr/>
        <w:t>year Bachelor of Engineering programs in Mechanical</w:t>
      </w:r>
      <w:r>
        <w:rPr>
          <w:spacing w:val="-35"/>
        </w:rPr>
        <w:t> </w:t>
      </w:r>
      <w:r>
        <w:rPr/>
        <w:t>Engineering</w:t>
      </w:r>
      <w:r>
        <w:rPr>
          <w:spacing w:val="-35"/>
        </w:rPr>
        <w:t> </w:t>
      </w:r>
      <w:r>
        <w:rPr>
          <w:spacing w:val="-3"/>
        </w:rPr>
        <w:t>have</w:t>
      </w:r>
      <w:r>
        <w:rPr>
          <w:spacing w:val="-35"/>
        </w:rPr>
        <w:t> </w:t>
      </w:r>
      <w:r>
        <w:rPr/>
        <w:t>been</w:t>
      </w:r>
      <w:r>
        <w:rPr>
          <w:spacing w:val="-35"/>
        </w:rPr>
        <w:t> </w:t>
      </w:r>
      <w:r>
        <w:rPr/>
        <w:t>granted full</w:t>
      </w:r>
      <w:r>
        <w:rPr>
          <w:spacing w:val="-35"/>
        </w:rPr>
        <w:t> </w:t>
      </w:r>
      <w:r>
        <w:rPr>
          <w:spacing w:val="-3"/>
        </w:rPr>
        <w:t>accreditation</w:t>
      </w:r>
      <w:r>
        <w:rPr>
          <w:spacing w:val="-35"/>
        </w:rPr>
        <w:t> </w:t>
      </w:r>
      <w:r>
        <w:rPr/>
        <w:t>from</w:t>
      </w:r>
      <w:r>
        <w:rPr>
          <w:spacing w:val="-35"/>
        </w:rPr>
        <w:t> </w:t>
      </w:r>
      <w:r>
        <w:rPr/>
        <w:t>Engineers</w:t>
      </w:r>
      <w:r>
        <w:rPr>
          <w:spacing w:val="-35"/>
        </w:rPr>
        <w:t> </w:t>
      </w:r>
      <w:r>
        <w:rPr/>
        <w:t>Australia</w:t>
      </w:r>
      <w:r>
        <w:rPr>
          <w:spacing w:val="-35"/>
        </w:rPr>
        <w:t> </w:t>
      </w:r>
      <w:r>
        <w:rPr/>
        <w:t>at the</w:t>
      </w:r>
      <w:r>
        <w:rPr>
          <w:spacing w:val="-39"/>
        </w:rPr>
        <w:t> </w:t>
      </w:r>
      <w:r>
        <w:rPr>
          <w:spacing w:val="-3"/>
        </w:rPr>
        <w:t>level</w:t>
      </w:r>
      <w:r>
        <w:rPr>
          <w:spacing w:val="-39"/>
        </w:rPr>
        <w:t> </w:t>
      </w:r>
      <w:r>
        <w:rPr/>
        <w:t>of</w:t>
      </w:r>
      <w:r>
        <w:rPr>
          <w:spacing w:val="-39"/>
        </w:rPr>
        <w:t> </w:t>
      </w:r>
      <w:r>
        <w:rPr/>
        <w:t>Professional</w:t>
      </w:r>
      <w:r>
        <w:rPr>
          <w:spacing w:val="-39"/>
        </w:rPr>
        <w:t> </w:t>
      </w:r>
      <w:r>
        <w:rPr>
          <w:spacing w:val="-3"/>
        </w:rPr>
        <w:t>Engineer.</w:t>
      </w:r>
      <w:r>
        <w:rPr>
          <w:spacing w:val="-39"/>
        </w:rPr>
        <w:t> </w:t>
      </w:r>
      <w:r>
        <w:rPr/>
        <w:t>The</w:t>
      </w:r>
      <w:r>
        <w:rPr>
          <w:spacing w:val="-39"/>
        </w:rPr>
        <w:t> </w:t>
      </w:r>
      <w:r>
        <w:rPr/>
        <w:t>new</w:t>
      </w:r>
    </w:p>
    <w:p>
      <w:pPr>
        <w:pStyle w:val="BodyText"/>
        <w:spacing w:line="249" w:lineRule="auto"/>
        <w:ind w:left="107" w:right="44"/>
      </w:pPr>
      <w:r>
        <w:rPr>
          <w:w w:val="95"/>
        </w:rPr>
        <w:t>two-year Master of Engineering courses, which </w:t>
      </w:r>
      <w:r>
        <w:rPr>
          <w:spacing w:val="-2"/>
          <w:w w:val="99"/>
        </w:rPr>
        <w:t>commenced </w:t>
      </w:r>
      <w:r>
        <w:rPr>
          <w:spacing w:val="-1"/>
          <w:w w:val="95"/>
        </w:rPr>
        <w:t>in </w:t>
      </w:r>
      <w:r>
        <w:rPr>
          <w:spacing w:val="-1"/>
          <w:w w:val="84"/>
        </w:rPr>
        <w:t>2015, </w:t>
      </w:r>
      <w:r>
        <w:rPr>
          <w:spacing w:val="-3"/>
          <w:w w:val="96"/>
        </w:rPr>
        <w:t>have </w:t>
      </w:r>
      <w:r>
        <w:rPr>
          <w:spacing w:val="-2"/>
          <w:w w:val="98"/>
        </w:rPr>
        <w:t>obtained </w:t>
      </w:r>
      <w:r>
        <w:rPr>
          <w:spacing w:val="-3"/>
          <w:w w:val="97"/>
        </w:rPr>
        <w:t>provisional</w:t>
      </w:r>
      <w:r>
        <w:rPr>
          <w:w w:val="97"/>
        </w:rPr>
        <w:t> </w:t>
      </w:r>
      <w:r>
        <w:rPr>
          <w:spacing w:val="-3"/>
        </w:rPr>
        <w:t>accreditation </w:t>
      </w:r>
      <w:r>
        <w:rPr/>
        <w:t>from Engineers Australia at the </w:t>
      </w:r>
      <w:r>
        <w:rPr>
          <w:spacing w:val="-3"/>
          <w:w w:val="95"/>
        </w:rPr>
        <w:t>level </w:t>
      </w:r>
      <w:r>
        <w:rPr>
          <w:w w:val="95"/>
        </w:rPr>
        <w:t>of Professional </w:t>
      </w:r>
      <w:r>
        <w:rPr>
          <w:spacing w:val="-3"/>
          <w:w w:val="95"/>
        </w:rPr>
        <w:t>Engineer. </w:t>
      </w:r>
      <w:r>
        <w:rPr>
          <w:w w:val="95"/>
        </w:rPr>
        <w:t>The School</w:t>
      </w:r>
    </w:p>
    <w:p>
      <w:pPr>
        <w:pStyle w:val="BodyText"/>
        <w:spacing w:line="249" w:lineRule="auto"/>
        <w:ind w:left="107" w:right="129"/>
      </w:pPr>
      <w:r>
        <w:rPr>
          <w:w w:val="95"/>
        </w:rPr>
        <w:t>has also ensured the Australian Qualifications </w:t>
      </w:r>
      <w:r>
        <w:rPr>
          <w:spacing w:val="-3"/>
        </w:rPr>
        <w:t>Framework Level </w:t>
      </w:r>
      <w:r>
        <w:rPr/>
        <w:t>8 compliance of its </w:t>
      </w:r>
      <w:r>
        <w:rPr>
          <w:spacing w:val="-3"/>
        </w:rPr>
        <w:t>revised </w:t>
      </w:r>
      <w:r>
        <w:rPr>
          <w:w w:val="95"/>
        </w:rPr>
        <w:t>Bachelor of Engineering </w:t>
      </w:r>
      <w:r>
        <w:rPr>
          <w:spacing w:val="-3"/>
          <w:w w:val="95"/>
        </w:rPr>
        <w:t>(Honours) </w:t>
      </w:r>
      <w:r>
        <w:rPr>
          <w:w w:val="95"/>
        </w:rPr>
        <w:t>program.</w:t>
      </w:r>
    </w:p>
    <w:p>
      <w:pPr>
        <w:pStyle w:val="BodyText"/>
        <w:rPr>
          <w:sz w:val="14"/>
        </w:rPr>
      </w:pPr>
    </w:p>
    <w:p>
      <w:pPr>
        <w:pStyle w:val="BodyText"/>
        <w:spacing w:line="249" w:lineRule="auto"/>
        <w:ind w:left="107" w:right="259"/>
      </w:pPr>
      <w:r>
        <w:rPr>
          <w:w w:val="94"/>
        </w:rPr>
        <w:t>The </w:t>
      </w:r>
      <w:r>
        <w:rPr>
          <w:w w:val="88"/>
        </w:rPr>
        <w:t>2015 </w:t>
      </w:r>
      <w:r>
        <w:rPr>
          <w:w w:val="98"/>
        </w:rPr>
        <w:t>Widevision </w:t>
      </w:r>
      <w:r>
        <w:rPr>
          <w:w w:val="97"/>
        </w:rPr>
        <w:t>Plus </w:t>
      </w:r>
      <w:r>
        <w:rPr>
          <w:w w:val="97"/>
        </w:rPr>
        <w:t>exhibition </w:t>
      </w:r>
      <w:r>
        <w:rPr>
          <w:spacing w:val="-1"/>
          <w:w w:val="99"/>
        </w:rPr>
        <w:t>of</w:t>
      </w:r>
      <w:r>
        <w:rPr>
          <w:w w:val="99"/>
        </w:rPr>
        <w:t> </w:t>
      </w:r>
      <w:r>
        <w:rPr/>
        <w:t>student work in the areas of industrial design, engineering and </w:t>
      </w:r>
      <w:r>
        <w:rPr>
          <w:spacing w:val="2"/>
        </w:rPr>
        <w:t>ICT </w:t>
      </w:r>
      <w:r>
        <w:rPr/>
        <w:t>showcases the</w:t>
      </w:r>
      <w:r>
        <w:rPr>
          <w:spacing w:val="-24"/>
        </w:rPr>
        <w:t> </w:t>
      </w:r>
      <w:r>
        <w:rPr/>
        <w:t>entrepreneurial</w:t>
      </w:r>
      <w:r>
        <w:rPr>
          <w:spacing w:val="-24"/>
        </w:rPr>
        <w:t> </w:t>
      </w:r>
      <w:r>
        <w:rPr/>
        <w:t>aspects</w:t>
      </w:r>
      <w:r>
        <w:rPr>
          <w:spacing w:val="-24"/>
        </w:rPr>
        <w:t> </w:t>
      </w:r>
      <w:r>
        <w:rPr/>
        <w:t>of</w:t>
      </w:r>
      <w:r>
        <w:rPr>
          <w:spacing w:val="-24"/>
        </w:rPr>
        <w:t> </w:t>
      </w:r>
      <w:r>
        <w:rPr/>
        <w:t>the</w:t>
      </w:r>
      <w:r>
        <w:rPr>
          <w:spacing w:val="-24"/>
        </w:rPr>
        <w:t> </w:t>
      </w:r>
      <w:r>
        <w:rPr/>
        <w:t>student learning</w:t>
      </w:r>
      <w:r>
        <w:rPr>
          <w:spacing w:val="-26"/>
        </w:rPr>
        <w:t> </w:t>
      </w:r>
      <w:r>
        <w:rPr/>
        <w:t>experience.</w:t>
      </w:r>
      <w:r>
        <w:rPr>
          <w:spacing w:val="-26"/>
        </w:rPr>
        <w:t> </w:t>
      </w:r>
      <w:r>
        <w:rPr/>
        <w:t>For</w:t>
      </w:r>
      <w:r>
        <w:rPr>
          <w:spacing w:val="-26"/>
        </w:rPr>
        <w:t> </w:t>
      </w:r>
      <w:r>
        <w:rPr/>
        <w:t>the</w:t>
      </w:r>
      <w:r>
        <w:rPr>
          <w:spacing w:val="-26"/>
        </w:rPr>
        <w:t> </w:t>
      </w:r>
      <w:r>
        <w:rPr/>
        <w:t>first</w:t>
      </w:r>
      <w:r>
        <w:rPr>
          <w:spacing w:val="-26"/>
        </w:rPr>
        <w:t> </w:t>
      </w:r>
      <w:r>
        <w:rPr/>
        <w:t>time,</w:t>
      </w:r>
      <w:r>
        <w:rPr>
          <w:spacing w:val="-26"/>
        </w:rPr>
        <w:t> </w:t>
      </w:r>
      <w:r>
        <w:rPr/>
        <w:t>the</w:t>
      </w:r>
    </w:p>
    <w:p>
      <w:pPr>
        <w:pStyle w:val="BodyText"/>
        <w:spacing w:line="249" w:lineRule="auto"/>
        <w:ind w:left="107" w:right="129"/>
      </w:pPr>
      <w:r>
        <w:rPr/>
        <w:t>exhibition</w:t>
      </w:r>
      <w:r>
        <w:rPr>
          <w:spacing w:val="-20"/>
        </w:rPr>
        <w:t> </w:t>
      </w:r>
      <w:r>
        <w:rPr/>
        <w:t>was</w:t>
      </w:r>
      <w:r>
        <w:rPr>
          <w:spacing w:val="-20"/>
        </w:rPr>
        <w:t> </w:t>
      </w:r>
      <w:r>
        <w:rPr/>
        <w:t>held</w:t>
      </w:r>
      <w:r>
        <w:rPr>
          <w:spacing w:val="-20"/>
        </w:rPr>
        <w:t> </w:t>
      </w:r>
      <w:r>
        <w:rPr/>
        <w:t>in</w:t>
      </w:r>
      <w:r>
        <w:rPr>
          <w:spacing w:val="-20"/>
        </w:rPr>
        <w:t> </w:t>
      </w:r>
      <w:r>
        <w:rPr/>
        <w:t>the</w:t>
      </w:r>
      <w:r>
        <w:rPr>
          <w:spacing w:val="-20"/>
        </w:rPr>
        <w:t> </w:t>
      </w:r>
      <w:r>
        <w:rPr/>
        <w:t>Launch</w:t>
      </w:r>
      <w:r>
        <w:rPr>
          <w:spacing w:val="-20"/>
        </w:rPr>
        <w:t> </w:t>
      </w:r>
      <w:r>
        <w:rPr/>
        <w:t>Pad</w:t>
      </w:r>
      <w:r>
        <w:rPr>
          <w:spacing w:val="-20"/>
        </w:rPr>
        <w:t> </w:t>
      </w:r>
      <w:r>
        <w:rPr/>
        <w:t>space in Werrington Park Corporate Centre. The exhibition</w:t>
      </w:r>
      <w:r>
        <w:rPr>
          <w:spacing w:val="-24"/>
        </w:rPr>
        <w:t> </w:t>
      </w:r>
      <w:r>
        <w:rPr/>
        <w:t>gave</w:t>
      </w:r>
      <w:r>
        <w:rPr>
          <w:spacing w:val="-24"/>
        </w:rPr>
        <w:t> </w:t>
      </w:r>
      <w:r>
        <w:rPr/>
        <w:t>the</w:t>
      </w:r>
      <w:r>
        <w:rPr>
          <w:spacing w:val="-24"/>
        </w:rPr>
        <w:t> </w:t>
      </w:r>
      <w:r>
        <w:rPr/>
        <w:t>business</w:t>
      </w:r>
      <w:r>
        <w:rPr>
          <w:spacing w:val="-24"/>
        </w:rPr>
        <w:t> </w:t>
      </w:r>
      <w:r>
        <w:rPr/>
        <w:t>community</w:t>
      </w:r>
      <w:r>
        <w:rPr>
          <w:spacing w:val="-24"/>
        </w:rPr>
        <w:t> </w:t>
      </w:r>
      <w:r>
        <w:rPr/>
        <w:t>a</w:t>
      </w:r>
    </w:p>
    <w:p>
      <w:pPr>
        <w:pStyle w:val="BodyText"/>
        <w:spacing w:line="249" w:lineRule="auto"/>
        <w:ind w:left="107"/>
      </w:pPr>
      <w:r>
        <w:rPr/>
        <w:t>view</w:t>
      </w:r>
      <w:r>
        <w:rPr>
          <w:spacing w:val="-25"/>
        </w:rPr>
        <w:t> </w:t>
      </w:r>
      <w:r>
        <w:rPr/>
        <w:t>of</w:t>
      </w:r>
      <w:r>
        <w:rPr>
          <w:spacing w:val="-25"/>
        </w:rPr>
        <w:t> </w:t>
      </w:r>
      <w:r>
        <w:rPr/>
        <w:t>student</w:t>
      </w:r>
      <w:r>
        <w:rPr>
          <w:spacing w:val="-25"/>
        </w:rPr>
        <w:t> </w:t>
      </w:r>
      <w:r>
        <w:rPr/>
        <w:t>innovation</w:t>
      </w:r>
      <w:r>
        <w:rPr>
          <w:spacing w:val="-25"/>
        </w:rPr>
        <w:t> </w:t>
      </w:r>
      <w:r>
        <w:rPr/>
        <w:t>and</w:t>
      </w:r>
      <w:r>
        <w:rPr>
          <w:spacing w:val="-25"/>
        </w:rPr>
        <w:t> </w:t>
      </w:r>
      <w:r>
        <w:rPr/>
        <w:t>entrepreneurial potential</w:t>
      </w:r>
      <w:r>
        <w:rPr>
          <w:spacing w:val="-25"/>
        </w:rPr>
        <w:t> </w:t>
      </w:r>
      <w:r>
        <w:rPr/>
        <w:t>in</w:t>
      </w:r>
      <w:r>
        <w:rPr>
          <w:spacing w:val="-25"/>
        </w:rPr>
        <w:t> </w:t>
      </w:r>
      <w:r>
        <w:rPr/>
        <w:t>high-tech</w:t>
      </w:r>
      <w:r>
        <w:rPr>
          <w:spacing w:val="-25"/>
        </w:rPr>
        <w:t> </w:t>
      </w:r>
      <w:r>
        <w:rPr/>
        <w:t>product</w:t>
      </w:r>
      <w:r>
        <w:rPr>
          <w:spacing w:val="-25"/>
        </w:rPr>
        <w:t> </w:t>
      </w:r>
      <w:r>
        <w:rPr/>
        <w:t>areas.</w:t>
      </w:r>
      <w:r>
        <w:rPr>
          <w:spacing w:val="-25"/>
        </w:rPr>
        <w:t> </w:t>
      </w:r>
      <w:r>
        <w:rPr/>
        <w:t>In</w:t>
      </w:r>
      <w:r>
        <w:rPr>
          <w:spacing w:val="-25"/>
        </w:rPr>
        <w:t> </w:t>
      </w:r>
      <w:r>
        <w:rPr/>
        <w:t>future, the</w:t>
      </w:r>
      <w:r>
        <w:rPr>
          <w:spacing w:val="-17"/>
        </w:rPr>
        <w:t> </w:t>
      </w:r>
      <w:r>
        <w:rPr/>
        <w:t>exhibition</w:t>
      </w:r>
      <w:r>
        <w:rPr>
          <w:spacing w:val="-17"/>
        </w:rPr>
        <w:t> </w:t>
      </w:r>
      <w:r>
        <w:rPr/>
        <w:t>will</w:t>
      </w:r>
      <w:r>
        <w:rPr>
          <w:spacing w:val="-17"/>
        </w:rPr>
        <w:t> </w:t>
      </w:r>
      <w:r>
        <w:rPr/>
        <w:t>be</w:t>
      </w:r>
      <w:r>
        <w:rPr>
          <w:spacing w:val="-17"/>
        </w:rPr>
        <w:t> </w:t>
      </w:r>
      <w:r>
        <w:rPr/>
        <w:t>enhanced</w:t>
      </w:r>
      <w:r>
        <w:rPr>
          <w:spacing w:val="-17"/>
        </w:rPr>
        <w:t> </w:t>
      </w:r>
      <w:r>
        <w:rPr/>
        <w:t>to</w:t>
      </w:r>
      <w:r>
        <w:rPr>
          <w:spacing w:val="-17"/>
        </w:rPr>
        <w:t> </w:t>
      </w:r>
      <w:r>
        <w:rPr/>
        <w:t>incorporate a</w:t>
      </w:r>
      <w:r>
        <w:rPr>
          <w:spacing w:val="-23"/>
        </w:rPr>
        <w:t> </w:t>
      </w:r>
      <w:r>
        <w:rPr/>
        <w:t>broader</w:t>
      </w:r>
      <w:r>
        <w:rPr>
          <w:spacing w:val="-23"/>
        </w:rPr>
        <w:t> </w:t>
      </w:r>
      <w:r>
        <w:rPr/>
        <w:t>base</w:t>
      </w:r>
      <w:r>
        <w:rPr>
          <w:spacing w:val="-23"/>
        </w:rPr>
        <w:t> </w:t>
      </w:r>
      <w:r>
        <w:rPr/>
        <w:t>of</w:t>
      </w:r>
      <w:r>
        <w:rPr>
          <w:spacing w:val="-23"/>
        </w:rPr>
        <w:t> </w:t>
      </w:r>
      <w:r>
        <w:rPr/>
        <w:t>student</w:t>
      </w:r>
      <w:r>
        <w:rPr>
          <w:spacing w:val="-23"/>
        </w:rPr>
        <w:t> </w:t>
      </w:r>
      <w:r>
        <w:rPr/>
        <w:t>research,</w:t>
      </w:r>
      <w:r>
        <w:rPr>
          <w:spacing w:val="-23"/>
        </w:rPr>
        <w:t> </w:t>
      </w:r>
      <w:r>
        <w:rPr/>
        <w:t>design</w:t>
      </w:r>
      <w:r>
        <w:rPr>
          <w:spacing w:val="-23"/>
        </w:rPr>
        <w:t> </w:t>
      </w:r>
      <w:r>
        <w:rPr/>
        <w:t>and development outcomes. </w:t>
      </w:r>
      <w:r>
        <w:rPr>
          <w:spacing w:val="-5"/>
        </w:rPr>
        <w:t>To </w:t>
      </w:r>
      <w:r>
        <w:rPr/>
        <w:t>enrich students’ entrepreneurial experience, SCEM will work more closely with entrepreneurship support teams</w:t>
      </w:r>
      <w:r>
        <w:rPr>
          <w:spacing w:val="-24"/>
        </w:rPr>
        <w:t> </w:t>
      </w:r>
      <w:r>
        <w:rPr/>
        <w:t>in</w:t>
      </w:r>
      <w:r>
        <w:rPr>
          <w:spacing w:val="-24"/>
        </w:rPr>
        <w:t> </w:t>
      </w:r>
      <w:r>
        <w:rPr/>
        <w:t>the</w:t>
      </w:r>
      <w:r>
        <w:rPr>
          <w:spacing w:val="-24"/>
        </w:rPr>
        <w:t> </w:t>
      </w:r>
      <w:r>
        <w:rPr/>
        <w:t>region,</w:t>
      </w:r>
      <w:r>
        <w:rPr>
          <w:spacing w:val="-24"/>
        </w:rPr>
        <w:t> </w:t>
      </w:r>
      <w:r>
        <w:rPr/>
        <w:t>including</w:t>
      </w:r>
      <w:r>
        <w:rPr>
          <w:spacing w:val="-24"/>
        </w:rPr>
        <w:t> </w:t>
      </w:r>
      <w:r>
        <w:rPr/>
        <w:t>the</w:t>
      </w:r>
      <w:r>
        <w:rPr>
          <w:spacing w:val="-24"/>
        </w:rPr>
        <w:t> </w:t>
      </w:r>
      <w:r>
        <w:rPr/>
        <w:t>Launch</w:t>
      </w:r>
    </w:p>
    <w:p>
      <w:pPr>
        <w:pStyle w:val="BodyText"/>
        <w:spacing w:line="249" w:lineRule="auto"/>
        <w:ind w:left="107" w:right="436"/>
        <w:jc w:val="both"/>
      </w:pPr>
      <w:r>
        <w:rPr/>
        <w:t>Pad</w:t>
      </w:r>
      <w:r>
        <w:rPr>
          <w:spacing w:val="-18"/>
        </w:rPr>
        <w:t> </w:t>
      </w:r>
      <w:r>
        <w:rPr/>
        <w:t>and</w:t>
      </w:r>
      <w:r>
        <w:rPr>
          <w:spacing w:val="-18"/>
        </w:rPr>
        <w:t> </w:t>
      </w:r>
      <w:r>
        <w:rPr/>
        <w:t>the</w:t>
      </w:r>
      <w:r>
        <w:rPr>
          <w:spacing w:val="-18"/>
        </w:rPr>
        <w:t> </w:t>
      </w:r>
      <w:r>
        <w:rPr/>
        <w:t>Oran</w:t>
      </w:r>
      <w:r>
        <w:rPr>
          <w:spacing w:val="-18"/>
        </w:rPr>
        <w:t> </w:t>
      </w:r>
      <w:r>
        <w:rPr/>
        <w:t>Park</w:t>
      </w:r>
      <w:r>
        <w:rPr>
          <w:spacing w:val="-18"/>
        </w:rPr>
        <w:t> </w:t>
      </w:r>
      <w:r>
        <w:rPr/>
        <w:t>Smart</w:t>
      </w:r>
      <w:r>
        <w:rPr>
          <w:spacing w:val="-18"/>
        </w:rPr>
        <w:t> </w:t>
      </w:r>
      <w:r>
        <w:rPr/>
        <w:t>Work</w:t>
      </w:r>
      <w:r>
        <w:rPr>
          <w:spacing w:val="-18"/>
        </w:rPr>
        <w:t> </w:t>
      </w:r>
      <w:r>
        <w:rPr/>
        <w:t>Hub, by</w:t>
      </w:r>
      <w:r>
        <w:rPr>
          <w:spacing w:val="-17"/>
        </w:rPr>
        <w:t> </w:t>
      </w:r>
      <w:r>
        <w:rPr/>
        <w:t>providing</w:t>
      </w:r>
      <w:r>
        <w:rPr>
          <w:spacing w:val="-17"/>
        </w:rPr>
        <w:t> </w:t>
      </w:r>
      <w:r>
        <w:rPr/>
        <w:t>opportunities</w:t>
      </w:r>
      <w:r>
        <w:rPr>
          <w:spacing w:val="-17"/>
        </w:rPr>
        <w:t> </w:t>
      </w:r>
      <w:r>
        <w:rPr/>
        <w:t>for</w:t>
      </w:r>
      <w:r>
        <w:rPr>
          <w:spacing w:val="-17"/>
        </w:rPr>
        <w:t> </w:t>
      </w:r>
      <w:r>
        <w:rPr/>
        <w:t>reciprocal </w:t>
      </w:r>
      <w:r>
        <w:rPr>
          <w:w w:val="95"/>
        </w:rPr>
        <w:t>professional development, joint</w:t>
      </w:r>
      <w:r>
        <w:rPr>
          <w:spacing w:val="26"/>
          <w:w w:val="95"/>
        </w:rPr>
        <w:t> </w:t>
      </w:r>
      <w:r>
        <w:rPr>
          <w:w w:val="95"/>
        </w:rPr>
        <w:t>research</w:t>
      </w:r>
    </w:p>
    <w:p>
      <w:pPr>
        <w:pStyle w:val="BodyText"/>
        <w:spacing w:line="192" w:lineRule="exact"/>
        <w:ind w:left="107" w:right="-17"/>
      </w:pPr>
      <w:r>
        <w:rPr/>
        <w:t>projects and the use of facilities by students.</w:t>
      </w:r>
    </w:p>
    <w:p>
      <w:pPr>
        <w:pStyle w:val="BodyText"/>
        <w:spacing w:before="7"/>
        <w:rPr>
          <w:sz w:val="14"/>
        </w:rPr>
      </w:pPr>
    </w:p>
    <w:p>
      <w:pPr>
        <w:pStyle w:val="BodyText"/>
        <w:spacing w:line="249" w:lineRule="auto" w:before="1"/>
        <w:ind w:left="107" w:right="129"/>
      </w:pPr>
      <w:r>
        <w:rPr>
          <w:spacing w:val="-5"/>
        </w:rPr>
        <w:t>To</w:t>
      </w:r>
      <w:r>
        <w:rPr>
          <w:spacing w:val="-20"/>
        </w:rPr>
        <w:t> </w:t>
      </w:r>
      <w:r>
        <w:rPr/>
        <w:t>ensure</w:t>
      </w:r>
      <w:r>
        <w:rPr>
          <w:spacing w:val="-20"/>
        </w:rPr>
        <w:t> </w:t>
      </w:r>
      <w:r>
        <w:rPr/>
        <w:t>the</w:t>
      </w:r>
      <w:r>
        <w:rPr>
          <w:spacing w:val="-20"/>
        </w:rPr>
        <w:t> </w:t>
      </w:r>
      <w:r>
        <w:rPr/>
        <w:t>relevance</w:t>
      </w:r>
      <w:r>
        <w:rPr>
          <w:spacing w:val="-20"/>
        </w:rPr>
        <w:t> </w:t>
      </w:r>
      <w:r>
        <w:rPr/>
        <w:t>of</w:t>
      </w:r>
      <w:r>
        <w:rPr>
          <w:spacing w:val="-20"/>
        </w:rPr>
        <w:t> </w:t>
      </w:r>
      <w:r>
        <w:rPr/>
        <w:t>student</w:t>
      </w:r>
      <w:r>
        <w:rPr>
          <w:spacing w:val="-20"/>
        </w:rPr>
        <w:t> </w:t>
      </w:r>
      <w:r>
        <w:rPr/>
        <w:t>learning to</w:t>
      </w:r>
      <w:r>
        <w:rPr>
          <w:spacing w:val="-19"/>
        </w:rPr>
        <w:t> </w:t>
      </w:r>
      <w:r>
        <w:rPr/>
        <w:t>the</w:t>
      </w:r>
      <w:r>
        <w:rPr>
          <w:spacing w:val="-19"/>
        </w:rPr>
        <w:t> </w:t>
      </w:r>
      <w:r>
        <w:rPr/>
        <w:t>realities</w:t>
      </w:r>
      <w:r>
        <w:rPr>
          <w:spacing w:val="-19"/>
        </w:rPr>
        <w:t> </w:t>
      </w:r>
      <w:r>
        <w:rPr/>
        <w:t>of</w:t>
      </w:r>
      <w:r>
        <w:rPr>
          <w:spacing w:val="-19"/>
        </w:rPr>
        <w:t> </w:t>
      </w:r>
      <w:r>
        <w:rPr/>
        <w:t>our</w:t>
      </w:r>
      <w:r>
        <w:rPr>
          <w:spacing w:val="-19"/>
        </w:rPr>
        <w:t> </w:t>
      </w:r>
      <w:r>
        <w:rPr/>
        <w:t>fast-changing</w:t>
      </w:r>
      <w:r>
        <w:rPr>
          <w:spacing w:val="-19"/>
        </w:rPr>
        <w:t> </w:t>
      </w:r>
      <w:r>
        <w:rPr/>
        <w:t>society,</w:t>
      </w:r>
    </w:p>
    <w:p>
      <w:pPr>
        <w:pStyle w:val="BodyText"/>
        <w:spacing w:before="2"/>
        <w:rPr>
          <w:sz w:val="20"/>
        </w:rPr>
      </w:pPr>
      <w:r>
        <w:rPr/>
        <w:br w:type="column"/>
      </w:r>
      <w:r>
        <w:rPr>
          <w:sz w:val="20"/>
        </w:rPr>
      </w:r>
    </w:p>
    <w:p>
      <w:pPr>
        <w:pStyle w:val="BodyText"/>
        <w:spacing w:line="249" w:lineRule="auto"/>
        <w:ind w:left="107" w:right="101"/>
      </w:pPr>
      <w:r>
        <w:rPr/>
        <w:t>the School maintains an extended External Advisory Network from which it forms External Advisory Boards for the specific academic programs. The breadth of the network allows for interaction and movement between the disciplines according to the needs of each program.</w:t>
      </w:r>
    </w:p>
    <w:p>
      <w:pPr>
        <w:pStyle w:val="BodyText"/>
        <w:spacing w:before="7"/>
        <w:rPr>
          <w:sz w:val="21"/>
        </w:rPr>
      </w:pPr>
    </w:p>
    <w:p>
      <w:pPr>
        <w:pStyle w:val="Heading8"/>
        <w:ind w:right="112"/>
      </w:pPr>
      <w:r>
        <w:rPr>
          <w:w w:val="95"/>
        </w:rPr>
        <w:t>RESEARCH AND DEVELOPMENT</w:t>
      </w:r>
    </w:p>
    <w:p>
      <w:pPr>
        <w:pStyle w:val="BodyText"/>
        <w:spacing w:line="249" w:lineRule="auto" w:before="86"/>
        <w:ind w:left="107" w:right="86"/>
      </w:pPr>
      <w:r>
        <w:rPr>
          <w:w w:val="80"/>
        </w:rPr>
        <w:t>In </w:t>
      </w:r>
      <w:r>
        <w:rPr>
          <w:w w:val="84"/>
        </w:rPr>
        <w:t>2015, </w:t>
      </w:r>
      <w:r>
        <w:rPr>
          <w:w w:val="97"/>
        </w:rPr>
        <w:t>the </w:t>
      </w:r>
      <w:r>
        <w:rPr>
          <w:w w:val="98"/>
        </w:rPr>
        <w:t>School </w:t>
      </w:r>
      <w:r>
        <w:rPr>
          <w:w w:val="98"/>
        </w:rPr>
        <w:t>continued </w:t>
      </w:r>
      <w:r>
        <w:rPr>
          <w:w w:val="101"/>
        </w:rPr>
        <w:t>to </w:t>
      </w:r>
      <w:r>
        <w:rPr>
          <w:w w:val="98"/>
        </w:rPr>
        <w:t>build </w:t>
      </w:r>
      <w:r>
        <w:rPr>
          <w:w w:val="97"/>
        </w:rPr>
        <w:t>the </w:t>
      </w:r>
      <w:r>
        <w:rPr/>
        <w:t>research and development aspects of student centredness.</w:t>
      </w:r>
    </w:p>
    <w:p>
      <w:pPr>
        <w:pStyle w:val="BodyText"/>
        <w:rPr>
          <w:sz w:val="14"/>
        </w:rPr>
      </w:pPr>
    </w:p>
    <w:p>
      <w:pPr>
        <w:pStyle w:val="BodyText"/>
        <w:spacing w:line="249" w:lineRule="auto"/>
        <w:ind w:left="107" w:right="162"/>
      </w:pPr>
      <w:r>
        <w:rPr/>
        <w:t>The disciplines of engineering, mathematics, built environment, and information and computing sciences at Western Sydney University, to which SCEM is the major contributor, improved their performance</w:t>
      </w:r>
    </w:p>
    <w:p>
      <w:pPr>
        <w:pStyle w:val="BodyText"/>
        <w:spacing w:line="249" w:lineRule="auto"/>
        <w:ind w:left="107" w:right="26"/>
      </w:pPr>
      <w:r>
        <w:rPr/>
        <w:t>in the Excellence in Research for Australia </w:t>
      </w:r>
      <w:r>
        <w:rPr>
          <w:w w:val="101"/>
        </w:rPr>
        <w:t>(ERA) </w:t>
      </w:r>
      <w:r>
        <w:rPr>
          <w:w w:val="88"/>
        </w:rPr>
        <w:t>2015 </w:t>
      </w:r>
      <w:r>
        <w:rPr>
          <w:w w:val="97"/>
        </w:rPr>
        <w:t>round </w:t>
      </w:r>
      <w:r>
        <w:rPr>
          <w:w w:val="101"/>
        </w:rPr>
        <w:t>to </w:t>
      </w:r>
      <w:r>
        <w:rPr>
          <w:w w:val="99"/>
        </w:rPr>
        <w:t>be </w:t>
      </w:r>
      <w:r>
        <w:rPr>
          <w:w w:val="98"/>
        </w:rPr>
        <w:t>rated </w:t>
      </w:r>
      <w:r>
        <w:rPr>
          <w:w w:val="98"/>
        </w:rPr>
        <w:t>‘world </w:t>
      </w:r>
      <w:r>
        <w:rPr>
          <w:w w:val="97"/>
        </w:rPr>
        <w:t>standard’ </w:t>
      </w:r>
      <w:r>
        <w:rPr/>
        <w:t>or ‘above world standard’, with two at ‘well above world standard’. This improvement brings better alignment of the School’s research strengths with its areas of core teaching competence.</w:t>
      </w:r>
    </w:p>
    <w:p>
      <w:pPr>
        <w:pStyle w:val="BodyText"/>
        <w:rPr>
          <w:sz w:val="14"/>
        </w:rPr>
      </w:pPr>
    </w:p>
    <w:p>
      <w:pPr>
        <w:pStyle w:val="BodyText"/>
        <w:spacing w:line="249" w:lineRule="auto"/>
        <w:ind w:left="107" w:right="592"/>
      </w:pPr>
      <w:r>
        <w:rPr>
          <w:w w:val="80"/>
        </w:rPr>
        <w:t>In </w:t>
      </w:r>
      <w:r>
        <w:rPr>
          <w:w w:val="84"/>
        </w:rPr>
        <w:t>2015, </w:t>
      </w:r>
      <w:r>
        <w:rPr>
          <w:w w:val="98"/>
        </w:rPr>
        <w:t>School </w:t>
      </w:r>
      <w:r>
        <w:rPr>
          <w:w w:val="96"/>
        </w:rPr>
        <w:t>researchers </w:t>
      </w:r>
      <w:r>
        <w:rPr>
          <w:w w:val="98"/>
        </w:rPr>
        <w:t>succeeded </w:t>
      </w:r>
      <w:r>
        <w:rPr/>
        <w:t>in 12 grant applications in the national</w:t>
      </w:r>
    </w:p>
    <w:p>
      <w:pPr>
        <w:pStyle w:val="BodyText"/>
        <w:spacing w:line="249" w:lineRule="auto"/>
        <w:ind w:left="107" w:right="43"/>
      </w:pPr>
      <w:r>
        <w:rPr/>
        <w:t>competitive grant schemes for project funding </w:t>
      </w:r>
      <w:r>
        <w:rPr>
          <w:w w:val="98"/>
        </w:rPr>
        <w:t>commencing </w:t>
      </w:r>
      <w:r>
        <w:rPr>
          <w:w w:val="95"/>
        </w:rPr>
        <w:t>in </w:t>
      </w:r>
      <w:r>
        <w:rPr>
          <w:w w:val="85"/>
        </w:rPr>
        <w:t>2016, </w:t>
      </w:r>
      <w:r>
        <w:rPr>
          <w:w w:val="97"/>
        </w:rPr>
        <w:t>including </w:t>
      </w:r>
      <w:r>
        <w:rPr>
          <w:w w:val="54"/>
        </w:rPr>
        <w:t>11 </w:t>
      </w:r>
      <w:r>
        <w:rPr>
          <w:w w:val="97"/>
        </w:rPr>
        <w:t>grants </w:t>
      </w:r>
      <w:r>
        <w:rPr>
          <w:w w:val="95"/>
        </w:rPr>
        <w:t>in</w:t>
      </w:r>
    </w:p>
    <w:p>
      <w:pPr>
        <w:pStyle w:val="BodyText"/>
        <w:spacing w:line="249" w:lineRule="auto"/>
        <w:ind w:left="107" w:right="265"/>
      </w:pPr>
      <w:r>
        <w:rPr/>
        <w:t>the Australian Research Council schemes and</w:t>
      </w:r>
      <w:r>
        <w:rPr>
          <w:spacing w:val="-16"/>
        </w:rPr>
        <w:t> </w:t>
      </w:r>
      <w:r>
        <w:rPr/>
        <w:t>one</w:t>
      </w:r>
      <w:r>
        <w:rPr>
          <w:spacing w:val="-16"/>
        </w:rPr>
        <w:t> </w:t>
      </w:r>
      <w:r>
        <w:rPr/>
        <w:t>in</w:t>
      </w:r>
      <w:r>
        <w:rPr>
          <w:spacing w:val="-16"/>
        </w:rPr>
        <w:t> </w:t>
      </w:r>
      <w:r>
        <w:rPr/>
        <w:t>the</w:t>
      </w:r>
      <w:r>
        <w:rPr>
          <w:spacing w:val="-16"/>
        </w:rPr>
        <w:t> </w:t>
      </w:r>
      <w:r>
        <w:rPr/>
        <w:t>National</w:t>
      </w:r>
      <w:r>
        <w:rPr>
          <w:spacing w:val="-16"/>
        </w:rPr>
        <w:t> </w:t>
      </w:r>
      <w:r>
        <w:rPr/>
        <w:t>Health</w:t>
      </w:r>
      <w:r>
        <w:rPr>
          <w:spacing w:val="-16"/>
        </w:rPr>
        <w:t> </w:t>
      </w:r>
      <w:r>
        <w:rPr/>
        <w:t>and</w:t>
      </w:r>
      <w:r>
        <w:rPr>
          <w:spacing w:val="-16"/>
        </w:rPr>
        <w:t> </w:t>
      </w:r>
      <w:r>
        <w:rPr/>
        <w:t>Medical Research</w:t>
      </w:r>
      <w:r>
        <w:rPr>
          <w:spacing w:val="-15"/>
        </w:rPr>
        <w:t> </w:t>
      </w:r>
      <w:r>
        <w:rPr/>
        <w:t>Council</w:t>
      </w:r>
      <w:r>
        <w:rPr>
          <w:spacing w:val="-15"/>
        </w:rPr>
        <w:t> </w:t>
      </w:r>
      <w:r>
        <w:rPr/>
        <w:t>schemes.</w:t>
      </w:r>
      <w:r>
        <w:rPr>
          <w:spacing w:val="-15"/>
        </w:rPr>
        <w:t> </w:t>
      </w:r>
      <w:r>
        <w:rPr/>
        <w:t>As</w:t>
      </w:r>
      <w:r>
        <w:rPr>
          <w:spacing w:val="-15"/>
        </w:rPr>
        <w:t> </w:t>
      </w:r>
      <w:r>
        <w:rPr>
          <w:spacing w:val="2"/>
        </w:rPr>
        <w:t>part</w:t>
      </w:r>
      <w:r>
        <w:rPr>
          <w:spacing w:val="-15"/>
        </w:rPr>
        <w:t> </w:t>
      </w:r>
      <w:r>
        <w:rPr/>
        <w:t>of</w:t>
      </w:r>
      <w:r>
        <w:rPr>
          <w:spacing w:val="-15"/>
        </w:rPr>
        <w:t> </w:t>
      </w:r>
      <w:r>
        <w:rPr/>
        <w:t>its</w:t>
      </w:r>
    </w:p>
    <w:p>
      <w:pPr>
        <w:pStyle w:val="BodyText"/>
        <w:spacing w:line="247" w:lineRule="auto"/>
        <w:ind w:left="107" w:right="86"/>
      </w:pPr>
      <w:r>
        <w:rPr/>
        <w:t>strategy to increase its capacity in developing competitive research applications, the School continued</w:t>
      </w:r>
      <w:r>
        <w:rPr>
          <w:spacing w:val="-16"/>
        </w:rPr>
        <w:t> </w:t>
      </w:r>
      <w:r>
        <w:rPr/>
        <w:t>the</w:t>
      </w:r>
      <w:r>
        <w:rPr>
          <w:spacing w:val="-16"/>
        </w:rPr>
        <w:t> </w:t>
      </w:r>
      <w:r>
        <w:rPr/>
        <w:t>SCEM</w:t>
      </w:r>
      <w:r>
        <w:rPr>
          <w:spacing w:val="-16"/>
        </w:rPr>
        <w:t> </w:t>
      </w:r>
      <w:r>
        <w:rPr/>
        <w:t>Challenge</w:t>
      </w:r>
      <w:r>
        <w:rPr>
          <w:spacing w:val="-16"/>
        </w:rPr>
        <w:t> </w:t>
      </w:r>
      <w:r>
        <w:rPr/>
        <w:t>Grant</w:t>
      </w:r>
      <w:r>
        <w:rPr>
          <w:spacing w:val="-16"/>
        </w:rPr>
        <w:t> </w:t>
      </w:r>
      <w:r>
        <w:rPr/>
        <w:t>Scheme, which stimulates projects that address problems</w:t>
      </w:r>
      <w:r>
        <w:rPr>
          <w:spacing w:val="-19"/>
        </w:rPr>
        <w:t> </w:t>
      </w:r>
      <w:r>
        <w:rPr/>
        <w:t>related</w:t>
      </w:r>
      <w:r>
        <w:rPr>
          <w:spacing w:val="-19"/>
        </w:rPr>
        <w:t> </w:t>
      </w:r>
      <w:r>
        <w:rPr/>
        <w:t>to</w:t>
      </w:r>
      <w:r>
        <w:rPr>
          <w:spacing w:val="-19"/>
        </w:rPr>
        <w:t> </w:t>
      </w:r>
      <w:r>
        <w:rPr/>
        <w:t>the</w:t>
      </w:r>
      <w:r>
        <w:rPr>
          <w:spacing w:val="-19"/>
        </w:rPr>
        <w:t> </w:t>
      </w:r>
      <w:r>
        <w:rPr/>
        <w:t>research</w:t>
      </w:r>
      <w:r>
        <w:rPr>
          <w:spacing w:val="-19"/>
        </w:rPr>
        <w:t> </w:t>
      </w:r>
      <w:r>
        <w:rPr/>
        <w:t>themes</w:t>
      </w:r>
      <w:r>
        <w:rPr>
          <w:spacing w:val="-19"/>
        </w:rPr>
        <w:t> </w:t>
      </w:r>
      <w:r>
        <w:rPr/>
        <w:t>in</w:t>
      </w:r>
      <w:r>
        <w:rPr>
          <w:spacing w:val="-19"/>
        </w:rPr>
        <w:t> </w:t>
      </w:r>
      <w:r>
        <w:rPr/>
        <w:t>the </w:t>
      </w:r>
      <w:r>
        <w:rPr>
          <w:w w:val="95"/>
        </w:rPr>
        <w:t>University’s</w:t>
      </w:r>
      <w:r>
        <w:rPr>
          <w:spacing w:val="-32"/>
          <w:w w:val="95"/>
        </w:rPr>
        <w:t> </w:t>
      </w:r>
      <w:r>
        <w:rPr>
          <w:rFonts w:ascii="Century Gothic" w:hAnsi="Century Gothic"/>
          <w:i/>
          <w:w w:val="95"/>
        </w:rPr>
        <w:t>Research</w:t>
      </w:r>
      <w:r>
        <w:rPr>
          <w:rFonts w:ascii="Century Gothic" w:hAnsi="Century Gothic"/>
          <w:i/>
          <w:spacing w:val="-27"/>
          <w:w w:val="95"/>
        </w:rPr>
        <w:t> </w:t>
      </w:r>
      <w:r>
        <w:rPr>
          <w:rFonts w:ascii="Century Gothic" w:hAnsi="Century Gothic"/>
          <w:i/>
          <w:w w:val="95"/>
        </w:rPr>
        <w:t>and</w:t>
      </w:r>
      <w:r>
        <w:rPr>
          <w:rFonts w:ascii="Century Gothic" w:hAnsi="Century Gothic"/>
          <w:i/>
          <w:spacing w:val="-27"/>
          <w:w w:val="95"/>
        </w:rPr>
        <w:t> </w:t>
      </w:r>
      <w:r>
        <w:rPr>
          <w:rFonts w:ascii="Century Gothic" w:hAnsi="Century Gothic"/>
          <w:i/>
          <w:w w:val="95"/>
        </w:rPr>
        <w:t>Development</w:t>
      </w:r>
      <w:r>
        <w:rPr>
          <w:rFonts w:ascii="Century Gothic" w:hAnsi="Century Gothic"/>
          <w:i/>
          <w:spacing w:val="-27"/>
          <w:w w:val="95"/>
        </w:rPr>
        <w:t> </w:t>
      </w:r>
      <w:r>
        <w:rPr>
          <w:rFonts w:ascii="Century Gothic" w:hAnsi="Century Gothic"/>
          <w:i/>
          <w:w w:val="95"/>
        </w:rPr>
        <w:t>Plan </w:t>
      </w:r>
      <w:r>
        <w:rPr>
          <w:rFonts w:ascii="Century Gothic" w:hAnsi="Century Gothic"/>
          <w:i/>
        </w:rPr>
        <w:t>2015–2017, </w:t>
      </w:r>
      <w:r>
        <w:rPr/>
        <w:t>and which require collaborative (and</w:t>
      </w:r>
      <w:r>
        <w:rPr>
          <w:spacing w:val="-32"/>
        </w:rPr>
        <w:t> </w:t>
      </w:r>
      <w:r>
        <w:rPr/>
        <w:t>where</w:t>
      </w:r>
      <w:r>
        <w:rPr>
          <w:spacing w:val="-32"/>
        </w:rPr>
        <w:t> </w:t>
      </w:r>
      <w:r>
        <w:rPr>
          <w:spacing w:val="2"/>
        </w:rPr>
        <w:t>needed,</w:t>
      </w:r>
      <w:r>
        <w:rPr>
          <w:spacing w:val="-32"/>
        </w:rPr>
        <w:t> </w:t>
      </w:r>
      <w:r>
        <w:rPr/>
        <w:t>interdisciplinary)</w:t>
      </w:r>
      <w:r>
        <w:rPr>
          <w:spacing w:val="-32"/>
        </w:rPr>
        <w:t> </w:t>
      </w:r>
      <w:r>
        <w:rPr/>
        <w:t>teams.</w:t>
      </w:r>
    </w:p>
    <w:p>
      <w:pPr>
        <w:pStyle w:val="BodyText"/>
        <w:spacing w:before="2"/>
        <w:rPr>
          <w:sz w:val="14"/>
        </w:rPr>
      </w:pPr>
    </w:p>
    <w:p>
      <w:pPr>
        <w:pStyle w:val="BodyText"/>
        <w:spacing w:line="247" w:lineRule="auto"/>
        <w:ind w:left="107" w:right="409"/>
      </w:pPr>
      <w:r>
        <w:rPr>
          <w:spacing w:val="1"/>
          <w:w w:val="80"/>
        </w:rPr>
        <w:t>In</w:t>
      </w:r>
      <w:r>
        <w:rPr>
          <w:w w:val="80"/>
        </w:rPr>
        <w:t> </w:t>
      </w:r>
      <w:r>
        <w:rPr>
          <w:spacing w:val="1"/>
          <w:w w:val="84"/>
        </w:rPr>
        <w:t>2015,</w:t>
      </w:r>
      <w:r>
        <w:rPr>
          <w:w w:val="84"/>
        </w:rPr>
        <w:t> </w:t>
      </w:r>
      <w:r>
        <w:rPr>
          <w:spacing w:val="1"/>
          <w:w w:val="99"/>
        </w:rPr>
        <w:t>SCEM</w:t>
      </w:r>
      <w:r>
        <w:rPr>
          <w:w w:val="99"/>
        </w:rPr>
        <w:t> </w:t>
      </w:r>
      <w:r>
        <w:rPr>
          <w:spacing w:val="1"/>
          <w:w w:val="98"/>
        </w:rPr>
        <w:t>continued</w:t>
      </w:r>
      <w:r>
        <w:rPr>
          <w:w w:val="98"/>
        </w:rPr>
        <w:t> </w:t>
      </w:r>
      <w:r>
        <w:rPr>
          <w:spacing w:val="1"/>
          <w:w w:val="97"/>
        </w:rPr>
        <w:t>its</w:t>
      </w:r>
      <w:r>
        <w:rPr>
          <w:w w:val="97"/>
        </w:rPr>
        <w:t> </w:t>
      </w:r>
      <w:r>
        <w:rPr>
          <w:spacing w:val="2"/>
          <w:w w:val="98"/>
        </w:rPr>
        <w:t>quest</w:t>
      </w:r>
      <w:r>
        <w:rPr>
          <w:w w:val="98"/>
        </w:rPr>
        <w:t> </w:t>
      </w:r>
      <w:r>
        <w:rPr>
          <w:w w:val="98"/>
        </w:rPr>
        <w:t>for </w:t>
      </w:r>
      <w:r>
        <w:rPr>
          <w:w w:val="97"/>
        </w:rPr>
        <w:t>the </w:t>
      </w:r>
      <w:r>
        <w:rPr/>
        <w:t>diversification</w:t>
      </w:r>
      <w:r>
        <w:rPr>
          <w:spacing w:val="-17"/>
        </w:rPr>
        <w:t> </w:t>
      </w:r>
      <w:r>
        <w:rPr/>
        <w:t>of</w:t>
      </w:r>
      <w:r>
        <w:rPr>
          <w:spacing w:val="-17"/>
        </w:rPr>
        <w:t> </w:t>
      </w:r>
      <w:r>
        <w:rPr/>
        <w:t>research</w:t>
      </w:r>
      <w:r>
        <w:rPr>
          <w:spacing w:val="-17"/>
        </w:rPr>
        <w:t> </w:t>
      </w:r>
      <w:r>
        <w:rPr/>
        <w:t>income</w:t>
      </w:r>
      <w:r>
        <w:rPr>
          <w:spacing w:val="-17"/>
        </w:rPr>
        <w:t> </w:t>
      </w:r>
      <w:r>
        <w:rPr/>
        <w:t>and</w:t>
      </w:r>
      <w:r>
        <w:rPr>
          <w:spacing w:val="-17"/>
        </w:rPr>
        <w:t> </w:t>
      </w:r>
      <w:r>
        <w:rPr/>
        <w:t>the development of effective, productive and committed</w:t>
      </w:r>
      <w:r>
        <w:rPr>
          <w:spacing w:val="-17"/>
        </w:rPr>
        <w:t> </w:t>
      </w:r>
      <w:r>
        <w:rPr/>
        <w:t>funded</w:t>
      </w:r>
      <w:r>
        <w:rPr>
          <w:spacing w:val="-17"/>
        </w:rPr>
        <w:t> </w:t>
      </w:r>
      <w:r>
        <w:rPr/>
        <w:t>research</w:t>
      </w:r>
      <w:r>
        <w:rPr>
          <w:spacing w:val="-17"/>
        </w:rPr>
        <w:t> </w:t>
      </w:r>
      <w:r>
        <w:rPr/>
        <w:t>partnerships. A team of researchers from the School, the Children’s Hospital at Westmead and the</w:t>
      </w:r>
      <w:r>
        <w:rPr>
          <w:spacing w:val="-18"/>
        </w:rPr>
        <w:t> </w:t>
      </w:r>
      <w:r>
        <w:rPr/>
        <w:t>University</w:t>
      </w:r>
      <w:r>
        <w:rPr>
          <w:spacing w:val="-18"/>
        </w:rPr>
        <w:t> </w:t>
      </w:r>
      <w:r>
        <w:rPr/>
        <w:t>of</w:t>
      </w:r>
      <w:r>
        <w:rPr>
          <w:spacing w:val="-18"/>
        </w:rPr>
        <w:t> </w:t>
      </w:r>
      <w:r>
        <w:rPr/>
        <w:t>Technology</w:t>
      </w:r>
      <w:r>
        <w:rPr>
          <w:spacing w:val="-18"/>
        </w:rPr>
        <w:t> </w:t>
      </w:r>
      <w:r>
        <w:rPr/>
        <w:t>Sydney</w:t>
      </w:r>
      <w:r>
        <w:rPr>
          <w:spacing w:val="-18"/>
        </w:rPr>
        <w:t> </w:t>
      </w:r>
      <w:r>
        <w:rPr/>
        <w:t>were awarded</w:t>
      </w:r>
      <w:r>
        <w:rPr>
          <w:spacing w:val="-30"/>
        </w:rPr>
        <w:t> </w:t>
      </w:r>
      <w:r>
        <w:rPr/>
        <w:t>the</w:t>
      </w:r>
      <w:r>
        <w:rPr>
          <w:spacing w:val="-30"/>
        </w:rPr>
        <w:t> </w:t>
      </w:r>
      <w:r>
        <w:rPr>
          <w:rFonts w:ascii="Century Gothic" w:hAnsi="Century Gothic"/>
          <w:i/>
        </w:rPr>
        <w:t>Big</w:t>
      </w:r>
      <w:r>
        <w:rPr>
          <w:rFonts w:ascii="Century Gothic" w:hAnsi="Century Gothic"/>
          <w:i/>
          <w:spacing w:val="-25"/>
        </w:rPr>
        <w:t> </w:t>
      </w:r>
      <w:r>
        <w:rPr>
          <w:rFonts w:ascii="Century Gothic" w:hAnsi="Century Gothic"/>
          <w:i/>
        </w:rPr>
        <w:t>Data,</w:t>
      </w:r>
      <w:r>
        <w:rPr>
          <w:rFonts w:ascii="Century Gothic" w:hAnsi="Century Gothic"/>
          <w:i/>
          <w:spacing w:val="-25"/>
        </w:rPr>
        <w:t> </w:t>
      </w:r>
      <w:r>
        <w:rPr>
          <w:rFonts w:ascii="Century Gothic" w:hAnsi="Century Gothic"/>
          <w:i/>
        </w:rPr>
        <w:t>Big</w:t>
      </w:r>
      <w:r>
        <w:rPr>
          <w:rFonts w:ascii="Century Gothic" w:hAnsi="Century Gothic"/>
          <w:i/>
          <w:spacing w:val="-25"/>
        </w:rPr>
        <w:t> </w:t>
      </w:r>
      <w:r>
        <w:rPr>
          <w:rFonts w:ascii="Century Gothic" w:hAnsi="Century Gothic"/>
          <w:i/>
        </w:rPr>
        <w:t>Impact</w:t>
      </w:r>
      <w:r>
        <w:rPr>
          <w:rFonts w:ascii="Century Gothic" w:hAnsi="Century Gothic"/>
          <w:i/>
          <w:spacing w:val="-25"/>
        </w:rPr>
        <w:t> </w:t>
      </w:r>
      <w:r>
        <w:rPr/>
        <w:t>Grant through</w:t>
      </w:r>
      <w:r>
        <w:rPr>
          <w:spacing w:val="-24"/>
        </w:rPr>
        <w:t> </w:t>
      </w:r>
      <w:r>
        <w:rPr/>
        <w:t>the</w:t>
      </w:r>
      <w:r>
        <w:rPr>
          <w:spacing w:val="-24"/>
        </w:rPr>
        <w:t> </w:t>
      </w:r>
      <w:r>
        <w:rPr/>
        <w:t>Cancer</w:t>
      </w:r>
      <w:r>
        <w:rPr>
          <w:spacing w:val="-24"/>
        </w:rPr>
        <w:t> </w:t>
      </w:r>
      <w:r>
        <w:rPr/>
        <w:t>Institute</w:t>
      </w:r>
      <w:r>
        <w:rPr>
          <w:spacing w:val="-24"/>
        </w:rPr>
        <w:t> </w:t>
      </w:r>
      <w:r>
        <w:rPr/>
        <w:t>NSW.</w:t>
      </w:r>
    </w:p>
    <w:p>
      <w:pPr>
        <w:pStyle w:val="BodyText"/>
        <w:spacing w:before="2"/>
        <w:rPr>
          <w:sz w:val="14"/>
        </w:rPr>
      </w:pPr>
    </w:p>
    <w:p>
      <w:pPr>
        <w:pStyle w:val="BodyText"/>
        <w:spacing w:line="249" w:lineRule="auto"/>
        <w:ind w:left="107" w:right="245"/>
      </w:pPr>
      <w:r>
        <w:rPr>
          <w:w w:val="80"/>
        </w:rPr>
        <w:t>In </w:t>
      </w:r>
      <w:r>
        <w:rPr>
          <w:w w:val="84"/>
        </w:rPr>
        <w:t>2015, </w:t>
      </w:r>
      <w:r>
        <w:rPr>
          <w:w w:val="97"/>
        </w:rPr>
        <w:t>many </w:t>
      </w:r>
      <w:r>
        <w:rPr>
          <w:w w:val="98"/>
        </w:rPr>
        <w:t>contributions </w:t>
      </w:r>
      <w:r>
        <w:rPr>
          <w:w w:val="102"/>
        </w:rPr>
        <w:t>by </w:t>
      </w:r>
      <w:r>
        <w:rPr>
          <w:w w:val="97"/>
        </w:rPr>
        <w:t>the </w:t>
      </w:r>
      <w:r>
        <w:rPr>
          <w:w w:val="98"/>
        </w:rPr>
        <w:t>School’s </w:t>
      </w:r>
      <w:r>
        <w:rPr/>
        <w:t>researchers were recognised nationally and</w:t>
      </w:r>
    </w:p>
    <w:p>
      <w:pPr>
        <w:spacing w:after="0" w:line="249" w:lineRule="auto"/>
        <w:sectPr>
          <w:type w:val="continuous"/>
          <w:pgSz w:w="11910" w:h="16840"/>
          <w:pgMar w:top="1580" w:bottom="280" w:left="800" w:right="800"/>
          <w:cols w:num="3" w:equalWidth="0">
            <w:col w:w="3321" w:space="119"/>
            <w:col w:w="3315" w:space="124"/>
            <w:col w:w="3431"/>
          </w:cols>
        </w:sectPr>
      </w:pPr>
    </w:p>
    <w:p>
      <w:pPr>
        <w:pStyle w:val="BodyText"/>
        <w:spacing w:before="10"/>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9" w:lineRule="auto"/>
        <w:ind w:left="107" w:right="58"/>
      </w:pPr>
      <w:r>
        <w:rPr/>
        <w:t>internationally. Professor Wei Xing Zheng was named a Thomson-Reuters Highly Cited </w:t>
      </w:r>
      <w:r>
        <w:rPr>
          <w:w w:val="96"/>
        </w:rPr>
        <w:t>Researcher </w:t>
      </w:r>
      <w:r>
        <w:rPr>
          <w:w w:val="98"/>
        </w:rPr>
        <w:t>for </w:t>
      </w:r>
      <w:r>
        <w:rPr>
          <w:w w:val="84"/>
        </w:rPr>
        <w:t>2015. </w:t>
      </w:r>
      <w:r>
        <w:rPr>
          <w:w w:val="97"/>
        </w:rPr>
        <w:t>Professor </w:t>
      </w:r>
      <w:r>
        <w:rPr>
          <w:w w:val="100"/>
        </w:rPr>
        <w:t>Anthony </w:t>
      </w:r>
      <w:r>
        <w:rPr>
          <w:w w:val="96"/>
        </w:rPr>
        <w:t>Maeder </w:t>
      </w:r>
      <w:r>
        <w:rPr>
          <w:w w:val="96"/>
        </w:rPr>
        <w:t>was </w:t>
      </w:r>
      <w:r>
        <w:rPr>
          <w:w w:val="99"/>
        </w:rPr>
        <w:t>appointed </w:t>
      </w:r>
      <w:r>
        <w:rPr>
          <w:w w:val="97"/>
        </w:rPr>
        <w:t>the </w:t>
      </w:r>
      <w:r>
        <w:rPr>
          <w:w w:val="88"/>
        </w:rPr>
        <w:t>2015 </w:t>
      </w:r>
      <w:r>
        <w:rPr>
          <w:w w:val="98"/>
        </w:rPr>
        <w:t>Fulbright </w:t>
      </w:r>
      <w:r>
        <w:rPr/>
        <w:t>Distinguished Chair in Agriculture and Life</w:t>
      </w:r>
    </w:p>
    <w:p>
      <w:pPr>
        <w:pStyle w:val="BodyText"/>
        <w:spacing w:line="249" w:lineRule="auto"/>
        <w:ind w:left="107" w:right="-2"/>
      </w:pPr>
      <w:r>
        <w:rPr/>
        <w:t>Sciences,</w:t>
      </w:r>
      <w:r>
        <w:rPr>
          <w:spacing w:val="-23"/>
        </w:rPr>
        <w:t> </w:t>
      </w:r>
      <w:r>
        <w:rPr/>
        <w:t>based</w:t>
      </w:r>
      <w:r>
        <w:rPr>
          <w:spacing w:val="-23"/>
        </w:rPr>
        <w:t> </w:t>
      </w:r>
      <w:r>
        <w:rPr/>
        <w:t>at</w:t>
      </w:r>
      <w:r>
        <w:rPr>
          <w:spacing w:val="-23"/>
        </w:rPr>
        <w:t> </w:t>
      </w:r>
      <w:r>
        <w:rPr/>
        <w:t>the</w:t>
      </w:r>
      <w:r>
        <w:rPr>
          <w:spacing w:val="-23"/>
        </w:rPr>
        <w:t> </w:t>
      </w:r>
      <w:r>
        <w:rPr/>
        <w:t>Kansas</w:t>
      </w:r>
      <w:r>
        <w:rPr>
          <w:spacing w:val="-23"/>
        </w:rPr>
        <w:t> </w:t>
      </w:r>
      <w:r>
        <w:rPr/>
        <w:t>State</w:t>
      </w:r>
      <w:r>
        <w:rPr>
          <w:spacing w:val="-23"/>
        </w:rPr>
        <w:t> </w:t>
      </w:r>
      <w:r>
        <w:rPr/>
        <w:t>University, and was elected a Fellow of the Australian Computer</w:t>
      </w:r>
      <w:r>
        <w:rPr>
          <w:spacing w:val="-17"/>
        </w:rPr>
        <w:t> </w:t>
      </w:r>
      <w:r>
        <w:rPr/>
        <w:t>Society.</w:t>
      </w:r>
      <w:r>
        <w:rPr>
          <w:spacing w:val="-17"/>
        </w:rPr>
        <w:t> </w:t>
      </w:r>
      <w:r>
        <w:rPr/>
        <w:t>Professor</w:t>
      </w:r>
      <w:r>
        <w:rPr>
          <w:spacing w:val="-17"/>
        </w:rPr>
        <w:t> </w:t>
      </w:r>
      <w:r>
        <w:rPr/>
        <w:t>Glenn</w:t>
      </w:r>
      <w:r>
        <w:rPr>
          <w:spacing w:val="-17"/>
        </w:rPr>
        <w:t> </w:t>
      </w:r>
      <w:r>
        <w:rPr/>
        <w:t>Stone</w:t>
      </w:r>
    </w:p>
    <w:p>
      <w:pPr>
        <w:pStyle w:val="BodyText"/>
        <w:spacing w:line="249" w:lineRule="auto"/>
        <w:ind w:left="107" w:right="68"/>
      </w:pPr>
      <w:r>
        <w:rPr/>
        <w:t>was elected a member of the International Statistical Institute (ISI). Professor Janusz Nowotny</w:t>
      </w:r>
      <w:r>
        <w:rPr>
          <w:spacing w:val="-16"/>
        </w:rPr>
        <w:t> </w:t>
      </w:r>
      <w:r>
        <w:rPr/>
        <w:t>was</w:t>
      </w:r>
      <w:r>
        <w:rPr>
          <w:spacing w:val="-16"/>
        </w:rPr>
        <w:t> </w:t>
      </w:r>
      <w:r>
        <w:rPr/>
        <w:t>elected</w:t>
      </w:r>
      <w:r>
        <w:rPr>
          <w:spacing w:val="-16"/>
        </w:rPr>
        <w:t> </w:t>
      </w:r>
      <w:r>
        <w:rPr/>
        <w:t>a</w:t>
      </w:r>
      <w:r>
        <w:rPr>
          <w:spacing w:val="-16"/>
        </w:rPr>
        <w:t> </w:t>
      </w:r>
      <w:r>
        <w:rPr/>
        <w:t>Fellow</w:t>
      </w:r>
      <w:r>
        <w:rPr>
          <w:spacing w:val="-16"/>
        </w:rPr>
        <w:t> </w:t>
      </w:r>
      <w:r>
        <w:rPr/>
        <w:t>of</w:t>
      </w:r>
      <w:r>
        <w:rPr>
          <w:spacing w:val="-16"/>
        </w:rPr>
        <w:t> </w:t>
      </w:r>
      <w:r>
        <w:rPr/>
        <w:t>the</w:t>
      </w:r>
      <w:r>
        <w:rPr>
          <w:spacing w:val="-16"/>
        </w:rPr>
        <w:t> </w:t>
      </w:r>
      <w:r>
        <w:rPr/>
        <w:t>Institute of</w:t>
      </w:r>
      <w:r>
        <w:rPr>
          <w:spacing w:val="-22"/>
        </w:rPr>
        <w:t> </w:t>
      </w:r>
      <w:r>
        <w:rPr/>
        <w:t>Materials,</w:t>
      </w:r>
      <w:r>
        <w:rPr>
          <w:spacing w:val="-22"/>
        </w:rPr>
        <w:t> </w:t>
      </w:r>
      <w:r>
        <w:rPr/>
        <w:t>Minerals</w:t>
      </w:r>
      <w:r>
        <w:rPr>
          <w:spacing w:val="-22"/>
        </w:rPr>
        <w:t> </w:t>
      </w:r>
      <w:r>
        <w:rPr/>
        <w:t>and</w:t>
      </w:r>
      <w:r>
        <w:rPr>
          <w:spacing w:val="-22"/>
        </w:rPr>
        <w:t> </w:t>
      </w:r>
      <w:r>
        <w:rPr/>
        <w:t>Mining</w:t>
      </w:r>
      <w:r>
        <w:rPr>
          <w:spacing w:val="-22"/>
        </w:rPr>
        <w:t> </w:t>
      </w:r>
      <w:r>
        <w:rPr/>
        <w:t>in</w:t>
      </w:r>
      <w:r>
        <w:rPr>
          <w:spacing w:val="-22"/>
        </w:rPr>
        <w:t> </w:t>
      </w:r>
      <w:r>
        <w:rPr/>
        <w:t>the</w:t>
      </w:r>
      <w:r>
        <w:rPr>
          <w:spacing w:val="-22"/>
        </w:rPr>
        <w:t> </w:t>
      </w:r>
      <w:r>
        <w:rPr>
          <w:spacing w:val="3"/>
        </w:rPr>
        <w:t>UK.</w:t>
      </w:r>
    </w:p>
    <w:p>
      <w:pPr>
        <w:pStyle w:val="BodyText"/>
        <w:spacing w:line="249" w:lineRule="auto"/>
        <w:ind w:left="107" w:right="207"/>
      </w:pPr>
      <w:r>
        <w:rPr/>
        <w:t>Professor Andrew Francis was accredited as a Fellow of the Australian Mathematical Society (FAustMS). Dr Yingbin Feng won the Chartered Institute of Building (CIOB)</w:t>
      </w:r>
    </w:p>
    <w:p>
      <w:pPr>
        <w:pStyle w:val="BodyText"/>
        <w:spacing w:line="249" w:lineRule="auto"/>
        <w:ind w:left="107"/>
      </w:pPr>
      <w:r>
        <w:rPr/>
        <w:t>Premier Research Paper Award for his paper ‘Effect of Safety Investments on Safety Performance</w:t>
      </w:r>
      <w:r>
        <w:rPr>
          <w:spacing w:val="-18"/>
        </w:rPr>
        <w:t> </w:t>
      </w:r>
      <w:r>
        <w:rPr/>
        <w:t>of</w:t>
      </w:r>
      <w:r>
        <w:rPr>
          <w:spacing w:val="-18"/>
        </w:rPr>
        <w:t> </w:t>
      </w:r>
      <w:r>
        <w:rPr/>
        <w:t>Building</w:t>
      </w:r>
      <w:r>
        <w:rPr>
          <w:spacing w:val="-18"/>
        </w:rPr>
        <w:t> </w:t>
      </w:r>
      <w:r>
        <w:rPr/>
        <w:t>Projects’.</w:t>
      </w:r>
      <w:r>
        <w:rPr>
          <w:spacing w:val="-18"/>
        </w:rPr>
        <w:t> </w:t>
      </w:r>
      <w:r>
        <w:rPr/>
        <w:t>This</w:t>
      </w:r>
      <w:r>
        <w:rPr>
          <w:spacing w:val="-18"/>
        </w:rPr>
        <w:t> </w:t>
      </w:r>
      <w:r>
        <w:rPr/>
        <w:t>sample of</w:t>
      </w:r>
      <w:r>
        <w:rPr>
          <w:spacing w:val="-20"/>
        </w:rPr>
        <w:t> </w:t>
      </w:r>
      <w:r>
        <w:rPr/>
        <w:t>achievements</w:t>
      </w:r>
      <w:r>
        <w:rPr>
          <w:spacing w:val="-20"/>
        </w:rPr>
        <w:t> </w:t>
      </w:r>
      <w:r>
        <w:rPr/>
        <w:t>by</w:t>
      </w:r>
      <w:r>
        <w:rPr>
          <w:spacing w:val="-20"/>
        </w:rPr>
        <w:t> </w:t>
      </w:r>
      <w:r>
        <w:rPr/>
        <w:t>SCEM</w:t>
      </w:r>
      <w:r>
        <w:rPr>
          <w:spacing w:val="-20"/>
        </w:rPr>
        <w:t> </w:t>
      </w:r>
      <w:r>
        <w:rPr>
          <w:spacing w:val="2"/>
        </w:rPr>
        <w:t>academics,</w:t>
      </w:r>
      <w:r>
        <w:rPr>
          <w:spacing w:val="-20"/>
        </w:rPr>
        <w:t> </w:t>
      </w:r>
      <w:r>
        <w:rPr/>
        <w:t>which</w:t>
      </w:r>
    </w:p>
    <w:p>
      <w:pPr>
        <w:pStyle w:val="BodyText"/>
        <w:spacing w:line="249" w:lineRule="auto"/>
        <w:ind w:left="107" w:right="61"/>
      </w:pPr>
      <w:r>
        <w:rPr/>
        <w:t>is</w:t>
      </w:r>
      <w:r>
        <w:rPr>
          <w:spacing w:val="-20"/>
        </w:rPr>
        <w:t> </w:t>
      </w:r>
      <w:r>
        <w:rPr/>
        <w:t>far</w:t>
      </w:r>
      <w:r>
        <w:rPr>
          <w:spacing w:val="-20"/>
        </w:rPr>
        <w:t> </w:t>
      </w:r>
      <w:r>
        <w:rPr/>
        <w:t>from</w:t>
      </w:r>
      <w:r>
        <w:rPr>
          <w:spacing w:val="-20"/>
        </w:rPr>
        <w:t> </w:t>
      </w:r>
      <w:r>
        <w:rPr/>
        <w:t>comprehensive,</w:t>
      </w:r>
      <w:r>
        <w:rPr>
          <w:spacing w:val="-20"/>
        </w:rPr>
        <w:t> </w:t>
      </w:r>
      <w:r>
        <w:rPr/>
        <w:t>illustrates</w:t>
      </w:r>
      <w:r>
        <w:rPr>
          <w:spacing w:val="-20"/>
        </w:rPr>
        <w:t> </w:t>
      </w:r>
      <w:r>
        <w:rPr/>
        <w:t>the</w:t>
      </w:r>
      <w:r>
        <w:rPr>
          <w:spacing w:val="-20"/>
        </w:rPr>
        <w:t> </w:t>
      </w:r>
      <w:r>
        <w:rPr/>
        <w:t>staff research</w:t>
      </w:r>
      <w:r>
        <w:rPr>
          <w:spacing w:val="-21"/>
        </w:rPr>
        <w:t> </w:t>
      </w:r>
      <w:r>
        <w:rPr/>
        <w:t>excellence</w:t>
      </w:r>
      <w:r>
        <w:rPr>
          <w:spacing w:val="-21"/>
        </w:rPr>
        <w:t> </w:t>
      </w:r>
      <w:r>
        <w:rPr/>
        <w:t>that</w:t>
      </w:r>
      <w:r>
        <w:rPr>
          <w:spacing w:val="-21"/>
        </w:rPr>
        <w:t> </w:t>
      </w:r>
      <w:r>
        <w:rPr/>
        <w:t>students</w:t>
      </w:r>
      <w:r>
        <w:rPr>
          <w:spacing w:val="-21"/>
        </w:rPr>
        <w:t> </w:t>
      </w:r>
      <w:r>
        <w:rPr/>
        <w:t>can</w:t>
      </w:r>
      <w:r>
        <w:rPr>
          <w:spacing w:val="-21"/>
        </w:rPr>
        <w:t> </w:t>
      </w:r>
      <w:r>
        <w:rPr/>
        <w:t>access.</w:t>
      </w:r>
    </w:p>
    <w:p>
      <w:pPr>
        <w:pStyle w:val="BodyText"/>
        <w:rPr>
          <w:sz w:val="14"/>
        </w:rPr>
      </w:pPr>
    </w:p>
    <w:p>
      <w:pPr>
        <w:pStyle w:val="BodyText"/>
        <w:spacing w:line="249" w:lineRule="auto"/>
        <w:ind w:left="107" w:right="63"/>
      </w:pPr>
      <w:r>
        <w:rPr/>
        <w:t>The</w:t>
      </w:r>
      <w:r>
        <w:rPr>
          <w:spacing w:val="-18"/>
        </w:rPr>
        <w:t> </w:t>
      </w:r>
      <w:r>
        <w:rPr/>
        <w:t>School,</w:t>
      </w:r>
      <w:r>
        <w:rPr>
          <w:spacing w:val="-18"/>
        </w:rPr>
        <w:t> </w:t>
      </w:r>
      <w:r>
        <w:rPr/>
        <w:t>including</w:t>
      </w:r>
      <w:r>
        <w:rPr>
          <w:spacing w:val="-18"/>
        </w:rPr>
        <w:t> </w:t>
      </w:r>
      <w:r>
        <w:rPr/>
        <w:t>the</w:t>
      </w:r>
      <w:r>
        <w:rPr>
          <w:spacing w:val="-18"/>
        </w:rPr>
        <w:t> </w:t>
      </w:r>
      <w:r>
        <w:rPr/>
        <w:t>Centre</w:t>
      </w:r>
      <w:r>
        <w:rPr>
          <w:spacing w:val="-18"/>
        </w:rPr>
        <w:t> </w:t>
      </w:r>
      <w:r>
        <w:rPr/>
        <w:t>for</w:t>
      </w:r>
      <w:r>
        <w:rPr>
          <w:spacing w:val="-18"/>
        </w:rPr>
        <w:t> </w:t>
      </w:r>
      <w:r>
        <w:rPr/>
        <w:t>Research in Mathematics (CRM), continued to build research capacity in data science, making strategic</w:t>
      </w:r>
      <w:r>
        <w:rPr>
          <w:spacing w:val="-20"/>
        </w:rPr>
        <w:t> </w:t>
      </w:r>
      <w:r>
        <w:rPr/>
        <w:t>new</w:t>
      </w:r>
      <w:r>
        <w:rPr>
          <w:spacing w:val="-20"/>
        </w:rPr>
        <w:t> </w:t>
      </w:r>
      <w:r>
        <w:rPr/>
        <w:t>appointments</w:t>
      </w:r>
      <w:r>
        <w:rPr>
          <w:spacing w:val="-20"/>
        </w:rPr>
        <w:t> </w:t>
      </w:r>
      <w:r>
        <w:rPr/>
        <w:t>in</w:t>
      </w:r>
      <w:r>
        <w:rPr>
          <w:spacing w:val="-20"/>
        </w:rPr>
        <w:t> </w:t>
      </w:r>
      <w:r>
        <w:rPr/>
        <w:t>the</w:t>
      </w:r>
      <w:r>
        <w:rPr>
          <w:spacing w:val="-20"/>
        </w:rPr>
        <w:t> </w:t>
      </w:r>
      <w:r>
        <w:rPr/>
        <w:t>area.</w:t>
      </w:r>
    </w:p>
    <w:p>
      <w:pPr>
        <w:pStyle w:val="BodyText"/>
        <w:spacing w:line="249" w:lineRule="auto"/>
        <w:ind w:left="107" w:right="59"/>
      </w:pPr>
      <w:r>
        <w:rPr/>
        <w:t>CRM continued its steady development. Its distinguished visitor program, concentrated on two </w:t>
      </w:r>
      <w:r>
        <w:rPr>
          <w:spacing w:val="2"/>
        </w:rPr>
        <w:t>campuses, </w:t>
      </w:r>
      <w:r>
        <w:rPr/>
        <w:t>together with similar programs</w:t>
      </w:r>
      <w:r>
        <w:rPr>
          <w:spacing w:val="-18"/>
        </w:rPr>
        <w:t> </w:t>
      </w:r>
      <w:r>
        <w:rPr/>
        <w:t>from</w:t>
      </w:r>
      <w:r>
        <w:rPr>
          <w:spacing w:val="-18"/>
        </w:rPr>
        <w:t> </w:t>
      </w:r>
      <w:r>
        <w:rPr/>
        <w:t>other</w:t>
      </w:r>
      <w:r>
        <w:rPr>
          <w:spacing w:val="-18"/>
        </w:rPr>
        <w:t> </w:t>
      </w:r>
      <w:r>
        <w:rPr/>
        <w:t>research</w:t>
      </w:r>
      <w:r>
        <w:rPr>
          <w:spacing w:val="-18"/>
        </w:rPr>
        <w:t> </w:t>
      </w:r>
      <w:r>
        <w:rPr/>
        <w:t>groups,</w:t>
      </w:r>
      <w:r>
        <w:rPr>
          <w:spacing w:val="-18"/>
        </w:rPr>
        <w:t> </w:t>
      </w:r>
      <w:r>
        <w:rPr/>
        <w:t>helped develop</w:t>
      </w:r>
      <w:r>
        <w:rPr>
          <w:spacing w:val="-24"/>
        </w:rPr>
        <w:t> </w:t>
      </w:r>
      <w:r>
        <w:rPr/>
        <w:t>student</w:t>
      </w:r>
      <w:r>
        <w:rPr>
          <w:spacing w:val="-24"/>
        </w:rPr>
        <w:t> </w:t>
      </w:r>
      <w:r>
        <w:rPr/>
        <w:t>research</w:t>
      </w:r>
      <w:r>
        <w:rPr>
          <w:spacing w:val="-24"/>
        </w:rPr>
        <w:t> </w:t>
      </w:r>
      <w:r>
        <w:rPr/>
        <w:t>culture.</w:t>
      </w:r>
    </w:p>
    <w:p>
      <w:pPr>
        <w:pStyle w:val="BodyText"/>
        <w:rPr>
          <w:sz w:val="14"/>
        </w:rPr>
      </w:pPr>
    </w:p>
    <w:p>
      <w:pPr>
        <w:pStyle w:val="BodyText"/>
        <w:spacing w:line="249" w:lineRule="auto"/>
        <w:ind w:left="107" w:right="61"/>
        <w:jc w:val="both"/>
      </w:pPr>
      <w:r>
        <w:rPr/>
        <w:t>In</w:t>
      </w:r>
      <w:r>
        <w:rPr>
          <w:spacing w:val="-20"/>
        </w:rPr>
        <w:t> </w:t>
      </w:r>
      <w:r>
        <w:rPr/>
        <w:t>line</w:t>
      </w:r>
      <w:r>
        <w:rPr>
          <w:spacing w:val="-20"/>
        </w:rPr>
        <w:t> </w:t>
      </w:r>
      <w:r>
        <w:rPr/>
        <w:t>with</w:t>
      </w:r>
      <w:r>
        <w:rPr>
          <w:spacing w:val="-20"/>
        </w:rPr>
        <w:t> </w:t>
      </w:r>
      <w:r>
        <w:rPr/>
        <w:t>developments</w:t>
      </w:r>
      <w:r>
        <w:rPr>
          <w:spacing w:val="-20"/>
        </w:rPr>
        <w:t> </w:t>
      </w:r>
      <w:r>
        <w:rPr/>
        <w:t>in</w:t>
      </w:r>
      <w:r>
        <w:rPr>
          <w:spacing w:val="-20"/>
        </w:rPr>
        <w:t> </w:t>
      </w:r>
      <w:r>
        <w:rPr/>
        <w:t>data</w:t>
      </w:r>
      <w:r>
        <w:rPr>
          <w:spacing w:val="-20"/>
        </w:rPr>
        <w:t> </w:t>
      </w:r>
      <w:r>
        <w:rPr/>
        <w:t>science,</w:t>
      </w:r>
      <w:r>
        <w:rPr>
          <w:spacing w:val="-20"/>
        </w:rPr>
        <w:t> </w:t>
      </w:r>
      <w:r>
        <w:rPr/>
        <w:t>the School’s</w:t>
      </w:r>
      <w:r>
        <w:rPr>
          <w:spacing w:val="-17"/>
        </w:rPr>
        <w:t> </w:t>
      </w:r>
      <w:r>
        <w:rPr/>
        <w:t>Artificial</w:t>
      </w:r>
      <w:r>
        <w:rPr>
          <w:spacing w:val="-17"/>
        </w:rPr>
        <w:t> </w:t>
      </w:r>
      <w:r>
        <w:rPr/>
        <w:t>Intelligence</w:t>
      </w:r>
      <w:r>
        <w:rPr>
          <w:spacing w:val="-17"/>
        </w:rPr>
        <w:t> </w:t>
      </w:r>
      <w:r>
        <w:rPr/>
        <w:t>Research</w:t>
      </w:r>
      <w:r>
        <w:rPr>
          <w:spacing w:val="-17"/>
        </w:rPr>
        <w:t> </w:t>
      </w:r>
      <w:r>
        <w:rPr/>
        <w:t>group extended</w:t>
      </w:r>
      <w:r>
        <w:rPr>
          <w:spacing w:val="-16"/>
        </w:rPr>
        <w:t> </w:t>
      </w:r>
      <w:r>
        <w:rPr/>
        <w:t>the</w:t>
      </w:r>
      <w:r>
        <w:rPr>
          <w:spacing w:val="-16"/>
        </w:rPr>
        <w:t> </w:t>
      </w:r>
      <w:r>
        <w:rPr/>
        <w:t>focus</w:t>
      </w:r>
      <w:r>
        <w:rPr>
          <w:spacing w:val="-16"/>
        </w:rPr>
        <w:t> </w:t>
      </w:r>
      <w:r>
        <w:rPr/>
        <w:t>of</w:t>
      </w:r>
      <w:r>
        <w:rPr>
          <w:spacing w:val="-16"/>
        </w:rPr>
        <w:t> </w:t>
      </w:r>
      <w:r>
        <w:rPr/>
        <w:t>its</w:t>
      </w:r>
      <w:r>
        <w:rPr>
          <w:spacing w:val="-16"/>
        </w:rPr>
        <w:t> </w:t>
      </w:r>
      <w:r>
        <w:rPr/>
        <w:t>research</w:t>
      </w:r>
      <w:r>
        <w:rPr>
          <w:spacing w:val="-16"/>
        </w:rPr>
        <w:t> </w:t>
      </w:r>
      <w:r>
        <w:rPr/>
        <w:t>to</w:t>
      </w:r>
      <w:r>
        <w:rPr>
          <w:spacing w:val="-16"/>
        </w:rPr>
        <w:t> </w:t>
      </w:r>
      <w:r>
        <w:rPr/>
        <w:t>the</w:t>
      </w:r>
      <w:r>
        <w:rPr>
          <w:spacing w:val="-16"/>
        </w:rPr>
        <w:t> </w:t>
      </w:r>
      <w:r>
        <w:rPr/>
        <w:t>area of</w:t>
      </w:r>
      <w:r>
        <w:rPr>
          <w:spacing w:val="-13"/>
        </w:rPr>
        <w:t> </w:t>
      </w:r>
      <w:r>
        <w:rPr/>
        <w:t>ontological</w:t>
      </w:r>
      <w:r>
        <w:rPr>
          <w:spacing w:val="-13"/>
        </w:rPr>
        <w:t> </w:t>
      </w:r>
      <w:r>
        <w:rPr/>
        <w:t>reasoning</w:t>
      </w:r>
      <w:r>
        <w:rPr>
          <w:spacing w:val="-13"/>
        </w:rPr>
        <w:t> </w:t>
      </w:r>
      <w:r>
        <w:rPr/>
        <w:t>and</w:t>
      </w:r>
      <w:r>
        <w:rPr>
          <w:spacing w:val="-13"/>
        </w:rPr>
        <w:t> </w:t>
      </w:r>
      <w:r>
        <w:rPr/>
        <w:t>its</w:t>
      </w:r>
      <w:r>
        <w:rPr>
          <w:spacing w:val="-13"/>
        </w:rPr>
        <w:t> </w:t>
      </w:r>
      <w:r>
        <w:rPr/>
        <w:t>application</w:t>
      </w:r>
    </w:p>
    <w:p>
      <w:pPr>
        <w:pStyle w:val="BodyText"/>
        <w:spacing w:line="249" w:lineRule="auto"/>
        <w:ind w:left="107" w:right="163"/>
      </w:pPr>
      <w:r>
        <w:rPr/>
        <w:t>in big data. The group continued its strong performance</w:t>
      </w:r>
      <w:r>
        <w:rPr>
          <w:spacing w:val="-19"/>
        </w:rPr>
        <w:t> </w:t>
      </w:r>
      <w:r>
        <w:rPr/>
        <w:t>in</w:t>
      </w:r>
      <w:r>
        <w:rPr>
          <w:spacing w:val="-19"/>
        </w:rPr>
        <w:t> </w:t>
      </w:r>
      <w:r>
        <w:rPr/>
        <w:t>the</w:t>
      </w:r>
      <w:r>
        <w:rPr>
          <w:spacing w:val="-19"/>
        </w:rPr>
        <w:t> </w:t>
      </w:r>
      <w:r>
        <w:rPr/>
        <w:t>related</w:t>
      </w:r>
      <w:r>
        <w:rPr>
          <w:spacing w:val="-19"/>
        </w:rPr>
        <w:t> </w:t>
      </w:r>
      <w:r>
        <w:rPr/>
        <w:t>areas</w:t>
      </w:r>
      <w:r>
        <w:rPr>
          <w:spacing w:val="-19"/>
        </w:rPr>
        <w:t> </w:t>
      </w:r>
      <w:r>
        <w:rPr/>
        <w:t>of</w:t>
      </w:r>
      <w:r>
        <w:rPr>
          <w:spacing w:val="-19"/>
        </w:rPr>
        <w:t> </w:t>
      </w:r>
      <w:r>
        <w:rPr/>
        <w:t>machine learning, and knowledge representation and</w:t>
      </w:r>
      <w:r>
        <w:rPr>
          <w:spacing w:val="-19"/>
        </w:rPr>
        <w:t> </w:t>
      </w:r>
      <w:r>
        <w:rPr/>
        <w:t>reasoning.</w:t>
      </w:r>
      <w:r>
        <w:rPr>
          <w:spacing w:val="-19"/>
        </w:rPr>
        <w:t> </w:t>
      </w:r>
      <w:r>
        <w:rPr/>
        <w:t>The</w:t>
      </w:r>
      <w:r>
        <w:rPr>
          <w:spacing w:val="-19"/>
        </w:rPr>
        <w:t> </w:t>
      </w:r>
      <w:r>
        <w:rPr/>
        <w:t>group</w:t>
      </w:r>
      <w:r>
        <w:rPr>
          <w:spacing w:val="-19"/>
        </w:rPr>
        <w:t> </w:t>
      </w:r>
      <w:r>
        <w:rPr/>
        <w:t>expanded</w:t>
      </w:r>
      <w:r>
        <w:rPr>
          <w:spacing w:val="-19"/>
        </w:rPr>
        <w:t> </w:t>
      </w:r>
      <w:r>
        <w:rPr/>
        <w:t>its</w:t>
      </w:r>
    </w:p>
    <w:p>
      <w:pPr>
        <w:pStyle w:val="BodyText"/>
        <w:spacing w:line="249" w:lineRule="auto"/>
        <w:ind w:left="107"/>
      </w:pPr>
      <w:r>
        <w:rPr/>
        <w:t>international collaboration, working with top research institutes including the Institute of Software</w:t>
      </w:r>
      <w:r>
        <w:rPr>
          <w:spacing w:val="-12"/>
        </w:rPr>
        <w:t> </w:t>
      </w:r>
      <w:r>
        <w:rPr/>
        <w:t>at</w:t>
      </w:r>
      <w:r>
        <w:rPr>
          <w:spacing w:val="-12"/>
        </w:rPr>
        <w:t> </w:t>
      </w:r>
      <w:r>
        <w:rPr/>
        <w:t>the</w:t>
      </w:r>
      <w:r>
        <w:rPr>
          <w:spacing w:val="-12"/>
        </w:rPr>
        <w:t> </w:t>
      </w:r>
      <w:r>
        <w:rPr/>
        <w:t>Chinese</w:t>
      </w:r>
      <w:r>
        <w:rPr>
          <w:spacing w:val="-12"/>
        </w:rPr>
        <w:t> </w:t>
      </w:r>
      <w:r>
        <w:rPr/>
        <w:t>Academy</w:t>
      </w:r>
      <w:r>
        <w:rPr>
          <w:spacing w:val="-12"/>
        </w:rPr>
        <w:t> </w:t>
      </w:r>
      <w:r>
        <w:rPr/>
        <w:t>of</w:t>
      </w:r>
      <w:r>
        <w:rPr>
          <w:spacing w:val="-12"/>
        </w:rPr>
        <w:t> </w:t>
      </w:r>
      <w:r>
        <w:rPr/>
        <w:t>Sciences and</w:t>
      </w:r>
      <w:r>
        <w:rPr>
          <w:spacing w:val="-17"/>
        </w:rPr>
        <w:t> </w:t>
      </w:r>
      <w:r>
        <w:rPr/>
        <w:t>Chongqing</w:t>
      </w:r>
      <w:r>
        <w:rPr>
          <w:spacing w:val="-17"/>
        </w:rPr>
        <w:t> </w:t>
      </w:r>
      <w:r>
        <w:rPr/>
        <w:t>Beijiou</w:t>
      </w:r>
      <w:r>
        <w:rPr>
          <w:spacing w:val="-17"/>
        </w:rPr>
        <w:t> </w:t>
      </w:r>
      <w:r>
        <w:rPr/>
        <w:t>Software</w:t>
      </w:r>
      <w:r>
        <w:rPr>
          <w:spacing w:val="-17"/>
        </w:rPr>
        <w:t> </w:t>
      </w:r>
      <w:r>
        <w:rPr/>
        <w:t>Co,</w:t>
      </w:r>
      <w:r>
        <w:rPr>
          <w:spacing w:val="-17"/>
        </w:rPr>
        <w:t> </w:t>
      </w:r>
      <w:r>
        <w:rPr/>
        <w:t>China.</w:t>
      </w:r>
    </w:p>
    <w:p>
      <w:pPr>
        <w:pStyle w:val="BodyText"/>
        <w:rPr>
          <w:sz w:val="14"/>
        </w:rPr>
      </w:pPr>
    </w:p>
    <w:p>
      <w:pPr>
        <w:pStyle w:val="BodyText"/>
        <w:spacing w:line="249" w:lineRule="auto"/>
        <w:ind w:left="107" w:right="49"/>
      </w:pPr>
      <w:r>
        <w:rPr/>
        <w:t>Among</w:t>
      </w:r>
      <w:r>
        <w:rPr>
          <w:spacing w:val="-14"/>
        </w:rPr>
        <w:t> </w:t>
      </w:r>
      <w:r>
        <w:rPr/>
        <w:t>its</w:t>
      </w:r>
      <w:r>
        <w:rPr>
          <w:spacing w:val="-14"/>
        </w:rPr>
        <w:t> </w:t>
      </w:r>
      <w:r>
        <w:rPr/>
        <w:t>many</w:t>
      </w:r>
      <w:r>
        <w:rPr>
          <w:spacing w:val="-14"/>
        </w:rPr>
        <w:t> </w:t>
      </w:r>
      <w:r>
        <w:rPr/>
        <w:t>visitors,</w:t>
      </w:r>
      <w:r>
        <w:rPr>
          <w:spacing w:val="-14"/>
        </w:rPr>
        <w:t> </w:t>
      </w:r>
      <w:r>
        <w:rPr/>
        <w:t>the</w:t>
      </w:r>
      <w:r>
        <w:rPr>
          <w:spacing w:val="-14"/>
        </w:rPr>
        <w:t> </w:t>
      </w:r>
      <w:r>
        <w:rPr/>
        <w:t>group</w:t>
      </w:r>
      <w:r>
        <w:rPr>
          <w:spacing w:val="-14"/>
        </w:rPr>
        <w:t> </w:t>
      </w:r>
      <w:r>
        <w:rPr/>
        <w:t>hosted</w:t>
      </w:r>
      <w:r>
        <w:rPr>
          <w:spacing w:val="-14"/>
        </w:rPr>
        <w:t> </w:t>
      </w:r>
      <w:r>
        <w:rPr/>
        <w:t>Dr </w:t>
      </w:r>
      <w:r>
        <w:rPr>
          <w:spacing w:val="-1"/>
          <w:w w:val="97"/>
        </w:rPr>
        <w:t>Dave</w:t>
      </w:r>
      <w:r>
        <w:rPr>
          <w:w w:val="97"/>
        </w:rPr>
        <w:t> </w:t>
      </w:r>
      <w:r>
        <w:rPr>
          <w:spacing w:val="1"/>
          <w:w w:val="99"/>
        </w:rPr>
        <w:t>de</w:t>
      </w:r>
      <w:r>
        <w:rPr>
          <w:w w:val="99"/>
        </w:rPr>
        <w:t> </w:t>
      </w:r>
      <w:r>
        <w:rPr>
          <w:spacing w:val="1"/>
          <w:w w:val="100"/>
        </w:rPr>
        <w:t>Jonge</w:t>
      </w:r>
      <w:r>
        <w:rPr>
          <w:w w:val="100"/>
        </w:rPr>
        <w:t> </w:t>
      </w:r>
      <w:r>
        <w:rPr>
          <w:w w:val="89"/>
        </w:rPr>
        <w:t>– </w:t>
      </w:r>
      <w:r>
        <w:rPr>
          <w:w w:val="94"/>
        </w:rPr>
        <w:t>a </w:t>
      </w:r>
      <w:r>
        <w:rPr>
          <w:spacing w:val="1"/>
          <w:w w:val="88"/>
        </w:rPr>
        <w:t>2015</w:t>
      </w:r>
      <w:r>
        <w:rPr>
          <w:w w:val="88"/>
        </w:rPr>
        <w:t> </w:t>
      </w:r>
      <w:r>
        <w:rPr>
          <w:w w:val="98"/>
        </w:rPr>
        <w:t>Endeavour </w:t>
      </w:r>
      <w:r>
        <w:rPr>
          <w:spacing w:val="1"/>
          <w:w w:val="97"/>
        </w:rPr>
        <w:t>Scholar</w:t>
      </w:r>
      <w:r>
        <w:rPr>
          <w:w w:val="97"/>
        </w:rPr>
        <w:t> </w:t>
      </w:r>
      <w:r>
        <w:rPr/>
        <w:t>from the Artificial Intelligence Research Institute of the Spanish National Research Council. These collaborations and visits reflect the overall expansion of the School’s international</w:t>
      </w:r>
      <w:r>
        <w:rPr>
          <w:spacing w:val="-22"/>
        </w:rPr>
        <w:t> </w:t>
      </w:r>
      <w:r>
        <w:rPr/>
        <w:t>research</w:t>
      </w:r>
      <w:r>
        <w:rPr>
          <w:spacing w:val="-22"/>
        </w:rPr>
        <w:t> </w:t>
      </w:r>
      <w:r>
        <w:rPr/>
        <w:t>connections.</w:t>
      </w:r>
      <w:r>
        <w:rPr>
          <w:spacing w:val="-22"/>
        </w:rPr>
        <w:t> </w:t>
      </w:r>
      <w:r>
        <w:rPr/>
        <w:t>The</w:t>
      </w:r>
      <w:r>
        <w:rPr>
          <w:spacing w:val="-22"/>
        </w:rPr>
        <w:t> </w:t>
      </w:r>
      <w:r>
        <w:rPr/>
        <w:t>SCEM Advanced Materials and Smart Structures research</w:t>
      </w:r>
      <w:r>
        <w:rPr>
          <w:spacing w:val="-18"/>
        </w:rPr>
        <w:t> </w:t>
      </w:r>
      <w:r>
        <w:rPr/>
        <w:t>group</w:t>
      </w:r>
      <w:r>
        <w:rPr>
          <w:spacing w:val="-18"/>
        </w:rPr>
        <w:t> </w:t>
      </w:r>
      <w:r>
        <w:rPr/>
        <w:t>continued</w:t>
      </w:r>
      <w:r>
        <w:rPr>
          <w:spacing w:val="-18"/>
        </w:rPr>
        <w:t> </w:t>
      </w:r>
      <w:r>
        <w:rPr/>
        <w:t>its</w:t>
      </w:r>
      <w:r>
        <w:rPr>
          <w:spacing w:val="-18"/>
        </w:rPr>
        <w:t> </w:t>
      </w:r>
      <w:r>
        <w:rPr/>
        <w:t>strong</w:t>
      </w:r>
      <w:r>
        <w:rPr>
          <w:spacing w:val="-18"/>
        </w:rPr>
        <w:t> </w:t>
      </w:r>
      <w:r>
        <w:rPr/>
        <w:t>research</w:t>
      </w:r>
    </w:p>
    <w:p>
      <w:pPr>
        <w:pStyle w:val="BodyText"/>
        <w:spacing w:before="10"/>
      </w:pPr>
      <w:r>
        <w:rPr/>
        <w:br w:type="column"/>
      </w:r>
      <w:r>
        <w:rPr/>
      </w:r>
    </w:p>
    <w:p>
      <w:pPr>
        <w:pStyle w:val="BodyText"/>
        <w:spacing w:line="249" w:lineRule="auto"/>
        <w:ind w:left="107" w:right="184"/>
      </w:pPr>
      <w:r>
        <w:rPr/>
        <w:t>collaborations in civil, mechanical and materials engineering with top institutions including Shanghai Jiao Tong University, the</w:t>
      </w:r>
      <w:r>
        <w:rPr>
          <w:spacing w:val="-15"/>
        </w:rPr>
        <w:t> </w:t>
      </w:r>
      <w:r>
        <w:rPr/>
        <w:t>University</w:t>
      </w:r>
      <w:r>
        <w:rPr>
          <w:spacing w:val="-15"/>
        </w:rPr>
        <w:t> </w:t>
      </w:r>
      <w:r>
        <w:rPr/>
        <w:t>of</w:t>
      </w:r>
      <w:r>
        <w:rPr>
          <w:spacing w:val="-15"/>
        </w:rPr>
        <w:t> </w:t>
      </w:r>
      <w:r>
        <w:rPr/>
        <w:t>Science</w:t>
      </w:r>
      <w:r>
        <w:rPr>
          <w:spacing w:val="-15"/>
        </w:rPr>
        <w:t> </w:t>
      </w:r>
      <w:r>
        <w:rPr/>
        <w:t>and</w:t>
      </w:r>
      <w:r>
        <w:rPr>
          <w:spacing w:val="-15"/>
        </w:rPr>
        <w:t> </w:t>
      </w:r>
      <w:r>
        <w:rPr/>
        <w:t>Technology</w:t>
      </w:r>
      <w:r>
        <w:rPr>
          <w:spacing w:val="-15"/>
        </w:rPr>
        <w:t> </w:t>
      </w:r>
      <w:r>
        <w:rPr/>
        <w:t>of China, City University of Hong Kong, Hong Kong Polytechnic University, the National University</w:t>
      </w:r>
      <w:r>
        <w:rPr>
          <w:spacing w:val="-18"/>
        </w:rPr>
        <w:t> </w:t>
      </w:r>
      <w:r>
        <w:rPr/>
        <w:t>of</w:t>
      </w:r>
      <w:r>
        <w:rPr>
          <w:spacing w:val="-18"/>
        </w:rPr>
        <w:t> </w:t>
      </w:r>
      <w:r>
        <w:rPr/>
        <w:t>Singapore,</w:t>
      </w:r>
      <w:r>
        <w:rPr>
          <w:spacing w:val="-18"/>
        </w:rPr>
        <w:t> </w:t>
      </w:r>
      <w:r>
        <w:rPr/>
        <w:t>and</w:t>
      </w:r>
      <w:r>
        <w:rPr>
          <w:spacing w:val="-18"/>
        </w:rPr>
        <w:t> </w:t>
      </w:r>
      <w:r>
        <w:rPr/>
        <w:t>Michigan</w:t>
      </w:r>
      <w:r>
        <w:rPr>
          <w:spacing w:val="-18"/>
        </w:rPr>
        <w:t> </w:t>
      </w:r>
      <w:r>
        <w:rPr/>
        <w:t>State University.</w:t>
      </w:r>
    </w:p>
    <w:p>
      <w:pPr>
        <w:pStyle w:val="BodyText"/>
        <w:rPr>
          <w:sz w:val="14"/>
        </w:rPr>
      </w:pPr>
    </w:p>
    <w:p>
      <w:pPr>
        <w:pStyle w:val="BodyText"/>
        <w:spacing w:line="249" w:lineRule="auto"/>
        <w:ind w:left="107" w:right="173"/>
      </w:pPr>
      <w:r>
        <w:rPr>
          <w:spacing w:val="1"/>
          <w:w w:val="80"/>
        </w:rPr>
        <w:t>In</w:t>
      </w:r>
      <w:r>
        <w:rPr>
          <w:w w:val="80"/>
        </w:rPr>
        <w:t> </w:t>
      </w:r>
      <w:r>
        <w:rPr>
          <w:spacing w:val="1"/>
          <w:w w:val="84"/>
        </w:rPr>
        <w:t>2015,</w:t>
      </w:r>
      <w:r>
        <w:rPr>
          <w:w w:val="84"/>
        </w:rPr>
        <w:t> </w:t>
      </w:r>
      <w:r>
        <w:rPr>
          <w:w w:val="97"/>
        </w:rPr>
        <w:t>the </w:t>
      </w:r>
      <w:r>
        <w:rPr>
          <w:spacing w:val="1"/>
          <w:w w:val="98"/>
        </w:rPr>
        <w:t>School</w:t>
      </w:r>
      <w:r>
        <w:rPr>
          <w:w w:val="98"/>
        </w:rPr>
        <w:t> </w:t>
      </w:r>
      <w:r>
        <w:rPr>
          <w:spacing w:val="1"/>
          <w:w w:val="98"/>
        </w:rPr>
        <w:t>continued</w:t>
      </w:r>
      <w:r>
        <w:rPr>
          <w:w w:val="98"/>
        </w:rPr>
        <w:t> </w:t>
      </w:r>
      <w:r>
        <w:rPr>
          <w:spacing w:val="1"/>
          <w:w w:val="97"/>
        </w:rPr>
        <w:t>its</w:t>
      </w:r>
      <w:r>
        <w:rPr>
          <w:w w:val="97"/>
        </w:rPr>
        <w:t> </w:t>
      </w:r>
      <w:r>
        <w:rPr>
          <w:w w:val="98"/>
        </w:rPr>
        <w:t>work </w:t>
      </w:r>
      <w:r>
        <w:rPr>
          <w:w w:val="98"/>
        </w:rPr>
        <w:t>with </w:t>
      </w:r>
      <w:r>
        <w:rPr/>
        <w:t>all</w:t>
      </w:r>
      <w:r>
        <w:rPr>
          <w:spacing w:val="-22"/>
        </w:rPr>
        <w:t> </w:t>
      </w:r>
      <w:r>
        <w:rPr/>
        <w:t>the</w:t>
      </w:r>
      <w:r>
        <w:rPr>
          <w:spacing w:val="-22"/>
        </w:rPr>
        <w:t> </w:t>
      </w:r>
      <w:r>
        <w:rPr/>
        <w:t>Research</w:t>
      </w:r>
      <w:r>
        <w:rPr>
          <w:spacing w:val="-22"/>
        </w:rPr>
        <w:t> </w:t>
      </w:r>
      <w:r>
        <w:rPr/>
        <w:t>Institutes</w:t>
      </w:r>
      <w:r>
        <w:rPr>
          <w:spacing w:val="-22"/>
        </w:rPr>
        <w:t> </w:t>
      </w:r>
      <w:r>
        <w:rPr/>
        <w:t>in</w:t>
      </w:r>
      <w:r>
        <w:rPr>
          <w:spacing w:val="-22"/>
        </w:rPr>
        <w:t> </w:t>
      </w:r>
      <w:r>
        <w:rPr/>
        <w:t>the</w:t>
      </w:r>
      <w:r>
        <w:rPr>
          <w:spacing w:val="-22"/>
        </w:rPr>
        <w:t> </w:t>
      </w:r>
      <w:r>
        <w:rPr/>
        <w:t>University, focusing</w:t>
      </w:r>
      <w:r>
        <w:rPr>
          <w:spacing w:val="-14"/>
        </w:rPr>
        <w:t> </w:t>
      </w:r>
      <w:r>
        <w:rPr/>
        <w:t>primarily</w:t>
      </w:r>
      <w:r>
        <w:rPr>
          <w:spacing w:val="-14"/>
        </w:rPr>
        <w:t> </w:t>
      </w:r>
      <w:r>
        <w:rPr/>
        <w:t>on</w:t>
      </w:r>
      <w:r>
        <w:rPr>
          <w:spacing w:val="-14"/>
        </w:rPr>
        <w:t> </w:t>
      </w:r>
      <w:r>
        <w:rPr/>
        <w:t>its</w:t>
      </w:r>
      <w:r>
        <w:rPr>
          <w:spacing w:val="-14"/>
        </w:rPr>
        <w:t> </w:t>
      </w:r>
      <w:r>
        <w:rPr/>
        <w:t>commitments</w:t>
      </w:r>
      <w:r>
        <w:rPr>
          <w:spacing w:val="-14"/>
        </w:rPr>
        <w:t> </w:t>
      </w:r>
      <w:r>
        <w:rPr/>
        <w:t>with the </w:t>
      </w:r>
      <w:r>
        <w:rPr>
          <w:spacing w:val="2"/>
        </w:rPr>
        <w:t>MARCS </w:t>
      </w:r>
      <w:r>
        <w:rPr/>
        <w:t>Institute and the Institute for Infrastructure</w:t>
      </w:r>
      <w:r>
        <w:rPr>
          <w:spacing w:val="-28"/>
        </w:rPr>
        <w:t> </w:t>
      </w:r>
      <w:r>
        <w:rPr/>
        <w:t>Engineering</w:t>
      </w:r>
      <w:r>
        <w:rPr>
          <w:spacing w:val="-28"/>
        </w:rPr>
        <w:t> </w:t>
      </w:r>
      <w:r>
        <w:rPr/>
        <w:t>(IIE).</w:t>
      </w:r>
      <w:r>
        <w:rPr>
          <w:spacing w:val="-28"/>
        </w:rPr>
        <w:t> </w:t>
      </w:r>
      <w:r>
        <w:rPr/>
        <w:t>The</w:t>
      </w:r>
      <w:r>
        <w:rPr>
          <w:spacing w:val="-28"/>
        </w:rPr>
        <w:t> </w:t>
      </w:r>
      <w:r>
        <w:rPr/>
        <w:t>School further developed the </w:t>
      </w:r>
      <w:r>
        <w:rPr>
          <w:spacing w:val="2"/>
        </w:rPr>
        <w:t>Human–Machine </w:t>
      </w:r>
      <w:r>
        <w:rPr/>
        <w:t>Interaction</w:t>
      </w:r>
      <w:r>
        <w:rPr>
          <w:spacing w:val="-23"/>
        </w:rPr>
        <w:t> </w:t>
      </w:r>
      <w:r>
        <w:rPr/>
        <w:t>program</w:t>
      </w:r>
      <w:r>
        <w:rPr>
          <w:spacing w:val="-23"/>
        </w:rPr>
        <w:t> </w:t>
      </w:r>
      <w:r>
        <w:rPr/>
        <w:t>at</w:t>
      </w:r>
      <w:r>
        <w:rPr>
          <w:spacing w:val="-23"/>
        </w:rPr>
        <w:t> </w:t>
      </w:r>
      <w:r>
        <w:rPr/>
        <w:t>the</w:t>
      </w:r>
      <w:r>
        <w:rPr>
          <w:spacing w:val="-23"/>
        </w:rPr>
        <w:t> </w:t>
      </w:r>
      <w:r>
        <w:rPr>
          <w:spacing w:val="2"/>
        </w:rPr>
        <w:t>MARCS</w:t>
      </w:r>
      <w:r>
        <w:rPr>
          <w:spacing w:val="-23"/>
        </w:rPr>
        <w:t> </w:t>
      </w:r>
      <w:r>
        <w:rPr/>
        <w:t>Institute, with</w:t>
      </w:r>
      <w:r>
        <w:rPr>
          <w:spacing w:val="-16"/>
        </w:rPr>
        <w:t> </w:t>
      </w:r>
      <w:r>
        <w:rPr/>
        <w:t>outcomes</w:t>
      </w:r>
      <w:r>
        <w:rPr>
          <w:spacing w:val="-16"/>
        </w:rPr>
        <w:t> </w:t>
      </w:r>
      <w:r>
        <w:rPr/>
        <w:t>in</w:t>
      </w:r>
      <w:r>
        <w:rPr>
          <w:spacing w:val="-16"/>
        </w:rPr>
        <w:t> </w:t>
      </w:r>
      <w:r>
        <w:rPr/>
        <w:t>believable</w:t>
      </w:r>
      <w:r>
        <w:rPr>
          <w:spacing w:val="-16"/>
        </w:rPr>
        <w:t> </w:t>
      </w:r>
      <w:r>
        <w:rPr/>
        <w:t>artificial</w:t>
      </w:r>
    </w:p>
    <w:p>
      <w:pPr>
        <w:pStyle w:val="BodyText"/>
        <w:spacing w:line="249" w:lineRule="auto"/>
        <w:ind w:left="107" w:right="-4"/>
      </w:pPr>
      <w:r>
        <w:rPr/>
        <w:t>intelligence</w:t>
      </w:r>
      <w:r>
        <w:rPr>
          <w:spacing w:val="-21"/>
        </w:rPr>
        <w:t> </w:t>
      </w:r>
      <w:r>
        <w:rPr/>
        <w:t>technology,</w:t>
      </w:r>
      <w:r>
        <w:rPr>
          <w:spacing w:val="-21"/>
        </w:rPr>
        <w:t> </w:t>
      </w:r>
      <w:r>
        <w:rPr/>
        <w:t>and</w:t>
      </w:r>
      <w:r>
        <w:rPr>
          <w:spacing w:val="-21"/>
        </w:rPr>
        <w:t> </w:t>
      </w:r>
      <w:r>
        <w:rPr/>
        <w:t>human–robot</w:t>
      </w:r>
      <w:r>
        <w:rPr>
          <w:spacing w:val="-21"/>
        </w:rPr>
        <w:t> </w:t>
      </w:r>
      <w:r>
        <w:rPr/>
        <w:t>and human–information interaction. The School also engaged extensively with IIE’s research projects</w:t>
      </w:r>
      <w:r>
        <w:rPr>
          <w:spacing w:val="-15"/>
        </w:rPr>
        <w:t> </w:t>
      </w:r>
      <w:r>
        <w:rPr/>
        <w:t>and</w:t>
      </w:r>
      <w:r>
        <w:rPr>
          <w:spacing w:val="-15"/>
        </w:rPr>
        <w:t> </w:t>
      </w:r>
      <w:r>
        <w:rPr/>
        <w:t>provided</w:t>
      </w:r>
      <w:r>
        <w:rPr>
          <w:spacing w:val="-15"/>
        </w:rPr>
        <w:t> </w:t>
      </w:r>
      <w:r>
        <w:rPr/>
        <w:t>student</w:t>
      </w:r>
      <w:r>
        <w:rPr>
          <w:spacing w:val="-15"/>
        </w:rPr>
        <w:t> </w:t>
      </w:r>
      <w:r>
        <w:rPr/>
        <w:t>supervision.</w:t>
      </w:r>
    </w:p>
    <w:p>
      <w:pPr>
        <w:pStyle w:val="BodyText"/>
        <w:spacing w:line="249" w:lineRule="auto"/>
        <w:ind w:left="107" w:right="78"/>
      </w:pPr>
      <w:r>
        <w:rPr/>
        <w:t>These collaborations extend the research opportunities for students and the quality of </w:t>
      </w:r>
      <w:r>
        <w:rPr>
          <w:w w:val="95"/>
        </w:rPr>
        <w:t>research supervision.</w:t>
      </w:r>
    </w:p>
    <w:p>
      <w:pPr>
        <w:pStyle w:val="BodyText"/>
        <w:rPr>
          <w:sz w:val="14"/>
        </w:rPr>
      </w:pPr>
    </w:p>
    <w:p>
      <w:pPr>
        <w:pStyle w:val="BodyText"/>
        <w:spacing w:line="249" w:lineRule="auto"/>
        <w:ind w:left="107" w:right="35"/>
      </w:pPr>
      <w:r>
        <w:rPr>
          <w:w w:val="80"/>
        </w:rPr>
        <w:t>In </w:t>
      </w:r>
      <w:r>
        <w:rPr>
          <w:w w:val="84"/>
        </w:rPr>
        <w:t>2015, </w:t>
      </w:r>
      <w:r>
        <w:rPr>
          <w:w w:val="95"/>
        </w:rPr>
        <w:t>in </w:t>
      </w:r>
      <w:r>
        <w:rPr>
          <w:w w:val="94"/>
        </w:rPr>
        <w:t>a </w:t>
      </w:r>
      <w:r>
        <w:rPr>
          <w:w w:val="98"/>
        </w:rPr>
        <w:t>quest </w:t>
      </w:r>
      <w:r>
        <w:rPr>
          <w:w w:val="101"/>
        </w:rPr>
        <w:t>to </w:t>
      </w:r>
      <w:r>
        <w:rPr>
          <w:w w:val="95"/>
        </w:rPr>
        <w:t>raise </w:t>
      </w:r>
      <w:r>
        <w:rPr>
          <w:w w:val="97"/>
        </w:rPr>
        <w:t>the </w:t>
      </w:r>
      <w:r>
        <w:rPr>
          <w:w w:val="98"/>
        </w:rPr>
        <w:t>quality </w:t>
      </w:r>
      <w:r>
        <w:rPr>
          <w:w w:val="99"/>
        </w:rPr>
        <w:t>of </w:t>
      </w:r>
      <w:r>
        <w:rPr/>
        <w:t>training experience for its higher degree research (HDR) students, the School focused on research student communication, presentation and social skills. It created an environment of opportunities for gaining such skills by hosting a number of events: the Australasian Computer Science Week</w:t>
      </w:r>
    </w:p>
    <w:p>
      <w:pPr>
        <w:pStyle w:val="BodyText"/>
        <w:spacing w:line="249" w:lineRule="auto"/>
        <w:ind w:left="107" w:right="35"/>
      </w:pPr>
      <w:r>
        <w:rPr/>
        <w:t>in </w:t>
      </w:r>
      <w:r>
        <w:rPr>
          <w:spacing w:val="2"/>
        </w:rPr>
        <w:t>January; </w:t>
      </w:r>
      <w:r>
        <w:rPr/>
        <w:t>the Genome Rearrangements Symposium in April; and the Eighth International Structural Engineering and Construction Conference, and the Victorian Algebra Conference in November. Through such</w:t>
      </w:r>
      <w:r>
        <w:rPr>
          <w:spacing w:val="-16"/>
        </w:rPr>
        <w:t> </w:t>
      </w:r>
      <w:r>
        <w:rPr/>
        <w:t>events,</w:t>
      </w:r>
      <w:r>
        <w:rPr>
          <w:spacing w:val="-16"/>
        </w:rPr>
        <w:t> </w:t>
      </w:r>
      <w:r>
        <w:rPr/>
        <w:t>students</w:t>
      </w:r>
      <w:r>
        <w:rPr>
          <w:spacing w:val="-16"/>
        </w:rPr>
        <w:t> </w:t>
      </w:r>
      <w:r>
        <w:rPr/>
        <w:t>have</w:t>
      </w:r>
      <w:r>
        <w:rPr>
          <w:spacing w:val="-16"/>
        </w:rPr>
        <w:t> </w:t>
      </w:r>
      <w:r>
        <w:rPr/>
        <w:t>the</w:t>
      </w:r>
      <w:r>
        <w:rPr>
          <w:spacing w:val="-16"/>
        </w:rPr>
        <w:t> </w:t>
      </w:r>
      <w:r>
        <w:rPr/>
        <w:t>opportunity</w:t>
      </w:r>
      <w:r>
        <w:rPr>
          <w:spacing w:val="-16"/>
        </w:rPr>
        <w:t> </w:t>
      </w:r>
      <w:r>
        <w:rPr/>
        <w:t>to interact</w:t>
      </w:r>
      <w:r>
        <w:rPr>
          <w:spacing w:val="-19"/>
        </w:rPr>
        <w:t> </w:t>
      </w:r>
      <w:r>
        <w:rPr/>
        <w:t>extensively</w:t>
      </w:r>
      <w:r>
        <w:rPr>
          <w:spacing w:val="-19"/>
        </w:rPr>
        <w:t> </w:t>
      </w:r>
      <w:r>
        <w:rPr/>
        <w:t>with</w:t>
      </w:r>
      <w:r>
        <w:rPr>
          <w:spacing w:val="-19"/>
        </w:rPr>
        <w:t> </w:t>
      </w:r>
      <w:r>
        <w:rPr/>
        <w:t>research</w:t>
      </w:r>
      <w:r>
        <w:rPr>
          <w:spacing w:val="-19"/>
        </w:rPr>
        <w:t> </w:t>
      </w:r>
      <w:r>
        <w:rPr/>
        <w:t>leaders</w:t>
      </w:r>
      <w:r>
        <w:rPr>
          <w:spacing w:val="-19"/>
        </w:rPr>
        <w:t> </w:t>
      </w:r>
      <w:r>
        <w:rPr/>
        <w:t>and </w:t>
      </w:r>
      <w:r>
        <w:rPr>
          <w:spacing w:val="2"/>
        </w:rPr>
        <w:t>peers.</w:t>
      </w:r>
      <w:r>
        <w:rPr>
          <w:spacing w:val="-17"/>
        </w:rPr>
        <w:t> </w:t>
      </w:r>
      <w:r>
        <w:rPr/>
        <w:t>The</w:t>
      </w:r>
      <w:r>
        <w:rPr>
          <w:spacing w:val="-17"/>
        </w:rPr>
        <w:t> </w:t>
      </w:r>
      <w:r>
        <w:rPr/>
        <w:t>School</w:t>
      </w:r>
      <w:r>
        <w:rPr>
          <w:spacing w:val="-17"/>
        </w:rPr>
        <w:t> </w:t>
      </w:r>
      <w:r>
        <w:rPr/>
        <w:t>implemented</w:t>
      </w:r>
      <w:r>
        <w:rPr>
          <w:spacing w:val="-17"/>
        </w:rPr>
        <w:t> </w:t>
      </w:r>
      <w:r>
        <w:rPr/>
        <w:t>a</w:t>
      </w:r>
      <w:r>
        <w:rPr>
          <w:spacing w:val="-17"/>
        </w:rPr>
        <w:t> </w:t>
      </w:r>
      <w:r>
        <w:rPr/>
        <w:t>process</w:t>
      </w:r>
      <w:r>
        <w:rPr>
          <w:spacing w:val="-17"/>
        </w:rPr>
        <w:t> </w:t>
      </w:r>
      <w:r>
        <w:rPr/>
        <w:t>for improving communication and presentation skills</w:t>
      </w:r>
      <w:r>
        <w:rPr>
          <w:spacing w:val="-17"/>
        </w:rPr>
        <w:t> </w:t>
      </w:r>
      <w:r>
        <w:rPr/>
        <w:t>of</w:t>
      </w:r>
      <w:r>
        <w:rPr>
          <w:spacing w:val="-17"/>
        </w:rPr>
        <w:t> </w:t>
      </w:r>
      <w:r>
        <w:rPr/>
        <w:t>its</w:t>
      </w:r>
      <w:r>
        <w:rPr>
          <w:spacing w:val="-17"/>
        </w:rPr>
        <w:t> </w:t>
      </w:r>
      <w:r>
        <w:rPr>
          <w:spacing w:val="2"/>
        </w:rPr>
        <w:t>HDR</w:t>
      </w:r>
      <w:r>
        <w:rPr>
          <w:spacing w:val="-17"/>
        </w:rPr>
        <w:t> </w:t>
      </w:r>
      <w:r>
        <w:rPr/>
        <w:t>students,</w:t>
      </w:r>
      <w:r>
        <w:rPr>
          <w:spacing w:val="-17"/>
        </w:rPr>
        <w:t> </w:t>
      </w:r>
      <w:r>
        <w:rPr/>
        <w:t>and</w:t>
      </w:r>
      <w:r>
        <w:rPr>
          <w:spacing w:val="-17"/>
        </w:rPr>
        <w:t> </w:t>
      </w:r>
      <w:r>
        <w:rPr/>
        <w:t>their</w:t>
      </w:r>
      <w:r>
        <w:rPr>
          <w:spacing w:val="-17"/>
        </w:rPr>
        <w:t> </w:t>
      </w:r>
      <w:r>
        <w:rPr/>
        <w:t>exposure to</w:t>
      </w:r>
      <w:r>
        <w:rPr>
          <w:spacing w:val="-27"/>
        </w:rPr>
        <w:t> </w:t>
      </w:r>
      <w:r>
        <w:rPr/>
        <w:t>the</w:t>
      </w:r>
      <w:r>
        <w:rPr>
          <w:spacing w:val="-27"/>
        </w:rPr>
        <w:t> </w:t>
      </w:r>
      <w:r>
        <w:rPr/>
        <w:t>international</w:t>
      </w:r>
      <w:r>
        <w:rPr>
          <w:spacing w:val="-27"/>
        </w:rPr>
        <w:t> </w:t>
      </w:r>
      <w:r>
        <w:rPr/>
        <w:t>research</w:t>
      </w:r>
      <w:r>
        <w:rPr>
          <w:spacing w:val="-27"/>
        </w:rPr>
        <w:t> </w:t>
      </w:r>
      <w:r>
        <w:rPr/>
        <w:t>environment.</w:t>
      </w:r>
    </w:p>
    <w:p>
      <w:pPr>
        <w:pStyle w:val="BodyText"/>
        <w:rPr>
          <w:sz w:val="14"/>
        </w:rPr>
      </w:pPr>
    </w:p>
    <w:p>
      <w:pPr>
        <w:pStyle w:val="BodyText"/>
        <w:spacing w:line="249" w:lineRule="auto"/>
        <w:ind w:left="107" w:right="-2"/>
      </w:pPr>
      <w:r>
        <w:rPr>
          <w:spacing w:val="1"/>
          <w:w w:val="80"/>
        </w:rPr>
        <w:t>In</w:t>
      </w:r>
      <w:r>
        <w:rPr>
          <w:w w:val="80"/>
        </w:rPr>
        <w:t> </w:t>
      </w:r>
      <w:r>
        <w:rPr>
          <w:spacing w:val="1"/>
          <w:w w:val="84"/>
        </w:rPr>
        <w:t>2015,</w:t>
      </w:r>
      <w:r>
        <w:rPr>
          <w:w w:val="84"/>
        </w:rPr>
        <w:t> </w:t>
      </w:r>
      <w:r>
        <w:rPr>
          <w:w w:val="97"/>
        </w:rPr>
        <w:t>the </w:t>
      </w:r>
      <w:r>
        <w:rPr>
          <w:spacing w:val="1"/>
          <w:w w:val="98"/>
        </w:rPr>
        <w:t>School</w:t>
      </w:r>
      <w:r>
        <w:rPr>
          <w:w w:val="98"/>
        </w:rPr>
        <w:t> </w:t>
      </w:r>
      <w:r>
        <w:rPr>
          <w:spacing w:val="1"/>
          <w:w w:val="97"/>
        </w:rPr>
        <w:t>further</w:t>
      </w:r>
      <w:r>
        <w:rPr>
          <w:w w:val="97"/>
        </w:rPr>
        <w:t> </w:t>
      </w:r>
      <w:r>
        <w:rPr>
          <w:w w:val="97"/>
        </w:rPr>
        <w:t>invested </w:t>
      </w:r>
      <w:r>
        <w:rPr>
          <w:w w:val="95"/>
        </w:rPr>
        <w:t>in </w:t>
      </w:r>
      <w:r>
        <w:rPr>
          <w:w w:val="97"/>
        </w:rPr>
        <w:t>the </w:t>
      </w:r>
      <w:r>
        <w:rPr/>
        <w:t>translation</w:t>
      </w:r>
      <w:r>
        <w:rPr>
          <w:spacing w:val="-18"/>
        </w:rPr>
        <w:t> </w:t>
      </w:r>
      <w:r>
        <w:rPr/>
        <w:t>of</w:t>
      </w:r>
      <w:r>
        <w:rPr>
          <w:spacing w:val="-18"/>
        </w:rPr>
        <w:t> </w:t>
      </w:r>
      <w:r>
        <w:rPr/>
        <w:t>research</w:t>
      </w:r>
      <w:r>
        <w:rPr>
          <w:spacing w:val="-18"/>
        </w:rPr>
        <w:t> </w:t>
      </w:r>
      <w:r>
        <w:rPr/>
        <w:t>outcomes</w:t>
      </w:r>
      <w:r>
        <w:rPr>
          <w:spacing w:val="-18"/>
        </w:rPr>
        <w:t> </w:t>
      </w:r>
      <w:r>
        <w:rPr/>
        <w:t>into</w:t>
      </w:r>
      <w:r>
        <w:rPr>
          <w:spacing w:val="-18"/>
        </w:rPr>
        <w:t> </w:t>
      </w:r>
      <w:r>
        <w:rPr/>
        <w:t>tangible technologies – in particular, in enabling infrastructure supporting technology innovation and entrepreneurship. SCEM expanded the School Design Centre facilities with the introduction of a 3D printer capable of</w:t>
      </w:r>
      <w:r>
        <w:rPr>
          <w:spacing w:val="-21"/>
        </w:rPr>
        <w:t> </w:t>
      </w:r>
      <w:r>
        <w:rPr/>
        <w:t>multi-material</w:t>
      </w:r>
      <w:r>
        <w:rPr>
          <w:spacing w:val="-21"/>
        </w:rPr>
        <w:t> </w:t>
      </w:r>
      <w:r>
        <w:rPr/>
        <w:t>printing,</w:t>
      </w:r>
      <w:r>
        <w:rPr>
          <w:spacing w:val="-21"/>
        </w:rPr>
        <w:t> </w:t>
      </w:r>
      <w:r>
        <w:rPr/>
        <w:t>a</w:t>
      </w:r>
      <w:r>
        <w:rPr>
          <w:spacing w:val="-21"/>
        </w:rPr>
        <w:t> </w:t>
      </w:r>
      <w:r>
        <w:rPr/>
        <w:t>3D</w:t>
      </w:r>
      <w:r>
        <w:rPr>
          <w:spacing w:val="-21"/>
        </w:rPr>
        <w:t> </w:t>
      </w:r>
      <w:r>
        <w:rPr/>
        <w:t>scanner</w:t>
      </w:r>
    </w:p>
    <w:p>
      <w:pPr>
        <w:pStyle w:val="BodyText"/>
        <w:spacing w:line="249" w:lineRule="auto"/>
        <w:ind w:left="107" w:right="333"/>
      </w:pPr>
      <w:r>
        <w:rPr/>
        <w:t>and</w:t>
      </w:r>
      <w:r>
        <w:rPr>
          <w:spacing w:val="-22"/>
        </w:rPr>
        <w:t> </w:t>
      </w:r>
      <w:r>
        <w:rPr/>
        <w:t>laser</w:t>
      </w:r>
      <w:r>
        <w:rPr>
          <w:spacing w:val="-22"/>
        </w:rPr>
        <w:t> </w:t>
      </w:r>
      <w:r>
        <w:rPr/>
        <w:t>cutter,</w:t>
      </w:r>
      <w:r>
        <w:rPr>
          <w:spacing w:val="-22"/>
        </w:rPr>
        <w:t> </w:t>
      </w:r>
      <w:r>
        <w:rPr/>
        <w:t>and</w:t>
      </w:r>
      <w:r>
        <w:rPr>
          <w:spacing w:val="-22"/>
        </w:rPr>
        <w:t> </w:t>
      </w:r>
      <w:r>
        <w:rPr/>
        <w:t>new</w:t>
      </w:r>
      <w:r>
        <w:rPr>
          <w:spacing w:val="-22"/>
        </w:rPr>
        <w:t> </w:t>
      </w:r>
      <w:r>
        <w:rPr/>
        <w:t>instrumentation in</w:t>
      </w:r>
      <w:r>
        <w:rPr>
          <w:spacing w:val="-15"/>
        </w:rPr>
        <w:t> </w:t>
      </w:r>
      <w:r>
        <w:rPr/>
        <w:t>mechanical</w:t>
      </w:r>
      <w:r>
        <w:rPr>
          <w:spacing w:val="-15"/>
        </w:rPr>
        <w:t> </w:t>
      </w:r>
      <w:r>
        <w:rPr/>
        <w:t>properties</w:t>
      </w:r>
      <w:r>
        <w:rPr>
          <w:spacing w:val="-15"/>
        </w:rPr>
        <w:t> </w:t>
      </w:r>
      <w:r>
        <w:rPr/>
        <w:t>testing</w:t>
      </w:r>
      <w:r>
        <w:rPr>
          <w:spacing w:val="-15"/>
        </w:rPr>
        <w:t> </w:t>
      </w:r>
      <w:r>
        <w:rPr/>
        <w:t>with</w:t>
      </w:r>
      <w:r>
        <w:rPr>
          <w:spacing w:val="-15"/>
        </w:rPr>
        <w:t> </w:t>
      </w:r>
      <w:r>
        <w:rPr/>
        <w:t>the</w:t>
      </w:r>
    </w:p>
    <w:p>
      <w:pPr>
        <w:pStyle w:val="BodyText"/>
        <w:spacing w:before="10"/>
      </w:pPr>
      <w:r>
        <w:rPr/>
        <w:br w:type="column"/>
      </w:r>
      <w:r>
        <w:rPr/>
      </w:r>
    </w:p>
    <w:p>
      <w:pPr>
        <w:pStyle w:val="BodyText"/>
        <w:spacing w:line="249" w:lineRule="auto"/>
        <w:ind w:left="107" w:right="121"/>
      </w:pPr>
      <w:r>
        <w:rPr/>
        <w:t>introduction of advanced destructive testing machines. The electrical engineering labs were redesigned, with the introduction of</w:t>
      </w:r>
    </w:p>
    <w:p>
      <w:pPr>
        <w:pStyle w:val="BodyText"/>
        <w:spacing w:line="249" w:lineRule="auto"/>
        <w:ind w:left="107" w:right="267"/>
      </w:pPr>
      <w:r>
        <w:rPr/>
        <w:t>a new Lab-Volt training system and a new multi-faceted teaching space, enabling cross-disciplinary collaboration. The School also expanded its robotics park with</w:t>
      </w:r>
    </w:p>
    <w:p>
      <w:pPr>
        <w:pStyle w:val="BodyText"/>
        <w:spacing w:line="249" w:lineRule="auto"/>
        <w:ind w:left="107" w:right="126"/>
      </w:pPr>
      <w:r>
        <w:rPr/>
        <w:t>Motorman and Baxter robots, in line with the development of its strengths in mechatronics and robotics, and in support of the MARCS Human–Machine Interaction research program.</w:t>
      </w:r>
    </w:p>
    <w:p>
      <w:pPr>
        <w:pStyle w:val="BodyText"/>
        <w:spacing w:before="7"/>
        <w:rPr>
          <w:sz w:val="21"/>
        </w:rPr>
      </w:pPr>
    </w:p>
    <w:p>
      <w:pPr>
        <w:pStyle w:val="Heading8"/>
        <w:ind w:right="287"/>
      </w:pPr>
      <w:r>
        <w:rPr>
          <w:w w:val="95"/>
        </w:rPr>
        <w:t>ENGAGEMENT AND OUTREACH</w:t>
      </w:r>
    </w:p>
    <w:p>
      <w:pPr>
        <w:pStyle w:val="BodyText"/>
        <w:spacing w:line="249" w:lineRule="auto" w:before="86"/>
        <w:ind w:left="107" w:right="196"/>
      </w:pPr>
      <w:r>
        <w:rPr>
          <w:w w:val="80"/>
        </w:rPr>
        <w:t>In </w:t>
      </w:r>
      <w:r>
        <w:rPr>
          <w:w w:val="84"/>
        </w:rPr>
        <w:t>2015, </w:t>
      </w:r>
      <w:r>
        <w:rPr>
          <w:w w:val="97"/>
        </w:rPr>
        <w:t>the </w:t>
      </w:r>
      <w:r>
        <w:rPr>
          <w:w w:val="98"/>
        </w:rPr>
        <w:t>School </w:t>
      </w:r>
      <w:r>
        <w:rPr>
          <w:w w:val="98"/>
        </w:rPr>
        <w:t>continued </w:t>
      </w:r>
      <w:r>
        <w:rPr>
          <w:w w:val="97"/>
        </w:rPr>
        <w:t>initiatives </w:t>
      </w:r>
      <w:r>
        <w:rPr>
          <w:w w:val="98"/>
        </w:rPr>
        <w:t>that </w:t>
      </w:r>
      <w:r>
        <w:rPr/>
        <w:t>integrate broad engagement and outreach with communities, industry and government with teaching and research, providing rich, research-led learning and diverse extra- curricular experiences to its students.</w:t>
      </w:r>
    </w:p>
    <w:p>
      <w:pPr>
        <w:pStyle w:val="BodyText"/>
        <w:rPr>
          <w:sz w:val="14"/>
        </w:rPr>
      </w:pPr>
    </w:p>
    <w:p>
      <w:pPr>
        <w:pStyle w:val="BodyText"/>
        <w:spacing w:line="249" w:lineRule="auto"/>
        <w:ind w:left="107" w:right="109"/>
      </w:pPr>
      <w:r>
        <w:rPr/>
        <w:t>The School provided broad support to the Western Sydney University Solar </w:t>
      </w:r>
      <w:r>
        <w:rPr>
          <w:spacing w:val="2"/>
        </w:rPr>
        <w:t>Car </w:t>
      </w:r>
      <w:r>
        <w:rPr/>
        <w:t>Project team during the preparation stages for the </w:t>
      </w:r>
      <w:r>
        <w:rPr>
          <w:w w:val="100"/>
        </w:rPr>
        <w:t>World </w:t>
      </w:r>
      <w:r>
        <w:rPr>
          <w:spacing w:val="1"/>
          <w:w w:val="97"/>
        </w:rPr>
        <w:t>Solar</w:t>
      </w:r>
      <w:r>
        <w:rPr>
          <w:w w:val="97"/>
        </w:rPr>
        <w:t> </w:t>
      </w:r>
      <w:r>
        <w:rPr>
          <w:spacing w:val="2"/>
          <w:w w:val="97"/>
        </w:rPr>
        <w:t>Car</w:t>
      </w:r>
      <w:r>
        <w:rPr>
          <w:w w:val="97"/>
        </w:rPr>
        <w:t> </w:t>
      </w:r>
      <w:r>
        <w:rPr>
          <w:spacing w:val="1"/>
          <w:w w:val="97"/>
        </w:rPr>
        <w:t>Challenge</w:t>
      </w:r>
      <w:r>
        <w:rPr>
          <w:w w:val="97"/>
        </w:rPr>
        <w:t> </w:t>
      </w:r>
      <w:r>
        <w:rPr>
          <w:spacing w:val="1"/>
          <w:w w:val="88"/>
        </w:rPr>
        <w:t>2015</w:t>
      </w:r>
      <w:r>
        <w:rPr>
          <w:w w:val="88"/>
        </w:rPr>
        <w:t> </w:t>
      </w:r>
      <w:r>
        <w:rPr>
          <w:spacing w:val="1"/>
          <w:w w:val="97"/>
        </w:rPr>
        <w:t>and</w:t>
      </w:r>
      <w:r>
        <w:rPr>
          <w:w w:val="97"/>
        </w:rPr>
        <w:t> </w:t>
      </w:r>
      <w:r>
        <w:rPr>
          <w:spacing w:val="1"/>
          <w:w w:val="97"/>
        </w:rPr>
        <w:t>during</w:t>
      </w:r>
      <w:r>
        <w:rPr>
          <w:w w:val="97"/>
        </w:rPr>
        <w:t> </w:t>
      </w:r>
      <w:r>
        <w:rPr/>
        <w:t>the competition itself. This is one of the world’s largest competitions in the science, technology, engineering and mathematics (STEM)</w:t>
      </w:r>
      <w:r>
        <w:rPr>
          <w:spacing w:val="-20"/>
        </w:rPr>
        <w:t> </w:t>
      </w:r>
      <w:r>
        <w:rPr/>
        <w:t>area.</w:t>
      </w:r>
      <w:r>
        <w:rPr>
          <w:spacing w:val="-20"/>
        </w:rPr>
        <w:t> </w:t>
      </w:r>
      <w:r>
        <w:rPr/>
        <w:t>The</w:t>
      </w:r>
      <w:r>
        <w:rPr>
          <w:spacing w:val="-20"/>
        </w:rPr>
        <w:t> </w:t>
      </w:r>
      <w:r>
        <w:rPr/>
        <w:t>University</w:t>
      </w:r>
      <w:r>
        <w:rPr>
          <w:spacing w:val="-20"/>
        </w:rPr>
        <w:t> </w:t>
      </w:r>
      <w:r>
        <w:rPr/>
        <w:t>team</w:t>
      </w:r>
      <w:r>
        <w:rPr>
          <w:spacing w:val="-20"/>
        </w:rPr>
        <w:t> </w:t>
      </w:r>
      <w:r>
        <w:rPr/>
        <w:t>competed</w:t>
      </w:r>
      <w:r>
        <w:rPr>
          <w:spacing w:val="-20"/>
        </w:rPr>
        <w:t> </w:t>
      </w:r>
      <w:r>
        <w:rPr/>
        <w:t>in the Challenger </w:t>
      </w:r>
      <w:r>
        <w:rPr>
          <w:spacing w:val="2"/>
        </w:rPr>
        <w:t>Class, </w:t>
      </w:r>
      <w:r>
        <w:rPr/>
        <w:t>which is conducted in a single</w:t>
      </w:r>
      <w:r>
        <w:rPr>
          <w:spacing w:val="-16"/>
        </w:rPr>
        <w:t> </w:t>
      </w:r>
      <w:r>
        <w:rPr/>
        <w:t>stage</w:t>
      </w:r>
      <w:r>
        <w:rPr>
          <w:spacing w:val="-16"/>
        </w:rPr>
        <w:t> </w:t>
      </w:r>
      <w:r>
        <w:rPr/>
        <w:t>from</w:t>
      </w:r>
      <w:r>
        <w:rPr>
          <w:spacing w:val="-16"/>
        </w:rPr>
        <w:t> </w:t>
      </w:r>
      <w:r>
        <w:rPr/>
        <w:t>Darwin</w:t>
      </w:r>
      <w:r>
        <w:rPr>
          <w:spacing w:val="-16"/>
        </w:rPr>
        <w:t> </w:t>
      </w:r>
      <w:r>
        <w:rPr/>
        <w:t>to</w:t>
      </w:r>
      <w:r>
        <w:rPr>
          <w:spacing w:val="-16"/>
        </w:rPr>
        <w:t> </w:t>
      </w:r>
      <w:r>
        <w:rPr/>
        <w:t>Adelaide.</w:t>
      </w:r>
    </w:p>
    <w:p>
      <w:pPr>
        <w:pStyle w:val="BodyText"/>
        <w:rPr>
          <w:sz w:val="14"/>
        </w:rPr>
      </w:pPr>
    </w:p>
    <w:p>
      <w:pPr>
        <w:pStyle w:val="BodyText"/>
        <w:spacing w:line="249" w:lineRule="auto"/>
        <w:ind w:left="107" w:right="68"/>
      </w:pPr>
      <w:r>
        <w:rPr/>
        <w:t>The University team finished in Adelaide in </w:t>
      </w:r>
      <w:r>
        <w:rPr>
          <w:w w:val="90"/>
        </w:rPr>
        <w:t>10th </w:t>
      </w:r>
      <w:r>
        <w:rPr>
          <w:w w:val="98"/>
        </w:rPr>
        <w:t>place </w:t>
      </w:r>
      <w:r>
        <w:rPr>
          <w:w w:val="99"/>
        </w:rPr>
        <w:t>out </w:t>
      </w:r>
      <w:r>
        <w:rPr>
          <w:w w:val="99"/>
        </w:rPr>
        <w:t>of </w:t>
      </w:r>
      <w:r>
        <w:rPr>
          <w:w w:val="97"/>
        </w:rPr>
        <w:t>29 </w:t>
      </w:r>
      <w:r>
        <w:rPr>
          <w:w w:val="99"/>
        </w:rPr>
        <w:t>competitors </w:t>
      </w:r>
      <w:r>
        <w:rPr>
          <w:w w:val="98"/>
        </w:rPr>
        <w:t>from </w:t>
      </w:r>
      <w:r>
        <w:rPr>
          <w:w w:val="97"/>
        </w:rPr>
        <w:t>around </w:t>
      </w:r>
      <w:r>
        <w:rPr/>
        <w:t>the world. The challenge attracted newspaper and television coverage, and was the subject of a TVS documentary. The Western Sydney University Solar Car Project had a humble </w:t>
      </w:r>
      <w:r>
        <w:rPr>
          <w:w w:val="97"/>
        </w:rPr>
        <w:t>start </w:t>
      </w:r>
      <w:r>
        <w:rPr>
          <w:w w:val="95"/>
        </w:rPr>
        <w:t>in </w:t>
      </w:r>
      <w:r>
        <w:rPr>
          <w:w w:val="76"/>
        </w:rPr>
        <w:t>2011. </w:t>
      </w:r>
      <w:r>
        <w:rPr>
          <w:w w:val="97"/>
        </w:rPr>
        <w:t>Since </w:t>
      </w:r>
      <w:r>
        <w:rPr>
          <w:w w:val="91"/>
        </w:rPr>
        <w:t>then, </w:t>
      </w:r>
      <w:r>
        <w:rPr>
          <w:w w:val="97"/>
        </w:rPr>
        <w:t>more </w:t>
      </w:r>
      <w:r>
        <w:rPr>
          <w:w w:val="97"/>
        </w:rPr>
        <w:t>than </w:t>
      </w:r>
      <w:r>
        <w:rPr>
          <w:w w:val="105"/>
        </w:rPr>
        <w:t>200 </w:t>
      </w:r>
      <w:r>
        <w:rPr/>
        <w:t>engineering, industrial design, computing and marketing students have been involved in the project at various stages.</w:t>
      </w:r>
    </w:p>
    <w:p>
      <w:pPr>
        <w:pStyle w:val="BodyText"/>
        <w:rPr>
          <w:sz w:val="14"/>
        </w:rPr>
      </w:pPr>
    </w:p>
    <w:p>
      <w:pPr>
        <w:pStyle w:val="BodyText"/>
        <w:spacing w:line="249" w:lineRule="auto"/>
        <w:ind w:left="107" w:right="121"/>
      </w:pPr>
      <w:r>
        <w:rPr/>
        <w:t>The School continued its strong engagement with primary and high school students. More than 30 high school students participated in the</w:t>
      </w:r>
      <w:r>
        <w:rPr>
          <w:spacing w:val="-25"/>
        </w:rPr>
        <w:t> </w:t>
      </w:r>
      <w:r>
        <w:rPr/>
        <w:t>Solar</w:t>
      </w:r>
      <w:r>
        <w:rPr>
          <w:spacing w:val="-25"/>
        </w:rPr>
        <w:t> </w:t>
      </w:r>
      <w:r>
        <w:rPr/>
        <w:t>Car</w:t>
      </w:r>
      <w:r>
        <w:rPr>
          <w:spacing w:val="-25"/>
        </w:rPr>
        <w:t> </w:t>
      </w:r>
      <w:r>
        <w:rPr/>
        <w:t>Project.</w:t>
      </w:r>
      <w:r>
        <w:rPr>
          <w:spacing w:val="-25"/>
        </w:rPr>
        <w:t> </w:t>
      </w:r>
      <w:r>
        <w:rPr/>
        <w:t>SCEM</w:t>
      </w:r>
      <w:r>
        <w:rPr>
          <w:spacing w:val="-25"/>
        </w:rPr>
        <w:t> </w:t>
      </w:r>
      <w:r>
        <w:rPr/>
        <w:t>also</w:t>
      </w:r>
      <w:r>
        <w:rPr>
          <w:spacing w:val="-25"/>
        </w:rPr>
        <w:t> </w:t>
      </w:r>
      <w:r>
        <w:rPr/>
        <w:t>offered</w:t>
      </w:r>
      <w:r>
        <w:rPr>
          <w:spacing w:val="-25"/>
        </w:rPr>
        <w:t> </w:t>
      </w:r>
      <w:r>
        <w:rPr/>
        <w:t>school students</w:t>
      </w:r>
      <w:r>
        <w:rPr>
          <w:spacing w:val="-26"/>
        </w:rPr>
        <w:t> </w:t>
      </w:r>
      <w:r>
        <w:rPr/>
        <w:t>various</w:t>
      </w:r>
      <w:r>
        <w:rPr>
          <w:spacing w:val="-26"/>
        </w:rPr>
        <w:t> </w:t>
      </w:r>
      <w:r>
        <w:rPr/>
        <w:t>other</w:t>
      </w:r>
      <w:r>
        <w:rPr>
          <w:spacing w:val="-26"/>
        </w:rPr>
        <w:t> </w:t>
      </w:r>
      <w:r>
        <w:rPr/>
        <w:t>programs</w:t>
      </w:r>
      <w:r>
        <w:rPr>
          <w:spacing w:val="-26"/>
        </w:rPr>
        <w:t> </w:t>
      </w:r>
      <w:r>
        <w:rPr/>
        <w:t>and</w:t>
      </w:r>
      <w:r>
        <w:rPr>
          <w:spacing w:val="-26"/>
        </w:rPr>
        <w:t> </w:t>
      </w:r>
      <w:r>
        <w:rPr/>
        <w:t>events</w:t>
      </w:r>
      <w:r>
        <w:rPr>
          <w:spacing w:val="-26"/>
        </w:rPr>
        <w:t> </w:t>
      </w:r>
      <w:r>
        <w:rPr/>
        <w:t>to help</w:t>
      </w:r>
      <w:r>
        <w:rPr>
          <w:spacing w:val="-28"/>
        </w:rPr>
        <w:t> </w:t>
      </w:r>
      <w:r>
        <w:rPr/>
        <w:t>them</w:t>
      </w:r>
      <w:r>
        <w:rPr>
          <w:spacing w:val="-28"/>
        </w:rPr>
        <w:t> </w:t>
      </w:r>
      <w:r>
        <w:rPr/>
        <w:t>develop</w:t>
      </w:r>
      <w:r>
        <w:rPr>
          <w:spacing w:val="-28"/>
        </w:rPr>
        <w:t> </w:t>
      </w:r>
      <w:r>
        <w:rPr/>
        <w:t>an</w:t>
      </w:r>
      <w:r>
        <w:rPr>
          <w:spacing w:val="-28"/>
        </w:rPr>
        <w:t> </w:t>
      </w:r>
      <w:r>
        <w:rPr/>
        <w:t>entrepreneurial</w:t>
      </w:r>
      <w:r>
        <w:rPr>
          <w:spacing w:val="-28"/>
        </w:rPr>
        <w:t> </w:t>
      </w:r>
      <w:r>
        <w:rPr/>
        <w:t>appetite for solving global challenges, including the Solar Go Kart Program, the Robotics Club, Student Scientific Computation Day and the Meteor</w:t>
      </w:r>
      <w:r>
        <w:rPr>
          <w:spacing w:val="-37"/>
        </w:rPr>
        <w:t> </w:t>
      </w:r>
      <w:r>
        <w:rPr/>
        <w:t>Global</w:t>
      </w:r>
      <w:r>
        <w:rPr>
          <w:spacing w:val="-37"/>
        </w:rPr>
        <w:t> </w:t>
      </w:r>
      <w:r>
        <w:rPr/>
        <w:t>24hr</w:t>
      </w:r>
      <w:r>
        <w:rPr>
          <w:spacing w:val="-37"/>
        </w:rPr>
        <w:t> </w:t>
      </w:r>
      <w:r>
        <w:rPr/>
        <w:t>Hackathon.</w:t>
      </w:r>
    </w:p>
    <w:p>
      <w:pPr>
        <w:spacing w:after="0" w:line="249" w:lineRule="auto"/>
        <w:sectPr>
          <w:type w:val="continuous"/>
          <w:pgSz w:w="11910" w:h="16840"/>
          <w:pgMar w:top="1580" w:bottom="280" w:left="800" w:right="800"/>
          <w:cols w:num="3" w:equalWidth="0">
            <w:col w:w="3320" w:space="119"/>
            <w:col w:w="3319" w:space="120"/>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7" w:lineRule="auto"/>
        <w:ind w:left="107" w:right="261"/>
      </w:pPr>
      <w:r>
        <w:rPr>
          <w:w w:val="97"/>
        </w:rPr>
        <w:t>Since </w:t>
      </w:r>
      <w:r>
        <w:rPr>
          <w:spacing w:val="1"/>
          <w:w w:val="84"/>
        </w:rPr>
        <w:t>2013,</w:t>
      </w:r>
      <w:r>
        <w:rPr>
          <w:w w:val="84"/>
        </w:rPr>
        <w:t> </w:t>
      </w:r>
      <w:r>
        <w:rPr>
          <w:w w:val="98"/>
        </w:rPr>
        <w:t>Western </w:t>
      </w:r>
      <w:r>
        <w:rPr>
          <w:spacing w:val="-1"/>
          <w:w w:val="99"/>
        </w:rPr>
        <w:t>Sydney</w:t>
      </w:r>
      <w:r>
        <w:rPr>
          <w:w w:val="99"/>
        </w:rPr>
        <w:t> </w:t>
      </w:r>
      <w:r>
        <w:rPr>
          <w:w w:val="95"/>
        </w:rPr>
        <w:t>University, </w:t>
      </w:r>
      <w:r>
        <w:rPr/>
        <w:t>through</w:t>
      </w:r>
      <w:r>
        <w:rPr>
          <w:spacing w:val="-17"/>
        </w:rPr>
        <w:t> </w:t>
      </w:r>
      <w:r>
        <w:rPr>
          <w:spacing w:val="2"/>
        </w:rPr>
        <w:t>SCEM,</w:t>
      </w:r>
      <w:r>
        <w:rPr>
          <w:spacing w:val="-17"/>
        </w:rPr>
        <w:t> </w:t>
      </w:r>
      <w:r>
        <w:rPr/>
        <w:t>has</w:t>
      </w:r>
      <w:r>
        <w:rPr>
          <w:spacing w:val="-17"/>
        </w:rPr>
        <w:t> </w:t>
      </w:r>
      <w:r>
        <w:rPr/>
        <w:t>been</w:t>
      </w:r>
      <w:r>
        <w:rPr>
          <w:spacing w:val="-17"/>
        </w:rPr>
        <w:t> </w:t>
      </w:r>
      <w:r>
        <w:rPr/>
        <w:t>a</w:t>
      </w:r>
      <w:r>
        <w:rPr>
          <w:spacing w:val="-17"/>
        </w:rPr>
        <w:t> </w:t>
      </w:r>
      <w:r>
        <w:rPr/>
        <w:t>member</w:t>
      </w:r>
      <w:r>
        <w:rPr>
          <w:spacing w:val="-17"/>
        </w:rPr>
        <w:t> </w:t>
      </w:r>
      <w:r>
        <w:rPr/>
        <w:t>of</w:t>
      </w:r>
      <w:r>
        <w:rPr>
          <w:spacing w:val="-17"/>
        </w:rPr>
        <w:t> </w:t>
      </w:r>
      <w:r>
        <w:rPr/>
        <w:t>the national </w:t>
      </w:r>
      <w:r>
        <w:rPr>
          <w:rFonts w:ascii="Century Gothic" w:hAnsi="Century Gothic"/>
          <w:i/>
        </w:rPr>
        <w:t>Digital Careers </w:t>
      </w:r>
      <w:r>
        <w:rPr/>
        <w:t>program, which aims</w:t>
      </w:r>
      <w:r>
        <w:rPr>
          <w:spacing w:val="-17"/>
        </w:rPr>
        <w:t> </w:t>
      </w:r>
      <w:r>
        <w:rPr/>
        <w:t>to</w:t>
      </w:r>
      <w:r>
        <w:rPr>
          <w:spacing w:val="-17"/>
        </w:rPr>
        <w:t> </w:t>
      </w:r>
      <w:r>
        <w:rPr/>
        <w:t>increase</w:t>
      </w:r>
      <w:r>
        <w:rPr>
          <w:spacing w:val="-17"/>
        </w:rPr>
        <w:t> </w:t>
      </w:r>
      <w:r>
        <w:rPr/>
        <w:t>the</w:t>
      </w:r>
      <w:r>
        <w:rPr>
          <w:spacing w:val="-17"/>
        </w:rPr>
        <w:t> </w:t>
      </w:r>
      <w:r>
        <w:rPr/>
        <w:t>number</w:t>
      </w:r>
      <w:r>
        <w:rPr>
          <w:spacing w:val="-17"/>
        </w:rPr>
        <w:t> </w:t>
      </w:r>
      <w:r>
        <w:rPr/>
        <w:t>of</w:t>
      </w:r>
      <w:r>
        <w:rPr>
          <w:spacing w:val="-17"/>
        </w:rPr>
        <w:t> </w:t>
      </w:r>
      <w:r>
        <w:rPr/>
        <w:t>Australia’s creative, imaginative and entrepreneurial </w:t>
      </w:r>
      <w:r>
        <w:rPr>
          <w:spacing w:val="2"/>
        </w:rPr>
        <w:t>ICT</w:t>
      </w:r>
      <w:r>
        <w:rPr>
          <w:spacing w:val="-22"/>
        </w:rPr>
        <w:t> </w:t>
      </w:r>
      <w:r>
        <w:rPr/>
        <w:t>students.</w:t>
      </w:r>
      <w:r>
        <w:rPr>
          <w:spacing w:val="-22"/>
        </w:rPr>
        <w:t> </w:t>
      </w:r>
      <w:r>
        <w:rPr/>
        <w:t>These</w:t>
      </w:r>
      <w:r>
        <w:rPr>
          <w:spacing w:val="-22"/>
        </w:rPr>
        <w:t> </w:t>
      </w:r>
      <w:r>
        <w:rPr/>
        <w:t>students</w:t>
      </w:r>
      <w:r>
        <w:rPr>
          <w:spacing w:val="-22"/>
        </w:rPr>
        <w:t> </w:t>
      </w:r>
      <w:r>
        <w:rPr/>
        <w:t>are</w:t>
      </w:r>
      <w:r>
        <w:rPr>
          <w:spacing w:val="-22"/>
        </w:rPr>
        <w:t> </w:t>
      </w:r>
      <w:r>
        <w:rPr/>
        <w:t>expected to be the key drivers across many areas, ranging from health to agriculture, in the digitally</w:t>
      </w:r>
      <w:r>
        <w:rPr>
          <w:spacing w:val="-18"/>
        </w:rPr>
        <w:t> </w:t>
      </w:r>
      <w:r>
        <w:rPr/>
        <w:t>enabled</w:t>
      </w:r>
      <w:r>
        <w:rPr>
          <w:spacing w:val="-18"/>
        </w:rPr>
        <w:t> </w:t>
      </w:r>
      <w:r>
        <w:rPr/>
        <w:t>knowledge</w:t>
      </w:r>
      <w:r>
        <w:rPr>
          <w:spacing w:val="-18"/>
        </w:rPr>
        <w:t> </w:t>
      </w:r>
      <w:r>
        <w:rPr/>
        <w:t>economy.</w:t>
      </w:r>
      <w:r>
        <w:rPr>
          <w:spacing w:val="-18"/>
        </w:rPr>
        <w:t> </w:t>
      </w:r>
      <w:r>
        <w:rPr/>
        <w:t>The</w:t>
      </w:r>
    </w:p>
    <w:p>
      <w:pPr>
        <w:pStyle w:val="BodyText"/>
        <w:spacing w:line="249" w:lineRule="auto" w:before="1"/>
        <w:ind w:left="107" w:right="-14"/>
      </w:pPr>
      <w:r>
        <w:rPr/>
        <w:t>program focuses on primary and high school students, parents, teachers and school-based career advisors. The program is supported</w:t>
      </w:r>
    </w:p>
    <w:p>
      <w:pPr>
        <w:pStyle w:val="BodyText"/>
        <w:spacing w:line="249" w:lineRule="auto"/>
        <w:ind w:left="107" w:right="196"/>
      </w:pPr>
      <w:r>
        <w:rPr/>
        <w:t>by the Australian Government, as well as state government, industry, university and</w:t>
      </w:r>
    </w:p>
    <w:p>
      <w:pPr>
        <w:pStyle w:val="BodyText"/>
        <w:spacing w:line="249" w:lineRule="auto"/>
        <w:ind w:left="107" w:right="-2"/>
      </w:pPr>
      <w:r>
        <w:rPr/>
        <w:t>professional</w:t>
      </w:r>
      <w:r>
        <w:rPr>
          <w:spacing w:val="-18"/>
        </w:rPr>
        <w:t> </w:t>
      </w:r>
      <w:r>
        <w:rPr/>
        <w:t>association</w:t>
      </w:r>
      <w:r>
        <w:rPr>
          <w:spacing w:val="-18"/>
        </w:rPr>
        <w:t> </w:t>
      </w:r>
      <w:r>
        <w:rPr/>
        <w:t>partners</w:t>
      </w:r>
      <w:r>
        <w:rPr>
          <w:spacing w:val="-18"/>
        </w:rPr>
        <w:t> </w:t>
      </w:r>
      <w:r>
        <w:rPr/>
        <w:t>in</w:t>
      </w:r>
      <w:r>
        <w:rPr>
          <w:spacing w:val="-18"/>
        </w:rPr>
        <w:t> </w:t>
      </w:r>
      <w:r>
        <w:rPr/>
        <w:t>each</w:t>
      </w:r>
      <w:r>
        <w:rPr>
          <w:spacing w:val="-18"/>
        </w:rPr>
        <w:t> </w:t>
      </w:r>
      <w:r>
        <w:rPr/>
        <w:t>state </w:t>
      </w:r>
      <w:r>
        <w:rPr>
          <w:spacing w:val="1"/>
          <w:w w:val="97"/>
        </w:rPr>
        <w:t>and</w:t>
      </w:r>
      <w:r>
        <w:rPr>
          <w:w w:val="97"/>
        </w:rPr>
        <w:t> </w:t>
      </w:r>
      <w:r>
        <w:rPr>
          <w:w w:val="95"/>
        </w:rPr>
        <w:t>territory. </w:t>
      </w:r>
      <w:r>
        <w:rPr>
          <w:spacing w:val="1"/>
          <w:w w:val="80"/>
        </w:rPr>
        <w:t>In</w:t>
      </w:r>
      <w:r>
        <w:rPr>
          <w:w w:val="80"/>
        </w:rPr>
        <w:t> </w:t>
      </w:r>
      <w:r>
        <w:rPr>
          <w:spacing w:val="1"/>
          <w:w w:val="84"/>
        </w:rPr>
        <w:t>2015,</w:t>
      </w:r>
      <w:r>
        <w:rPr>
          <w:w w:val="84"/>
        </w:rPr>
        <w:t> </w:t>
      </w:r>
      <w:r>
        <w:rPr>
          <w:w w:val="97"/>
        </w:rPr>
        <w:t>the </w:t>
      </w:r>
      <w:r>
        <w:rPr>
          <w:spacing w:val="1"/>
          <w:w w:val="98"/>
        </w:rPr>
        <w:t>School</w:t>
      </w:r>
      <w:r>
        <w:rPr>
          <w:w w:val="98"/>
        </w:rPr>
        <w:t> </w:t>
      </w:r>
      <w:r>
        <w:rPr>
          <w:spacing w:val="1"/>
          <w:w w:val="97"/>
        </w:rPr>
        <w:t>helped</w:t>
      </w:r>
      <w:r>
        <w:rPr>
          <w:w w:val="97"/>
        </w:rPr>
        <w:t> </w:t>
      </w:r>
      <w:r>
        <w:rPr>
          <w:spacing w:val="1"/>
          <w:w w:val="94"/>
        </w:rPr>
        <w:t>judge</w:t>
      </w:r>
      <w:r>
        <w:rPr>
          <w:w w:val="94"/>
        </w:rPr>
        <w:t> </w:t>
      </w:r>
      <w:r>
        <w:rPr/>
        <w:t>the Young </w:t>
      </w:r>
      <w:r>
        <w:rPr>
          <w:spacing w:val="2"/>
        </w:rPr>
        <w:t>ICT </w:t>
      </w:r>
      <w:r>
        <w:rPr/>
        <w:t>Explorers competition – both at</w:t>
      </w:r>
      <w:r>
        <w:rPr>
          <w:spacing w:val="-17"/>
        </w:rPr>
        <w:t> </w:t>
      </w:r>
      <w:r>
        <w:rPr/>
        <w:t>the</w:t>
      </w:r>
      <w:r>
        <w:rPr>
          <w:spacing w:val="-17"/>
        </w:rPr>
        <w:t> </w:t>
      </w:r>
      <w:r>
        <w:rPr/>
        <w:t>NSW</w:t>
      </w:r>
      <w:r>
        <w:rPr>
          <w:spacing w:val="-17"/>
        </w:rPr>
        <w:t> </w:t>
      </w:r>
      <w:r>
        <w:rPr/>
        <w:t>and</w:t>
      </w:r>
      <w:r>
        <w:rPr>
          <w:spacing w:val="-17"/>
        </w:rPr>
        <w:t> </w:t>
      </w:r>
      <w:r>
        <w:rPr/>
        <w:t>national</w:t>
      </w:r>
      <w:r>
        <w:rPr>
          <w:spacing w:val="-17"/>
        </w:rPr>
        <w:t> </w:t>
      </w:r>
      <w:r>
        <w:rPr/>
        <w:t>finals.</w:t>
      </w:r>
      <w:r>
        <w:rPr>
          <w:spacing w:val="-17"/>
        </w:rPr>
        <w:t> </w:t>
      </w:r>
      <w:r>
        <w:rPr/>
        <w:t>The</w:t>
      </w:r>
      <w:r>
        <w:rPr>
          <w:spacing w:val="-17"/>
        </w:rPr>
        <w:t> </w:t>
      </w:r>
      <w:r>
        <w:rPr/>
        <w:t>School</w:t>
      </w:r>
    </w:p>
    <w:p>
      <w:pPr>
        <w:pStyle w:val="BodyText"/>
        <w:spacing w:line="249" w:lineRule="auto"/>
        <w:ind w:left="107" w:right="147"/>
      </w:pPr>
      <w:r>
        <w:rPr>
          <w:w w:val="95"/>
        </w:rPr>
        <w:t>is </w:t>
      </w:r>
      <w:r>
        <w:rPr>
          <w:w w:val="97"/>
        </w:rPr>
        <w:t>planning </w:t>
      </w:r>
      <w:r>
        <w:rPr>
          <w:w w:val="101"/>
        </w:rPr>
        <w:t>to </w:t>
      </w:r>
      <w:r>
        <w:rPr>
          <w:w w:val="98"/>
        </w:rPr>
        <w:t>bring </w:t>
      </w:r>
      <w:r>
        <w:rPr>
          <w:w w:val="97"/>
        </w:rPr>
        <w:t>the </w:t>
      </w:r>
      <w:r>
        <w:rPr>
          <w:w w:val="98"/>
        </w:rPr>
        <w:t>competition’s </w:t>
      </w:r>
      <w:r>
        <w:rPr>
          <w:w w:val="90"/>
        </w:rPr>
        <w:t>2016 </w:t>
      </w:r>
      <w:r>
        <w:rPr/>
        <w:t>NSW finals to the Parramatta campus, with increased participation by students from Great Western Sydney schools.</w:t>
      </w:r>
    </w:p>
    <w:p>
      <w:pPr>
        <w:pStyle w:val="BodyText"/>
        <w:rPr>
          <w:sz w:val="14"/>
        </w:rPr>
      </w:pPr>
    </w:p>
    <w:p>
      <w:pPr>
        <w:pStyle w:val="BodyText"/>
        <w:spacing w:line="249" w:lineRule="auto"/>
        <w:ind w:left="107" w:right="290"/>
      </w:pPr>
      <w:r>
        <w:rPr>
          <w:w w:val="80"/>
        </w:rPr>
        <w:t>In </w:t>
      </w:r>
      <w:r>
        <w:rPr>
          <w:w w:val="84"/>
        </w:rPr>
        <w:t>2015, </w:t>
      </w:r>
      <w:r>
        <w:rPr>
          <w:w w:val="97"/>
        </w:rPr>
        <w:t>the </w:t>
      </w:r>
      <w:r>
        <w:rPr>
          <w:w w:val="98"/>
        </w:rPr>
        <w:t>School </w:t>
      </w:r>
      <w:r>
        <w:rPr>
          <w:w w:val="98"/>
        </w:rPr>
        <w:t>continued </w:t>
      </w:r>
      <w:r>
        <w:rPr>
          <w:w w:val="97"/>
        </w:rPr>
        <w:t>its </w:t>
      </w:r>
      <w:r>
        <w:rPr>
          <w:w w:val="99"/>
        </w:rPr>
        <w:t>support </w:t>
      </w:r>
      <w:r>
        <w:rPr/>
        <w:t>of the Western Sydney University Penrith</w:t>
      </w:r>
    </w:p>
    <w:p>
      <w:pPr>
        <w:pStyle w:val="BodyText"/>
        <w:spacing w:line="249" w:lineRule="auto"/>
        <w:ind w:left="107" w:right="95"/>
      </w:pPr>
      <w:r>
        <w:rPr/>
        <w:t>Observatory team’s integrated engagement and research program. The team ran an extensive program of astronomy nights</w:t>
      </w:r>
    </w:p>
    <w:p>
      <w:pPr>
        <w:pStyle w:val="BodyText"/>
        <w:spacing w:line="249" w:lineRule="auto"/>
        <w:ind w:left="107" w:right="43"/>
      </w:pPr>
      <w:r>
        <w:rPr/>
        <w:t>and workshops for primary and high school students and the broader community, designed to enhance and extend research- led teaching and learning in STEM subjects via astronomy and space science. The team also delivers teacher workshops and other specialised group programs. The team includes dedicated academics, professionals and HDR students.</w:t>
      </w:r>
    </w:p>
    <w:p>
      <w:pPr>
        <w:pStyle w:val="BodyText"/>
        <w:rPr>
          <w:sz w:val="14"/>
        </w:rPr>
      </w:pPr>
    </w:p>
    <w:p>
      <w:pPr>
        <w:pStyle w:val="BodyText"/>
        <w:spacing w:line="249" w:lineRule="auto"/>
        <w:ind w:left="107" w:right="410"/>
      </w:pPr>
      <w:r>
        <w:rPr>
          <w:w w:val="80"/>
        </w:rPr>
        <w:t>In </w:t>
      </w:r>
      <w:r>
        <w:rPr>
          <w:w w:val="84"/>
        </w:rPr>
        <w:t>2015, </w:t>
      </w:r>
      <w:r>
        <w:rPr>
          <w:w w:val="97"/>
        </w:rPr>
        <w:t>the </w:t>
      </w:r>
      <w:r>
        <w:rPr>
          <w:w w:val="98"/>
        </w:rPr>
        <w:t>School </w:t>
      </w:r>
      <w:r>
        <w:rPr>
          <w:w w:val="97"/>
        </w:rPr>
        <w:t>further </w:t>
      </w:r>
      <w:r>
        <w:rPr>
          <w:w w:val="99"/>
        </w:rPr>
        <w:t>developed </w:t>
      </w:r>
      <w:r>
        <w:rPr/>
        <w:t>the MakerSpace area on the Kingswood</w:t>
      </w:r>
    </w:p>
    <w:p>
      <w:pPr>
        <w:pStyle w:val="BodyText"/>
        <w:spacing w:line="249" w:lineRule="auto"/>
        <w:ind w:left="107" w:right="-6"/>
      </w:pPr>
      <w:r>
        <w:rPr>
          <w:spacing w:val="2"/>
        </w:rPr>
        <w:t>campus, </w:t>
      </w:r>
      <w:r>
        <w:rPr/>
        <w:t>which attracts considerable interest through regular tours by school groups and international visitors. It is now open to the local community one afternoon a week. The concept</w:t>
      </w:r>
      <w:r>
        <w:rPr>
          <w:spacing w:val="-13"/>
        </w:rPr>
        <w:t> </w:t>
      </w:r>
      <w:r>
        <w:rPr/>
        <w:t>has</w:t>
      </w:r>
      <w:r>
        <w:rPr>
          <w:spacing w:val="-13"/>
        </w:rPr>
        <w:t> </w:t>
      </w:r>
      <w:r>
        <w:rPr/>
        <w:t>been</w:t>
      </w:r>
      <w:r>
        <w:rPr>
          <w:spacing w:val="-13"/>
        </w:rPr>
        <w:t> </w:t>
      </w:r>
      <w:r>
        <w:rPr/>
        <w:t>expanded</w:t>
      </w:r>
      <w:r>
        <w:rPr>
          <w:spacing w:val="-13"/>
        </w:rPr>
        <w:t> </w:t>
      </w:r>
      <w:r>
        <w:rPr/>
        <w:t>to</w:t>
      </w:r>
      <w:r>
        <w:rPr>
          <w:spacing w:val="-13"/>
        </w:rPr>
        <w:t> </w:t>
      </w:r>
      <w:r>
        <w:rPr/>
        <w:t>the</w:t>
      </w:r>
      <w:r>
        <w:rPr>
          <w:spacing w:val="-13"/>
        </w:rPr>
        <w:t> </w:t>
      </w:r>
      <w:r>
        <w:rPr/>
        <w:t>Parramatta </w:t>
      </w:r>
      <w:r>
        <w:rPr>
          <w:spacing w:val="2"/>
        </w:rPr>
        <w:t>campus. </w:t>
      </w:r>
      <w:r>
        <w:rPr/>
        <w:t>The School showed agility in setting up</w:t>
      </w:r>
      <w:r>
        <w:rPr>
          <w:spacing w:val="-17"/>
        </w:rPr>
        <w:t> </w:t>
      </w:r>
      <w:r>
        <w:rPr/>
        <w:t>and</w:t>
      </w:r>
      <w:r>
        <w:rPr>
          <w:spacing w:val="-17"/>
        </w:rPr>
        <w:t> </w:t>
      </w:r>
      <w:r>
        <w:rPr/>
        <w:t>running,</w:t>
      </w:r>
      <w:r>
        <w:rPr>
          <w:spacing w:val="-17"/>
        </w:rPr>
        <w:t> </w:t>
      </w:r>
      <w:r>
        <w:rPr/>
        <w:t>on</w:t>
      </w:r>
      <w:r>
        <w:rPr>
          <w:spacing w:val="-17"/>
        </w:rPr>
        <w:t> </w:t>
      </w:r>
      <w:r>
        <w:rPr/>
        <w:t>very</w:t>
      </w:r>
      <w:r>
        <w:rPr>
          <w:spacing w:val="-17"/>
        </w:rPr>
        <w:t> </w:t>
      </w:r>
      <w:r>
        <w:rPr/>
        <w:t>short</w:t>
      </w:r>
      <w:r>
        <w:rPr>
          <w:spacing w:val="-17"/>
        </w:rPr>
        <w:t> </w:t>
      </w:r>
      <w:r>
        <w:rPr/>
        <w:t>notice,</w:t>
      </w:r>
      <w:r>
        <w:rPr>
          <w:spacing w:val="-17"/>
        </w:rPr>
        <w:t> </w:t>
      </w:r>
      <w:r>
        <w:rPr/>
        <w:t>an</w:t>
      </w:r>
      <w:r>
        <w:rPr>
          <w:spacing w:val="-17"/>
        </w:rPr>
        <w:t> </w:t>
      </w:r>
      <w:r>
        <w:rPr/>
        <w:t>area </w:t>
      </w:r>
      <w:r>
        <w:rPr>
          <w:spacing w:val="1"/>
          <w:w w:val="98"/>
        </w:rPr>
        <w:t>demonstrating</w:t>
      </w:r>
      <w:r>
        <w:rPr>
          <w:w w:val="98"/>
        </w:rPr>
        <w:t> </w:t>
      </w:r>
      <w:r>
        <w:rPr>
          <w:spacing w:val="1"/>
          <w:w w:val="97"/>
        </w:rPr>
        <w:t>its</w:t>
      </w:r>
      <w:r>
        <w:rPr>
          <w:w w:val="97"/>
        </w:rPr>
        <w:t> </w:t>
      </w:r>
      <w:r>
        <w:rPr>
          <w:spacing w:val="1"/>
          <w:w w:val="97"/>
        </w:rPr>
        <w:t>achievements</w:t>
      </w:r>
      <w:r>
        <w:rPr>
          <w:w w:val="97"/>
        </w:rPr>
        <w:t> </w:t>
      </w:r>
      <w:r>
        <w:rPr>
          <w:w w:val="98"/>
        </w:rPr>
        <w:t>at </w:t>
      </w:r>
      <w:r>
        <w:rPr>
          <w:w w:val="97"/>
        </w:rPr>
        <w:t>the </w:t>
      </w:r>
      <w:r>
        <w:rPr>
          <w:spacing w:val="1"/>
          <w:w w:val="88"/>
        </w:rPr>
        <w:t>2015</w:t>
      </w:r>
      <w:r>
        <w:rPr>
          <w:w w:val="88"/>
        </w:rPr>
        <w:t> </w:t>
      </w:r>
      <w:r>
        <w:rPr/>
        <w:t>Sydney</w:t>
      </w:r>
      <w:r>
        <w:rPr>
          <w:spacing w:val="-25"/>
        </w:rPr>
        <w:t> </w:t>
      </w:r>
      <w:r>
        <w:rPr/>
        <w:t>Royal</w:t>
      </w:r>
      <w:r>
        <w:rPr>
          <w:spacing w:val="-25"/>
        </w:rPr>
        <w:t> </w:t>
      </w:r>
      <w:r>
        <w:rPr/>
        <w:t>Easter</w:t>
      </w:r>
      <w:r>
        <w:rPr>
          <w:spacing w:val="-25"/>
        </w:rPr>
        <w:t> </w:t>
      </w:r>
      <w:r>
        <w:rPr/>
        <w:t>Show.</w:t>
      </w:r>
    </w:p>
    <w:p>
      <w:pPr>
        <w:pStyle w:val="BodyText"/>
        <w:spacing w:before="8"/>
        <w:rPr>
          <w:sz w:val="19"/>
        </w:rPr>
      </w:pPr>
      <w:r>
        <w:rPr/>
        <w:br w:type="column"/>
      </w:r>
      <w:r>
        <w:rPr>
          <w:sz w:val="19"/>
        </w:rPr>
      </w:r>
    </w:p>
    <w:p>
      <w:pPr>
        <w:pStyle w:val="Heading5"/>
        <w:ind w:left="114" w:right="21"/>
      </w:pPr>
      <w:bookmarkStart w:name="_TOC_250014" w:id="11"/>
      <w:bookmarkEnd w:id="11"/>
      <w:r>
        <w:rPr>
          <w:w w:val="95"/>
        </w:rPr>
        <w:t>SCHOOL OF EDUCATION</w:t>
      </w:r>
    </w:p>
    <w:p>
      <w:pPr>
        <w:pStyle w:val="BodyText"/>
        <w:spacing w:line="249" w:lineRule="auto" w:before="209"/>
        <w:ind w:left="107" w:right="-12"/>
      </w:pPr>
      <w:r>
        <w:rPr/>
        <w:t>The School of Education is committed to a contemporary, interdisciplinary, creative, innovative</w:t>
      </w:r>
      <w:r>
        <w:rPr>
          <w:spacing w:val="-14"/>
        </w:rPr>
        <w:t> </w:t>
      </w:r>
      <w:r>
        <w:rPr/>
        <w:t>and</w:t>
      </w:r>
      <w:r>
        <w:rPr>
          <w:spacing w:val="-14"/>
        </w:rPr>
        <w:t> </w:t>
      </w:r>
      <w:r>
        <w:rPr/>
        <w:t>community-oriented</w:t>
      </w:r>
      <w:r>
        <w:rPr>
          <w:spacing w:val="-14"/>
        </w:rPr>
        <w:t> </w:t>
      </w:r>
      <w:r>
        <w:rPr/>
        <w:t>academic focus. The School’s teaching and research programs</w:t>
      </w:r>
      <w:r>
        <w:rPr>
          <w:spacing w:val="-19"/>
        </w:rPr>
        <w:t> </w:t>
      </w:r>
      <w:r>
        <w:rPr/>
        <w:t>aim</w:t>
      </w:r>
      <w:r>
        <w:rPr>
          <w:spacing w:val="-19"/>
        </w:rPr>
        <w:t> </w:t>
      </w:r>
      <w:r>
        <w:rPr/>
        <w:t>to</w:t>
      </w:r>
      <w:r>
        <w:rPr>
          <w:spacing w:val="-19"/>
        </w:rPr>
        <w:t> </w:t>
      </w:r>
      <w:r>
        <w:rPr/>
        <w:t>ensure</w:t>
      </w:r>
      <w:r>
        <w:rPr>
          <w:spacing w:val="-19"/>
        </w:rPr>
        <w:t> </w:t>
      </w:r>
      <w:r>
        <w:rPr/>
        <w:t>that</w:t>
      </w:r>
      <w:r>
        <w:rPr>
          <w:spacing w:val="-19"/>
        </w:rPr>
        <w:t> </w:t>
      </w:r>
      <w:r>
        <w:rPr/>
        <w:t>graduates</w:t>
      </w:r>
    </w:p>
    <w:p>
      <w:pPr>
        <w:pStyle w:val="BodyText"/>
        <w:spacing w:line="249" w:lineRule="auto"/>
        <w:ind w:left="107" w:right="223"/>
      </w:pPr>
      <w:r>
        <w:rPr/>
        <w:t>are highly skilled educators who grow to be effective and sought-after professional</w:t>
      </w:r>
    </w:p>
    <w:p>
      <w:pPr>
        <w:pStyle w:val="BodyText"/>
        <w:spacing w:line="249" w:lineRule="auto"/>
        <w:ind w:left="107" w:right="91"/>
      </w:pPr>
      <w:r>
        <w:rPr/>
        <w:t>leaders</w:t>
      </w:r>
      <w:r>
        <w:rPr>
          <w:spacing w:val="-13"/>
        </w:rPr>
        <w:t> </w:t>
      </w:r>
      <w:r>
        <w:rPr/>
        <w:t>with</w:t>
      </w:r>
      <w:r>
        <w:rPr>
          <w:spacing w:val="-13"/>
        </w:rPr>
        <w:t> </w:t>
      </w:r>
      <w:r>
        <w:rPr/>
        <w:t>the</w:t>
      </w:r>
      <w:r>
        <w:rPr>
          <w:spacing w:val="-13"/>
        </w:rPr>
        <w:t> </w:t>
      </w:r>
      <w:r>
        <w:rPr/>
        <w:t>capacity</w:t>
      </w:r>
      <w:r>
        <w:rPr>
          <w:spacing w:val="-13"/>
        </w:rPr>
        <w:t> </w:t>
      </w:r>
      <w:r>
        <w:rPr/>
        <w:t>to</w:t>
      </w:r>
      <w:r>
        <w:rPr>
          <w:spacing w:val="-13"/>
        </w:rPr>
        <w:t> </w:t>
      </w:r>
      <w:r>
        <w:rPr/>
        <w:t>lead</w:t>
      </w:r>
      <w:r>
        <w:rPr>
          <w:spacing w:val="-13"/>
        </w:rPr>
        <w:t> </w:t>
      </w:r>
      <w:r>
        <w:rPr/>
        <w:t>change</w:t>
      </w:r>
      <w:r>
        <w:rPr>
          <w:spacing w:val="-13"/>
        </w:rPr>
        <w:t> </w:t>
      </w:r>
      <w:r>
        <w:rPr/>
        <w:t>and support the best outcomes for communities and</w:t>
      </w:r>
      <w:r>
        <w:rPr>
          <w:spacing w:val="-17"/>
        </w:rPr>
        <w:t> </w:t>
      </w:r>
      <w:r>
        <w:rPr/>
        <w:t>the</w:t>
      </w:r>
      <w:r>
        <w:rPr>
          <w:spacing w:val="-17"/>
        </w:rPr>
        <w:t> </w:t>
      </w:r>
      <w:r>
        <w:rPr/>
        <w:t>students</w:t>
      </w:r>
      <w:r>
        <w:rPr>
          <w:spacing w:val="-17"/>
        </w:rPr>
        <w:t> </w:t>
      </w:r>
      <w:r>
        <w:rPr/>
        <w:t>they</w:t>
      </w:r>
      <w:r>
        <w:rPr>
          <w:spacing w:val="-17"/>
        </w:rPr>
        <w:t> </w:t>
      </w:r>
      <w:r>
        <w:rPr/>
        <w:t>teach.</w:t>
      </w:r>
      <w:r>
        <w:rPr>
          <w:spacing w:val="-17"/>
        </w:rPr>
        <w:t> </w:t>
      </w:r>
      <w:r>
        <w:rPr/>
        <w:t>A</w:t>
      </w:r>
      <w:r>
        <w:rPr>
          <w:spacing w:val="-17"/>
        </w:rPr>
        <w:t> </w:t>
      </w:r>
      <w:r>
        <w:rPr/>
        <w:t>key</w:t>
      </w:r>
      <w:r>
        <w:rPr>
          <w:spacing w:val="-17"/>
        </w:rPr>
        <w:t> </w:t>
      </w:r>
      <w:r>
        <w:rPr/>
        <w:t>measure of the School’s standing was Western Sydney University’s ranking in the </w:t>
      </w:r>
      <w:r>
        <w:rPr>
          <w:spacing w:val="-3"/>
        </w:rPr>
        <w:t>Top </w:t>
      </w:r>
      <w:r>
        <w:rPr>
          <w:spacing w:val="2"/>
        </w:rPr>
        <w:t>200 </w:t>
      </w:r>
      <w:r>
        <w:rPr/>
        <w:t>Universities for Education in the QS World </w:t>
      </w:r>
      <w:r>
        <w:rPr>
          <w:spacing w:val="1"/>
          <w:w w:val="97"/>
        </w:rPr>
        <w:t>University</w:t>
      </w:r>
      <w:r>
        <w:rPr>
          <w:w w:val="97"/>
        </w:rPr>
        <w:t> </w:t>
      </w:r>
      <w:r>
        <w:rPr>
          <w:spacing w:val="1"/>
          <w:w w:val="96"/>
        </w:rPr>
        <w:t>Rankings</w:t>
      </w:r>
      <w:r>
        <w:rPr>
          <w:w w:val="96"/>
        </w:rPr>
        <w:t> </w:t>
      </w:r>
      <w:r>
        <w:rPr>
          <w:spacing w:val="-1"/>
          <w:w w:val="102"/>
        </w:rPr>
        <w:t>by</w:t>
      </w:r>
      <w:r>
        <w:rPr>
          <w:w w:val="102"/>
        </w:rPr>
        <w:t> </w:t>
      </w:r>
      <w:r>
        <w:rPr>
          <w:spacing w:val="1"/>
          <w:w w:val="92"/>
        </w:rPr>
        <w:t>Subject,</w:t>
      </w:r>
      <w:r>
        <w:rPr>
          <w:spacing w:val="-11"/>
          <w:w w:val="92"/>
        </w:rPr>
        <w:t> </w:t>
      </w:r>
      <w:r>
        <w:rPr>
          <w:spacing w:val="1"/>
          <w:w w:val="84"/>
        </w:rPr>
        <w:t>2015.</w:t>
      </w:r>
    </w:p>
    <w:p>
      <w:pPr>
        <w:pStyle w:val="BodyText"/>
        <w:rPr>
          <w:sz w:val="14"/>
        </w:rPr>
      </w:pPr>
    </w:p>
    <w:p>
      <w:pPr>
        <w:pStyle w:val="BodyText"/>
        <w:spacing w:line="249" w:lineRule="auto"/>
        <w:ind w:left="107" w:right="467"/>
      </w:pPr>
      <w:r>
        <w:rPr/>
        <w:t>At</w:t>
      </w:r>
      <w:r>
        <w:rPr>
          <w:spacing w:val="-16"/>
        </w:rPr>
        <w:t> </w:t>
      </w:r>
      <w:r>
        <w:rPr/>
        <w:t>the</w:t>
      </w:r>
      <w:r>
        <w:rPr>
          <w:spacing w:val="-16"/>
        </w:rPr>
        <w:t> </w:t>
      </w:r>
      <w:r>
        <w:rPr/>
        <w:t>undergraduate</w:t>
      </w:r>
      <w:r>
        <w:rPr>
          <w:spacing w:val="-16"/>
        </w:rPr>
        <w:t> </w:t>
      </w:r>
      <w:r>
        <w:rPr/>
        <w:t>level,</w:t>
      </w:r>
      <w:r>
        <w:rPr>
          <w:spacing w:val="-16"/>
        </w:rPr>
        <w:t> </w:t>
      </w:r>
      <w:r>
        <w:rPr/>
        <w:t>the</w:t>
      </w:r>
      <w:r>
        <w:rPr>
          <w:spacing w:val="-16"/>
        </w:rPr>
        <w:t> </w:t>
      </w:r>
      <w:r>
        <w:rPr/>
        <w:t>School of</w:t>
      </w:r>
      <w:r>
        <w:rPr>
          <w:spacing w:val="-14"/>
        </w:rPr>
        <w:t> </w:t>
      </w:r>
      <w:r>
        <w:rPr/>
        <w:t>Education</w:t>
      </w:r>
      <w:r>
        <w:rPr>
          <w:spacing w:val="-14"/>
        </w:rPr>
        <w:t> </w:t>
      </w:r>
      <w:r>
        <w:rPr/>
        <w:t>offers</w:t>
      </w:r>
      <w:r>
        <w:rPr>
          <w:spacing w:val="-14"/>
        </w:rPr>
        <w:t> </w:t>
      </w:r>
      <w:r>
        <w:rPr/>
        <w:t>a</w:t>
      </w:r>
      <w:r>
        <w:rPr>
          <w:spacing w:val="-14"/>
        </w:rPr>
        <w:t> </w:t>
      </w:r>
      <w:r>
        <w:rPr/>
        <w:t>teaching</w:t>
      </w:r>
      <w:r>
        <w:rPr>
          <w:spacing w:val="-14"/>
        </w:rPr>
        <w:t> </w:t>
      </w:r>
      <w:r>
        <w:rPr/>
        <w:t>program for</w:t>
      </w:r>
      <w:r>
        <w:rPr>
          <w:spacing w:val="-21"/>
        </w:rPr>
        <w:t> </w:t>
      </w:r>
      <w:r>
        <w:rPr/>
        <w:t>Aboriginal</w:t>
      </w:r>
      <w:r>
        <w:rPr>
          <w:spacing w:val="-21"/>
        </w:rPr>
        <w:t> </w:t>
      </w:r>
      <w:r>
        <w:rPr/>
        <w:t>and</w:t>
      </w:r>
      <w:r>
        <w:rPr>
          <w:spacing w:val="-21"/>
        </w:rPr>
        <w:t> </w:t>
      </w:r>
      <w:r>
        <w:rPr/>
        <w:t>Torres</w:t>
      </w:r>
      <w:r>
        <w:rPr>
          <w:spacing w:val="-21"/>
        </w:rPr>
        <w:t> </w:t>
      </w:r>
      <w:r>
        <w:rPr/>
        <w:t>Strait</w:t>
      </w:r>
      <w:r>
        <w:rPr>
          <w:spacing w:val="-21"/>
        </w:rPr>
        <w:t> </w:t>
      </w:r>
      <w:r>
        <w:rPr/>
        <w:t>Islander</w:t>
      </w:r>
    </w:p>
    <w:p>
      <w:pPr>
        <w:pStyle w:val="BodyText"/>
        <w:spacing w:line="249" w:lineRule="auto"/>
        <w:ind w:left="107" w:right="26"/>
      </w:pPr>
      <w:r>
        <w:rPr/>
        <w:t>students</w:t>
      </w:r>
      <w:r>
        <w:rPr>
          <w:spacing w:val="-13"/>
        </w:rPr>
        <w:t> </w:t>
      </w:r>
      <w:r>
        <w:rPr/>
        <w:t>preparing</w:t>
      </w:r>
      <w:r>
        <w:rPr>
          <w:spacing w:val="-13"/>
        </w:rPr>
        <w:t> </w:t>
      </w:r>
      <w:r>
        <w:rPr/>
        <w:t>to</w:t>
      </w:r>
      <w:r>
        <w:rPr>
          <w:spacing w:val="-13"/>
        </w:rPr>
        <w:t> </w:t>
      </w:r>
      <w:r>
        <w:rPr/>
        <w:t>work</w:t>
      </w:r>
      <w:r>
        <w:rPr>
          <w:spacing w:val="-13"/>
        </w:rPr>
        <w:t> </w:t>
      </w:r>
      <w:r>
        <w:rPr/>
        <w:t>as</w:t>
      </w:r>
      <w:r>
        <w:rPr>
          <w:spacing w:val="-13"/>
        </w:rPr>
        <w:t> </w:t>
      </w:r>
      <w:r>
        <w:rPr/>
        <w:t>primary</w:t>
      </w:r>
      <w:r>
        <w:rPr>
          <w:spacing w:val="-13"/>
        </w:rPr>
        <w:t> </w:t>
      </w:r>
      <w:r>
        <w:rPr/>
        <w:t>school teachers. In collaboration with a number of other Schools, it offers a suite of ‘pathways into teaching’ programs that allow students to enter post graduate education studies through</w:t>
      </w:r>
      <w:r>
        <w:rPr>
          <w:spacing w:val="-19"/>
        </w:rPr>
        <w:t> </w:t>
      </w:r>
      <w:r>
        <w:rPr/>
        <w:t>an</w:t>
      </w:r>
      <w:r>
        <w:rPr>
          <w:spacing w:val="-19"/>
        </w:rPr>
        <w:t> </w:t>
      </w:r>
      <w:r>
        <w:rPr/>
        <w:t>undergraduate</w:t>
      </w:r>
      <w:r>
        <w:rPr>
          <w:spacing w:val="-19"/>
        </w:rPr>
        <w:t> </w:t>
      </w:r>
      <w:r>
        <w:rPr/>
        <w:t>major</w:t>
      </w:r>
      <w:r>
        <w:rPr>
          <w:spacing w:val="-19"/>
        </w:rPr>
        <w:t> </w:t>
      </w:r>
      <w:r>
        <w:rPr/>
        <w:t>in</w:t>
      </w:r>
      <w:r>
        <w:rPr>
          <w:spacing w:val="-19"/>
        </w:rPr>
        <w:t> </w:t>
      </w:r>
      <w:r>
        <w:rPr/>
        <w:t>education studies. The School’s Masters of Teaching programs</w:t>
      </w:r>
      <w:r>
        <w:rPr>
          <w:spacing w:val="-17"/>
        </w:rPr>
        <w:t> </w:t>
      </w:r>
      <w:r>
        <w:rPr/>
        <w:t>prepare</w:t>
      </w:r>
      <w:r>
        <w:rPr>
          <w:spacing w:val="-17"/>
        </w:rPr>
        <w:t> </w:t>
      </w:r>
      <w:r>
        <w:rPr/>
        <w:t>educators</w:t>
      </w:r>
      <w:r>
        <w:rPr>
          <w:spacing w:val="-17"/>
        </w:rPr>
        <w:t> </w:t>
      </w:r>
      <w:r>
        <w:rPr/>
        <w:t>and</w:t>
      </w:r>
      <w:r>
        <w:rPr>
          <w:spacing w:val="-17"/>
        </w:rPr>
        <w:t> </w:t>
      </w:r>
      <w:r>
        <w:rPr/>
        <w:t>teachers</w:t>
      </w:r>
    </w:p>
    <w:p>
      <w:pPr>
        <w:pStyle w:val="BodyText"/>
        <w:spacing w:line="249" w:lineRule="auto"/>
        <w:ind w:left="107" w:right="21"/>
      </w:pPr>
      <w:r>
        <w:rPr/>
        <w:t>for early childhood, primary and secondary education settings. The School also offers a number of postgraduate specialist programs in social ecology, educational leadership</w:t>
      </w:r>
    </w:p>
    <w:p>
      <w:pPr>
        <w:pStyle w:val="BodyText"/>
        <w:spacing w:line="249" w:lineRule="auto"/>
        <w:ind w:left="107" w:right="114"/>
      </w:pPr>
      <w:r>
        <w:rPr/>
        <w:t>and</w:t>
      </w:r>
      <w:r>
        <w:rPr>
          <w:spacing w:val="-20"/>
        </w:rPr>
        <w:t> </w:t>
      </w:r>
      <w:r>
        <w:rPr/>
        <w:t>inclusive</w:t>
      </w:r>
      <w:r>
        <w:rPr>
          <w:spacing w:val="-20"/>
        </w:rPr>
        <w:t> </w:t>
      </w:r>
      <w:r>
        <w:rPr/>
        <w:t>education,</w:t>
      </w:r>
      <w:r>
        <w:rPr>
          <w:spacing w:val="-20"/>
        </w:rPr>
        <w:t> </w:t>
      </w:r>
      <w:r>
        <w:rPr/>
        <w:t>and</w:t>
      </w:r>
      <w:r>
        <w:rPr>
          <w:spacing w:val="-20"/>
        </w:rPr>
        <w:t> </w:t>
      </w:r>
      <w:r>
        <w:rPr/>
        <w:t>higher</w:t>
      </w:r>
      <w:r>
        <w:rPr>
          <w:spacing w:val="-20"/>
        </w:rPr>
        <w:t> </w:t>
      </w:r>
      <w:r>
        <w:rPr/>
        <w:t>research degrees</w:t>
      </w:r>
      <w:r>
        <w:rPr>
          <w:spacing w:val="-15"/>
        </w:rPr>
        <w:t> </w:t>
      </w:r>
      <w:r>
        <w:rPr/>
        <w:t>to</w:t>
      </w:r>
      <w:r>
        <w:rPr>
          <w:spacing w:val="-15"/>
        </w:rPr>
        <w:t> </w:t>
      </w:r>
      <w:r>
        <w:rPr/>
        <w:t>support</w:t>
      </w:r>
      <w:r>
        <w:rPr>
          <w:spacing w:val="-15"/>
        </w:rPr>
        <w:t> </w:t>
      </w:r>
      <w:r>
        <w:rPr/>
        <w:t>the</w:t>
      </w:r>
      <w:r>
        <w:rPr>
          <w:spacing w:val="-15"/>
        </w:rPr>
        <w:t> </w:t>
      </w:r>
      <w:r>
        <w:rPr/>
        <w:t>professional</w:t>
      </w:r>
      <w:r>
        <w:rPr>
          <w:spacing w:val="-15"/>
        </w:rPr>
        <w:t> </w:t>
      </w:r>
      <w:r>
        <w:rPr/>
        <w:t>learning of educators and teachers across the education</w:t>
      </w:r>
      <w:r>
        <w:rPr>
          <w:spacing w:val="-30"/>
        </w:rPr>
        <w:t> </w:t>
      </w:r>
      <w:r>
        <w:rPr/>
        <w:t>sector.</w:t>
      </w:r>
    </w:p>
    <w:p>
      <w:pPr>
        <w:pStyle w:val="BodyText"/>
        <w:rPr>
          <w:sz w:val="14"/>
        </w:rPr>
      </w:pPr>
    </w:p>
    <w:p>
      <w:pPr>
        <w:pStyle w:val="BodyText"/>
        <w:spacing w:line="249" w:lineRule="auto"/>
        <w:ind w:left="107" w:right="-12"/>
      </w:pPr>
      <w:r>
        <w:rPr>
          <w:spacing w:val="-1"/>
          <w:w w:val="97"/>
        </w:rPr>
        <w:t>During</w:t>
      </w:r>
      <w:r>
        <w:rPr>
          <w:w w:val="97"/>
        </w:rPr>
        <w:t> </w:t>
      </w:r>
      <w:r>
        <w:rPr>
          <w:w w:val="84"/>
        </w:rPr>
        <w:t>2015, </w:t>
      </w:r>
      <w:r>
        <w:rPr>
          <w:spacing w:val="-1"/>
          <w:w w:val="97"/>
        </w:rPr>
        <w:t>the</w:t>
      </w:r>
      <w:r>
        <w:rPr>
          <w:w w:val="97"/>
        </w:rPr>
        <w:t> </w:t>
      </w:r>
      <w:r>
        <w:rPr>
          <w:spacing w:val="-1"/>
          <w:w w:val="98"/>
        </w:rPr>
        <w:t>School</w:t>
      </w:r>
      <w:r>
        <w:rPr>
          <w:w w:val="98"/>
        </w:rPr>
        <w:t> </w:t>
      </w:r>
      <w:r>
        <w:rPr>
          <w:spacing w:val="-1"/>
          <w:w w:val="97"/>
        </w:rPr>
        <w:t>embarked</w:t>
      </w:r>
      <w:r>
        <w:rPr>
          <w:w w:val="97"/>
        </w:rPr>
        <w:t> </w:t>
      </w:r>
      <w:r>
        <w:rPr>
          <w:spacing w:val="-1"/>
          <w:w w:val="98"/>
        </w:rPr>
        <w:t>on</w:t>
      </w:r>
      <w:r>
        <w:rPr>
          <w:w w:val="98"/>
        </w:rPr>
        <w:t> </w:t>
      </w:r>
      <w:r>
        <w:rPr>
          <w:w w:val="94"/>
        </w:rPr>
        <w:t>a </w:t>
      </w:r>
      <w:r>
        <w:rPr>
          <w:spacing w:val="-1"/>
          <w:w w:val="97"/>
        </w:rPr>
        <w:t>set</w:t>
      </w:r>
      <w:r>
        <w:rPr>
          <w:w w:val="97"/>
        </w:rPr>
        <w:t> </w:t>
      </w:r>
      <w:r>
        <w:rPr>
          <w:spacing w:val="-2"/>
          <w:w w:val="99"/>
        </w:rPr>
        <w:t>of</w:t>
      </w:r>
      <w:r>
        <w:rPr>
          <w:w w:val="99"/>
        </w:rPr>
        <w:t> </w:t>
      </w:r>
      <w:r>
        <w:rPr/>
        <w:t>ambitious plans to increase course diversity and improve its reputation as the provider of choice</w:t>
      </w:r>
      <w:r>
        <w:rPr>
          <w:spacing w:val="-28"/>
        </w:rPr>
        <w:t> </w:t>
      </w:r>
      <w:r>
        <w:rPr/>
        <w:t>for</w:t>
      </w:r>
      <w:r>
        <w:rPr>
          <w:spacing w:val="-28"/>
        </w:rPr>
        <w:t> </w:t>
      </w:r>
      <w:r>
        <w:rPr/>
        <w:t>the</w:t>
      </w:r>
      <w:r>
        <w:rPr>
          <w:spacing w:val="-28"/>
        </w:rPr>
        <w:t> </w:t>
      </w:r>
      <w:r>
        <w:rPr/>
        <w:t>ongoing</w:t>
      </w:r>
      <w:r>
        <w:rPr>
          <w:spacing w:val="-28"/>
        </w:rPr>
        <w:t> </w:t>
      </w:r>
      <w:r>
        <w:rPr/>
        <w:t>professional</w:t>
      </w:r>
      <w:r>
        <w:rPr>
          <w:spacing w:val="-28"/>
        </w:rPr>
        <w:t> </w:t>
      </w:r>
      <w:r>
        <w:rPr/>
        <w:t>learning</w:t>
      </w:r>
      <w:r>
        <w:rPr>
          <w:spacing w:val="-28"/>
        </w:rPr>
        <w:t> </w:t>
      </w:r>
      <w:r>
        <w:rPr/>
        <w:t>of educators.</w:t>
      </w:r>
      <w:r>
        <w:rPr>
          <w:spacing w:val="-38"/>
        </w:rPr>
        <w:t> </w:t>
      </w:r>
      <w:r>
        <w:rPr/>
        <w:t>Sources</w:t>
      </w:r>
      <w:r>
        <w:rPr>
          <w:spacing w:val="-38"/>
        </w:rPr>
        <w:t> </w:t>
      </w:r>
      <w:r>
        <w:rPr/>
        <w:t>of</w:t>
      </w:r>
      <w:r>
        <w:rPr>
          <w:spacing w:val="-38"/>
        </w:rPr>
        <w:t> </w:t>
      </w:r>
      <w:r>
        <w:rPr/>
        <w:t>research</w:t>
      </w:r>
      <w:r>
        <w:rPr>
          <w:spacing w:val="-38"/>
        </w:rPr>
        <w:t> </w:t>
      </w:r>
      <w:r>
        <w:rPr/>
        <w:t>and</w:t>
      </w:r>
      <w:r>
        <w:rPr>
          <w:spacing w:val="-38"/>
        </w:rPr>
        <w:t> </w:t>
      </w:r>
      <w:r>
        <w:rPr/>
        <w:t>consultancy income</w:t>
      </w:r>
      <w:r>
        <w:rPr>
          <w:spacing w:val="-27"/>
        </w:rPr>
        <w:t> </w:t>
      </w:r>
      <w:r>
        <w:rPr/>
        <w:t>are</w:t>
      </w:r>
      <w:r>
        <w:rPr>
          <w:spacing w:val="-27"/>
        </w:rPr>
        <w:t> </w:t>
      </w:r>
      <w:r>
        <w:rPr/>
        <w:t>being</w:t>
      </w:r>
      <w:r>
        <w:rPr>
          <w:spacing w:val="-27"/>
        </w:rPr>
        <w:t> </w:t>
      </w:r>
      <w:r>
        <w:rPr/>
        <w:t>diversified</w:t>
      </w:r>
      <w:r>
        <w:rPr>
          <w:spacing w:val="-27"/>
        </w:rPr>
        <w:t> </w:t>
      </w:r>
      <w:r>
        <w:rPr/>
        <w:t>to</w:t>
      </w:r>
      <w:r>
        <w:rPr>
          <w:spacing w:val="-27"/>
        </w:rPr>
        <w:t> </w:t>
      </w:r>
      <w:r>
        <w:rPr/>
        <w:t>develop</w:t>
      </w:r>
      <w:r>
        <w:rPr>
          <w:spacing w:val="-27"/>
        </w:rPr>
        <w:t> </w:t>
      </w:r>
      <w:r>
        <w:rPr/>
        <w:t>a</w:t>
      </w:r>
      <w:r>
        <w:rPr>
          <w:spacing w:val="-27"/>
        </w:rPr>
        <w:t> </w:t>
      </w:r>
      <w:r>
        <w:rPr/>
        <w:t>more sustainable</w:t>
      </w:r>
      <w:r>
        <w:rPr>
          <w:spacing w:val="-38"/>
        </w:rPr>
        <w:t> </w:t>
      </w:r>
      <w:r>
        <w:rPr/>
        <w:t>base</w:t>
      </w:r>
      <w:r>
        <w:rPr>
          <w:spacing w:val="-38"/>
        </w:rPr>
        <w:t> </w:t>
      </w:r>
      <w:r>
        <w:rPr/>
        <w:t>for</w:t>
      </w:r>
      <w:r>
        <w:rPr>
          <w:spacing w:val="-38"/>
        </w:rPr>
        <w:t> </w:t>
      </w:r>
      <w:r>
        <w:rPr/>
        <w:t>the</w:t>
      </w:r>
      <w:r>
        <w:rPr>
          <w:spacing w:val="-38"/>
        </w:rPr>
        <w:t> </w:t>
      </w:r>
      <w:r>
        <w:rPr/>
        <w:t>School.</w:t>
      </w:r>
    </w:p>
    <w:p>
      <w:pPr>
        <w:pStyle w:val="BodyText"/>
        <w:spacing w:before="7"/>
        <w:rPr>
          <w:sz w:val="21"/>
        </w:rPr>
      </w:pPr>
    </w:p>
    <w:p>
      <w:pPr>
        <w:pStyle w:val="Heading8"/>
        <w:ind w:right="21"/>
      </w:pPr>
      <w:r>
        <w:rPr>
          <w:w w:val="95"/>
        </w:rPr>
        <w:t>TEACHING AND LEARNING</w:t>
      </w:r>
    </w:p>
    <w:p>
      <w:pPr>
        <w:pStyle w:val="BodyText"/>
        <w:spacing w:line="249" w:lineRule="auto" w:before="86"/>
        <w:ind w:left="107" w:right="21"/>
      </w:pPr>
      <w:r>
        <w:rPr>
          <w:w w:val="112"/>
        </w:rPr>
        <w:t>A </w:t>
      </w:r>
      <w:r>
        <w:rPr>
          <w:w w:val="98"/>
        </w:rPr>
        <w:t>key </w:t>
      </w:r>
      <w:r>
        <w:rPr>
          <w:w w:val="98"/>
        </w:rPr>
        <w:t>priority </w:t>
      </w:r>
      <w:r>
        <w:rPr>
          <w:w w:val="97"/>
        </w:rPr>
        <w:t>during </w:t>
      </w:r>
      <w:r>
        <w:rPr>
          <w:w w:val="88"/>
        </w:rPr>
        <w:t>2015 </w:t>
      </w:r>
      <w:r>
        <w:rPr>
          <w:w w:val="96"/>
        </w:rPr>
        <w:t>was </w:t>
      </w:r>
      <w:r>
        <w:rPr>
          <w:w w:val="97"/>
        </w:rPr>
        <w:t>implementing </w:t>
      </w:r>
      <w:r>
        <w:rPr/>
        <w:t>newly accredited programs that were</w:t>
      </w:r>
    </w:p>
    <w:p>
      <w:pPr>
        <w:pStyle w:val="BodyText"/>
        <w:spacing w:line="249" w:lineRule="auto"/>
        <w:ind w:left="107" w:right="319"/>
      </w:pPr>
      <w:r>
        <w:rPr/>
        <w:t>the</w:t>
      </w:r>
      <w:r>
        <w:rPr>
          <w:spacing w:val="-16"/>
        </w:rPr>
        <w:t> </w:t>
      </w:r>
      <w:r>
        <w:rPr/>
        <w:t>product</w:t>
      </w:r>
      <w:r>
        <w:rPr>
          <w:spacing w:val="-16"/>
        </w:rPr>
        <w:t> </w:t>
      </w:r>
      <w:r>
        <w:rPr/>
        <w:t>of</w:t>
      </w:r>
      <w:r>
        <w:rPr>
          <w:spacing w:val="-16"/>
        </w:rPr>
        <w:t> </w:t>
      </w:r>
      <w:r>
        <w:rPr/>
        <w:t>a</w:t>
      </w:r>
      <w:r>
        <w:rPr>
          <w:spacing w:val="-16"/>
        </w:rPr>
        <w:t> </w:t>
      </w:r>
      <w:r>
        <w:rPr/>
        <w:t>major</w:t>
      </w:r>
      <w:r>
        <w:rPr>
          <w:spacing w:val="-16"/>
        </w:rPr>
        <w:t> </w:t>
      </w:r>
      <w:r>
        <w:rPr/>
        <w:t>curriculum</w:t>
      </w:r>
      <w:r>
        <w:rPr>
          <w:spacing w:val="-16"/>
        </w:rPr>
        <w:t> </w:t>
      </w:r>
      <w:r>
        <w:rPr/>
        <w:t>review </w:t>
      </w:r>
      <w:r>
        <w:rPr>
          <w:spacing w:val="1"/>
          <w:w w:val="99"/>
        </w:rPr>
        <w:t>completed</w:t>
      </w:r>
      <w:r>
        <w:rPr>
          <w:w w:val="99"/>
        </w:rPr>
        <w:t> </w:t>
      </w:r>
      <w:r>
        <w:rPr>
          <w:w w:val="95"/>
        </w:rPr>
        <w:t>in </w:t>
      </w:r>
      <w:r>
        <w:rPr>
          <w:spacing w:val="1"/>
          <w:w w:val="90"/>
        </w:rPr>
        <w:t>2014</w:t>
      </w:r>
      <w:r>
        <w:rPr>
          <w:w w:val="90"/>
        </w:rPr>
        <w:t> </w:t>
      </w:r>
      <w:r>
        <w:rPr>
          <w:spacing w:val="1"/>
          <w:w w:val="97"/>
        </w:rPr>
        <w:t>under</w:t>
      </w:r>
      <w:r>
        <w:rPr>
          <w:w w:val="97"/>
        </w:rPr>
        <w:t> </w:t>
      </w:r>
      <w:r>
        <w:rPr>
          <w:w w:val="97"/>
        </w:rPr>
        <w:t>the </w:t>
      </w:r>
      <w:r>
        <w:rPr>
          <w:spacing w:val="1"/>
          <w:w w:val="96"/>
        </w:rPr>
        <w:t>leadership</w:t>
      </w:r>
      <w:r>
        <w:rPr>
          <w:w w:val="96"/>
        </w:rPr>
        <w:t> </w:t>
      </w:r>
      <w:r>
        <w:rPr/>
        <w:t>of</w:t>
      </w:r>
      <w:r>
        <w:rPr>
          <w:spacing w:val="-17"/>
        </w:rPr>
        <w:t> </w:t>
      </w:r>
      <w:r>
        <w:rPr/>
        <w:t>Associate</w:t>
      </w:r>
      <w:r>
        <w:rPr>
          <w:spacing w:val="-17"/>
        </w:rPr>
        <w:t> </w:t>
      </w:r>
      <w:r>
        <w:rPr/>
        <w:t>Professor</w:t>
      </w:r>
      <w:r>
        <w:rPr>
          <w:spacing w:val="-17"/>
        </w:rPr>
        <w:t> </w:t>
      </w:r>
      <w:r>
        <w:rPr>
          <w:spacing w:val="2"/>
        </w:rPr>
        <w:t>Mary</w:t>
      </w:r>
      <w:r>
        <w:rPr>
          <w:spacing w:val="-17"/>
        </w:rPr>
        <w:t> </w:t>
      </w:r>
      <w:r>
        <w:rPr/>
        <w:t>Mooney.</w:t>
      </w:r>
      <w:r>
        <w:rPr>
          <w:spacing w:val="-17"/>
        </w:rPr>
        <w:t> </w:t>
      </w:r>
      <w:r>
        <w:rPr/>
        <w:t>The School</w:t>
      </w:r>
      <w:r>
        <w:rPr>
          <w:spacing w:val="-14"/>
        </w:rPr>
        <w:t> </w:t>
      </w:r>
      <w:r>
        <w:rPr/>
        <w:t>expanded</w:t>
      </w:r>
      <w:r>
        <w:rPr>
          <w:spacing w:val="-14"/>
        </w:rPr>
        <w:t> </w:t>
      </w:r>
      <w:r>
        <w:rPr/>
        <w:t>its</w:t>
      </w:r>
      <w:r>
        <w:rPr>
          <w:spacing w:val="-14"/>
        </w:rPr>
        <w:t> </w:t>
      </w:r>
      <w:r>
        <w:rPr/>
        <w:t>online</w:t>
      </w:r>
      <w:r>
        <w:rPr>
          <w:spacing w:val="-14"/>
        </w:rPr>
        <w:t> </w:t>
      </w:r>
      <w:r>
        <w:rPr/>
        <w:t>presence</w:t>
      </w:r>
      <w:r>
        <w:rPr>
          <w:spacing w:val="-14"/>
        </w:rPr>
        <w:t> </w:t>
      </w:r>
      <w:r>
        <w:rPr/>
        <w:t>with</w:t>
      </w:r>
    </w:p>
    <w:p>
      <w:pPr>
        <w:pStyle w:val="BodyText"/>
        <w:spacing w:line="192" w:lineRule="exact"/>
        <w:ind w:left="107" w:right="21"/>
      </w:pPr>
      <w:r>
        <w:rPr/>
        <w:t>the implementation of two online Graduate</w:t>
      </w:r>
    </w:p>
    <w:p>
      <w:pPr>
        <w:pStyle w:val="BodyText"/>
        <w:spacing w:before="2"/>
        <w:rPr>
          <w:sz w:val="20"/>
        </w:rPr>
      </w:pPr>
      <w:r>
        <w:rPr/>
        <w:br w:type="column"/>
      </w:r>
      <w:r>
        <w:rPr>
          <w:sz w:val="20"/>
        </w:rPr>
      </w:r>
    </w:p>
    <w:p>
      <w:pPr>
        <w:pStyle w:val="BodyText"/>
        <w:spacing w:line="249" w:lineRule="auto"/>
        <w:ind w:left="107" w:right="111"/>
      </w:pPr>
      <w:r>
        <w:rPr/>
        <w:t>Certificates (Teaching and Learning in Higher Education, and Technology and Teaching).</w:t>
      </w:r>
    </w:p>
    <w:p>
      <w:pPr>
        <w:pStyle w:val="BodyText"/>
        <w:spacing w:line="249" w:lineRule="auto"/>
        <w:ind w:left="107" w:right="383"/>
      </w:pPr>
      <w:r>
        <w:rPr/>
        <w:t>Stakeholder contributions from external advisory committees continued to be vital to monitoring and improving the quality of courses offered by the School. It also</w:t>
      </w:r>
    </w:p>
    <w:p>
      <w:pPr>
        <w:pStyle w:val="BodyText"/>
        <w:spacing w:line="249" w:lineRule="auto"/>
        <w:ind w:left="107" w:right="126"/>
      </w:pPr>
      <w:r>
        <w:rPr/>
        <w:t>increased the School’s connections with the teaching profession, particularly in relation to securing professional work experience for pre-service teachers.</w:t>
      </w:r>
    </w:p>
    <w:p>
      <w:pPr>
        <w:pStyle w:val="BodyText"/>
        <w:rPr>
          <w:sz w:val="14"/>
        </w:rPr>
      </w:pPr>
    </w:p>
    <w:p>
      <w:pPr>
        <w:pStyle w:val="BodyText"/>
        <w:spacing w:line="249" w:lineRule="auto"/>
        <w:ind w:left="107" w:right="138"/>
      </w:pPr>
      <w:r>
        <w:rPr/>
        <w:t>Summer School continued to be very popular, with enrolments increasing from the </w:t>
      </w:r>
      <w:r>
        <w:rPr>
          <w:w w:val="97"/>
        </w:rPr>
        <w:t>previous </w:t>
      </w:r>
      <w:r>
        <w:rPr>
          <w:w w:val="97"/>
        </w:rPr>
        <w:t>year </w:t>
      </w:r>
      <w:r>
        <w:rPr>
          <w:w w:val="101"/>
        </w:rPr>
        <w:t>to </w:t>
      </w:r>
      <w:r>
        <w:rPr>
          <w:w w:val="97"/>
        </w:rPr>
        <w:t>more </w:t>
      </w:r>
      <w:r>
        <w:rPr>
          <w:w w:val="97"/>
        </w:rPr>
        <w:t>than </w:t>
      </w:r>
      <w:r>
        <w:rPr>
          <w:w w:val="84"/>
        </w:rPr>
        <w:t>1,500. </w:t>
      </w:r>
      <w:r>
        <w:rPr>
          <w:w w:val="97"/>
        </w:rPr>
        <w:t>While </w:t>
      </w:r>
      <w:r>
        <w:rPr>
          <w:w w:val="97"/>
        </w:rPr>
        <w:t>some </w:t>
      </w:r>
      <w:r>
        <w:rPr/>
        <w:t>units were offered online, many provided students with enhanced blended learning opportunities. All of the newly accredited</w:t>
      </w:r>
    </w:p>
    <w:p>
      <w:pPr>
        <w:pStyle w:val="BodyText"/>
        <w:spacing w:line="249" w:lineRule="auto"/>
        <w:ind w:left="107" w:right="124"/>
        <w:jc w:val="both"/>
      </w:pPr>
      <w:r>
        <w:rPr>
          <w:w w:val="98"/>
        </w:rPr>
        <w:t>programs </w:t>
      </w:r>
      <w:r>
        <w:rPr>
          <w:w w:val="98"/>
        </w:rPr>
        <w:t>implemented </w:t>
      </w:r>
      <w:r>
        <w:rPr>
          <w:w w:val="95"/>
        </w:rPr>
        <w:t>in </w:t>
      </w:r>
      <w:r>
        <w:rPr>
          <w:w w:val="88"/>
        </w:rPr>
        <w:t>2015 </w:t>
      </w:r>
      <w:r>
        <w:rPr>
          <w:spacing w:val="1"/>
          <w:w w:val="97"/>
        </w:rPr>
        <w:t>had</w:t>
      </w:r>
      <w:r>
        <w:rPr>
          <w:w w:val="97"/>
        </w:rPr>
        <w:t> </w:t>
      </w:r>
      <w:r>
        <w:rPr>
          <w:w w:val="97"/>
        </w:rPr>
        <w:t>the </w:t>
      </w:r>
      <w:r>
        <w:rPr>
          <w:w w:val="99"/>
        </w:rPr>
        <w:t>option </w:t>
      </w:r>
      <w:r>
        <w:rPr/>
        <w:t>of</w:t>
      </w:r>
      <w:r>
        <w:rPr>
          <w:spacing w:val="-19"/>
        </w:rPr>
        <w:t> </w:t>
      </w:r>
      <w:r>
        <w:rPr/>
        <w:t>summer</w:t>
      </w:r>
      <w:r>
        <w:rPr>
          <w:spacing w:val="-19"/>
        </w:rPr>
        <w:t> </w:t>
      </w:r>
      <w:r>
        <w:rPr/>
        <w:t>study</w:t>
      </w:r>
      <w:r>
        <w:rPr>
          <w:spacing w:val="-19"/>
        </w:rPr>
        <w:t> </w:t>
      </w:r>
      <w:r>
        <w:rPr/>
        <w:t>as</w:t>
      </w:r>
      <w:r>
        <w:rPr>
          <w:spacing w:val="-19"/>
        </w:rPr>
        <w:t> </w:t>
      </w:r>
      <w:r>
        <w:rPr/>
        <w:t>part</w:t>
      </w:r>
      <w:r>
        <w:rPr>
          <w:spacing w:val="-19"/>
        </w:rPr>
        <w:t> </w:t>
      </w:r>
      <w:r>
        <w:rPr/>
        <w:t>of</w:t>
      </w:r>
      <w:r>
        <w:rPr>
          <w:spacing w:val="-19"/>
        </w:rPr>
        <w:t> </w:t>
      </w:r>
      <w:r>
        <w:rPr/>
        <w:t>the</w:t>
      </w:r>
      <w:r>
        <w:rPr>
          <w:spacing w:val="-19"/>
        </w:rPr>
        <w:t> </w:t>
      </w:r>
      <w:r>
        <w:rPr/>
        <w:t>School’s</w:t>
      </w:r>
      <w:r>
        <w:rPr>
          <w:spacing w:val="-19"/>
        </w:rPr>
        <w:t> </w:t>
      </w:r>
      <w:r>
        <w:rPr/>
        <w:t>overall strategy</w:t>
      </w:r>
      <w:r>
        <w:rPr>
          <w:spacing w:val="-19"/>
        </w:rPr>
        <w:t> </w:t>
      </w:r>
      <w:r>
        <w:rPr/>
        <w:t>to</w:t>
      </w:r>
      <w:r>
        <w:rPr>
          <w:spacing w:val="-19"/>
        </w:rPr>
        <w:t> </w:t>
      </w:r>
      <w:r>
        <w:rPr/>
        <w:t>offer</w:t>
      </w:r>
      <w:r>
        <w:rPr>
          <w:spacing w:val="-19"/>
        </w:rPr>
        <w:t> </w:t>
      </w:r>
      <w:r>
        <w:rPr/>
        <w:t>greater</w:t>
      </w:r>
      <w:r>
        <w:rPr>
          <w:spacing w:val="-19"/>
        </w:rPr>
        <w:t> </w:t>
      </w:r>
      <w:r>
        <w:rPr/>
        <w:t>flexibility</w:t>
      </w:r>
      <w:r>
        <w:rPr>
          <w:spacing w:val="-19"/>
        </w:rPr>
        <w:t> </w:t>
      </w:r>
      <w:r>
        <w:rPr/>
        <w:t>for</w:t>
      </w:r>
      <w:r>
        <w:rPr>
          <w:spacing w:val="-19"/>
        </w:rPr>
        <w:t> </w:t>
      </w:r>
      <w:r>
        <w:rPr/>
        <w:t>students and</w:t>
      </w:r>
      <w:r>
        <w:rPr>
          <w:spacing w:val="-28"/>
        </w:rPr>
        <w:t> </w:t>
      </w:r>
      <w:r>
        <w:rPr/>
        <w:t>accelerated</w:t>
      </w:r>
      <w:r>
        <w:rPr>
          <w:spacing w:val="-28"/>
        </w:rPr>
        <w:t> </w:t>
      </w:r>
      <w:r>
        <w:rPr/>
        <w:t>pathways</w:t>
      </w:r>
      <w:r>
        <w:rPr>
          <w:spacing w:val="-28"/>
        </w:rPr>
        <w:t> </w:t>
      </w:r>
      <w:r>
        <w:rPr/>
        <w:t>to</w:t>
      </w:r>
      <w:r>
        <w:rPr>
          <w:spacing w:val="-28"/>
        </w:rPr>
        <w:t> </w:t>
      </w:r>
      <w:r>
        <w:rPr/>
        <w:t>graduation.</w:t>
      </w:r>
    </w:p>
    <w:p>
      <w:pPr>
        <w:pStyle w:val="BodyText"/>
        <w:rPr>
          <w:sz w:val="14"/>
        </w:rPr>
      </w:pPr>
    </w:p>
    <w:p>
      <w:pPr>
        <w:pStyle w:val="BodyText"/>
        <w:spacing w:line="249" w:lineRule="auto"/>
        <w:ind w:left="107" w:right="174"/>
      </w:pPr>
      <w:r>
        <w:rPr/>
        <w:t>The School of Education staff continued to make a significant contribution to promoting excellence in teaching and learning at</w:t>
      </w:r>
    </w:p>
    <w:p>
      <w:pPr>
        <w:pStyle w:val="BodyText"/>
        <w:spacing w:line="249" w:lineRule="auto"/>
        <w:ind w:left="107" w:right="544"/>
      </w:pPr>
      <w:r>
        <w:rPr>
          <w:w w:val="97"/>
        </w:rPr>
        <w:t>the </w:t>
      </w:r>
      <w:r>
        <w:rPr>
          <w:w w:val="95"/>
        </w:rPr>
        <w:t>University. </w:t>
      </w:r>
      <w:r>
        <w:rPr>
          <w:spacing w:val="1"/>
          <w:w w:val="80"/>
        </w:rPr>
        <w:t>In</w:t>
      </w:r>
      <w:r>
        <w:rPr>
          <w:w w:val="80"/>
        </w:rPr>
        <w:t> </w:t>
      </w:r>
      <w:r>
        <w:rPr>
          <w:spacing w:val="1"/>
          <w:w w:val="84"/>
        </w:rPr>
        <w:t>2015,</w:t>
      </w:r>
      <w:r>
        <w:rPr>
          <w:w w:val="84"/>
        </w:rPr>
        <w:t> </w:t>
      </w:r>
      <w:r>
        <w:rPr>
          <w:w w:val="97"/>
        </w:rPr>
        <w:t>the </w:t>
      </w:r>
      <w:r>
        <w:rPr>
          <w:w w:val="98"/>
        </w:rPr>
        <w:t>following </w:t>
      </w:r>
      <w:r>
        <w:rPr/>
        <w:t>staff</w:t>
      </w:r>
      <w:r>
        <w:rPr>
          <w:spacing w:val="-16"/>
        </w:rPr>
        <w:t> </w:t>
      </w:r>
      <w:r>
        <w:rPr/>
        <w:t>members</w:t>
      </w:r>
      <w:r>
        <w:rPr>
          <w:spacing w:val="-16"/>
        </w:rPr>
        <w:t> </w:t>
      </w:r>
      <w:r>
        <w:rPr/>
        <w:t>were</w:t>
      </w:r>
      <w:r>
        <w:rPr>
          <w:spacing w:val="-16"/>
        </w:rPr>
        <w:t> </w:t>
      </w:r>
      <w:r>
        <w:rPr/>
        <w:t>recognised</w:t>
      </w:r>
      <w:r>
        <w:rPr>
          <w:spacing w:val="-16"/>
        </w:rPr>
        <w:t> </w:t>
      </w:r>
      <w:r>
        <w:rPr/>
        <w:t>for</w:t>
      </w:r>
      <w:r>
        <w:rPr>
          <w:spacing w:val="-16"/>
        </w:rPr>
        <w:t> </w:t>
      </w:r>
      <w:r>
        <w:rPr/>
        <w:t>their achievements</w:t>
      </w:r>
      <w:r>
        <w:rPr>
          <w:spacing w:val="-26"/>
        </w:rPr>
        <w:t> </w:t>
      </w:r>
      <w:r>
        <w:rPr/>
        <w:t>in</w:t>
      </w:r>
      <w:r>
        <w:rPr>
          <w:spacing w:val="-26"/>
        </w:rPr>
        <w:t> </w:t>
      </w:r>
      <w:r>
        <w:rPr/>
        <w:t>teaching</w:t>
      </w:r>
      <w:r>
        <w:rPr>
          <w:spacing w:val="-26"/>
        </w:rPr>
        <w:t> </w:t>
      </w:r>
      <w:r>
        <w:rPr/>
        <w:t>and</w:t>
      </w:r>
      <w:r>
        <w:rPr>
          <w:spacing w:val="-26"/>
        </w:rPr>
        <w:t> </w:t>
      </w:r>
      <w:r>
        <w:rPr/>
        <w:t>learning:</w:t>
      </w:r>
    </w:p>
    <w:p>
      <w:pPr>
        <w:pStyle w:val="BodyText"/>
        <w:spacing w:before="11"/>
        <w:rPr>
          <w:sz w:val="13"/>
        </w:rPr>
      </w:pPr>
    </w:p>
    <w:p>
      <w:pPr>
        <w:pStyle w:val="BodyText"/>
        <w:spacing w:line="247" w:lineRule="auto"/>
        <w:ind w:left="333" w:right="96" w:hanging="227"/>
      </w:pPr>
      <w:r>
        <w:rPr>
          <w:rFonts w:ascii="Century Gothic" w:hAnsi="Century Gothic"/>
          <w:b/>
          <w:w w:val="115"/>
        </w:rPr>
        <w:t>≥ </w:t>
      </w:r>
      <w:r>
        <w:rPr/>
        <w:t>Doctor Tania Ferfolja received an Excellence in Teaching Award, recognising her outstanding contribution to teaching equity and social justice issues to pre- service teachers for more than a decade.</w:t>
      </w:r>
    </w:p>
    <w:p>
      <w:pPr>
        <w:pStyle w:val="BodyText"/>
        <w:spacing w:line="247" w:lineRule="auto" w:before="57"/>
        <w:ind w:left="333" w:right="175" w:hanging="227"/>
      </w:pPr>
      <w:r>
        <w:rPr>
          <w:rFonts w:ascii="Century Gothic" w:hAnsi="Century Gothic"/>
          <w:b/>
          <w:w w:val="115"/>
        </w:rPr>
        <w:t>≥  </w:t>
      </w:r>
      <w:r>
        <w:rPr/>
        <w:t>Doctor Song Truong received a citation for outstanding contribution to student learning,</w:t>
      </w:r>
      <w:r>
        <w:rPr>
          <w:spacing w:val="-19"/>
        </w:rPr>
        <w:t> </w:t>
      </w:r>
      <w:r>
        <w:rPr/>
        <w:t>for</w:t>
      </w:r>
      <w:r>
        <w:rPr>
          <w:spacing w:val="-19"/>
        </w:rPr>
        <w:t> </w:t>
      </w:r>
      <w:r>
        <w:rPr/>
        <w:t>his</w:t>
      </w:r>
      <w:r>
        <w:rPr>
          <w:spacing w:val="-19"/>
        </w:rPr>
        <w:t> </w:t>
      </w:r>
      <w:r>
        <w:rPr/>
        <w:t>student-centred</w:t>
      </w:r>
      <w:r>
        <w:rPr>
          <w:spacing w:val="-19"/>
        </w:rPr>
        <w:t> </w:t>
      </w:r>
      <w:r>
        <w:rPr/>
        <w:t>approach to teacher education that embeds authentic learning pedagogies and internationalisation of the curriculum to enhance</w:t>
      </w:r>
      <w:r>
        <w:rPr>
          <w:spacing w:val="-20"/>
        </w:rPr>
        <w:t> </w:t>
      </w:r>
      <w:r>
        <w:rPr/>
        <w:t>student</w:t>
      </w:r>
      <w:r>
        <w:rPr>
          <w:spacing w:val="-20"/>
        </w:rPr>
        <w:t> </w:t>
      </w:r>
      <w:r>
        <w:rPr/>
        <w:t>engagement,</w:t>
      </w:r>
      <w:r>
        <w:rPr>
          <w:spacing w:val="-20"/>
        </w:rPr>
        <w:t> </w:t>
      </w:r>
      <w:r>
        <w:rPr/>
        <w:t>motivation and</w:t>
      </w:r>
      <w:r>
        <w:rPr>
          <w:spacing w:val="-36"/>
        </w:rPr>
        <w:t> </w:t>
      </w:r>
      <w:r>
        <w:rPr/>
        <w:t>learning.</w:t>
      </w:r>
    </w:p>
    <w:p>
      <w:pPr>
        <w:pStyle w:val="BodyText"/>
        <w:spacing w:line="247" w:lineRule="auto" w:before="57"/>
        <w:ind w:left="333" w:right="100" w:hanging="227"/>
      </w:pPr>
      <w:r>
        <w:rPr>
          <w:rFonts w:ascii="Century Gothic" w:hAnsi="Century Gothic"/>
          <w:b/>
          <w:w w:val="115"/>
        </w:rPr>
        <w:t>≥ </w:t>
      </w:r>
      <w:r>
        <w:rPr/>
        <w:t>Doctor Jacqueline Ullman received a citation for outstanding contribution to student learning, for her research-inspired social justice pedagogy that brings theory and research alive through practical applications to inspire a future generation </w:t>
      </w:r>
      <w:r>
        <w:rPr>
          <w:w w:val="95"/>
        </w:rPr>
        <w:t>of teacher-researchers.</w:t>
      </w:r>
    </w:p>
    <w:p>
      <w:pPr>
        <w:pStyle w:val="BodyText"/>
        <w:spacing w:before="2"/>
        <w:rPr>
          <w:sz w:val="14"/>
        </w:rPr>
      </w:pPr>
    </w:p>
    <w:p>
      <w:pPr>
        <w:pStyle w:val="BodyText"/>
        <w:ind w:left="107" w:right="287"/>
      </w:pPr>
      <w:r>
        <w:rPr/>
        <w:t>Other awards and prizes:</w:t>
      </w:r>
    </w:p>
    <w:p>
      <w:pPr>
        <w:pStyle w:val="BodyText"/>
        <w:spacing w:before="7"/>
        <w:rPr>
          <w:sz w:val="14"/>
        </w:rPr>
      </w:pPr>
    </w:p>
    <w:p>
      <w:pPr>
        <w:pStyle w:val="BodyText"/>
        <w:spacing w:line="244" w:lineRule="auto"/>
        <w:ind w:left="333" w:right="121" w:hanging="227"/>
      </w:pPr>
      <w:r>
        <w:rPr>
          <w:rFonts w:ascii="Century Gothic" w:hAnsi="Century Gothic"/>
          <w:b/>
          <w:w w:val="115"/>
        </w:rPr>
        <w:t>≥</w:t>
      </w:r>
      <w:r>
        <w:rPr>
          <w:rFonts w:ascii="Century Gothic" w:hAnsi="Century Gothic"/>
          <w:b/>
          <w:spacing w:val="24"/>
          <w:w w:val="115"/>
        </w:rPr>
        <w:t> </w:t>
      </w:r>
      <w:r>
        <w:rPr/>
        <w:t>The</w:t>
      </w:r>
      <w:r>
        <w:rPr>
          <w:spacing w:val="-26"/>
        </w:rPr>
        <w:t> </w:t>
      </w:r>
      <w:r>
        <w:rPr>
          <w:spacing w:val="-3"/>
        </w:rPr>
        <w:t>title</w:t>
      </w:r>
      <w:r>
        <w:rPr>
          <w:spacing w:val="-26"/>
        </w:rPr>
        <w:t> </w:t>
      </w:r>
      <w:r>
        <w:rPr/>
        <w:t>of</w:t>
      </w:r>
      <w:r>
        <w:rPr>
          <w:spacing w:val="-26"/>
        </w:rPr>
        <w:t> </w:t>
      </w:r>
      <w:r>
        <w:rPr/>
        <w:t>Emeritus</w:t>
      </w:r>
      <w:r>
        <w:rPr>
          <w:spacing w:val="-26"/>
        </w:rPr>
        <w:t> </w:t>
      </w:r>
      <w:r>
        <w:rPr/>
        <w:t>Professor</w:t>
      </w:r>
      <w:r>
        <w:rPr>
          <w:spacing w:val="-26"/>
        </w:rPr>
        <w:t> </w:t>
      </w:r>
      <w:r>
        <w:rPr/>
        <w:t>was</w:t>
      </w:r>
      <w:r>
        <w:rPr>
          <w:spacing w:val="-26"/>
        </w:rPr>
        <w:t> </w:t>
      </w:r>
      <w:r>
        <w:rPr>
          <w:spacing w:val="-2"/>
        </w:rPr>
        <w:t>conferred </w:t>
      </w:r>
      <w:r>
        <w:rPr>
          <w:w w:val="95"/>
        </w:rPr>
        <w:t>on</w:t>
      </w:r>
      <w:r>
        <w:rPr>
          <w:spacing w:val="-12"/>
          <w:w w:val="95"/>
        </w:rPr>
        <w:t> </w:t>
      </w:r>
      <w:r>
        <w:rPr>
          <w:w w:val="95"/>
        </w:rPr>
        <w:t>Adjunct</w:t>
      </w:r>
      <w:r>
        <w:rPr>
          <w:spacing w:val="-12"/>
          <w:w w:val="95"/>
        </w:rPr>
        <w:t> </w:t>
      </w:r>
      <w:r>
        <w:rPr>
          <w:w w:val="95"/>
        </w:rPr>
        <w:t>Professor</w:t>
      </w:r>
      <w:r>
        <w:rPr>
          <w:spacing w:val="-12"/>
          <w:w w:val="95"/>
        </w:rPr>
        <w:t> </w:t>
      </w:r>
      <w:r>
        <w:rPr>
          <w:w w:val="95"/>
        </w:rPr>
        <w:t>Margaret</w:t>
      </w:r>
      <w:r>
        <w:rPr>
          <w:spacing w:val="-12"/>
          <w:w w:val="95"/>
        </w:rPr>
        <w:t> </w:t>
      </w:r>
      <w:r>
        <w:rPr>
          <w:w w:val="95"/>
        </w:rPr>
        <w:t>Vickers.</w:t>
      </w:r>
    </w:p>
    <w:p>
      <w:pPr>
        <w:spacing w:after="0" w:line="244" w:lineRule="auto"/>
        <w:sectPr>
          <w:type w:val="continuous"/>
          <w:pgSz w:w="11910" w:h="16840"/>
          <w:pgMar w:top="1580" w:bottom="280" w:left="800" w:right="800"/>
          <w:cols w:num="3" w:equalWidth="0">
            <w:col w:w="3319" w:space="120"/>
            <w:col w:w="3294" w:space="145"/>
            <w:col w:w="3432"/>
          </w:cols>
        </w:sectPr>
      </w:pPr>
    </w:p>
    <w:p>
      <w:pPr>
        <w:pStyle w:val="BodyText"/>
        <w:spacing w:before="10"/>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0"/>
        <w:rPr>
          <w:rFonts w:ascii="Chronicle Text G1"/>
          <w:b w:val="0"/>
        </w:rPr>
      </w:pPr>
    </w:p>
    <w:p>
      <w:pPr>
        <w:pStyle w:val="BodyText"/>
        <w:spacing w:line="247" w:lineRule="auto"/>
        <w:ind w:left="333" w:right="-2" w:hanging="227"/>
      </w:pPr>
      <w:r>
        <w:rPr>
          <w:rFonts w:ascii="Century Gothic" w:hAnsi="Century Gothic"/>
          <w:b/>
          <w:w w:val="115"/>
        </w:rPr>
        <w:t>≥ </w:t>
      </w:r>
      <w:r>
        <w:rPr/>
        <w:t>Doctor Katrina Barker, Keith Bradshaw, Daniela Falecki and Jacqueline Ullman were recognised in UniJobs Australia’s top </w:t>
      </w:r>
      <w:r>
        <w:rPr>
          <w:w w:val="82"/>
        </w:rPr>
        <w:t>10 </w:t>
      </w:r>
      <w:r>
        <w:rPr>
          <w:w w:val="97"/>
        </w:rPr>
        <w:t>lecturers </w:t>
      </w:r>
      <w:r>
        <w:rPr>
          <w:w w:val="98"/>
        </w:rPr>
        <w:t>at </w:t>
      </w:r>
      <w:r>
        <w:rPr>
          <w:w w:val="98"/>
        </w:rPr>
        <w:t>Western </w:t>
      </w:r>
      <w:r>
        <w:rPr>
          <w:w w:val="99"/>
        </w:rPr>
        <w:t>Sydney </w:t>
      </w:r>
      <w:r>
        <w:rPr>
          <w:w w:val="95"/>
        </w:rPr>
        <w:t>University.</w:t>
      </w:r>
    </w:p>
    <w:p>
      <w:pPr>
        <w:pStyle w:val="BodyText"/>
        <w:spacing w:line="247" w:lineRule="auto" w:before="57"/>
        <w:ind w:left="333" w:hanging="227"/>
      </w:pPr>
      <w:r>
        <w:rPr>
          <w:rFonts w:ascii="Century Gothic" w:hAnsi="Century Gothic"/>
          <w:b/>
          <w:w w:val="115"/>
        </w:rPr>
        <w:t>≥ </w:t>
      </w:r>
      <w:r>
        <w:rPr/>
        <w:t>Associate Professor Anne Power received the</w:t>
      </w:r>
      <w:r>
        <w:rPr>
          <w:spacing w:val="-14"/>
        </w:rPr>
        <w:t> </w:t>
      </w:r>
      <w:r>
        <w:rPr/>
        <w:t>Exceptional</w:t>
      </w:r>
      <w:r>
        <w:rPr>
          <w:spacing w:val="-14"/>
        </w:rPr>
        <w:t> </w:t>
      </w:r>
      <w:r>
        <w:rPr/>
        <w:t>Service</w:t>
      </w:r>
      <w:r>
        <w:rPr>
          <w:spacing w:val="-14"/>
        </w:rPr>
        <w:t> </w:t>
      </w:r>
      <w:r>
        <w:rPr/>
        <w:t>Award</w:t>
      </w:r>
      <w:r>
        <w:rPr>
          <w:spacing w:val="-14"/>
        </w:rPr>
        <w:t> </w:t>
      </w:r>
      <w:r>
        <w:rPr/>
        <w:t>for</w:t>
      </w:r>
      <w:r>
        <w:rPr>
          <w:spacing w:val="-14"/>
        </w:rPr>
        <w:t> </w:t>
      </w:r>
      <w:r>
        <w:rPr/>
        <w:t>her</w:t>
      </w:r>
      <w:r>
        <w:rPr>
          <w:spacing w:val="-14"/>
        </w:rPr>
        <w:t> </w:t>
      </w:r>
      <w:r>
        <w:rPr/>
        <w:t>work on</w:t>
      </w:r>
      <w:r>
        <w:rPr>
          <w:spacing w:val="-17"/>
        </w:rPr>
        <w:t> </w:t>
      </w:r>
      <w:r>
        <w:rPr/>
        <w:t>the</w:t>
      </w:r>
      <w:r>
        <w:rPr>
          <w:spacing w:val="-17"/>
        </w:rPr>
        <w:t> </w:t>
      </w:r>
      <w:r>
        <w:rPr/>
        <w:t>Professional</w:t>
      </w:r>
      <w:r>
        <w:rPr>
          <w:spacing w:val="-17"/>
        </w:rPr>
        <w:t> </w:t>
      </w:r>
      <w:r>
        <w:rPr/>
        <w:t>Teachers’</w:t>
      </w:r>
      <w:r>
        <w:rPr>
          <w:spacing w:val="-17"/>
        </w:rPr>
        <w:t> </w:t>
      </w:r>
      <w:r>
        <w:rPr/>
        <w:t>Council</w:t>
      </w:r>
      <w:r>
        <w:rPr>
          <w:spacing w:val="-17"/>
        </w:rPr>
        <w:t> </w:t>
      </w:r>
      <w:r>
        <w:rPr/>
        <w:t>over </w:t>
      </w:r>
      <w:r>
        <w:rPr>
          <w:w w:val="97"/>
        </w:rPr>
        <w:t>the </w:t>
      </w:r>
      <w:r>
        <w:rPr>
          <w:spacing w:val="1"/>
          <w:w w:val="98"/>
        </w:rPr>
        <w:t>past</w:t>
      </w:r>
      <w:r>
        <w:rPr>
          <w:w w:val="98"/>
        </w:rPr>
        <w:t> </w:t>
      </w:r>
      <w:r>
        <w:rPr>
          <w:spacing w:val="2"/>
          <w:w w:val="82"/>
        </w:rPr>
        <w:t>10</w:t>
      </w:r>
      <w:r>
        <w:rPr>
          <w:spacing w:val="-14"/>
          <w:w w:val="82"/>
        </w:rPr>
        <w:t> </w:t>
      </w:r>
      <w:r>
        <w:rPr>
          <w:spacing w:val="1"/>
          <w:w w:val="91"/>
        </w:rPr>
        <w:t>years.</w:t>
      </w:r>
    </w:p>
    <w:p>
      <w:pPr>
        <w:pStyle w:val="BodyText"/>
        <w:spacing w:line="247" w:lineRule="auto" w:before="57"/>
        <w:ind w:left="333" w:right="13" w:hanging="227"/>
      </w:pPr>
      <w:r>
        <w:rPr>
          <w:rFonts w:ascii="Century Gothic" w:hAnsi="Century Gothic"/>
          <w:b/>
          <w:w w:val="115"/>
        </w:rPr>
        <w:t>≥  </w:t>
      </w:r>
      <w:r>
        <w:rPr/>
        <w:t>Doctor Catherine Attard was recognised for her outstanding service at the Professional</w:t>
      </w:r>
      <w:r>
        <w:rPr>
          <w:spacing w:val="-22"/>
        </w:rPr>
        <w:t> </w:t>
      </w:r>
      <w:r>
        <w:rPr/>
        <w:t>Teaching</w:t>
      </w:r>
      <w:r>
        <w:rPr>
          <w:spacing w:val="-22"/>
        </w:rPr>
        <w:t> </w:t>
      </w:r>
      <w:r>
        <w:rPr/>
        <w:t>Council</w:t>
      </w:r>
      <w:r>
        <w:rPr>
          <w:spacing w:val="-22"/>
        </w:rPr>
        <w:t> </w:t>
      </w:r>
      <w:r>
        <w:rPr/>
        <w:t>Presentation for</w:t>
      </w:r>
      <w:r>
        <w:rPr>
          <w:spacing w:val="-16"/>
        </w:rPr>
        <w:t> </w:t>
      </w:r>
      <w:r>
        <w:rPr/>
        <w:t>the</w:t>
      </w:r>
      <w:r>
        <w:rPr>
          <w:spacing w:val="-16"/>
        </w:rPr>
        <w:t> </w:t>
      </w:r>
      <w:r>
        <w:rPr/>
        <w:t>Mathematics</w:t>
      </w:r>
      <w:r>
        <w:rPr>
          <w:spacing w:val="-16"/>
        </w:rPr>
        <w:t> </w:t>
      </w:r>
      <w:r>
        <w:rPr/>
        <w:t>Association.</w:t>
      </w:r>
    </w:p>
    <w:p>
      <w:pPr>
        <w:pStyle w:val="BodyText"/>
        <w:spacing w:line="247" w:lineRule="auto" w:before="57"/>
        <w:ind w:left="333" w:hanging="227"/>
      </w:pPr>
      <w:r>
        <w:rPr>
          <w:rFonts w:ascii="Century Gothic" w:hAnsi="Century Gothic"/>
          <w:b/>
          <w:w w:val="115"/>
        </w:rPr>
        <w:t>≥ </w:t>
      </w:r>
      <w:r>
        <w:rPr/>
        <w:t>Kerry Staples received the prestigious Jean Denton Memorial Scholarship to support her doctoral studies.</w:t>
      </w:r>
    </w:p>
    <w:p>
      <w:pPr>
        <w:pStyle w:val="BodyText"/>
        <w:spacing w:line="247" w:lineRule="auto" w:before="57"/>
        <w:ind w:left="333" w:hanging="227"/>
      </w:pPr>
      <w:r>
        <w:rPr>
          <w:rFonts w:ascii="Century Gothic" w:hAnsi="Century Gothic"/>
          <w:b/>
          <w:w w:val="115"/>
        </w:rPr>
        <w:t>≥ </w:t>
      </w:r>
      <w:r>
        <w:rPr/>
        <w:t>Associate Professor Mary Mooney received the Drama Australia President’s Award for Excellence in Teaching.</w:t>
      </w:r>
    </w:p>
    <w:p>
      <w:pPr>
        <w:pStyle w:val="BodyText"/>
        <w:spacing w:before="2"/>
        <w:rPr>
          <w:sz w:val="14"/>
        </w:rPr>
      </w:pPr>
    </w:p>
    <w:p>
      <w:pPr>
        <w:pStyle w:val="BodyText"/>
        <w:spacing w:line="249" w:lineRule="auto"/>
        <w:ind w:left="107" w:right="7"/>
      </w:pPr>
      <w:r>
        <w:rPr/>
        <w:t>The</w:t>
      </w:r>
      <w:r>
        <w:rPr>
          <w:spacing w:val="-18"/>
        </w:rPr>
        <w:t> </w:t>
      </w:r>
      <w:r>
        <w:rPr/>
        <w:t>Western</w:t>
      </w:r>
      <w:r>
        <w:rPr>
          <w:spacing w:val="-18"/>
        </w:rPr>
        <w:t> </w:t>
      </w:r>
      <w:r>
        <w:rPr/>
        <w:t>Sydney</w:t>
      </w:r>
      <w:r>
        <w:rPr>
          <w:spacing w:val="-18"/>
        </w:rPr>
        <w:t> </w:t>
      </w:r>
      <w:r>
        <w:rPr/>
        <w:t>Enactus</w:t>
      </w:r>
      <w:r>
        <w:rPr>
          <w:spacing w:val="-18"/>
        </w:rPr>
        <w:t> </w:t>
      </w:r>
      <w:r>
        <w:rPr/>
        <w:t>team,</w:t>
      </w:r>
      <w:r>
        <w:rPr>
          <w:spacing w:val="-18"/>
        </w:rPr>
        <w:t> </w:t>
      </w:r>
      <w:r>
        <w:rPr/>
        <w:t>supported by</w:t>
      </w:r>
      <w:r>
        <w:rPr>
          <w:spacing w:val="-13"/>
        </w:rPr>
        <w:t> </w:t>
      </w:r>
      <w:r>
        <w:rPr/>
        <w:t>Associate</w:t>
      </w:r>
      <w:r>
        <w:rPr>
          <w:spacing w:val="-13"/>
        </w:rPr>
        <w:t> </w:t>
      </w:r>
      <w:r>
        <w:rPr/>
        <w:t>Professor</w:t>
      </w:r>
      <w:r>
        <w:rPr>
          <w:spacing w:val="-13"/>
        </w:rPr>
        <w:t> </w:t>
      </w:r>
      <w:r>
        <w:rPr/>
        <w:t>Diana</w:t>
      </w:r>
      <w:r>
        <w:rPr>
          <w:spacing w:val="-13"/>
        </w:rPr>
        <w:t> </w:t>
      </w:r>
      <w:r>
        <w:rPr/>
        <w:t>Whitton,</w:t>
      </w:r>
    </w:p>
    <w:p>
      <w:pPr>
        <w:pStyle w:val="BodyText"/>
        <w:spacing w:line="249" w:lineRule="auto"/>
        <w:ind w:left="107" w:right="139"/>
      </w:pPr>
      <w:r>
        <w:rPr/>
        <w:t>was also recognised for its work on social entrepreneurship</w:t>
      </w:r>
      <w:r>
        <w:rPr>
          <w:spacing w:val="-27"/>
        </w:rPr>
        <w:t> </w:t>
      </w:r>
      <w:r>
        <w:rPr/>
        <w:t>endeavours.</w:t>
      </w:r>
      <w:r>
        <w:rPr>
          <w:spacing w:val="-27"/>
        </w:rPr>
        <w:t> </w:t>
      </w:r>
      <w:r>
        <w:rPr/>
        <w:t>The</w:t>
      </w:r>
      <w:r>
        <w:rPr>
          <w:spacing w:val="-27"/>
        </w:rPr>
        <w:t> </w:t>
      </w:r>
      <w:r>
        <w:rPr/>
        <w:t>team</w:t>
      </w:r>
      <w:r>
        <w:rPr>
          <w:spacing w:val="-27"/>
        </w:rPr>
        <w:t> </w:t>
      </w:r>
      <w:r>
        <w:rPr>
          <w:spacing w:val="2"/>
        </w:rPr>
        <w:t>has </w:t>
      </w:r>
      <w:r>
        <w:rPr/>
        <w:t>been active in the local community since </w:t>
      </w:r>
      <w:r>
        <w:rPr>
          <w:spacing w:val="2"/>
          <w:w w:val="95"/>
        </w:rPr>
        <w:t>2003,</w:t>
      </w:r>
      <w:r>
        <w:rPr>
          <w:w w:val="95"/>
        </w:rPr>
        <w:t> </w:t>
      </w:r>
      <w:r>
        <w:rPr>
          <w:spacing w:val="1"/>
          <w:w w:val="97"/>
        </w:rPr>
        <w:t>and</w:t>
      </w:r>
      <w:r>
        <w:rPr>
          <w:w w:val="97"/>
        </w:rPr>
        <w:t> </w:t>
      </w:r>
      <w:r>
        <w:rPr>
          <w:w w:val="95"/>
        </w:rPr>
        <w:t>in </w:t>
      </w:r>
      <w:r>
        <w:rPr>
          <w:spacing w:val="1"/>
          <w:w w:val="88"/>
        </w:rPr>
        <w:t>2015</w:t>
      </w:r>
      <w:r>
        <w:rPr>
          <w:w w:val="88"/>
        </w:rPr>
        <w:t> </w:t>
      </w:r>
      <w:r>
        <w:rPr>
          <w:w w:val="96"/>
        </w:rPr>
        <w:t>was </w:t>
      </w:r>
      <w:r>
        <w:rPr>
          <w:spacing w:val="1"/>
          <w:w w:val="98"/>
        </w:rPr>
        <w:t>recognised</w:t>
      </w:r>
      <w:r>
        <w:rPr>
          <w:w w:val="98"/>
        </w:rPr>
        <w:t> </w:t>
      </w:r>
      <w:r>
        <w:rPr>
          <w:w w:val="98"/>
        </w:rPr>
        <w:t>for </w:t>
      </w:r>
      <w:r>
        <w:rPr>
          <w:spacing w:val="1"/>
          <w:w w:val="97"/>
        </w:rPr>
        <w:t>its</w:t>
      </w:r>
      <w:r>
        <w:rPr>
          <w:w w:val="97"/>
        </w:rPr>
        <w:t> </w:t>
      </w:r>
      <w:r>
        <w:rPr/>
        <w:t>work</w:t>
      </w:r>
      <w:r>
        <w:rPr>
          <w:spacing w:val="-12"/>
        </w:rPr>
        <w:t> </w:t>
      </w:r>
      <w:r>
        <w:rPr/>
        <w:t>partnership</w:t>
      </w:r>
      <w:r>
        <w:rPr>
          <w:spacing w:val="-12"/>
        </w:rPr>
        <w:t> </w:t>
      </w:r>
      <w:r>
        <w:rPr/>
        <w:t>with</w:t>
      </w:r>
      <w:r>
        <w:rPr>
          <w:spacing w:val="-12"/>
        </w:rPr>
        <w:t> </w:t>
      </w:r>
      <w:r>
        <w:rPr/>
        <w:t>OzHarvest</w:t>
      </w:r>
      <w:r>
        <w:rPr>
          <w:spacing w:val="-12"/>
        </w:rPr>
        <w:t> </w:t>
      </w:r>
      <w:r>
        <w:rPr/>
        <w:t>to</w:t>
      </w:r>
      <w:r>
        <w:rPr>
          <w:spacing w:val="-12"/>
        </w:rPr>
        <w:t> </w:t>
      </w:r>
      <w:r>
        <w:rPr/>
        <w:t>develop a curriculum for primary school students relating</w:t>
      </w:r>
      <w:r>
        <w:rPr>
          <w:spacing w:val="-18"/>
        </w:rPr>
        <w:t> </w:t>
      </w:r>
      <w:r>
        <w:rPr/>
        <w:t>to</w:t>
      </w:r>
      <w:r>
        <w:rPr>
          <w:spacing w:val="-18"/>
        </w:rPr>
        <w:t> </w:t>
      </w:r>
      <w:r>
        <w:rPr/>
        <w:t>food</w:t>
      </w:r>
      <w:r>
        <w:rPr>
          <w:spacing w:val="-18"/>
        </w:rPr>
        <w:t> </w:t>
      </w:r>
      <w:r>
        <w:rPr/>
        <w:t>sustainability</w:t>
      </w:r>
      <w:r>
        <w:rPr>
          <w:spacing w:val="-18"/>
        </w:rPr>
        <w:t> </w:t>
      </w:r>
      <w:r>
        <w:rPr/>
        <w:t>and</w:t>
      </w:r>
      <w:r>
        <w:rPr>
          <w:spacing w:val="-18"/>
        </w:rPr>
        <w:t> </w:t>
      </w:r>
      <w:r>
        <w:rPr/>
        <w:t>waste.</w:t>
      </w:r>
    </w:p>
    <w:p>
      <w:pPr>
        <w:pStyle w:val="BodyText"/>
        <w:spacing w:before="7"/>
        <w:rPr>
          <w:sz w:val="21"/>
        </w:rPr>
      </w:pPr>
    </w:p>
    <w:p>
      <w:pPr>
        <w:pStyle w:val="Heading8"/>
      </w:pPr>
      <w:r>
        <w:rPr>
          <w:w w:val="95"/>
        </w:rPr>
        <w:t>ENGAGEMENT AND INTERNATIONAL</w:t>
      </w:r>
    </w:p>
    <w:p>
      <w:pPr>
        <w:pStyle w:val="BodyText"/>
        <w:spacing w:line="249" w:lineRule="auto" w:before="86"/>
        <w:ind w:left="107" w:right="66"/>
      </w:pPr>
      <w:r>
        <w:rPr/>
        <w:t>Partnerships with a wide range of organisations and communities are a central feature of the School. Led by the Director</w:t>
      </w:r>
    </w:p>
    <w:p>
      <w:pPr>
        <w:pStyle w:val="BodyText"/>
        <w:spacing w:line="249" w:lineRule="auto"/>
        <w:ind w:left="107" w:right="6"/>
      </w:pPr>
      <w:r>
        <w:rPr/>
        <w:t>of International Engagement, Associate Professor Christine Johnston, these partnerships</w:t>
      </w:r>
      <w:r>
        <w:rPr>
          <w:spacing w:val="-17"/>
        </w:rPr>
        <w:t> </w:t>
      </w:r>
      <w:r>
        <w:rPr/>
        <w:t>established</w:t>
      </w:r>
      <w:r>
        <w:rPr>
          <w:spacing w:val="-17"/>
        </w:rPr>
        <w:t> </w:t>
      </w:r>
      <w:r>
        <w:rPr/>
        <w:t>at</w:t>
      </w:r>
      <w:r>
        <w:rPr>
          <w:spacing w:val="-17"/>
        </w:rPr>
        <w:t> </w:t>
      </w:r>
      <w:r>
        <w:rPr/>
        <w:t>local,</w:t>
      </w:r>
      <w:r>
        <w:rPr>
          <w:spacing w:val="-17"/>
        </w:rPr>
        <w:t> </w:t>
      </w:r>
      <w:r>
        <w:rPr/>
        <w:t>national</w:t>
      </w:r>
      <w:r>
        <w:rPr>
          <w:spacing w:val="-17"/>
        </w:rPr>
        <w:t> </w:t>
      </w:r>
      <w:r>
        <w:rPr/>
        <w:t>and international levels provide opportunities for pre-service teachers, staff and community colleagues</w:t>
      </w:r>
      <w:r>
        <w:rPr>
          <w:spacing w:val="-18"/>
        </w:rPr>
        <w:t> </w:t>
      </w:r>
      <w:r>
        <w:rPr/>
        <w:t>to</w:t>
      </w:r>
      <w:r>
        <w:rPr>
          <w:spacing w:val="-18"/>
        </w:rPr>
        <w:t> </w:t>
      </w:r>
      <w:r>
        <w:rPr/>
        <w:t>engage</w:t>
      </w:r>
      <w:r>
        <w:rPr>
          <w:spacing w:val="-18"/>
        </w:rPr>
        <w:t> </w:t>
      </w:r>
      <w:r>
        <w:rPr/>
        <w:t>in</w:t>
      </w:r>
      <w:r>
        <w:rPr>
          <w:spacing w:val="-18"/>
        </w:rPr>
        <w:t> </w:t>
      </w:r>
      <w:r>
        <w:rPr/>
        <w:t>teaching,</w:t>
      </w:r>
      <w:r>
        <w:rPr>
          <w:spacing w:val="-18"/>
        </w:rPr>
        <w:t> </w:t>
      </w:r>
      <w:r>
        <w:rPr/>
        <w:t>learning</w:t>
      </w:r>
      <w:r>
        <w:rPr>
          <w:spacing w:val="-18"/>
        </w:rPr>
        <w:t> </w:t>
      </w:r>
      <w:r>
        <w:rPr/>
        <w:t>and research.</w:t>
      </w:r>
      <w:r>
        <w:rPr>
          <w:spacing w:val="-16"/>
        </w:rPr>
        <w:t> </w:t>
      </w:r>
      <w:r>
        <w:rPr/>
        <w:t>Engagement</w:t>
      </w:r>
      <w:r>
        <w:rPr>
          <w:spacing w:val="-16"/>
        </w:rPr>
        <w:t> </w:t>
      </w:r>
      <w:r>
        <w:rPr/>
        <w:t>activities</w:t>
      </w:r>
      <w:r>
        <w:rPr>
          <w:spacing w:val="-16"/>
        </w:rPr>
        <w:t> </w:t>
      </w:r>
      <w:r>
        <w:rPr/>
        <w:t>in</w:t>
      </w:r>
      <w:r>
        <w:rPr>
          <w:spacing w:val="-16"/>
        </w:rPr>
        <w:t> </w:t>
      </w:r>
      <w:r>
        <w:rPr/>
        <w:t>the</w:t>
      </w:r>
      <w:r>
        <w:rPr>
          <w:spacing w:val="-16"/>
        </w:rPr>
        <w:t> </w:t>
      </w:r>
      <w:r>
        <w:rPr/>
        <w:t>School include professional experience, service learning, professional development through the Education Knowledge Network, and </w:t>
      </w:r>
      <w:r>
        <w:rPr>
          <w:w w:val="95"/>
        </w:rPr>
        <w:t>collaborative</w:t>
      </w:r>
      <w:r>
        <w:rPr>
          <w:spacing w:val="40"/>
          <w:w w:val="95"/>
        </w:rPr>
        <w:t> </w:t>
      </w:r>
      <w:r>
        <w:rPr>
          <w:w w:val="95"/>
        </w:rPr>
        <w:t>research.</w:t>
      </w:r>
    </w:p>
    <w:p>
      <w:pPr>
        <w:pStyle w:val="BodyText"/>
        <w:rPr>
          <w:sz w:val="14"/>
        </w:rPr>
      </w:pPr>
    </w:p>
    <w:p>
      <w:pPr>
        <w:pStyle w:val="BodyText"/>
        <w:spacing w:line="247" w:lineRule="auto"/>
        <w:ind w:left="107" w:right="-1"/>
        <w:rPr>
          <w:rFonts w:ascii="Century Gothic" w:hAnsi="Century Gothic"/>
          <w:i/>
        </w:rPr>
      </w:pPr>
      <w:r>
        <w:rPr/>
        <w:t>Providing</w:t>
      </w:r>
      <w:r>
        <w:rPr>
          <w:spacing w:val="-23"/>
        </w:rPr>
        <w:t> </w:t>
      </w:r>
      <w:r>
        <w:rPr/>
        <w:t>high-quality</w:t>
      </w:r>
      <w:r>
        <w:rPr>
          <w:spacing w:val="-23"/>
        </w:rPr>
        <w:t> </w:t>
      </w:r>
      <w:r>
        <w:rPr/>
        <w:t>professional</w:t>
      </w:r>
      <w:r>
        <w:rPr>
          <w:spacing w:val="-23"/>
        </w:rPr>
        <w:t> </w:t>
      </w:r>
      <w:r>
        <w:rPr/>
        <w:t>experience and service learning placements for our pre- service</w:t>
      </w:r>
      <w:r>
        <w:rPr>
          <w:spacing w:val="-20"/>
        </w:rPr>
        <w:t> </w:t>
      </w:r>
      <w:r>
        <w:rPr/>
        <w:t>teachers</w:t>
      </w:r>
      <w:r>
        <w:rPr>
          <w:spacing w:val="-20"/>
        </w:rPr>
        <w:t> </w:t>
      </w:r>
      <w:r>
        <w:rPr/>
        <w:t>is</w:t>
      </w:r>
      <w:r>
        <w:rPr>
          <w:spacing w:val="-20"/>
        </w:rPr>
        <w:t> </w:t>
      </w:r>
      <w:r>
        <w:rPr/>
        <w:t>a</w:t>
      </w:r>
      <w:r>
        <w:rPr>
          <w:spacing w:val="-20"/>
        </w:rPr>
        <w:t> </w:t>
      </w:r>
      <w:r>
        <w:rPr/>
        <w:t>high</w:t>
      </w:r>
      <w:r>
        <w:rPr>
          <w:spacing w:val="-20"/>
        </w:rPr>
        <w:t> </w:t>
      </w:r>
      <w:r>
        <w:rPr/>
        <w:t>priority</w:t>
      </w:r>
      <w:r>
        <w:rPr>
          <w:spacing w:val="-20"/>
        </w:rPr>
        <w:t> </w:t>
      </w:r>
      <w:r>
        <w:rPr/>
        <w:t>of</w:t>
      </w:r>
      <w:r>
        <w:rPr>
          <w:spacing w:val="-20"/>
        </w:rPr>
        <w:t> </w:t>
      </w:r>
      <w:r>
        <w:rPr/>
        <w:t>the</w:t>
      </w:r>
      <w:r>
        <w:rPr>
          <w:spacing w:val="-20"/>
        </w:rPr>
        <w:t> </w:t>
      </w:r>
      <w:r>
        <w:rPr/>
        <w:t>School. This was recognised in a material way by the appointment of Doctor Tania Ferfolja to the position</w:t>
      </w:r>
      <w:r>
        <w:rPr>
          <w:spacing w:val="-20"/>
        </w:rPr>
        <w:t> </w:t>
      </w:r>
      <w:r>
        <w:rPr/>
        <w:t>of</w:t>
      </w:r>
      <w:r>
        <w:rPr>
          <w:spacing w:val="-20"/>
        </w:rPr>
        <w:t> </w:t>
      </w:r>
      <w:r>
        <w:rPr/>
        <w:t>Director</w:t>
      </w:r>
      <w:r>
        <w:rPr>
          <w:spacing w:val="-20"/>
        </w:rPr>
        <w:t> </w:t>
      </w:r>
      <w:r>
        <w:rPr/>
        <w:t>of</w:t>
      </w:r>
      <w:r>
        <w:rPr>
          <w:spacing w:val="-20"/>
        </w:rPr>
        <w:t> </w:t>
      </w:r>
      <w:r>
        <w:rPr/>
        <w:t>Professional</w:t>
      </w:r>
      <w:r>
        <w:rPr>
          <w:spacing w:val="-20"/>
        </w:rPr>
        <w:t> </w:t>
      </w:r>
      <w:r>
        <w:rPr/>
        <w:t>Experience </w:t>
      </w:r>
      <w:r>
        <w:rPr>
          <w:w w:val="95"/>
        </w:rPr>
        <w:t>in </w:t>
      </w:r>
      <w:r>
        <w:rPr>
          <w:spacing w:val="1"/>
          <w:w w:val="84"/>
        </w:rPr>
        <w:t>2015.</w:t>
      </w:r>
      <w:r>
        <w:rPr>
          <w:w w:val="84"/>
        </w:rPr>
        <w:t> </w:t>
      </w:r>
      <w:r>
        <w:rPr>
          <w:spacing w:val="1"/>
          <w:w w:val="103"/>
        </w:rPr>
        <w:t>As</w:t>
      </w:r>
      <w:r>
        <w:rPr>
          <w:w w:val="103"/>
        </w:rPr>
        <w:t> </w:t>
      </w:r>
      <w:r>
        <w:rPr>
          <w:spacing w:val="1"/>
          <w:w w:val="98"/>
        </w:rPr>
        <w:t>part</w:t>
      </w:r>
      <w:r>
        <w:rPr>
          <w:w w:val="98"/>
        </w:rPr>
        <w:t> </w:t>
      </w:r>
      <w:r>
        <w:rPr>
          <w:spacing w:val="-1"/>
          <w:w w:val="99"/>
        </w:rPr>
        <w:t>of</w:t>
      </w:r>
      <w:r>
        <w:rPr>
          <w:w w:val="99"/>
        </w:rPr>
        <w:t> </w:t>
      </w:r>
      <w:r>
        <w:rPr>
          <w:w w:val="97"/>
        </w:rPr>
        <w:t>the </w:t>
      </w:r>
      <w:r>
        <w:rPr>
          <w:spacing w:val="1"/>
          <w:w w:val="101"/>
        </w:rPr>
        <w:t>NSW</w:t>
      </w:r>
      <w:r>
        <w:rPr>
          <w:w w:val="101"/>
        </w:rPr>
        <w:t> </w:t>
      </w:r>
      <w:r>
        <w:rPr>
          <w:w w:val="97"/>
        </w:rPr>
        <w:t>Government’s </w:t>
      </w:r>
      <w:r>
        <w:rPr>
          <w:w w:val="90"/>
        </w:rPr>
        <w:t>reforms to education (</w:t>
      </w:r>
      <w:r>
        <w:rPr>
          <w:rFonts w:ascii="Century Gothic" w:hAnsi="Century Gothic"/>
          <w:i/>
          <w:w w:val="90"/>
        </w:rPr>
        <w:t>Great Teaching, Inspired</w:t>
      </w:r>
    </w:p>
    <w:p>
      <w:pPr>
        <w:pStyle w:val="BodyText"/>
        <w:spacing w:before="5"/>
        <w:rPr>
          <w:rFonts w:ascii="Century Gothic"/>
          <w:i/>
        </w:rPr>
      </w:pPr>
      <w:r>
        <w:rPr/>
        <w:br w:type="column"/>
      </w:r>
      <w:r>
        <w:rPr>
          <w:rFonts w:ascii="Century Gothic"/>
          <w:i/>
        </w:rPr>
      </w:r>
    </w:p>
    <w:p>
      <w:pPr>
        <w:pStyle w:val="BodyText"/>
        <w:spacing w:line="247" w:lineRule="auto" w:before="1"/>
        <w:ind w:left="107" w:right="54"/>
      </w:pPr>
      <w:r>
        <w:rPr>
          <w:rFonts w:ascii="Century Gothic"/>
          <w:i/>
        </w:rPr>
        <w:t>Learning</w:t>
      </w:r>
      <w:r>
        <w:rPr/>
        <w:t>), the Department of Education agreed to formalise partnerships with schools that provide professional experience placements for pre-service teachers. These agreements are a significant step toward assuring the quality of placements and also offer the opportunity to work more closely with schools on a range of other matters, including professional learning for teachers and supporting research at school sites.</w:t>
      </w:r>
    </w:p>
    <w:p>
      <w:pPr>
        <w:pStyle w:val="BodyText"/>
        <w:spacing w:before="2"/>
        <w:rPr>
          <w:sz w:val="14"/>
        </w:rPr>
      </w:pPr>
    </w:p>
    <w:p>
      <w:pPr>
        <w:pStyle w:val="BodyText"/>
        <w:spacing w:line="249" w:lineRule="auto"/>
        <w:ind w:left="107" w:right="59"/>
      </w:pPr>
      <w:r>
        <w:rPr/>
        <w:t>The Education Knowledge Network, under the direction of Doctor Catherine Attard, </w:t>
      </w:r>
      <w:r>
        <w:rPr>
          <w:w w:val="98"/>
        </w:rPr>
        <w:t>expanded </w:t>
      </w:r>
      <w:r>
        <w:rPr>
          <w:spacing w:val="1"/>
          <w:w w:val="97"/>
        </w:rPr>
        <w:t>its</w:t>
      </w:r>
      <w:r>
        <w:rPr>
          <w:w w:val="97"/>
        </w:rPr>
        <w:t> </w:t>
      </w:r>
      <w:r>
        <w:rPr>
          <w:w w:val="97"/>
        </w:rPr>
        <w:t>offerings </w:t>
      </w:r>
      <w:r>
        <w:rPr>
          <w:spacing w:val="1"/>
          <w:w w:val="97"/>
        </w:rPr>
        <w:t>and</w:t>
      </w:r>
      <w:r>
        <w:rPr>
          <w:w w:val="97"/>
        </w:rPr>
        <w:t> </w:t>
      </w:r>
      <w:r>
        <w:rPr>
          <w:w w:val="96"/>
        </w:rPr>
        <w:t>reach </w:t>
      </w:r>
      <w:r>
        <w:rPr>
          <w:w w:val="95"/>
        </w:rPr>
        <w:t>in </w:t>
      </w:r>
      <w:r>
        <w:rPr>
          <w:w w:val="88"/>
        </w:rPr>
        <w:t>2015 </w:t>
      </w:r>
      <w:r>
        <w:rPr>
          <w:w w:val="94"/>
        </w:rPr>
        <w:t>as </w:t>
      </w:r>
      <w:r>
        <w:rPr>
          <w:w w:val="94"/>
        </w:rPr>
        <w:t>a </w:t>
      </w:r>
      <w:r>
        <w:rPr/>
        <w:t>result of new partnerships with a number of organisations,</w:t>
      </w:r>
      <w:r>
        <w:rPr>
          <w:spacing w:val="-29"/>
        </w:rPr>
        <w:t> </w:t>
      </w:r>
      <w:r>
        <w:rPr/>
        <w:t>including</w:t>
      </w:r>
      <w:r>
        <w:rPr>
          <w:spacing w:val="-29"/>
        </w:rPr>
        <w:t> </w:t>
      </w:r>
      <w:r>
        <w:rPr/>
        <w:t>the</w:t>
      </w:r>
      <w:r>
        <w:rPr>
          <w:spacing w:val="-29"/>
        </w:rPr>
        <w:t> </w:t>
      </w:r>
      <w:r>
        <w:rPr/>
        <w:t>National</w:t>
      </w:r>
      <w:r>
        <w:rPr>
          <w:spacing w:val="-29"/>
        </w:rPr>
        <w:t> </w:t>
      </w:r>
      <w:r>
        <w:rPr/>
        <w:t>Institute of Dramatic Art and the Beacon Foundation, which offer workshops under the Education Knowledge Network banner. Further partnerships</w:t>
      </w:r>
      <w:r>
        <w:rPr>
          <w:spacing w:val="-26"/>
        </w:rPr>
        <w:t> </w:t>
      </w:r>
      <w:r>
        <w:rPr/>
        <w:t>are</w:t>
      </w:r>
      <w:r>
        <w:rPr>
          <w:spacing w:val="-26"/>
        </w:rPr>
        <w:t> </w:t>
      </w:r>
      <w:r>
        <w:rPr/>
        <w:t>under</w:t>
      </w:r>
      <w:r>
        <w:rPr>
          <w:spacing w:val="-26"/>
        </w:rPr>
        <w:t> </w:t>
      </w:r>
      <w:r>
        <w:rPr/>
        <w:t>discussion.</w:t>
      </w:r>
      <w:r>
        <w:rPr>
          <w:spacing w:val="-26"/>
        </w:rPr>
        <w:t> </w:t>
      </w:r>
      <w:r>
        <w:rPr/>
        <w:t>The</w:t>
      </w:r>
      <w:r>
        <w:rPr>
          <w:spacing w:val="-26"/>
        </w:rPr>
        <w:t> </w:t>
      </w:r>
      <w:r>
        <w:rPr/>
        <w:t>School holds</w:t>
      </w:r>
      <w:r>
        <w:rPr>
          <w:spacing w:val="-19"/>
        </w:rPr>
        <w:t> </w:t>
      </w:r>
      <w:r>
        <w:rPr/>
        <w:t>a</w:t>
      </w:r>
      <w:r>
        <w:rPr>
          <w:spacing w:val="-19"/>
        </w:rPr>
        <w:t> </w:t>
      </w:r>
      <w:r>
        <w:rPr/>
        <w:t>high</w:t>
      </w:r>
      <w:r>
        <w:rPr>
          <w:spacing w:val="-19"/>
        </w:rPr>
        <w:t> </w:t>
      </w:r>
      <w:r>
        <w:rPr/>
        <w:t>level</w:t>
      </w:r>
      <w:r>
        <w:rPr>
          <w:spacing w:val="-19"/>
        </w:rPr>
        <w:t> </w:t>
      </w:r>
      <w:r>
        <w:rPr/>
        <w:t>of</w:t>
      </w:r>
      <w:r>
        <w:rPr>
          <w:spacing w:val="-19"/>
        </w:rPr>
        <w:t> </w:t>
      </w:r>
      <w:r>
        <w:rPr/>
        <w:t>accreditation</w:t>
      </w:r>
      <w:r>
        <w:rPr>
          <w:spacing w:val="-19"/>
        </w:rPr>
        <w:t> </w:t>
      </w:r>
      <w:r>
        <w:rPr/>
        <w:t>for</w:t>
      </w:r>
      <w:r>
        <w:rPr>
          <w:spacing w:val="-19"/>
        </w:rPr>
        <w:t> </w:t>
      </w:r>
      <w:r>
        <w:rPr/>
        <w:t>ongoing professional</w:t>
      </w:r>
      <w:r>
        <w:rPr>
          <w:spacing w:val="-29"/>
        </w:rPr>
        <w:t> </w:t>
      </w:r>
      <w:r>
        <w:rPr/>
        <w:t>learning</w:t>
      </w:r>
      <w:r>
        <w:rPr>
          <w:spacing w:val="-29"/>
        </w:rPr>
        <w:t> </w:t>
      </w:r>
      <w:r>
        <w:rPr/>
        <w:t>for</w:t>
      </w:r>
      <w:r>
        <w:rPr>
          <w:spacing w:val="-29"/>
        </w:rPr>
        <w:t> </w:t>
      </w:r>
      <w:r>
        <w:rPr/>
        <w:t>teachers.</w:t>
      </w:r>
      <w:r>
        <w:rPr>
          <w:spacing w:val="-29"/>
        </w:rPr>
        <w:t> </w:t>
      </w:r>
      <w:r>
        <w:rPr/>
        <w:t>Courses</w:t>
      </w:r>
      <w:r>
        <w:rPr>
          <w:spacing w:val="-29"/>
        </w:rPr>
        <w:t> </w:t>
      </w:r>
      <w:r>
        <w:rPr/>
        <w:t>at</w:t>
      </w:r>
    </w:p>
    <w:p>
      <w:pPr>
        <w:pStyle w:val="BodyText"/>
        <w:spacing w:line="192" w:lineRule="exact"/>
        <w:ind w:left="107" w:right="-14"/>
      </w:pPr>
      <w:r>
        <w:rPr>
          <w:w w:val="102"/>
        </w:rPr>
        <w:t>t</w:t>
      </w:r>
      <w:r>
        <w:rPr>
          <w:spacing w:val="1"/>
          <w:w w:val="95"/>
        </w:rPr>
        <w:t>h</w:t>
      </w:r>
      <w:r>
        <w:rPr>
          <w:w w:val="95"/>
        </w:rPr>
        <w:t>i</w:t>
      </w:r>
      <w:r>
        <w:rPr>
          <w:w w:val="95"/>
        </w:rPr>
        <w:t>s</w:t>
      </w:r>
      <w:r>
        <w:rPr>
          <w:spacing w:val="-14"/>
        </w:rPr>
        <w:t> </w:t>
      </w:r>
      <w:r>
        <w:rPr>
          <w:spacing w:val="1"/>
          <w:w w:val="95"/>
        </w:rPr>
        <w:t>l</w:t>
      </w:r>
      <w:r>
        <w:rPr>
          <w:spacing w:val="-2"/>
          <w:w w:val="95"/>
        </w:rPr>
        <w:t>e</w:t>
      </w:r>
      <w:r>
        <w:rPr>
          <w:spacing w:val="-2"/>
          <w:w w:val="101"/>
        </w:rPr>
        <w:t>v</w:t>
      </w:r>
      <w:r>
        <w:rPr>
          <w:spacing w:val="1"/>
          <w:w w:val="95"/>
        </w:rPr>
        <w:t>e</w:t>
      </w:r>
      <w:r>
        <w:rPr>
          <w:w w:val="95"/>
        </w:rPr>
        <w:t>l</w:t>
      </w:r>
      <w:r>
        <w:rPr>
          <w:spacing w:val="-14"/>
        </w:rPr>
        <w:t> </w:t>
      </w:r>
      <w:r>
        <w:rPr>
          <w:spacing w:val="-2"/>
          <w:w w:val="101"/>
        </w:rPr>
        <w:t>w</w:t>
      </w:r>
      <w:r>
        <w:rPr>
          <w:spacing w:val="1"/>
          <w:w w:val="95"/>
        </w:rPr>
        <w:t>e</w:t>
      </w:r>
      <w:r>
        <w:rPr>
          <w:spacing w:val="-2"/>
          <w:w w:val="95"/>
        </w:rPr>
        <w:t>r</w:t>
      </w:r>
      <w:r>
        <w:rPr>
          <w:w w:val="95"/>
        </w:rPr>
        <w:t>e</w:t>
      </w:r>
      <w:r>
        <w:rPr>
          <w:spacing w:val="-14"/>
        </w:rPr>
        <w:t> </w:t>
      </w:r>
      <w:r>
        <w:rPr>
          <w:w w:val="100"/>
        </w:rPr>
        <w:t>o</w:t>
      </w:r>
      <w:r>
        <w:rPr>
          <w:w w:val="98"/>
        </w:rPr>
        <w:t>f</w:t>
      </w:r>
      <w:r>
        <w:rPr>
          <w:spacing w:val="1"/>
          <w:w w:val="98"/>
        </w:rPr>
        <w:t>f</w:t>
      </w:r>
      <w:r>
        <w:rPr>
          <w:spacing w:val="1"/>
          <w:w w:val="95"/>
        </w:rPr>
        <w:t>e</w:t>
      </w:r>
      <w:r>
        <w:rPr>
          <w:spacing w:val="-2"/>
          <w:w w:val="95"/>
        </w:rPr>
        <w:t>r</w:t>
      </w:r>
      <w:r>
        <w:rPr>
          <w:spacing w:val="2"/>
          <w:w w:val="95"/>
        </w:rPr>
        <w:t>e</w:t>
      </w:r>
      <w:r>
        <w:rPr>
          <w:w w:val="102"/>
        </w:rPr>
        <w:t>d</w:t>
      </w:r>
      <w:r>
        <w:rPr>
          <w:spacing w:val="-14"/>
        </w:rPr>
        <w:t> </w:t>
      </w:r>
      <w:r>
        <w:rPr>
          <w:spacing w:val="-1"/>
          <w:w w:val="98"/>
        </w:rPr>
        <w:t>f</w:t>
      </w:r>
      <w:r>
        <w:rPr>
          <w:spacing w:val="1"/>
          <w:w w:val="100"/>
        </w:rPr>
        <w:t>o</w:t>
      </w:r>
      <w:r>
        <w:rPr>
          <w:w w:val="95"/>
        </w:rPr>
        <w:t>r</w:t>
      </w:r>
      <w:r>
        <w:rPr>
          <w:spacing w:val="-14"/>
        </w:rPr>
        <w:t> </w:t>
      </w:r>
      <w:r>
        <w:rPr>
          <w:w w:val="102"/>
        </w:rPr>
        <w:t>t</w:t>
      </w:r>
      <w:r>
        <w:rPr>
          <w:spacing w:val="1"/>
          <w:w w:val="95"/>
        </w:rPr>
        <w:t>h</w:t>
      </w:r>
      <w:r>
        <w:rPr>
          <w:w w:val="95"/>
        </w:rPr>
        <w:t>e</w:t>
      </w:r>
      <w:r>
        <w:rPr>
          <w:spacing w:val="-14"/>
        </w:rPr>
        <w:t> </w:t>
      </w:r>
      <w:r>
        <w:rPr>
          <w:w w:val="97"/>
        </w:rPr>
        <w:t>f</w:t>
      </w:r>
      <w:r>
        <w:rPr>
          <w:spacing w:val="1"/>
          <w:w w:val="97"/>
        </w:rPr>
        <w:t>i</w:t>
      </w:r>
      <w:r>
        <w:rPr>
          <w:spacing w:val="1"/>
          <w:w w:val="95"/>
        </w:rPr>
        <w:t>r</w:t>
      </w:r>
      <w:r>
        <w:rPr>
          <w:spacing w:val="2"/>
          <w:w w:val="95"/>
        </w:rPr>
        <w:t>s</w:t>
      </w:r>
      <w:r>
        <w:rPr>
          <w:w w:val="102"/>
        </w:rPr>
        <w:t>t</w:t>
      </w:r>
      <w:r>
        <w:rPr>
          <w:spacing w:val="-14"/>
        </w:rPr>
        <w:t> </w:t>
      </w:r>
      <w:r>
        <w:rPr>
          <w:spacing w:val="-1"/>
          <w:w w:val="102"/>
        </w:rPr>
        <w:t>t</w:t>
      </w:r>
      <w:r>
        <w:rPr>
          <w:w w:val="95"/>
        </w:rPr>
        <w:t>i</w:t>
      </w:r>
      <w:r>
        <w:rPr>
          <w:spacing w:val="2"/>
          <w:w w:val="98"/>
        </w:rPr>
        <w:t>m</w:t>
      </w:r>
      <w:r>
        <w:rPr>
          <w:w w:val="95"/>
        </w:rPr>
        <w:t>e</w:t>
      </w:r>
      <w:r>
        <w:rPr>
          <w:spacing w:val="-14"/>
        </w:rPr>
        <w:t> </w:t>
      </w:r>
      <w:r>
        <w:rPr>
          <w:w w:val="95"/>
        </w:rPr>
        <w:t>i</w:t>
      </w:r>
      <w:r>
        <w:rPr>
          <w:w w:val="95"/>
        </w:rPr>
        <w:t>n</w:t>
      </w:r>
      <w:r>
        <w:rPr>
          <w:spacing w:val="-14"/>
        </w:rPr>
        <w:t> </w:t>
      </w:r>
      <w:r>
        <w:rPr>
          <w:spacing w:val="1"/>
          <w:w w:val="93"/>
        </w:rPr>
        <w:t>2</w:t>
      </w:r>
      <w:r>
        <w:rPr>
          <w:w w:val="111"/>
        </w:rPr>
        <w:t>0</w:t>
      </w:r>
      <w:r>
        <w:rPr>
          <w:spacing w:val="2"/>
          <w:w w:val="54"/>
        </w:rPr>
        <w:t>1</w:t>
      </w:r>
      <w:r>
        <w:rPr>
          <w:spacing w:val="4"/>
          <w:w w:val="95"/>
        </w:rPr>
        <w:t>5</w:t>
      </w:r>
      <w:r>
        <w:rPr>
          <w:w w:val="68"/>
        </w:rPr>
        <w:t>.</w:t>
      </w:r>
    </w:p>
    <w:p>
      <w:pPr>
        <w:pStyle w:val="BodyText"/>
        <w:spacing w:before="7"/>
        <w:rPr>
          <w:sz w:val="14"/>
        </w:rPr>
      </w:pPr>
    </w:p>
    <w:p>
      <w:pPr>
        <w:pStyle w:val="BodyText"/>
        <w:spacing w:line="249" w:lineRule="auto" w:before="1"/>
        <w:ind w:left="107" w:right="150"/>
      </w:pPr>
      <w:r>
        <w:rPr/>
        <w:t>International engagement with the School continues</w:t>
      </w:r>
      <w:r>
        <w:rPr>
          <w:spacing w:val="-22"/>
        </w:rPr>
        <w:t> </w:t>
      </w:r>
      <w:r>
        <w:rPr/>
        <w:t>to</w:t>
      </w:r>
      <w:r>
        <w:rPr>
          <w:spacing w:val="-22"/>
        </w:rPr>
        <w:t> </w:t>
      </w:r>
      <w:r>
        <w:rPr/>
        <w:t>have</w:t>
      </w:r>
      <w:r>
        <w:rPr>
          <w:spacing w:val="-22"/>
        </w:rPr>
        <w:t> </w:t>
      </w:r>
      <w:r>
        <w:rPr/>
        <w:t>three</w:t>
      </w:r>
      <w:r>
        <w:rPr>
          <w:spacing w:val="-22"/>
        </w:rPr>
        <w:t> </w:t>
      </w:r>
      <w:r>
        <w:rPr/>
        <w:t>main</w:t>
      </w:r>
      <w:r>
        <w:rPr>
          <w:spacing w:val="-22"/>
        </w:rPr>
        <w:t> </w:t>
      </w:r>
      <w:r>
        <w:rPr/>
        <w:t>drivers:</w:t>
      </w:r>
      <w:r>
        <w:rPr>
          <w:spacing w:val="-22"/>
        </w:rPr>
        <w:t> </w:t>
      </w:r>
      <w:r>
        <w:rPr/>
        <w:t>Higher Degree Research (HDR) cohort programs, research partnerships and overseas professional</w:t>
      </w:r>
      <w:r>
        <w:rPr>
          <w:spacing w:val="-26"/>
        </w:rPr>
        <w:t> </w:t>
      </w:r>
      <w:r>
        <w:rPr/>
        <w:t>experience</w:t>
      </w:r>
      <w:r>
        <w:rPr>
          <w:spacing w:val="-26"/>
        </w:rPr>
        <w:t> </w:t>
      </w:r>
      <w:r>
        <w:rPr/>
        <w:t>programs.</w:t>
      </w:r>
    </w:p>
    <w:p>
      <w:pPr>
        <w:pStyle w:val="BodyText"/>
        <w:rPr>
          <w:sz w:val="14"/>
        </w:rPr>
      </w:pPr>
    </w:p>
    <w:p>
      <w:pPr>
        <w:pStyle w:val="BodyText"/>
        <w:spacing w:line="249" w:lineRule="auto"/>
        <w:ind w:left="107" w:right="43"/>
      </w:pPr>
      <w:r>
        <w:rPr/>
        <w:t>The ROSETE (Research-Oriented School- Engaged Teacher Education) program is a key</w:t>
      </w:r>
      <w:r>
        <w:rPr>
          <w:spacing w:val="-16"/>
        </w:rPr>
        <w:t> </w:t>
      </w:r>
      <w:r>
        <w:rPr/>
        <w:t>program</w:t>
      </w:r>
      <w:r>
        <w:rPr>
          <w:spacing w:val="-16"/>
        </w:rPr>
        <w:t> </w:t>
      </w:r>
      <w:r>
        <w:rPr/>
        <w:t>for</w:t>
      </w:r>
      <w:r>
        <w:rPr>
          <w:spacing w:val="-16"/>
        </w:rPr>
        <w:t> </w:t>
      </w:r>
      <w:r>
        <w:rPr/>
        <w:t>the</w:t>
      </w:r>
      <w:r>
        <w:rPr>
          <w:spacing w:val="-16"/>
        </w:rPr>
        <w:t> </w:t>
      </w:r>
      <w:r>
        <w:rPr/>
        <w:t>School.</w:t>
      </w:r>
      <w:r>
        <w:rPr>
          <w:spacing w:val="-16"/>
        </w:rPr>
        <w:t> </w:t>
      </w:r>
      <w:r>
        <w:rPr/>
        <w:t>This</w:t>
      </w:r>
      <w:r>
        <w:rPr>
          <w:spacing w:val="-16"/>
        </w:rPr>
        <w:t> </w:t>
      </w:r>
      <w:r>
        <w:rPr/>
        <w:t>partnership with the Ningbo Municipal Education Bureau and the NSW Department of Education and Communities involves research students from Ningbo, China researching their own teaching</w:t>
      </w:r>
      <w:r>
        <w:rPr>
          <w:spacing w:val="-19"/>
        </w:rPr>
        <w:t> </w:t>
      </w:r>
      <w:r>
        <w:rPr/>
        <w:t>of</w:t>
      </w:r>
      <w:r>
        <w:rPr>
          <w:spacing w:val="-19"/>
        </w:rPr>
        <w:t> </w:t>
      </w:r>
      <w:r>
        <w:rPr/>
        <w:t>Mandarin</w:t>
      </w:r>
      <w:r>
        <w:rPr>
          <w:spacing w:val="-19"/>
        </w:rPr>
        <w:t> </w:t>
      </w:r>
      <w:r>
        <w:rPr/>
        <w:t>as</w:t>
      </w:r>
      <w:r>
        <w:rPr>
          <w:spacing w:val="-19"/>
        </w:rPr>
        <w:t> </w:t>
      </w:r>
      <w:r>
        <w:rPr/>
        <w:t>volunteers</w:t>
      </w:r>
      <w:r>
        <w:rPr>
          <w:spacing w:val="-19"/>
        </w:rPr>
        <w:t> </w:t>
      </w:r>
      <w:r>
        <w:rPr/>
        <w:t>in</w:t>
      </w:r>
      <w:r>
        <w:rPr>
          <w:spacing w:val="-19"/>
        </w:rPr>
        <w:t> </w:t>
      </w:r>
      <w:r>
        <w:rPr/>
        <w:t>Sydney </w:t>
      </w:r>
      <w:r>
        <w:rPr>
          <w:spacing w:val="1"/>
          <w:w w:val="94"/>
        </w:rPr>
        <w:t>schools.</w:t>
      </w:r>
      <w:r>
        <w:rPr>
          <w:w w:val="94"/>
        </w:rPr>
        <w:t> </w:t>
      </w:r>
      <w:r>
        <w:rPr>
          <w:spacing w:val="1"/>
          <w:w w:val="97"/>
        </w:rPr>
        <w:t>During</w:t>
      </w:r>
      <w:r>
        <w:rPr>
          <w:w w:val="97"/>
        </w:rPr>
        <w:t> </w:t>
      </w:r>
      <w:r>
        <w:rPr>
          <w:spacing w:val="1"/>
          <w:w w:val="84"/>
        </w:rPr>
        <w:t>2015,</w:t>
      </w:r>
      <w:r>
        <w:rPr>
          <w:w w:val="84"/>
        </w:rPr>
        <w:t> </w:t>
      </w:r>
      <w:r>
        <w:rPr>
          <w:spacing w:val="1"/>
          <w:w w:val="97"/>
        </w:rPr>
        <w:t>Professor</w:t>
      </w:r>
      <w:r>
        <w:rPr>
          <w:w w:val="97"/>
        </w:rPr>
        <w:t> </w:t>
      </w:r>
      <w:r>
        <w:rPr>
          <w:spacing w:val="1"/>
          <w:w w:val="96"/>
        </w:rPr>
        <w:t>Michael</w:t>
      </w:r>
      <w:r>
        <w:rPr>
          <w:w w:val="96"/>
        </w:rPr>
        <w:t> </w:t>
      </w:r>
      <w:r>
        <w:rPr>
          <w:spacing w:val="1"/>
          <w:w w:val="97"/>
        </w:rPr>
        <w:t>Singh</w:t>
      </w:r>
      <w:r>
        <w:rPr>
          <w:w w:val="97"/>
        </w:rPr>
        <w:t> </w:t>
      </w:r>
      <w:r>
        <w:rPr/>
        <w:t>and Doctor Jinghe Han and Department of Education colleagues consolidated work to extend ROSETE to accommodate students completing PhDs or masters research degrees concurrently with their volunteer work supporting the teaching of Mandarin in schools</w:t>
      </w:r>
      <w:r>
        <w:rPr>
          <w:spacing w:val="-17"/>
        </w:rPr>
        <w:t> </w:t>
      </w:r>
      <w:r>
        <w:rPr/>
        <w:t>across</w:t>
      </w:r>
      <w:r>
        <w:rPr>
          <w:spacing w:val="-17"/>
        </w:rPr>
        <w:t> </w:t>
      </w:r>
      <w:r>
        <w:rPr/>
        <w:t>Sydney.</w:t>
      </w:r>
      <w:r>
        <w:rPr>
          <w:spacing w:val="-17"/>
        </w:rPr>
        <w:t> </w:t>
      </w:r>
      <w:r>
        <w:rPr/>
        <w:t>The</w:t>
      </w:r>
      <w:r>
        <w:rPr>
          <w:spacing w:val="-17"/>
        </w:rPr>
        <w:t> </w:t>
      </w:r>
      <w:r>
        <w:rPr/>
        <w:t>Support</w:t>
      </w:r>
      <w:r>
        <w:rPr>
          <w:spacing w:val="-17"/>
        </w:rPr>
        <w:t> </w:t>
      </w:r>
      <w:r>
        <w:rPr/>
        <w:t>Network for Arabic Postgraduates (SNAP) cohort</w:t>
      </w:r>
      <w:r>
        <w:rPr>
          <w:spacing w:val="-24"/>
        </w:rPr>
        <w:t> </w:t>
      </w:r>
      <w:r>
        <w:rPr/>
        <w:t>of</w:t>
      </w:r>
    </w:p>
    <w:p>
      <w:pPr>
        <w:pStyle w:val="BodyText"/>
        <w:spacing w:line="249" w:lineRule="auto"/>
        <w:ind w:left="107" w:right="-14"/>
      </w:pPr>
      <w:r>
        <w:rPr>
          <w:w w:val="99"/>
        </w:rPr>
        <w:t>doctoral </w:t>
      </w:r>
      <w:r>
        <w:rPr>
          <w:w w:val="97"/>
        </w:rPr>
        <w:t>students </w:t>
      </w:r>
      <w:r>
        <w:rPr>
          <w:w w:val="98"/>
        </w:rPr>
        <w:t>grew </w:t>
      </w:r>
      <w:r>
        <w:rPr>
          <w:w w:val="95"/>
        </w:rPr>
        <w:t>in </w:t>
      </w:r>
      <w:r>
        <w:rPr>
          <w:w w:val="97"/>
        </w:rPr>
        <w:t>number </w:t>
      </w:r>
      <w:r>
        <w:rPr>
          <w:w w:val="95"/>
        </w:rPr>
        <w:t>in </w:t>
      </w:r>
      <w:r>
        <w:rPr>
          <w:w w:val="88"/>
        </w:rPr>
        <w:t>2015 </w:t>
      </w:r>
      <w:r>
        <w:rPr>
          <w:w w:val="90"/>
        </w:rPr>
        <w:t>and, </w:t>
      </w:r>
      <w:r>
        <w:rPr/>
        <w:t>under the leadership of Professor Carol Reid, continued to constitute a significant program of work for the School.</w:t>
      </w:r>
    </w:p>
    <w:p>
      <w:pPr>
        <w:pStyle w:val="BodyText"/>
        <w:rPr>
          <w:sz w:val="14"/>
        </w:rPr>
      </w:pPr>
    </w:p>
    <w:p>
      <w:pPr>
        <w:pStyle w:val="BodyText"/>
        <w:spacing w:line="249" w:lineRule="auto"/>
        <w:ind w:left="107" w:right="28"/>
      </w:pPr>
      <w:r>
        <w:rPr/>
        <w:t>International research partnerships involving collaborations</w:t>
      </w:r>
      <w:r>
        <w:rPr>
          <w:spacing w:val="-21"/>
        </w:rPr>
        <w:t> </w:t>
      </w:r>
      <w:r>
        <w:rPr/>
        <w:t>with</w:t>
      </w:r>
      <w:r>
        <w:rPr>
          <w:spacing w:val="-21"/>
        </w:rPr>
        <w:t> </w:t>
      </w:r>
      <w:r>
        <w:rPr/>
        <w:t>institutions</w:t>
      </w:r>
      <w:r>
        <w:rPr>
          <w:spacing w:val="-21"/>
        </w:rPr>
        <w:t> </w:t>
      </w:r>
      <w:r>
        <w:rPr/>
        <w:t>in</w:t>
      </w:r>
      <w:r>
        <w:rPr>
          <w:spacing w:val="-21"/>
        </w:rPr>
        <w:t> </w:t>
      </w:r>
      <w:r>
        <w:rPr/>
        <w:t>Chile,</w:t>
      </w:r>
      <w:r>
        <w:rPr>
          <w:spacing w:val="-21"/>
        </w:rPr>
        <w:t> </w:t>
      </w:r>
      <w:r>
        <w:rPr/>
        <w:t>China, Taiwan</w:t>
      </w:r>
      <w:r>
        <w:rPr>
          <w:spacing w:val="-21"/>
        </w:rPr>
        <w:t> </w:t>
      </w:r>
      <w:r>
        <w:rPr/>
        <w:t>and</w:t>
      </w:r>
      <w:r>
        <w:rPr>
          <w:spacing w:val="-21"/>
        </w:rPr>
        <w:t> </w:t>
      </w:r>
      <w:r>
        <w:rPr/>
        <w:t>Kazakhstan</w:t>
      </w:r>
      <w:r>
        <w:rPr>
          <w:spacing w:val="-21"/>
        </w:rPr>
        <w:t> </w:t>
      </w:r>
      <w:r>
        <w:rPr/>
        <w:t>continue</w:t>
      </w:r>
      <w:r>
        <w:rPr>
          <w:spacing w:val="-21"/>
        </w:rPr>
        <w:t> </w:t>
      </w:r>
      <w:r>
        <w:rPr/>
        <w:t>to</w:t>
      </w:r>
      <w:r>
        <w:rPr>
          <w:spacing w:val="-21"/>
        </w:rPr>
        <w:t> </w:t>
      </w:r>
      <w:r>
        <w:rPr/>
        <w:t>raise</w:t>
      </w:r>
      <w:r>
        <w:rPr>
          <w:spacing w:val="-21"/>
        </w:rPr>
        <w:t> </w:t>
      </w:r>
      <w:r>
        <w:rPr/>
        <w:t>the</w:t>
      </w:r>
    </w:p>
    <w:p>
      <w:pPr>
        <w:pStyle w:val="BodyText"/>
        <w:spacing w:before="9"/>
      </w:pPr>
      <w:r>
        <w:rPr/>
        <w:br w:type="column"/>
      </w:r>
      <w:r>
        <w:rPr/>
      </w:r>
    </w:p>
    <w:p>
      <w:pPr>
        <w:pStyle w:val="BodyText"/>
        <w:spacing w:line="249" w:lineRule="auto" w:before="1"/>
        <w:ind w:left="107" w:right="238"/>
      </w:pPr>
      <w:r>
        <w:rPr/>
        <w:t>School’s profile and enhance its reputation </w:t>
      </w:r>
      <w:r>
        <w:rPr>
          <w:w w:val="98"/>
        </w:rPr>
        <w:t>for </w:t>
      </w:r>
      <w:r>
        <w:rPr>
          <w:w w:val="98"/>
        </w:rPr>
        <w:t>engaged </w:t>
      </w:r>
      <w:r>
        <w:rPr>
          <w:w w:val="93"/>
        </w:rPr>
        <w:t>research. </w:t>
      </w:r>
      <w:r>
        <w:rPr>
          <w:w w:val="100"/>
        </w:rPr>
        <w:t>For </w:t>
      </w:r>
      <w:r>
        <w:rPr>
          <w:w w:val="93"/>
        </w:rPr>
        <w:t>example, </w:t>
      </w:r>
      <w:r>
        <w:rPr>
          <w:w w:val="95"/>
        </w:rPr>
        <w:t>in </w:t>
      </w:r>
      <w:r>
        <w:rPr>
          <w:w w:val="88"/>
        </w:rPr>
        <w:t>2015 </w:t>
      </w:r>
      <w:r>
        <w:rPr/>
        <w:t>the School (led by Associate Professor Christine Woodrow) signed an Agreement of Collaboration with JUNJI (National Board of Early Childhood, Chile) and the School of Education in Santiago, Chile. Activities with JUNJI under this agreement will include the publication of research material developed at Western Sydney University for a Latin American early childhood audience and a leadership development research project in the community of Puente Alto, Santiago.</w:t>
      </w:r>
    </w:p>
    <w:p>
      <w:pPr>
        <w:pStyle w:val="BodyText"/>
        <w:rPr>
          <w:sz w:val="14"/>
        </w:rPr>
      </w:pPr>
    </w:p>
    <w:p>
      <w:pPr>
        <w:pStyle w:val="BodyText"/>
        <w:spacing w:line="249" w:lineRule="auto"/>
        <w:ind w:left="107" w:right="227"/>
      </w:pPr>
      <w:r>
        <w:rPr/>
        <w:t>The School’s Overseas and Professional Experience program (OPEP) continues to offer students the opportunity to undertake professional</w:t>
      </w:r>
      <w:r>
        <w:rPr>
          <w:spacing w:val="-26"/>
        </w:rPr>
        <w:t> </w:t>
      </w:r>
      <w:r>
        <w:rPr/>
        <w:t>experience</w:t>
      </w:r>
      <w:r>
        <w:rPr>
          <w:spacing w:val="-26"/>
        </w:rPr>
        <w:t> </w:t>
      </w:r>
      <w:r>
        <w:rPr/>
        <w:t>in</w:t>
      </w:r>
      <w:r>
        <w:rPr>
          <w:spacing w:val="-26"/>
        </w:rPr>
        <w:t> </w:t>
      </w:r>
      <w:r>
        <w:rPr/>
        <w:t>Malaysia,</w:t>
      </w:r>
      <w:r>
        <w:rPr>
          <w:spacing w:val="-26"/>
        </w:rPr>
        <w:t> </w:t>
      </w:r>
      <w:r>
        <w:rPr/>
        <w:t>Thailand and China. Led by Doctor Song Truong and Shirley</w:t>
      </w:r>
      <w:r>
        <w:rPr>
          <w:spacing w:val="-17"/>
        </w:rPr>
        <w:t> </w:t>
      </w:r>
      <w:r>
        <w:rPr/>
        <w:t>Gilbert,</w:t>
      </w:r>
      <w:r>
        <w:rPr>
          <w:spacing w:val="-17"/>
        </w:rPr>
        <w:t> </w:t>
      </w:r>
      <w:r>
        <w:rPr/>
        <w:t>the</w:t>
      </w:r>
      <w:r>
        <w:rPr>
          <w:spacing w:val="-17"/>
        </w:rPr>
        <w:t> </w:t>
      </w:r>
      <w:r>
        <w:rPr/>
        <w:t>School</w:t>
      </w:r>
      <w:r>
        <w:rPr>
          <w:spacing w:val="-17"/>
        </w:rPr>
        <w:t> </w:t>
      </w:r>
      <w:r>
        <w:rPr/>
        <w:t>was</w:t>
      </w:r>
      <w:r>
        <w:rPr>
          <w:spacing w:val="-17"/>
        </w:rPr>
        <w:t> </w:t>
      </w:r>
      <w:r>
        <w:rPr/>
        <w:t>successful</w:t>
      </w:r>
    </w:p>
    <w:p>
      <w:pPr>
        <w:pStyle w:val="BodyText"/>
        <w:spacing w:line="249" w:lineRule="auto"/>
        <w:ind w:left="107" w:right="168"/>
      </w:pPr>
      <w:r>
        <w:rPr/>
        <w:t>in obtaining funds from the New Colombo Plan which will support more students to </w:t>
      </w:r>
      <w:r>
        <w:rPr>
          <w:w w:val="97"/>
        </w:rPr>
        <w:t>undertake </w:t>
      </w:r>
      <w:r>
        <w:rPr>
          <w:w w:val="97"/>
        </w:rPr>
        <w:t>placements </w:t>
      </w:r>
      <w:r>
        <w:rPr>
          <w:w w:val="95"/>
        </w:rPr>
        <w:t>in </w:t>
      </w:r>
      <w:r>
        <w:rPr>
          <w:w w:val="96"/>
        </w:rPr>
        <w:t>China </w:t>
      </w:r>
      <w:r>
        <w:rPr>
          <w:w w:val="97"/>
        </w:rPr>
        <w:t>during </w:t>
      </w:r>
      <w:r>
        <w:rPr>
          <w:w w:val="85"/>
        </w:rPr>
        <w:t>2016. </w:t>
      </w:r>
      <w:r>
        <w:rPr/>
        <w:t>Students will teach conversational English at Ningbo University, and participate in cultural activities through their International Student Program. An exciting expansion of OPEP </w:t>
      </w:r>
      <w:r>
        <w:rPr>
          <w:w w:val="97"/>
        </w:rPr>
        <w:t>initiated </w:t>
      </w:r>
      <w:r>
        <w:rPr>
          <w:w w:val="95"/>
        </w:rPr>
        <w:t>in </w:t>
      </w:r>
      <w:r>
        <w:rPr>
          <w:w w:val="88"/>
        </w:rPr>
        <w:t>2015 </w:t>
      </w:r>
      <w:r>
        <w:rPr>
          <w:w w:val="97"/>
        </w:rPr>
        <w:t>will </w:t>
      </w:r>
      <w:r>
        <w:rPr>
          <w:w w:val="95"/>
        </w:rPr>
        <w:t>see </w:t>
      </w:r>
      <w:r>
        <w:rPr>
          <w:w w:val="98"/>
        </w:rPr>
        <w:t>eight </w:t>
      </w:r>
      <w:r>
        <w:rPr>
          <w:w w:val="97"/>
        </w:rPr>
        <w:t>pre-service </w:t>
      </w:r>
      <w:r>
        <w:rPr/>
        <w:t>teachers from the Bachelor of Education (Primary) – Aboriginal and Torres Strait Islander Education participate in a short- term mobility program with the University of </w:t>
      </w:r>
      <w:r>
        <w:rPr>
          <w:w w:val="99"/>
        </w:rPr>
        <w:t>Victoria </w:t>
      </w:r>
      <w:r>
        <w:rPr>
          <w:w w:val="95"/>
        </w:rPr>
        <w:t>in </w:t>
      </w:r>
      <w:r>
        <w:rPr>
          <w:w w:val="97"/>
        </w:rPr>
        <w:t>Canada </w:t>
      </w:r>
      <w:r>
        <w:rPr>
          <w:w w:val="96"/>
        </w:rPr>
        <w:t>early </w:t>
      </w:r>
      <w:r>
        <w:rPr>
          <w:w w:val="95"/>
        </w:rPr>
        <w:t>in </w:t>
      </w:r>
      <w:r>
        <w:rPr>
          <w:w w:val="85"/>
        </w:rPr>
        <w:t>2016.</w:t>
      </w:r>
    </w:p>
    <w:p>
      <w:pPr>
        <w:pStyle w:val="BodyText"/>
        <w:spacing w:before="7"/>
        <w:rPr>
          <w:sz w:val="21"/>
        </w:rPr>
      </w:pPr>
    </w:p>
    <w:p>
      <w:pPr>
        <w:pStyle w:val="Heading8"/>
        <w:ind w:right="287"/>
      </w:pPr>
      <w:r>
        <w:rPr/>
        <w:t>RESEARCH</w:t>
      </w:r>
    </w:p>
    <w:p>
      <w:pPr>
        <w:pStyle w:val="BodyText"/>
        <w:spacing w:line="249" w:lineRule="auto" w:before="86"/>
        <w:ind w:left="107" w:right="7"/>
      </w:pPr>
      <w:r>
        <w:rPr>
          <w:w w:val="80"/>
        </w:rPr>
        <w:t>In </w:t>
      </w:r>
      <w:r>
        <w:rPr>
          <w:w w:val="84"/>
        </w:rPr>
        <w:t>2015, </w:t>
      </w:r>
      <w:r>
        <w:rPr>
          <w:w w:val="97"/>
        </w:rPr>
        <w:t>the </w:t>
      </w:r>
      <w:r>
        <w:rPr>
          <w:w w:val="97"/>
        </w:rPr>
        <w:t>Centre </w:t>
      </w:r>
      <w:r>
        <w:rPr>
          <w:w w:val="98"/>
        </w:rPr>
        <w:t>for </w:t>
      </w:r>
      <w:r>
        <w:rPr>
          <w:w w:val="98"/>
        </w:rPr>
        <w:t>Educational </w:t>
      </w:r>
      <w:r>
        <w:rPr>
          <w:w w:val="96"/>
        </w:rPr>
        <w:t>Research </w:t>
      </w:r>
      <w:r>
        <w:rPr/>
        <w:t>(CER) led by Professor Margaret Somerville continued to develop a strong research culture around core themes of sustainability, equity and globalisation in educational practice and research. In concert with research efforts across the School led by Professor Wayne Sawyer as Director of Research, the School was able to achieve significant outcomes including the awarding of funding for two ARC Discovery Projects:</w:t>
      </w:r>
    </w:p>
    <w:p>
      <w:pPr>
        <w:pStyle w:val="BodyText"/>
        <w:spacing w:before="11"/>
        <w:rPr>
          <w:sz w:val="13"/>
        </w:rPr>
      </w:pPr>
    </w:p>
    <w:p>
      <w:pPr>
        <w:pStyle w:val="BodyText"/>
        <w:spacing w:line="247" w:lineRule="auto"/>
        <w:ind w:left="333" w:right="121" w:hanging="227"/>
      </w:pPr>
      <w:r>
        <w:rPr>
          <w:rFonts w:ascii="Century Gothic" w:hAnsi="Century Gothic"/>
          <w:b/>
          <w:w w:val="115"/>
        </w:rPr>
        <w:t>≥ </w:t>
      </w:r>
      <w:r>
        <w:rPr/>
        <w:t>Professor Margaret Somerville for ‘Naming the world: early years literacy and sustainability learning’</w:t>
      </w:r>
    </w:p>
    <w:p>
      <w:pPr>
        <w:pStyle w:val="BodyText"/>
        <w:spacing w:line="247" w:lineRule="auto" w:before="57"/>
        <w:ind w:left="333" w:right="121" w:hanging="227"/>
      </w:pPr>
      <w:r>
        <w:rPr>
          <w:rFonts w:ascii="Century Gothic" w:hAnsi="Century Gothic"/>
          <w:b/>
          <w:w w:val="115"/>
        </w:rPr>
        <w:t>≥ </w:t>
      </w:r>
      <w:r>
        <w:rPr/>
        <w:t>Professor Wayne Sawyer (with colleagues from the University of Melbourne) for ‘Investigating literary knowledge in the making of English teachers’.</w:t>
      </w:r>
    </w:p>
    <w:p>
      <w:pPr>
        <w:spacing w:after="0" w:line="247" w:lineRule="auto"/>
        <w:sectPr>
          <w:type w:val="continuous"/>
          <w:pgSz w:w="11910" w:h="16840"/>
          <w:pgMar w:top="1580" w:bottom="280" w:left="800" w:right="800"/>
          <w:cols w:num="3" w:equalWidth="0">
            <w:col w:w="3320" w:space="119"/>
            <w:col w:w="3306" w:space="133"/>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4"/>
      </w:pPr>
      <w:r>
        <w:rPr/>
        <w:t>Research activity across the School and CER also made great gains in terms of attracting funding from a variety of sources, including state government departments, industry and philanthropic organisations. The projects being</w:t>
      </w:r>
      <w:r>
        <w:rPr>
          <w:spacing w:val="-18"/>
        </w:rPr>
        <w:t> </w:t>
      </w:r>
      <w:r>
        <w:rPr/>
        <w:t>funded</w:t>
      </w:r>
      <w:r>
        <w:rPr>
          <w:spacing w:val="-18"/>
        </w:rPr>
        <w:t> </w:t>
      </w:r>
      <w:r>
        <w:rPr/>
        <w:t>embrace</w:t>
      </w:r>
      <w:r>
        <w:rPr>
          <w:spacing w:val="-18"/>
        </w:rPr>
        <w:t> </w:t>
      </w:r>
      <w:r>
        <w:rPr/>
        <w:t>a</w:t>
      </w:r>
      <w:r>
        <w:rPr>
          <w:spacing w:val="-18"/>
        </w:rPr>
        <w:t> </w:t>
      </w:r>
      <w:r>
        <w:rPr/>
        <w:t>wide</w:t>
      </w:r>
      <w:r>
        <w:rPr>
          <w:spacing w:val="-18"/>
        </w:rPr>
        <w:t> </w:t>
      </w:r>
      <w:r>
        <w:rPr/>
        <w:t>range</w:t>
      </w:r>
      <w:r>
        <w:rPr>
          <w:spacing w:val="-18"/>
        </w:rPr>
        <w:t> </w:t>
      </w:r>
      <w:r>
        <w:rPr/>
        <w:t>of</w:t>
      </w:r>
      <w:r>
        <w:rPr>
          <w:spacing w:val="-18"/>
        </w:rPr>
        <w:t> </w:t>
      </w:r>
      <w:r>
        <w:rPr/>
        <w:t>topics, including: researching child friendly cities (UNICEF); outdoor education; place-based learning; child-friendly play spaces; retaining early career teachers; multimodal language practices</w:t>
      </w:r>
      <w:r>
        <w:rPr>
          <w:spacing w:val="-24"/>
        </w:rPr>
        <w:t> </w:t>
      </w:r>
      <w:r>
        <w:rPr/>
        <w:t>in</w:t>
      </w:r>
      <w:r>
        <w:rPr>
          <w:spacing w:val="-24"/>
        </w:rPr>
        <w:t> </w:t>
      </w:r>
      <w:r>
        <w:rPr/>
        <w:t>high-needs</w:t>
      </w:r>
      <w:r>
        <w:rPr>
          <w:spacing w:val="-24"/>
        </w:rPr>
        <w:t> </w:t>
      </w:r>
      <w:r>
        <w:rPr/>
        <w:t>schools;</w:t>
      </w:r>
      <w:r>
        <w:rPr>
          <w:spacing w:val="-24"/>
        </w:rPr>
        <w:t> </w:t>
      </w:r>
      <w:r>
        <w:rPr/>
        <w:t>perceptions</w:t>
      </w:r>
      <w:r>
        <w:rPr>
          <w:spacing w:val="-24"/>
        </w:rPr>
        <w:t> </w:t>
      </w:r>
      <w:r>
        <w:rPr/>
        <w:t>of Lesbian,</w:t>
      </w:r>
      <w:r>
        <w:rPr>
          <w:spacing w:val="-33"/>
        </w:rPr>
        <w:t> </w:t>
      </w:r>
      <w:r>
        <w:rPr/>
        <w:t>Gay,</w:t>
      </w:r>
      <w:r>
        <w:rPr>
          <w:spacing w:val="-33"/>
        </w:rPr>
        <w:t> </w:t>
      </w:r>
      <w:r>
        <w:rPr/>
        <w:t>Bisexual,</w:t>
      </w:r>
      <w:r>
        <w:rPr>
          <w:spacing w:val="-33"/>
        </w:rPr>
        <w:t> </w:t>
      </w:r>
      <w:r>
        <w:rPr/>
        <w:t>Transgender</w:t>
      </w:r>
      <w:r>
        <w:rPr>
          <w:spacing w:val="-33"/>
        </w:rPr>
        <w:t> </w:t>
      </w:r>
      <w:r>
        <w:rPr/>
        <w:t>and</w:t>
      </w:r>
      <w:r>
        <w:rPr>
          <w:spacing w:val="-33"/>
        </w:rPr>
        <w:t> </w:t>
      </w:r>
      <w:r>
        <w:rPr/>
        <w:t>Queer education;</w:t>
      </w:r>
      <w:r>
        <w:rPr>
          <w:spacing w:val="-23"/>
        </w:rPr>
        <w:t> </w:t>
      </w:r>
      <w:r>
        <w:rPr/>
        <w:t>engaging</w:t>
      </w:r>
      <w:r>
        <w:rPr>
          <w:spacing w:val="-23"/>
        </w:rPr>
        <w:t> </w:t>
      </w:r>
      <w:r>
        <w:rPr/>
        <w:t>pedagogy</w:t>
      </w:r>
      <w:r>
        <w:rPr>
          <w:spacing w:val="-23"/>
        </w:rPr>
        <w:t> </w:t>
      </w:r>
      <w:r>
        <w:rPr/>
        <w:t>in</w:t>
      </w:r>
      <w:r>
        <w:rPr>
          <w:spacing w:val="-23"/>
        </w:rPr>
        <w:t> </w:t>
      </w:r>
      <w:r>
        <w:rPr/>
        <w:t>schools</w:t>
      </w:r>
    </w:p>
    <w:p>
      <w:pPr>
        <w:pStyle w:val="BodyText"/>
        <w:spacing w:line="249" w:lineRule="auto"/>
        <w:ind w:left="107" w:right="10"/>
      </w:pPr>
      <w:r>
        <w:rPr/>
        <w:t>with</w:t>
      </w:r>
      <w:r>
        <w:rPr>
          <w:spacing w:val="-22"/>
        </w:rPr>
        <w:t> </w:t>
      </w:r>
      <w:r>
        <w:rPr/>
        <w:t>low</w:t>
      </w:r>
      <w:r>
        <w:rPr>
          <w:spacing w:val="-22"/>
        </w:rPr>
        <w:t> </w:t>
      </w:r>
      <w:r>
        <w:rPr/>
        <w:t>socio-economic</w:t>
      </w:r>
      <w:r>
        <w:rPr>
          <w:spacing w:val="-22"/>
        </w:rPr>
        <w:t> </w:t>
      </w:r>
      <w:r>
        <w:rPr/>
        <w:t>status;</w:t>
      </w:r>
      <w:r>
        <w:rPr>
          <w:spacing w:val="-22"/>
        </w:rPr>
        <w:t> </w:t>
      </w:r>
      <w:r>
        <w:rPr/>
        <w:t>implementing trauma-informed practice in disability NGOs; financial literacy; reviewing early childhood schools and Koori Preschool program research; parent engagement; developing leadership</w:t>
      </w:r>
      <w:r>
        <w:rPr>
          <w:spacing w:val="-24"/>
        </w:rPr>
        <w:t> </w:t>
      </w:r>
      <w:r>
        <w:rPr/>
        <w:t>in</w:t>
      </w:r>
      <w:r>
        <w:rPr>
          <w:spacing w:val="-24"/>
        </w:rPr>
        <w:t> </w:t>
      </w:r>
      <w:r>
        <w:rPr/>
        <w:t>early</w:t>
      </w:r>
      <w:r>
        <w:rPr>
          <w:spacing w:val="-24"/>
        </w:rPr>
        <w:t> </w:t>
      </w:r>
      <w:r>
        <w:rPr/>
        <w:t>childhood</w:t>
      </w:r>
      <w:r>
        <w:rPr>
          <w:spacing w:val="-24"/>
        </w:rPr>
        <w:t> </w:t>
      </w:r>
      <w:r>
        <w:rPr/>
        <w:t>education;</w:t>
      </w:r>
      <w:r>
        <w:rPr>
          <w:spacing w:val="-24"/>
        </w:rPr>
        <w:t> </w:t>
      </w:r>
      <w:r>
        <w:rPr/>
        <w:t>trades training for Western Sydney; and providing evaluation expertise for a number of services and</w:t>
      </w:r>
      <w:r>
        <w:rPr>
          <w:spacing w:val="-24"/>
        </w:rPr>
        <w:t> </w:t>
      </w:r>
      <w:r>
        <w:rPr/>
        <w:t>programs</w:t>
      </w:r>
      <w:r>
        <w:rPr>
          <w:spacing w:val="-24"/>
        </w:rPr>
        <w:t> </w:t>
      </w:r>
      <w:r>
        <w:rPr/>
        <w:t>across</w:t>
      </w:r>
      <w:r>
        <w:rPr>
          <w:spacing w:val="-24"/>
        </w:rPr>
        <w:t> </w:t>
      </w:r>
      <w:r>
        <w:rPr/>
        <w:t>NSW.</w:t>
      </w:r>
    </w:p>
    <w:p>
      <w:pPr>
        <w:pStyle w:val="BodyText"/>
        <w:rPr>
          <w:sz w:val="14"/>
        </w:rPr>
      </w:pPr>
    </w:p>
    <w:p>
      <w:pPr>
        <w:pStyle w:val="BodyText"/>
        <w:spacing w:line="249" w:lineRule="auto"/>
        <w:ind w:left="107" w:right="-17"/>
      </w:pPr>
      <w:r>
        <w:rPr/>
        <w:t>CER and the School jointly hosted an equity symposium</w:t>
      </w:r>
      <w:r>
        <w:rPr>
          <w:spacing w:val="-19"/>
        </w:rPr>
        <w:t> </w:t>
      </w:r>
      <w:r>
        <w:rPr/>
        <w:t>on</w:t>
      </w:r>
      <w:r>
        <w:rPr>
          <w:spacing w:val="-19"/>
        </w:rPr>
        <w:t> </w:t>
      </w:r>
      <w:r>
        <w:rPr/>
        <w:t>28–30</w:t>
      </w:r>
      <w:r>
        <w:rPr>
          <w:spacing w:val="-19"/>
        </w:rPr>
        <w:t> </w:t>
      </w:r>
      <w:r>
        <w:rPr/>
        <w:t>October.</w:t>
      </w:r>
      <w:r>
        <w:rPr>
          <w:spacing w:val="-19"/>
        </w:rPr>
        <w:t> </w:t>
      </w:r>
      <w:r>
        <w:rPr/>
        <w:t>This</w:t>
      </w:r>
      <w:r>
        <w:rPr>
          <w:spacing w:val="-19"/>
        </w:rPr>
        <w:t> </w:t>
      </w:r>
      <w:r>
        <w:rPr/>
        <w:t>significant national gathering drew together a critical mass of experienced researchers concerned with</w:t>
      </w:r>
      <w:r>
        <w:rPr>
          <w:spacing w:val="-15"/>
        </w:rPr>
        <w:t> </w:t>
      </w:r>
      <w:r>
        <w:rPr/>
        <w:t>advancing</w:t>
      </w:r>
      <w:r>
        <w:rPr>
          <w:spacing w:val="-15"/>
        </w:rPr>
        <w:t> </w:t>
      </w:r>
      <w:r>
        <w:rPr/>
        <w:t>equity</w:t>
      </w:r>
      <w:r>
        <w:rPr>
          <w:spacing w:val="-15"/>
        </w:rPr>
        <w:t> </w:t>
      </w:r>
      <w:r>
        <w:rPr/>
        <w:t>in</w:t>
      </w:r>
      <w:r>
        <w:rPr>
          <w:spacing w:val="-15"/>
        </w:rPr>
        <w:t> </w:t>
      </w:r>
      <w:r>
        <w:rPr/>
        <w:t>education,</w:t>
      </w:r>
      <w:r>
        <w:rPr>
          <w:spacing w:val="-15"/>
        </w:rPr>
        <w:t> </w:t>
      </w:r>
      <w:r>
        <w:rPr/>
        <w:t>with</w:t>
      </w:r>
    </w:p>
    <w:p>
      <w:pPr>
        <w:pStyle w:val="BodyText"/>
        <w:spacing w:line="249" w:lineRule="auto"/>
        <w:ind w:left="107" w:right="160"/>
      </w:pPr>
      <w:r>
        <w:rPr/>
        <w:t>the intention of reframing policy and practice</w:t>
      </w:r>
      <w:r>
        <w:rPr>
          <w:spacing w:val="-19"/>
        </w:rPr>
        <w:t> </w:t>
      </w:r>
      <w:r>
        <w:rPr/>
        <w:t>in</w:t>
      </w:r>
      <w:r>
        <w:rPr>
          <w:spacing w:val="-19"/>
        </w:rPr>
        <w:t> </w:t>
      </w:r>
      <w:r>
        <w:rPr/>
        <w:t>educational</w:t>
      </w:r>
      <w:r>
        <w:rPr>
          <w:spacing w:val="-19"/>
        </w:rPr>
        <w:t> </w:t>
      </w:r>
      <w:r>
        <w:rPr/>
        <w:t>inequality.</w:t>
      </w:r>
      <w:r>
        <w:rPr>
          <w:spacing w:val="-19"/>
        </w:rPr>
        <w:t> </w:t>
      </w:r>
      <w:r>
        <w:rPr/>
        <w:t>The</w:t>
      </w:r>
      <w:r>
        <w:rPr>
          <w:spacing w:val="-19"/>
        </w:rPr>
        <w:t> </w:t>
      </w:r>
      <w:r>
        <w:rPr/>
        <w:t>event yielded a number of significant outcomes, including plans for research projects and publication projects and, for the first time, the establishment of a national network of researchers.</w:t>
      </w:r>
    </w:p>
    <w:p>
      <w:pPr>
        <w:pStyle w:val="BodyText"/>
        <w:rPr>
          <w:sz w:val="14"/>
        </w:rPr>
      </w:pPr>
    </w:p>
    <w:p>
      <w:pPr>
        <w:pStyle w:val="BodyText"/>
        <w:spacing w:line="249" w:lineRule="auto"/>
        <w:ind w:left="107"/>
      </w:pPr>
      <w:r>
        <w:rPr/>
        <w:t>The School’s Higher Research Degree program, under the leadership of Doctor Chwee Beng Lee, continues to support more </w:t>
      </w:r>
      <w:r>
        <w:rPr>
          <w:w w:val="97"/>
        </w:rPr>
        <w:t>than </w:t>
      </w:r>
      <w:r>
        <w:rPr>
          <w:w w:val="92"/>
        </w:rPr>
        <w:t>100 </w:t>
      </w:r>
      <w:r>
        <w:rPr>
          <w:w w:val="97"/>
        </w:rPr>
        <w:t>students </w:t>
      </w:r>
      <w:r>
        <w:rPr>
          <w:w w:val="99"/>
        </w:rPr>
        <w:t>completing </w:t>
      </w:r>
      <w:r>
        <w:rPr>
          <w:w w:val="96"/>
        </w:rPr>
        <w:t>masters </w:t>
      </w:r>
      <w:r>
        <w:rPr>
          <w:w w:val="97"/>
        </w:rPr>
        <w:t>and </w:t>
      </w:r>
      <w:r>
        <w:rPr>
          <w:w w:val="99"/>
        </w:rPr>
        <w:t>doctoral </w:t>
      </w:r>
      <w:r>
        <w:rPr>
          <w:w w:val="93"/>
        </w:rPr>
        <w:t>studies. </w:t>
      </w:r>
      <w:r>
        <w:rPr>
          <w:w w:val="97"/>
        </w:rPr>
        <w:t>During </w:t>
      </w:r>
      <w:r>
        <w:rPr>
          <w:w w:val="84"/>
        </w:rPr>
        <w:t>2015, </w:t>
      </w:r>
      <w:r>
        <w:rPr>
          <w:w w:val="54"/>
        </w:rPr>
        <w:t>11 </w:t>
      </w:r>
      <w:r>
        <w:rPr>
          <w:w w:val="97"/>
        </w:rPr>
        <w:t>students </w:t>
      </w:r>
      <w:r>
        <w:rPr/>
        <w:t>graduated from these programs. One graduate, Doctor Sarah Powell, won the prestigious NSW Institute for Educational Research Beth Southwell Research Award for Outstanding Thesis.</w:t>
      </w:r>
    </w:p>
    <w:p>
      <w:pPr>
        <w:pStyle w:val="BodyText"/>
        <w:rPr>
          <w:sz w:val="14"/>
        </w:rPr>
      </w:pPr>
    </w:p>
    <w:p>
      <w:pPr>
        <w:pStyle w:val="BodyText"/>
        <w:spacing w:line="249" w:lineRule="auto"/>
        <w:ind w:left="107" w:right="51"/>
      </w:pPr>
      <w:r>
        <w:rPr/>
        <w:t>In September, the School hosted a Higher Research Degree Student Conference on Kingswood</w:t>
      </w:r>
      <w:r>
        <w:rPr>
          <w:spacing w:val="-19"/>
        </w:rPr>
        <w:t> </w:t>
      </w:r>
      <w:r>
        <w:rPr>
          <w:spacing w:val="2"/>
        </w:rPr>
        <w:t>Campus.</w:t>
      </w:r>
      <w:r>
        <w:rPr>
          <w:spacing w:val="-19"/>
        </w:rPr>
        <w:t> </w:t>
      </w:r>
      <w:r>
        <w:rPr/>
        <w:t>The</w:t>
      </w:r>
      <w:r>
        <w:rPr>
          <w:spacing w:val="-19"/>
        </w:rPr>
        <w:t> </w:t>
      </w:r>
      <w:r>
        <w:rPr/>
        <w:t>conference</w:t>
      </w:r>
      <w:r>
        <w:rPr>
          <w:spacing w:val="-19"/>
        </w:rPr>
        <w:t> </w:t>
      </w:r>
      <w:r>
        <w:rPr/>
        <w:t>was</w:t>
      </w:r>
      <w:r>
        <w:rPr>
          <w:spacing w:val="-19"/>
        </w:rPr>
        <w:t> </w:t>
      </w:r>
      <w:r>
        <w:rPr/>
        <w:t>well </w:t>
      </w:r>
      <w:r>
        <w:rPr>
          <w:spacing w:val="1"/>
          <w:w w:val="94"/>
        </w:rPr>
        <w:t>received,</w:t>
      </w:r>
      <w:r>
        <w:rPr>
          <w:w w:val="94"/>
        </w:rPr>
        <w:t> </w:t>
      </w:r>
      <w:r>
        <w:rPr>
          <w:w w:val="98"/>
        </w:rPr>
        <w:t>with </w:t>
      </w:r>
      <w:r>
        <w:rPr>
          <w:w w:val="98"/>
        </w:rPr>
        <w:t>approximately </w:t>
      </w:r>
      <w:r>
        <w:rPr>
          <w:spacing w:val="2"/>
          <w:w w:val="92"/>
        </w:rPr>
        <w:t>100</w:t>
      </w:r>
      <w:r>
        <w:rPr>
          <w:w w:val="92"/>
        </w:rPr>
        <w:t> </w:t>
      </w:r>
      <w:r>
        <w:rPr>
          <w:spacing w:val="1"/>
          <w:w w:val="97"/>
        </w:rPr>
        <w:t>students</w:t>
      </w:r>
      <w:r>
        <w:rPr>
          <w:w w:val="97"/>
        </w:rPr>
        <w:t> </w:t>
      </w:r>
      <w:r>
        <w:rPr/>
        <w:t>and</w:t>
      </w:r>
      <w:r>
        <w:rPr>
          <w:spacing w:val="-15"/>
        </w:rPr>
        <w:t> </w:t>
      </w:r>
      <w:r>
        <w:rPr/>
        <w:t>staff</w:t>
      </w:r>
      <w:r>
        <w:rPr>
          <w:spacing w:val="-15"/>
        </w:rPr>
        <w:t> </w:t>
      </w:r>
      <w:r>
        <w:rPr/>
        <w:t>members</w:t>
      </w:r>
      <w:r>
        <w:rPr>
          <w:spacing w:val="-15"/>
        </w:rPr>
        <w:t> </w:t>
      </w:r>
      <w:r>
        <w:rPr/>
        <w:t>attending</w:t>
      </w:r>
      <w:r>
        <w:rPr>
          <w:spacing w:val="-15"/>
        </w:rPr>
        <w:t> </w:t>
      </w:r>
      <w:r>
        <w:rPr/>
        <w:t>throughout</w:t>
      </w:r>
    </w:p>
    <w:p>
      <w:pPr>
        <w:pStyle w:val="BodyText"/>
        <w:spacing w:line="249" w:lineRule="auto"/>
        <w:ind w:left="107" w:right="103"/>
      </w:pPr>
      <w:r>
        <w:rPr/>
        <w:t>the day. The conference included a wide range of student presentations, culminating in a number of ‘best paper’ awards for</w:t>
      </w:r>
    </w:p>
    <w:p>
      <w:pPr>
        <w:pStyle w:val="BodyText"/>
        <w:spacing w:before="2"/>
        <w:rPr>
          <w:sz w:val="20"/>
        </w:rPr>
      </w:pPr>
      <w:r>
        <w:rPr/>
        <w:br w:type="column"/>
      </w:r>
      <w:r>
        <w:rPr>
          <w:sz w:val="20"/>
        </w:rPr>
      </w:r>
    </w:p>
    <w:p>
      <w:pPr>
        <w:pStyle w:val="BodyText"/>
        <w:spacing w:line="249" w:lineRule="auto"/>
        <w:ind w:left="107" w:right="37"/>
      </w:pPr>
      <w:r>
        <w:rPr/>
        <w:t>students. Roundtable discussions provided opportunities for students to meet with experienced teachers and discuss topics including conducting research in school settings,</w:t>
      </w:r>
      <w:r>
        <w:rPr>
          <w:spacing w:val="-22"/>
        </w:rPr>
        <w:t> </w:t>
      </w:r>
      <w:r>
        <w:rPr/>
        <w:t>publishing</w:t>
      </w:r>
      <w:r>
        <w:rPr>
          <w:spacing w:val="-22"/>
        </w:rPr>
        <w:t> </w:t>
      </w:r>
      <w:r>
        <w:rPr/>
        <w:t>strategies,</w:t>
      </w:r>
      <w:r>
        <w:rPr>
          <w:spacing w:val="-22"/>
        </w:rPr>
        <w:t> </w:t>
      </w:r>
      <w:r>
        <w:rPr/>
        <w:t>and</w:t>
      </w:r>
      <w:r>
        <w:rPr>
          <w:spacing w:val="-22"/>
        </w:rPr>
        <w:t> </w:t>
      </w:r>
      <w:r>
        <w:rPr/>
        <w:t>challenges associated with the different stages of candidature.</w:t>
      </w:r>
    </w:p>
    <w:p>
      <w:pPr>
        <w:pStyle w:val="BodyText"/>
      </w:pPr>
    </w:p>
    <w:p>
      <w:pPr>
        <w:spacing w:line="260" w:lineRule="exact" w:before="101"/>
        <w:ind w:left="108" w:right="-12" w:firstLine="6"/>
        <w:jc w:val="left"/>
        <w:rPr>
          <w:rFonts w:ascii="Gotham Narrow Bold"/>
          <w:b/>
          <w:sz w:val="24"/>
        </w:rPr>
      </w:pPr>
      <w:r>
        <w:rPr>
          <w:rFonts w:ascii="Gotham Narrow Bold"/>
          <w:b/>
          <w:spacing w:val="-3"/>
          <w:w w:val="95"/>
          <w:sz w:val="24"/>
        </w:rPr>
        <w:t>SCHOOL </w:t>
      </w:r>
      <w:r>
        <w:rPr>
          <w:rFonts w:ascii="Gotham Narrow Bold"/>
          <w:b/>
          <w:w w:val="95"/>
          <w:sz w:val="24"/>
        </w:rPr>
        <w:t>OF HUMANITIES AND </w:t>
      </w:r>
      <w:r>
        <w:rPr>
          <w:rFonts w:ascii="Gotham Narrow Bold"/>
          <w:b/>
          <w:spacing w:val="-4"/>
          <w:w w:val="95"/>
          <w:sz w:val="24"/>
        </w:rPr>
        <w:t>COMMUNICATION </w:t>
      </w:r>
      <w:r>
        <w:rPr>
          <w:rFonts w:ascii="Gotham Narrow Bold"/>
          <w:b/>
          <w:w w:val="95"/>
          <w:sz w:val="24"/>
        </w:rPr>
        <w:t>ARTS</w:t>
      </w:r>
    </w:p>
    <w:p>
      <w:pPr>
        <w:pStyle w:val="BodyText"/>
        <w:spacing w:line="249" w:lineRule="auto" w:before="214"/>
        <w:ind w:left="107" w:right="6"/>
      </w:pPr>
      <w:r>
        <w:rPr/>
        <w:t>The</w:t>
      </w:r>
      <w:r>
        <w:rPr>
          <w:spacing w:val="-16"/>
        </w:rPr>
        <w:t> </w:t>
      </w:r>
      <w:r>
        <w:rPr/>
        <w:t>School</w:t>
      </w:r>
      <w:r>
        <w:rPr>
          <w:spacing w:val="-16"/>
        </w:rPr>
        <w:t> </w:t>
      </w:r>
      <w:r>
        <w:rPr/>
        <w:t>of</w:t>
      </w:r>
      <w:r>
        <w:rPr>
          <w:spacing w:val="-16"/>
        </w:rPr>
        <w:t> </w:t>
      </w:r>
      <w:r>
        <w:rPr/>
        <w:t>Humanities</w:t>
      </w:r>
      <w:r>
        <w:rPr>
          <w:spacing w:val="-16"/>
        </w:rPr>
        <w:t> </w:t>
      </w:r>
      <w:r>
        <w:rPr/>
        <w:t>and</w:t>
      </w:r>
      <w:r>
        <w:rPr>
          <w:spacing w:val="-16"/>
        </w:rPr>
        <w:t> </w:t>
      </w:r>
      <w:r>
        <w:rPr/>
        <w:t>Communication </w:t>
      </w:r>
      <w:r>
        <w:rPr>
          <w:spacing w:val="2"/>
        </w:rPr>
        <w:t>Arts </w:t>
      </w:r>
      <w:r>
        <w:rPr/>
        <w:t>is one of the largest and most diverse schools at Western Sydney University, offering</w:t>
      </w:r>
      <w:r>
        <w:rPr>
          <w:spacing w:val="-12"/>
        </w:rPr>
        <w:t> </w:t>
      </w:r>
      <w:r>
        <w:rPr/>
        <w:t>the</w:t>
      </w:r>
      <w:r>
        <w:rPr>
          <w:spacing w:val="-12"/>
        </w:rPr>
        <w:t> </w:t>
      </w:r>
      <w:r>
        <w:rPr/>
        <w:t>Bachelor</w:t>
      </w:r>
      <w:r>
        <w:rPr>
          <w:spacing w:val="-12"/>
        </w:rPr>
        <w:t> </w:t>
      </w:r>
      <w:r>
        <w:rPr/>
        <w:t>of</w:t>
      </w:r>
      <w:r>
        <w:rPr>
          <w:spacing w:val="-12"/>
        </w:rPr>
        <w:t> </w:t>
      </w:r>
      <w:r>
        <w:rPr>
          <w:spacing w:val="2"/>
        </w:rPr>
        <w:t>Arts;</w:t>
      </w:r>
      <w:r>
        <w:rPr>
          <w:spacing w:val="-12"/>
        </w:rPr>
        <w:t> </w:t>
      </w:r>
      <w:r>
        <w:rPr/>
        <w:t>Bachelor</w:t>
      </w:r>
      <w:r>
        <w:rPr>
          <w:spacing w:val="-12"/>
        </w:rPr>
        <w:t> </w:t>
      </w:r>
      <w:r>
        <w:rPr/>
        <w:t>of</w:t>
      </w:r>
      <w:r>
        <w:rPr>
          <w:spacing w:val="-12"/>
        </w:rPr>
        <w:t> </w:t>
      </w:r>
      <w:r>
        <w:rPr>
          <w:spacing w:val="2"/>
        </w:rPr>
        <w:t>Arts </w:t>
      </w:r>
      <w:r>
        <w:rPr/>
        <w:t>(Interpreting and Translation); Bachelor of Communication; Bachelor of Design (Visual Communication); and Bachelor of Music degrees.</w:t>
      </w:r>
      <w:r>
        <w:rPr>
          <w:spacing w:val="-17"/>
        </w:rPr>
        <w:t> </w:t>
      </w:r>
      <w:r>
        <w:rPr/>
        <w:t>The</w:t>
      </w:r>
      <w:r>
        <w:rPr>
          <w:spacing w:val="-17"/>
        </w:rPr>
        <w:t> </w:t>
      </w:r>
      <w:r>
        <w:rPr/>
        <w:t>School</w:t>
      </w:r>
      <w:r>
        <w:rPr>
          <w:spacing w:val="-17"/>
        </w:rPr>
        <w:t> </w:t>
      </w:r>
      <w:r>
        <w:rPr/>
        <w:t>also</w:t>
      </w:r>
      <w:r>
        <w:rPr>
          <w:spacing w:val="-17"/>
        </w:rPr>
        <w:t> </w:t>
      </w:r>
      <w:r>
        <w:rPr/>
        <w:t>offers</w:t>
      </w:r>
      <w:r>
        <w:rPr>
          <w:spacing w:val="-17"/>
        </w:rPr>
        <w:t> </w:t>
      </w:r>
      <w:r>
        <w:rPr/>
        <w:t>several</w:t>
      </w:r>
      <w:r>
        <w:rPr>
          <w:spacing w:val="-17"/>
        </w:rPr>
        <w:t> </w:t>
      </w:r>
      <w:r>
        <w:rPr/>
        <w:t>double degrees; coursework masters degrees in convergent media, creative music therapy, creative writing, interpreting and translation and </w:t>
      </w:r>
      <w:r>
        <w:rPr>
          <w:spacing w:val="2"/>
        </w:rPr>
        <w:t>TESOL. </w:t>
      </w:r>
      <w:r>
        <w:rPr/>
        <w:t>It is located on three UWS campuses – Bankstown, Parramatta and Penrith – and hosts the Writing and Society Research Centre, the Digital Humanities Research</w:t>
      </w:r>
      <w:r>
        <w:rPr>
          <w:spacing w:val="-16"/>
        </w:rPr>
        <w:t> </w:t>
      </w:r>
      <w:r>
        <w:rPr/>
        <w:t>Group</w:t>
      </w:r>
      <w:r>
        <w:rPr>
          <w:spacing w:val="-16"/>
        </w:rPr>
        <w:t> </w:t>
      </w:r>
      <w:r>
        <w:rPr/>
        <w:t>and</w:t>
      </w:r>
      <w:r>
        <w:rPr>
          <w:spacing w:val="-16"/>
        </w:rPr>
        <w:t> </w:t>
      </w:r>
      <w:r>
        <w:rPr/>
        <w:t>the</w:t>
      </w:r>
      <w:r>
        <w:rPr>
          <w:spacing w:val="-16"/>
        </w:rPr>
        <w:t> </w:t>
      </w:r>
      <w:r>
        <w:rPr/>
        <w:t>History</w:t>
      </w:r>
      <w:r>
        <w:rPr>
          <w:spacing w:val="-16"/>
        </w:rPr>
        <w:t> </w:t>
      </w:r>
      <w:r>
        <w:rPr/>
        <w:t>at</w:t>
      </w:r>
      <w:r>
        <w:rPr>
          <w:spacing w:val="-16"/>
        </w:rPr>
        <w:t> </w:t>
      </w:r>
      <w:r>
        <w:rPr/>
        <w:t>Western</w:t>
      </w:r>
    </w:p>
    <w:p>
      <w:pPr>
        <w:pStyle w:val="BodyText"/>
        <w:spacing w:line="249" w:lineRule="auto"/>
        <w:ind w:left="107"/>
      </w:pPr>
      <w:r>
        <w:rPr/>
        <w:t>Sydney</w:t>
      </w:r>
      <w:r>
        <w:rPr>
          <w:spacing w:val="-18"/>
        </w:rPr>
        <w:t> </w:t>
      </w:r>
      <w:r>
        <w:rPr/>
        <w:t>and</w:t>
      </w:r>
      <w:r>
        <w:rPr>
          <w:spacing w:val="-18"/>
        </w:rPr>
        <w:t> </w:t>
      </w:r>
      <w:r>
        <w:rPr/>
        <w:t>Philosophy</w:t>
      </w:r>
      <w:r>
        <w:rPr>
          <w:spacing w:val="-18"/>
        </w:rPr>
        <w:t> </w:t>
      </w:r>
      <w:r>
        <w:rPr/>
        <w:t>at</w:t>
      </w:r>
      <w:r>
        <w:rPr>
          <w:spacing w:val="-18"/>
        </w:rPr>
        <w:t> </w:t>
      </w:r>
      <w:r>
        <w:rPr/>
        <w:t>Western</w:t>
      </w:r>
      <w:r>
        <w:rPr>
          <w:spacing w:val="-18"/>
        </w:rPr>
        <w:t> </w:t>
      </w:r>
      <w:r>
        <w:rPr/>
        <w:t>Sydney</w:t>
      </w:r>
      <w:r>
        <w:rPr>
          <w:spacing w:val="-18"/>
        </w:rPr>
        <w:t> </w:t>
      </w:r>
      <w:r>
        <w:rPr/>
        <w:t>RIF initiatives.</w:t>
      </w:r>
    </w:p>
    <w:p>
      <w:pPr>
        <w:pStyle w:val="BodyText"/>
        <w:spacing w:before="7"/>
        <w:rPr>
          <w:sz w:val="21"/>
        </w:rPr>
      </w:pPr>
    </w:p>
    <w:p>
      <w:pPr>
        <w:pStyle w:val="Heading8"/>
      </w:pPr>
      <w:r>
        <w:rPr>
          <w:w w:val="95"/>
        </w:rPr>
        <w:t>LEARNING AND TEACHING</w:t>
      </w:r>
    </w:p>
    <w:p>
      <w:pPr>
        <w:spacing w:before="93"/>
        <w:ind w:left="123" w:right="0" w:firstLine="0"/>
        <w:jc w:val="left"/>
        <w:rPr>
          <w:rFonts w:ascii="Gotham Narrow Bold"/>
          <w:b/>
          <w:sz w:val="16"/>
        </w:rPr>
      </w:pPr>
      <w:r>
        <w:rPr>
          <w:rFonts w:ascii="Gotham Narrow Bold"/>
          <w:b/>
          <w:color w:val="636466"/>
          <w:w w:val="95"/>
          <w:sz w:val="16"/>
        </w:rPr>
        <w:t>Blended Learning</w:t>
      </w:r>
    </w:p>
    <w:p>
      <w:pPr>
        <w:pStyle w:val="BodyText"/>
        <w:spacing w:line="249" w:lineRule="auto" w:before="86"/>
        <w:ind w:left="107"/>
      </w:pPr>
      <w:r>
        <w:rPr/>
        <w:t>The</w:t>
      </w:r>
      <w:r>
        <w:rPr>
          <w:spacing w:val="-16"/>
        </w:rPr>
        <w:t> </w:t>
      </w:r>
      <w:r>
        <w:rPr/>
        <w:t>School</w:t>
      </w:r>
      <w:r>
        <w:rPr>
          <w:spacing w:val="-16"/>
        </w:rPr>
        <w:t> </w:t>
      </w:r>
      <w:r>
        <w:rPr/>
        <w:t>of</w:t>
      </w:r>
      <w:r>
        <w:rPr>
          <w:spacing w:val="-16"/>
        </w:rPr>
        <w:t> </w:t>
      </w:r>
      <w:r>
        <w:rPr/>
        <w:t>Humanities</w:t>
      </w:r>
      <w:r>
        <w:rPr>
          <w:spacing w:val="-16"/>
        </w:rPr>
        <w:t> </w:t>
      </w:r>
      <w:r>
        <w:rPr/>
        <w:t>and</w:t>
      </w:r>
      <w:r>
        <w:rPr>
          <w:spacing w:val="-16"/>
        </w:rPr>
        <w:t> </w:t>
      </w:r>
      <w:r>
        <w:rPr/>
        <w:t>Communication </w:t>
      </w:r>
      <w:r>
        <w:rPr>
          <w:spacing w:val="2"/>
        </w:rPr>
        <w:t>Arts </w:t>
      </w:r>
      <w:r>
        <w:rPr/>
        <w:t>is a leader in externalising existing programs</w:t>
      </w:r>
      <w:r>
        <w:rPr>
          <w:spacing w:val="-15"/>
        </w:rPr>
        <w:t> </w:t>
      </w:r>
      <w:r>
        <w:rPr/>
        <w:t>for</w:t>
      </w:r>
      <w:r>
        <w:rPr>
          <w:spacing w:val="-15"/>
        </w:rPr>
        <w:t> </w:t>
      </w:r>
      <w:r>
        <w:rPr/>
        <w:t>a</w:t>
      </w:r>
      <w:r>
        <w:rPr>
          <w:spacing w:val="-15"/>
        </w:rPr>
        <w:t> </w:t>
      </w:r>
      <w:r>
        <w:rPr/>
        <w:t>fully</w:t>
      </w:r>
      <w:r>
        <w:rPr>
          <w:spacing w:val="-15"/>
        </w:rPr>
        <w:t> </w:t>
      </w:r>
      <w:r>
        <w:rPr/>
        <w:t>online</w:t>
      </w:r>
      <w:r>
        <w:rPr>
          <w:spacing w:val="-15"/>
        </w:rPr>
        <w:t> </w:t>
      </w:r>
      <w:r>
        <w:rPr/>
        <w:t>student</w:t>
      </w:r>
      <w:r>
        <w:rPr>
          <w:spacing w:val="-15"/>
        </w:rPr>
        <w:t> </w:t>
      </w:r>
      <w:r>
        <w:rPr/>
        <w:t>cohort.</w:t>
      </w:r>
    </w:p>
    <w:p>
      <w:pPr>
        <w:pStyle w:val="BodyText"/>
        <w:spacing w:line="249" w:lineRule="auto"/>
        <w:ind w:left="107" w:right="46"/>
      </w:pPr>
      <w:r>
        <w:rPr/>
        <w:t>An online version of the Bachelor of Communication was successfully introduced </w:t>
      </w:r>
      <w:r>
        <w:rPr>
          <w:w w:val="95"/>
        </w:rPr>
        <w:t>in </w:t>
      </w:r>
      <w:r>
        <w:rPr>
          <w:spacing w:val="1"/>
          <w:w w:val="84"/>
        </w:rPr>
        <w:t>2015.</w:t>
      </w:r>
      <w:r>
        <w:rPr>
          <w:w w:val="84"/>
        </w:rPr>
        <w:t> </w:t>
      </w:r>
      <w:r>
        <w:rPr>
          <w:spacing w:val="1"/>
          <w:w w:val="80"/>
        </w:rPr>
        <w:t>In</w:t>
      </w:r>
      <w:r>
        <w:rPr>
          <w:w w:val="80"/>
        </w:rPr>
        <w:t> </w:t>
      </w:r>
      <w:r>
        <w:rPr>
          <w:spacing w:val="1"/>
          <w:w w:val="86"/>
        </w:rPr>
        <w:t>2014,</w:t>
      </w:r>
      <w:r>
        <w:rPr>
          <w:w w:val="86"/>
        </w:rPr>
        <w:t> </w:t>
      </w:r>
      <w:r>
        <w:rPr>
          <w:w w:val="98"/>
        </w:rPr>
        <w:t>templates </w:t>
      </w:r>
      <w:r>
        <w:rPr>
          <w:spacing w:val="1"/>
          <w:w w:val="97"/>
        </w:rPr>
        <w:t>and</w:t>
      </w:r>
      <w:r>
        <w:rPr>
          <w:w w:val="97"/>
        </w:rPr>
        <w:t> </w:t>
      </w:r>
      <w:r>
        <w:rPr>
          <w:w w:val="99"/>
        </w:rPr>
        <w:t>protocols </w:t>
      </w:r>
      <w:r>
        <w:rPr>
          <w:w w:val="97"/>
        </w:rPr>
        <w:t>were </w:t>
      </w:r>
      <w:r>
        <w:rPr/>
        <w:t>set up for creating online materials, and an office-based assisted video recording studio was established, creating an environment in which we doubled our production of high- </w:t>
      </w:r>
      <w:r>
        <w:rPr>
          <w:spacing w:val="1"/>
          <w:w w:val="98"/>
        </w:rPr>
        <w:t>quality</w:t>
      </w:r>
      <w:r>
        <w:rPr>
          <w:w w:val="98"/>
        </w:rPr>
        <w:t> </w:t>
      </w:r>
      <w:r>
        <w:rPr>
          <w:spacing w:val="1"/>
          <w:w w:val="96"/>
        </w:rPr>
        <w:t>learning</w:t>
      </w:r>
      <w:r>
        <w:rPr>
          <w:w w:val="96"/>
        </w:rPr>
        <w:t> </w:t>
      </w:r>
      <w:r>
        <w:rPr>
          <w:spacing w:val="1"/>
          <w:w w:val="93"/>
        </w:rPr>
        <w:t>materials.</w:t>
      </w:r>
      <w:r>
        <w:rPr>
          <w:w w:val="93"/>
        </w:rPr>
        <w:t> </w:t>
      </w:r>
      <w:r>
        <w:rPr>
          <w:spacing w:val="1"/>
          <w:w w:val="97"/>
        </w:rPr>
        <w:t>More</w:t>
      </w:r>
      <w:r>
        <w:rPr>
          <w:w w:val="97"/>
        </w:rPr>
        <w:t> </w:t>
      </w:r>
      <w:r>
        <w:rPr>
          <w:spacing w:val="1"/>
          <w:w w:val="97"/>
        </w:rPr>
        <w:t>than</w:t>
      </w:r>
      <w:r>
        <w:rPr>
          <w:w w:val="97"/>
        </w:rPr>
        <w:t> </w:t>
      </w:r>
      <w:r>
        <w:rPr>
          <w:spacing w:val="2"/>
          <w:w w:val="91"/>
        </w:rPr>
        <w:t>1,000</w:t>
      </w:r>
      <w:r>
        <w:rPr>
          <w:w w:val="91"/>
        </w:rPr>
        <w:t> </w:t>
      </w:r>
      <w:r>
        <w:rPr>
          <w:w w:val="99"/>
        </w:rPr>
        <w:t>of </w:t>
      </w:r>
      <w:r>
        <w:rPr/>
        <w:t>these</w:t>
      </w:r>
      <w:r>
        <w:rPr>
          <w:spacing w:val="-20"/>
        </w:rPr>
        <w:t> </w:t>
      </w:r>
      <w:r>
        <w:rPr/>
        <w:t>eight</w:t>
      </w:r>
      <w:r>
        <w:rPr>
          <w:spacing w:val="-20"/>
        </w:rPr>
        <w:t> </w:t>
      </w:r>
      <w:r>
        <w:rPr/>
        <w:t>to</w:t>
      </w:r>
      <w:r>
        <w:rPr>
          <w:spacing w:val="-20"/>
        </w:rPr>
        <w:t> </w:t>
      </w:r>
      <w:r>
        <w:rPr/>
        <w:t>12-minute</w:t>
      </w:r>
      <w:r>
        <w:rPr>
          <w:spacing w:val="-20"/>
        </w:rPr>
        <w:t> </w:t>
      </w:r>
      <w:r>
        <w:rPr/>
        <w:t>instructional</w:t>
      </w:r>
      <w:r>
        <w:rPr>
          <w:spacing w:val="-20"/>
        </w:rPr>
        <w:t> </w:t>
      </w:r>
      <w:r>
        <w:rPr/>
        <w:t>lecture “pods”, including animations and interactive </w:t>
      </w:r>
      <w:r>
        <w:rPr>
          <w:spacing w:val="1"/>
          <w:w w:val="98"/>
        </w:rPr>
        <w:t>web-based</w:t>
      </w:r>
      <w:r>
        <w:rPr>
          <w:w w:val="98"/>
        </w:rPr>
        <w:t> </w:t>
      </w:r>
      <w:r>
        <w:rPr>
          <w:w w:val="93"/>
        </w:rPr>
        <w:t>material, </w:t>
      </w:r>
      <w:r>
        <w:rPr>
          <w:w w:val="97"/>
        </w:rPr>
        <w:t>were </w:t>
      </w:r>
      <w:r>
        <w:rPr>
          <w:spacing w:val="1"/>
          <w:w w:val="99"/>
        </w:rPr>
        <w:t>produced</w:t>
      </w:r>
      <w:r>
        <w:rPr>
          <w:w w:val="99"/>
        </w:rPr>
        <w:t> </w:t>
      </w:r>
      <w:r>
        <w:rPr>
          <w:w w:val="95"/>
        </w:rPr>
        <w:t>in </w:t>
      </w:r>
      <w:r>
        <w:rPr>
          <w:spacing w:val="1"/>
          <w:w w:val="84"/>
        </w:rPr>
        <w:t>2015,</w:t>
      </w:r>
      <w:r>
        <w:rPr>
          <w:w w:val="84"/>
        </w:rPr>
        <w:t> </w:t>
      </w:r>
      <w:r>
        <w:rPr/>
        <w:t>as</w:t>
      </w:r>
      <w:r>
        <w:rPr>
          <w:spacing w:val="-19"/>
        </w:rPr>
        <w:t> </w:t>
      </w:r>
      <w:r>
        <w:rPr/>
        <w:t>well</w:t>
      </w:r>
      <w:r>
        <w:rPr>
          <w:spacing w:val="-19"/>
        </w:rPr>
        <w:t> </w:t>
      </w:r>
      <w:r>
        <w:rPr/>
        <w:t>as</w:t>
      </w:r>
      <w:r>
        <w:rPr>
          <w:spacing w:val="-19"/>
        </w:rPr>
        <w:t> </w:t>
      </w:r>
      <w:r>
        <w:rPr/>
        <w:t>apps</w:t>
      </w:r>
      <w:r>
        <w:rPr>
          <w:spacing w:val="-19"/>
        </w:rPr>
        <w:t> </w:t>
      </w:r>
      <w:r>
        <w:rPr/>
        <w:t>to</w:t>
      </w:r>
      <w:r>
        <w:rPr>
          <w:spacing w:val="-19"/>
        </w:rPr>
        <w:t> </w:t>
      </w:r>
      <w:r>
        <w:rPr/>
        <w:t>assist</w:t>
      </w:r>
      <w:r>
        <w:rPr>
          <w:spacing w:val="-19"/>
        </w:rPr>
        <w:t> </w:t>
      </w:r>
      <w:r>
        <w:rPr/>
        <w:t>learning.</w:t>
      </w:r>
      <w:r>
        <w:rPr>
          <w:spacing w:val="-19"/>
        </w:rPr>
        <w:t> </w:t>
      </w:r>
      <w:r>
        <w:rPr/>
        <w:t>In</w:t>
      </w:r>
      <w:r>
        <w:rPr>
          <w:spacing w:val="-19"/>
        </w:rPr>
        <w:t> </w:t>
      </w:r>
      <w:r>
        <w:rPr/>
        <w:t>addition, 65 units at </w:t>
      </w:r>
      <w:r>
        <w:rPr>
          <w:spacing w:val="2"/>
        </w:rPr>
        <w:t>200 </w:t>
      </w:r>
      <w:r>
        <w:rPr/>
        <w:t>and </w:t>
      </w:r>
      <w:r>
        <w:rPr>
          <w:spacing w:val="2"/>
        </w:rPr>
        <w:t>300 </w:t>
      </w:r>
      <w:r>
        <w:rPr/>
        <w:t>levels were revised for</w:t>
      </w:r>
      <w:r>
        <w:rPr>
          <w:spacing w:val="-15"/>
        </w:rPr>
        <w:t> </w:t>
      </w:r>
      <w:r>
        <w:rPr/>
        <w:t>online</w:t>
      </w:r>
      <w:r>
        <w:rPr>
          <w:spacing w:val="-15"/>
        </w:rPr>
        <w:t> </w:t>
      </w:r>
      <w:r>
        <w:rPr/>
        <w:t>or</w:t>
      </w:r>
      <w:r>
        <w:rPr>
          <w:spacing w:val="-15"/>
        </w:rPr>
        <w:t> </w:t>
      </w:r>
      <w:r>
        <w:rPr/>
        <w:t>blended</w:t>
      </w:r>
      <w:r>
        <w:rPr>
          <w:spacing w:val="-15"/>
        </w:rPr>
        <w:t> </w:t>
      </w:r>
      <w:r>
        <w:rPr/>
        <w:t>delivery,</w:t>
      </w:r>
      <w:r>
        <w:rPr>
          <w:spacing w:val="-15"/>
        </w:rPr>
        <w:t> </w:t>
      </w:r>
      <w:r>
        <w:rPr/>
        <w:t>completing</w:t>
      </w:r>
      <w:r>
        <w:rPr>
          <w:spacing w:val="-15"/>
        </w:rPr>
        <w:t> </w:t>
      </w:r>
      <w:r>
        <w:rPr/>
        <w:t>the project to have all the School’s offerings in blended</w:t>
      </w:r>
      <w:r>
        <w:rPr>
          <w:spacing w:val="-16"/>
        </w:rPr>
        <w:t> </w:t>
      </w:r>
      <w:r>
        <w:rPr/>
        <w:t>mode.</w:t>
      </w:r>
    </w:p>
    <w:p>
      <w:pPr>
        <w:pStyle w:val="BodyText"/>
        <w:spacing w:before="9"/>
        <w:rPr>
          <w:sz w:val="20"/>
        </w:rPr>
      </w:pPr>
      <w:r>
        <w:rPr/>
        <w:br w:type="column"/>
      </w:r>
      <w:r>
        <w:rPr>
          <w:sz w:val="20"/>
        </w:rPr>
      </w:r>
    </w:p>
    <w:p>
      <w:pPr>
        <w:pStyle w:val="Heading8"/>
        <w:ind w:left="124" w:right="287"/>
      </w:pPr>
      <w:r>
        <w:rPr>
          <w:color w:val="636466"/>
          <w:w w:val="95"/>
        </w:rPr>
        <w:t>New Courses</w:t>
      </w:r>
    </w:p>
    <w:p>
      <w:pPr>
        <w:pStyle w:val="BodyText"/>
        <w:spacing w:line="249" w:lineRule="auto" w:before="86"/>
        <w:ind w:left="107" w:right="121"/>
      </w:pPr>
      <w:r>
        <w:rPr/>
        <w:t>The</w:t>
      </w:r>
      <w:r>
        <w:rPr>
          <w:spacing w:val="-15"/>
        </w:rPr>
        <w:t> </w:t>
      </w:r>
      <w:r>
        <w:rPr/>
        <w:t>School</w:t>
      </w:r>
      <w:r>
        <w:rPr>
          <w:spacing w:val="-15"/>
        </w:rPr>
        <w:t> </w:t>
      </w:r>
      <w:r>
        <w:rPr/>
        <w:t>continued</w:t>
      </w:r>
      <w:r>
        <w:rPr>
          <w:spacing w:val="-15"/>
        </w:rPr>
        <w:t> </w:t>
      </w:r>
      <w:r>
        <w:rPr/>
        <w:t>to</w:t>
      </w:r>
      <w:r>
        <w:rPr>
          <w:spacing w:val="-15"/>
        </w:rPr>
        <w:t> </w:t>
      </w:r>
      <w:r>
        <w:rPr/>
        <w:t>identify</w:t>
      </w:r>
      <w:r>
        <w:rPr>
          <w:spacing w:val="-15"/>
        </w:rPr>
        <w:t> </w:t>
      </w:r>
      <w:r>
        <w:rPr/>
        <w:t>new</w:t>
      </w:r>
      <w:r>
        <w:rPr>
          <w:spacing w:val="-15"/>
        </w:rPr>
        <w:t> </w:t>
      </w:r>
      <w:r>
        <w:rPr/>
        <w:t>markets and develop new courses that brought together existing offerings in novel and interesting</w:t>
      </w:r>
      <w:r>
        <w:rPr>
          <w:spacing w:val="-22"/>
        </w:rPr>
        <w:t> </w:t>
      </w:r>
      <w:r>
        <w:rPr/>
        <w:t>ways.</w:t>
      </w:r>
      <w:r>
        <w:rPr>
          <w:spacing w:val="-22"/>
        </w:rPr>
        <w:t> </w:t>
      </w:r>
      <w:r>
        <w:rPr/>
        <w:t>The</w:t>
      </w:r>
      <w:r>
        <w:rPr>
          <w:spacing w:val="-22"/>
        </w:rPr>
        <w:t> </w:t>
      </w:r>
      <w:r>
        <w:rPr/>
        <w:t>courses</w:t>
      </w:r>
      <w:r>
        <w:rPr>
          <w:spacing w:val="-22"/>
        </w:rPr>
        <w:t> </w:t>
      </w:r>
      <w:r>
        <w:rPr/>
        <w:t>(and</w:t>
      </w:r>
      <w:r>
        <w:rPr>
          <w:spacing w:val="-22"/>
        </w:rPr>
        <w:t> </w:t>
      </w:r>
      <w:r>
        <w:rPr/>
        <w:t>associated </w:t>
      </w:r>
      <w:r>
        <w:rPr>
          <w:w w:val="98"/>
        </w:rPr>
        <w:t>exit</w:t>
      </w:r>
      <w:r>
        <w:rPr>
          <w:spacing w:val="-8"/>
          <w:w w:val="98"/>
        </w:rPr>
        <w:t> </w:t>
      </w:r>
      <w:r>
        <w:rPr>
          <w:spacing w:val="-1"/>
          <w:w w:val="97"/>
        </w:rPr>
        <w:t>awards)</w:t>
      </w:r>
      <w:r>
        <w:rPr>
          <w:spacing w:val="-8"/>
          <w:w w:val="97"/>
        </w:rPr>
        <w:t> </w:t>
      </w:r>
      <w:r>
        <w:rPr>
          <w:w w:val="99"/>
        </w:rPr>
        <w:t>approved</w:t>
      </w:r>
      <w:r>
        <w:rPr>
          <w:spacing w:val="-9"/>
          <w:w w:val="99"/>
        </w:rPr>
        <w:t> </w:t>
      </w:r>
      <w:r>
        <w:rPr>
          <w:w w:val="95"/>
        </w:rPr>
        <w:t>in</w:t>
      </w:r>
      <w:r>
        <w:rPr>
          <w:spacing w:val="-7"/>
          <w:w w:val="95"/>
        </w:rPr>
        <w:t> </w:t>
      </w:r>
      <w:r>
        <w:rPr>
          <w:spacing w:val="1"/>
          <w:w w:val="88"/>
        </w:rPr>
        <w:t>2015</w:t>
      </w:r>
      <w:r>
        <w:rPr>
          <w:spacing w:val="-3"/>
          <w:w w:val="88"/>
        </w:rPr>
        <w:t> </w:t>
      </w:r>
      <w:r>
        <w:rPr>
          <w:spacing w:val="-1"/>
          <w:w w:val="98"/>
        </w:rPr>
        <w:t>we</w:t>
      </w:r>
      <w:r>
        <w:rPr>
          <w:spacing w:val="-8"/>
          <w:w w:val="98"/>
        </w:rPr>
        <w:t> </w:t>
      </w:r>
      <w:r>
        <w:rPr>
          <w:w w:val="86"/>
        </w:rPr>
        <w:t>are:</w:t>
      </w:r>
    </w:p>
    <w:p>
      <w:pPr>
        <w:pStyle w:val="BodyText"/>
        <w:spacing w:before="11"/>
        <w:rPr>
          <w:sz w:val="13"/>
        </w:rPr>
      </w:pPr>
    </w:p>
    <w:p>
      <w:pPr>
        <w:pStyle w:val="BodyText"/>
        <w:spacing w:line="244" w:lineRule="auto"/>
        <w:ind w:left="333" w:right="636" w:hanging="227"/>
      </w:pPr>
      <w:r>
        <w:rPr>
          <w:rFonts w:ascii="Century Gothic" w:hAnsi="Century Gothic"/>
          <w:b/>
          <w:w w:val="115"/>
        </w:rPr>
        <w:t>≥</w:t>
      </w:r>
      <w:r>
        <w:rPr>
          <w:rFonts w:ascii="Century Gothic" w:hAnsi="Century Gothic"/>
          <w:b/>
          <w:spacing w:val="22"/>
          <w:w w:val="115"/>
        </w:rPr>
        <w:t> </w:t>
      </w:r>
      <w:r>
        <w:rPr>
          <w:w w:val="105"/>
        </w:rPr>
        <w:t>Bachelor</w:t>
      </w:r>
      <w:r>
        <w:rPr>
          <w:spacing w:val="-24"/>
          <w:w w:val="105"/>
        </w:rPr>
        <w:t> </w:t>
      </w:r>
      <w:r>
        <w:rPr>
          <w:w w:val="105"/>
        </w:rPr>
        <w:t>of</w:t>
      </w:r>
      <w:r>
        <w:rPr>
          <w:spacing w:val="-24"/>
          <w:w w:val="105"/>
        </w:rPr>
        <w:t> </w:t>
      </w:r>
      <w:r>
        <w:rPr>
          <w:w w:val="105"/>
        </w:rPr>
        <w:t>Screen</w:t>
      </w:r>
      <w:r>
        <w:rPr>
          <w:spacing w:val="-24"/>
          <w:w w:val="105"/>
        </w:rPr>
        <w:t> </w:t>
      </w:r>
      <w:r>
        <w:rPr>
          <w:w w:val="105"/>
        </w:rPr>
        <w:t>Media</w:t>
      </w:r>
      <w:r>
        <w:rPr>
          <w:spacing w:val="-24"/>
          <w:w w:val="105"/>
        </w:rPr>
        <w:t> </w:t>
      </w:r>
      <w:r>
        <w:rPr>
          <w:w w:val="105"/>
        </w:rPr>
        <w:t>(Arts</w:t>
      </w:r>
      <w:r>
        <w:rPr>
          <w:spacing w:val="-24"/>
          <w:w w:val="105"/>
        </w:rPr>
        <w:t> </w:t>
      </w:r>
      <w:r>
        <w:rPr>
          <w:w w:val="105"/>
        </w:rPr>
        <w:t>and Production)</w:t>
      </w:r>
    </w:p>
    <w:p>
      <w:pPr>
        <w:pStyle w:val="BodyText"/>
        <w:spacing w:before="58"/>
        <w:ind w:left="107" w:right="287"/>
      </w:pPr>
      <w:r>
        <w:rPr>
          <w:rFonts w:ascii="Century Gothic" w:hAnsi="Century Gothic"/>
          <w:b/>
          <w:w w:val="115"/>
        </w:rPr>
        <w:t>≥ </w:t>
      </w:r>
      <w:r>
        <w:rPr>
          <w:w w:val="105"/>
        </w:rPr>
        <w:t>Bachelor of Language and Linguistics</w:t>
      </w:r>
    </w:p>
    <w:p>
      <w:pPr>
        <w:pStyle w:val="BodyText"/>
        <w:spacing w:before="60"/>
        <w:ind w:left="107" w:right="287"/>
      </w:pPr>
      <w:r>
        <w:rPr>
          <w:rFonts w:ascii="Century Gothic" w:hAnsi="Century Gothic"/>
          <w:b/>
          <w:w w:val="115"/>
        </w:rPr>
        <w:t>≥ </w:t>
      </w:r>
      <w:r>
        <w:rPr>
          <w:w w:val="105"/>
        </w:rPr>
        <w:t>Master of Accessible Media</w:t>
      </w:r>
    </w:p>
    <w:p>
      <w:pPr>
        <w:pStyle w:val="BodyText"/>
        <w:spacing w:before="60"/>
        <w:ind w:left="107" w:right="121"/>
      </w:pPr>
      <w:r>
        <w:rPr>
          <w:rFonts w:ascii="Century Gothic" w:hAnsi="Century Gothic"/>
          <w:b/>
          <w:w w:val="115"/>
        </w:rPr>
        <w:t>≥ </w:t>
      </w:r>
      <w:r>
        <w:rPr>
          <w:w w:val="105"/>
        </w:rPr>
        <w:t>Master of Arts in Continental Philosophy</w:t>
      </w:r>
    </w:p>
    <w:p>
      <w:pPr>
        <w:pStyle w:val="BodyText"/>
        <w:spacing w:before="60"/>
        <w:ind w:left="107" w:right="287"/>
      </w:pPr>
      <w:r>
        <w:rPr>
          <w:rFonts w:ascii="Century Gothic" w:hAnsi="Century Gothic"/>
          <w:b/>
          <w:w w:val="115"/>
        </w:rPr>
        <w:t>≥ </w:t>
      </w:r>
      <w:r>
        <w:rPr>
          <w:w w:val="105"/>
        </w:rPr>
        <w:t>Master of Arts (Creative Arts)</w:t>
      </w:r>
    </w:p>
    <w:p>
      <w:pPr>
        <w:pStyle w:val="BodyText"/>
        <w:spacing w:before="5"/>
        <w:rPr>
          <w:sz w:val="14"/>
        </w:rPr>
      </w:pPr>
    </w:p>
    <w:p>
      <w:pPr>
        <w:pStyle w:val="BodyText"/>
        <w:spacing w:line="249" w:lineRule="auto"/>
        <w:ind w:left="107" w:right="121"/>
      </w:pPr>
      <w:r>
        <w:rPr/>
        <w:t>Several</w:t>
      </w:r>
      <w:r>
        <w:rPr>
          <w:spacing w:val="-16"/>
        </w:rPr>
        <w:t> </w:t>
      </w:r>
      <w:r>
        <w:rPr/>
        <w:t>new</w:t>
      </w:r>
      <w:r>
        <w:rPr>
          <w:spacing w:val="-16"/>
        </w:rPr>
        <w:t> </w:t>
      </w:r>
      <w:r>
        <w:rPr/>
        <w:t>double</w:t>
      </w:r>
      <w:r>
        <w:rPr>
          <w:spacing w:val="-16"/>
        </w:rPr>
        <w:t> </w:t>
      </w:r>
      <w:r>
        <w:rPr/>
        <w:t>degrees</w:t>
      </w:r>
      <w:r>
        <w:rPr>
          <w:spacing w:val="-16"/>
        </w:rPr>
        <w:t> </w:t>
      </w:r>
      <w:r>
        <w:rPr/>
        <w:t>are</w:t>
      </w:r>
      <w:r>
        <w:rPr>
          <w:spacing w:val="-16"/>
        </w:rPr>
        <w:t> </w:t>
      </w:r>
      <w:r>
        <w:rPr/>
        <w:t>on</w:t>
      </w:r>
      <w:r>
        <w:rPr>
          <w:spacing w:val="-16"/>
        </w:rPr>
        <w:t> </w:t>
      </w:r>
      <w:r>
        <w:rPr/>
        <w:t>offer</w:t>
      </w:r>
      <w:r>
        <w:rPr>
          <w:spacing w:val="-16"/>
        </w:rPr>
        <w:t> </w:t>
      </w:r>
      <w:r>
        <w:rPr/>
        <w:t>from </w:t>
      </w:r>
      <w:r>
        <w:rPr>
          <w:spacing w:val="1"/>
          <w:w w:val="86"/>
        </w:rPr>
        <w:t>2016:</w:t>
      </w:r>
    </w:p>
    <w:p>
      <w:pPr>
        <w:pStyle w:val="BodyText"/>
        <w:spacing w:before="11"/>
        <w:rPr>
          <w:sz w:val="13"/>
        </w:rPr>
      </w:pPr>
    </w:p>
    <w:p>
      <w:pPr>
        <w:pStyle w:val="BodyText"/>
        <w:spacing w:line="244" w:lineRule="auto"/>
        <w:ind w:left="333" w:right="141" w:hanging="227"/>
      </w:pPr>
      <w:r>
        <w:rPr>
          <w:rFonts w:ascii="Century Gothic" w:hAnsi="Century Gothic"/>
          <w:b/>
          <w:w w:val="115"/>
        </w:rPr>
        <w:t>≥</w:t>
      </w:r>
      <w:r>
        <w:rPr>
          <w:rFonts w:ascii="Century Gothic" w:hAnsi="Century Gothic"/>
          <w:b/>
          <w:spacing w:val="-8"/>
          <w:w w:val="115"/>
        </w:rPr>
        <w:t> </w:t>
      </w:r>
      <w:r>
        <w:rPr>
          <w:w w:val="105"/>
        </w:rPr>
        <w:t>Bachelor</w:t>
      </w:r>
      <w:r>
        <w:rPr>
          <w:spacing w:val="-36"/>
          <w:w w:val="105"/>
        </w:rPr>
        <w:t> </w:t>
      </w:r>
      <w:r>
        <w:rPr>
          <w:w w:val="105"/>
        </w:rPr>
        <w:t>of</w:t>
      </w:r>
      <w:r>
        <w:rPr>
          <w:spacing w:val="-36"/>
          <w:w w:val="105"/>
        </w:rPr>
        <w:t> </w:t>
      </w:r>
      <w:r>
        <w:rPr>
          <w:w w:val="105"/>
        </w:rPr>
        <w:t>International</w:t>
      </w:r>
      <w:r>
        <w:rPr>
          <w:spacing w:val="-36"/>
          <w:w w:val="105"/>
        </w:rPr>
        <w:t> </w:t>
      </w:r>
      <w:r>
        <w:rPr>
          <w:w w:val="105"/>
        </w:rPr>
        <w:t>Studies/Bachelor </w:t>
      </w:r>
      <w:r>
        <w:rPr/>
        <w:t>of Social</w:t>
      </w:r>
      <w:r>
        <w:rPr>
          <w:spacing w:val="-23"/>
        </w:rPr>
        <w:t> </w:t>
      </w:r>
      <w:r>
        <w:rPr/>
        <w:t>Science</w:t>
      </w:r>
    </w:p>
    <w:p>
      <w:pPr>
        <w:pStyle w:val="BodyText"/>
        <w:spacing w:line="244" w:lineRule="auto" w:before="58"/>
        <w:ind w:left="333" w:right="223" w:hanging="227"/>
      </w:pPr>
      <w:r>
        <w:rPr>
          <w:rFonts w:ascii="Century Gothic" w:hAnsi="Century Gothic"/>
          <w:b/>
          <w:w w:val="115"/>
        </w:rPr>
        <w:t>≥ </w:t>
      </w:r>
      <w:r>
        <w:rPr>
          <w:w w:val="105"/>
        </w:rPr>
        <w:t>Bachelor of Communication/Bachelor of Business</w:t>
      </w:r>
    </w:p>
    <w:p>
      <w:pPr>
        <w:pStyle w:val="BodyText"/>
        <w:spacing w:line="244" w:lineRule="auto" w:before="58"/>
        <w:ind w:left="333" w:right="141" w:hanging="227"/>
      </w:pPr>
      <w:r>
        <w:rPr>
          <w:rFonts w:ascii="Century Gothic" w:hAnsi="Century Gothic"/>
          <w:b/>
          <w:w w:val="115"/>
        </w:rPr>
        <w:t>≥</w:t>
      </w:r>
      <w:r>
        <w:rPr>
          <w:rFonts w:ascii="Century Gothic" w:hAnsi="Century Gothic"/>
          <w:b/>
          <w:spacing w:val="-8"/>
          <w:w w:val="115"/>
        </w:rPr>
        <w:t> </w:t>
      </w:r>
      <w:r>
        <w:rPr>
          <w:w w:val="105"/>
        </w:rPr>
        <w:t>Bachelor</w:t>
      </w:r>
      <w:r>
        <w:rPr>
          <w:spacing w:val="-36"/>
          <w:w w:val="105"/>
        </w:rPr>
        <w:t> </w:t>
      </w:r>
      <w:r>
        <w:rPr>
          <w:w w:val="105"/>
        </w:rPr>
        <w:t>of</w:t>
      </w:r>
      <w:r>
        <w:rPr>
          <w:spacing w:val="-36"/>
          <w:w w:val="105"/>
        </w:rPr>
        <w:t> </w:t>
      </w:r>
      <w:r>
        <w:rPr>
          <w:w w:val="105"/>
        </w:rPr>
        <w:t>International</w:t>
      </w:r>
      <w:r>
        <w:rPr>
          <w:spacing w:val="-36"/>
          <w:w w:val="105"/>
        </w:rPr>
        <w:t> </w:t>
      </w:r>
      <w:r>
        <w:rPr>
          <w:w w:val="105"/>
        </w:rPr>
        <w:t>Studies/Bachelor </w:t>
      </w:r>
      <w:r>
        <w:rPr/>
        <w:t>of</w:t>
      </w:r>
      <w:r>
        <w:rPr>
          <w:spacing w:val="-18"/>
        </w:rPr>
        <w:t> </w:t>
      </w:r>
      <w:r>
        <w:rPr/>
        <w:t>Business</w:t>
      </w:r>
    </w:p>
    <w:p>
      <w:pPr>
        <w:pStyle w:val="BodyText"/>
        <w:spacing w:before="10"/>
        <w:rPr>
          <w:sz w:val="14"/>
        </w:rPr>
      </w:pPr>
    </w:p>
    <w:p>
      <w:pPr>
        <w:pStyle w:val="Heading8"/>
        <w:ind w:left="123" w:right="287"/>
      </w:pPr>
      <w:r>
        <w:rPr>
          <w:color w:val="636466"/>
          <w:w w:val="95"/>
        </w:rPr>
        <w:t>Learning and Teaching Awards</w:t>
      </w:r>
    </w:p>
    <w:p>
      <w:pPr>
        <w:pStyle w:val="BodyText"/>
        <w:spacing w:line="249" w:lineRule="auto" w:before="86"/>
        <w:ind w:left="107" w:right="323"/>
      </w:pPr>
      <w:r>
        <w:rPr/>
        <w:t>The School has a strong reputation for innovation and scholarship in learning and teaching.</w:t>
      </w:r>
    </w:p>
    <w:p>
      <w:pPr>
        <w:pStyle w:val="BodyText"/>
        <w:rPr>
          <w:sz w:val="14"/>
        </w:rPr>
      </w:pPr>
    </w:p>
    <w:p>
      <w:pPr>
        <w:pStyle w:val="BodyText"/>
        <w:spacing w:line="249" w:lineRule="auto"/>
        <w:ind w:left="107" w:right="287"/>
      </w:pPr>
      <w:r>
        <w:rPr/>
        <w:t>Professor Kaye Shumack (Team Leader) and the Bachelor of Communication’s hybrid online team (Ms Nicole Bridges, Dr Asha</w:t>
      </w:r>
      <w:r>
        <w:rPr>
          <w:spacing w:val="-17"/>
        </w:rPr>
        <w:t> </w:t>
      </w:r>
      <w:r>
        <w:rPr/>
        <w:t>Chand,</w:t>
      </w:r>
      <w:r>
        <w:rPr>
          <w:spacing w:val="-17"/>
        </w:rPr>
        <w:t> </w:t>
      </w:r>
      <w:r>
        <w:rPr/>
        <w:t>Ms</w:t>
      </w:r>
      <w:r>
        <w:rPr>
          <w:spacing w:val="-17"/>
        </w:rPr>
        <w:t> </w:t>
      </w:r>
      <w:r>
        <w:rPr/>
        <w:t>Wendy</w:t>
      </w:r>
      <w:r>
        <w:rPr>
          <w:spacing w:val="-17"/>
        </w:rPr>
        <w:t> </w:t>
      </w:r>
      <w:r>
        <w:rPr/>
        <w:t>Chandler,</w:t>
      </w:r>
      <w:r>
        <w:rPr>
          <w:spacing w:val="-17"/>
        </w:rPr>
        <w:t> </w:t>
      </w:r>
      <w:r>
        <w:rPr/>
        <w:t>Dr</w:t>
      </w:r>
      <w:r>
        <w:rPr>
          <w:spacing w:val="-17"/>
        </w:rPr>
        <w:t> </w:t>
      </w:r>
      <w:r>
        <w:rPr/>
        <w:t>Roger</w:t>
      </w:r>
    </w:p>
    <w:p>
      <w:pPr>
        <w:pStyle w:val="BodyText"/>
        <w:spacing w:line="249" w:lineRule="auto"/>
        <w:ind w:left="107" w:right="137"/>
      </w:pPr>
      <w:r>
        <w:rPr/>
        <w:t>Dawkins,</w:t>
      </w:r>
      <w:r>
        <w:rPr>
          <w:spacing w:val="-22"/>
        </w:rPr>
        <w:t> </w:t>
      </w:r>
      <w:r>
        <w:rPr/>
        <w:t>Dr</w:t>
      </w:r>
      <w:r>
        <w:rPr>
          <w:spacing w:val="-22"/>
        </w:rPr>
        <w:t> </w:t>
      </w:r>
      <w:r>
        <w:rPr/>
        <w:t>Milissa</w:t>
      </w:r>
      <w:r>
        <w:rPr>
          <w:spacing w:val="-22"/>
        </w:rPr>
        <w:t> </w:t>
      </w:r>
      <w:r>
        <w:rPr/>
        <w:t>Deitz,</w:t>
      </w:r>
      <w:r>
        <w:rPr>
          <w:spacing w:val="-22"/>
        </w:rPr>
        <w:t> </w:t>
      </w:r>
      <w:r>
        <w:rPr/>
        <w:t>Dr</w:t>
      </w:r>
      <w:r>
        <w:rPr>
          <w:spacing w:val="-22"/>
        </w:rPr>
        <w:t> </w:t>
      </w:r>
      <w:r>
        <w:rPr/>
        <w:t>Navin</w:t>
      </w:r>
      <w:r>
        <w:rPr>
          <w:spacing w:val="-22"/>
        </w:rPr>
        <w:t> </w:t>
      </w:r>
      <w:r>
        <w:rPr/>
        <w:t>Doloswala, Ms Maryella Hatfield, Ms Jacki Krahmalov, Dr Rachel</w:t>
      </w:r>
      <w:r>
        <w:rPr>
          <w:spacing w:val="-17"/>
        </w:rPr>
        <w:t> </w:t>
      </w:r>
      <w:r>
        <w:rPr/>
        <w:t>Morley,</w:t>
      </w:r>
      <w:r>
        <w:rPr>
          <w:spacing w:val="-17"/>
        </w:rPr>
        <w:t> </w:t>
      </w:r>
      <w:r>
        <w:rPr/>
        <w:t>Mr</w:t>
      </w:r>
      <w:r>
        <w:rPr>
          <w:spacing w:val="-17"/>
        </w:rPr>
        <w:t> </w:t>
      </w:r>
      <w:r>
        <w:rPr/>
        <w:t>Enrico</w:t>
      </w:r>
      <w:r>
        <w:rPr>
          <w:spacing w:val="-17"/>
        </w:rPr>
        <w:t> </w:t>
      </w:r>
      <w:r>
        <w:rPr/>
        <w:t>Scotece,</w:t>
      </w:r>
      <w:r>
        <w:rPr>
          <w:spacing w:val="-17"/>
        </w:rPr>
        <w:t> </w:t>
      </w:r>
      <w:r>
        <w:rPr/>
        <w:t>Mr</w:t>
      </w:r>
      <w:r>
        <w:rPr>
          <w:spacing w:val="-17"/>
        </w:rPr>
        <w:t> </w:t>
      </w:r>
      <w:r>
        <w:rPr/>
        <w:t>George Karlychuk,</w:t>
      </w:r>
      <w:r>
        <w:rPr>
          <w:spacing w:val="-17"/>
        </w:rPr>
        <w:t> </w:t>
      </w:r>
      <w:r>
        <w:rPr/>
        <w:t>Mr</w:t>
      </w:r>
      <w:r>
        <w:rPr>
          <w:spacing w:val="-17"/>
        </w:rPr>
        <w:t> </w:t>
      </w:r>
      <w:r>
        <w:rPr/>
        <w:t>Rob</w:t>
      </w:r>
      <w:r>
        <w:rPr>
          <w:spacing w:val="-17"/>
        </w:rPr>
        <w:t> </w:t>
      </w:r>
      <w:r>
        <w:rPr/>
        <w:t>Leggo,</w:t>
      </w:r>
      <w:r>
        <w:rPr>
          <w:spacing w:val="-17"/>
        </w:rPr>
        <w:t> </w:t>
      </w:r>
      <w:r>
        <w:rPr/>
        <w:t>Mr</w:t>
      </w:r>
      <w:r>
        <w:rPr>
          <w:spacing w:val="-17"/>
        </w:rPr>
        <w:t> </w:t>
      </w:r>
      <w:r>
        <w:rPr/>
        <w:t>Peter</w:t>
      </w:r>
      <w:r>
        <w:rPr>
          <w:spacing w:val="-17"/>
        </w:rPr>
        <w:t> </w:t>
      </w:r>
      <w:r>
        <w:rPr/>
        <w:t>Steele</w:t>
      </w:r>
      <w:r>
        <w:rPr>
          <w:spacing w:val="-17"/>
        </w:rPr>
        <w:t> </w:t>
      </w:r>
      <w:r>
        <w:rPr/>
        <w:t>and Ms Fiona Thurn) received a Western Sydney University</w:t>
      </w:r>
      <w:r>
        <w:rPr>
          <w:spacing w:val="-23"/>
        </w:rPr>
        <w:t> </w:t>
      </w:r>
      <w:r>
        <w:rPr/>
        <w:t>Teaching</w:t>
      </w:r>
      <w:r>
        <w:rPr>
          <w:spacing w:val="-23"/>
        </w:rPr>
        <w:t> </w:t>
      </w:r>
      <w:r>
        <w:rPr/>
        <w:t>Excellence</w:t>
      </w:r>
      <w:r>
        <w:rPr>
          <w:spacing w:val="-23"/>
        </w:rPr>
        <w:t> </w:t>
      </w:r>
      <w:r>
        <w:rPr/>
        <w:t>Award.</w:t>
      </w:r>
    </w:p>
    <w:p>
      <w:pPr>
        <w:pStyle w:val="BodyText"/>
        <w:rPr>
          <w:sz w:val="14"/>
        </w:rPr>
      </w:pPr>
    </w:p>
    <w:p>
      <w:pPr>
        <w:pStyle w:val="BodyText"/>
        <w:spacing w:line="249" w:lineRule="auto"/>
        <w:ind w:left="107" w:right="287"/>
      </w:pPr>
      <w:r>
        <w:rPr/>
        <w:t>Dr Margaret Hanlon received a Western Sydney University Citation for Outstanding Contribution to Student Learning.</w:t>
      </w:r>
    </w:p>
    <w:p>
      <w:pPr>
        <w:pStyle w:val="BodyText"/>
        <w:rPr>
          <w:sz w:val="14"/>
        </w:rPr>
      </w:pPr>
    </w:p>
    <w:p>
      <w:pPr>
        <w:pStyle w:val="BodyText"/>
        <w:spacing w:line="249" w:lineRule="auto"/>
        <w:ind w:left="107" w:right="106"/>
      </w:pPr>
      <w:r>
        <w:rPr/>
        <w:t>Dr Matthew McGuire, Mr Roman Goik and Ms Karen Lewis were part of the award-winning, multi-disciplinary</w:t>
      </w:r>
      <w:r>
        <w:rPr>
          <w:spacing w:val="-35"/>
        </w:rPr>
        <w:t> </w:t>
      </w:r>
      <w:r>
        <w:rPr/>
        <w:t>Student</w:t>
      </w:r>
      <w:r>
        <w:rPr>
          <w:spacing w:val="-35"/>
        </w:rPr>
        <w:t> </w:t>
      </w:r>
      <w:r>
        <w:rPr/>
        <w:t>Transition,</w:t>
      </w:r>
      <w:r>
        <w:rPr>
          <w:spacing w:val="-35"/>
        </w:rPr>
        <w:t> </w:t>
      </w:r>
      <w:r>
        <w:rPr/>
        <w:t>Retention and</w:t>
      </w:r>
      <w:r>
        <w:rPr>
          <w:spacing w:val="-26"/>
        </w:rPr>
        <w:t> </w:t>
      </w:r>
      <w:r>
        <w:rPr/>
        <w:t>Success</w:t>
      </w:r>
      <w:r>
        <w:rPr>
          <w:spacing w:val="-26"/>
        </w:rPr>
        <w:t> </w:t>
      </w:r>
      <w:r>
        <w:rPr/>
        <w:t>(STaRS)</w:t>
      </w:r>
      <w:r>
        <w:rPr>
          <w:spacing w:val="-26"/>
        </w:rPr>
        <w:t> </w:t>
      </w:r>
      <w:r>
        <w:rPr/>
        <w:t>team</w:t>
      </w:r>
      <w:r>
        <w:rPr>
          <w:spacing w:val="-26"/>
        </w:rPr>
        <w:t> </w:t>
      </w:r>
      <w:r>
        <w:rPr/>
        <w:t>that</w:t>
      </w:r>
      <w:r>
        <w:rPr>
          <w:spacing w:val="-26"/>
        </w:rPr>
        <w:t> </w:t>
      </w:r>
      <w:r>
        <w:rPr/>
        <w:t>received</w:t>
      </w:r>
    </w:p>
    <w:p>
      <w:pPr>
        <w:pStyle w:val="BodyText"/>
        <w:spacing w:line="249" w:lineRule="auto"/>
        <w:ind w:left="107" w:right="39"/>
      </w:pPr>
      <w:r>
        <w:rPr/>
        <w:t>a Western Sydney University Citation for Outstanding Contribution to Student Learning.</w:t>
      </w:r>
    </w:p>
    <w:p>
      <w:pPr>
        <w:spacing w:after="0" w:line="249" w:lineRule="auto"/>
        <w:sectPr>
          <w:type w:val="continuous"/>
          <w:pgSz w:w="11910" w:h="16840"/>
          <w:pgMar w:top="1580" w:bottom="280" w:left="800" w:right="800"/>
          <w:cols w:num="3" w:equalWidth="0">
            <w:col w:w="3311" w:space="128"/>
            <w:col w:w="3320" w:space="119"/>
            <w:col w:w="3432"/>
          </w:cols>
        </w:sectPr>
      </w:pPr>
    </w:p>
    <w:p>
      <w:pPr>
        <w:pStyle w:val="BodyText"/>
        <w:spacing w:before="10"/>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38"/>
          <w:footerReference w:type="default" r:id="rId39"/>
          <w:pgSz w:w="11910" w:h="16840"/>
          <w:pgMar w:footer="473" w:header="494" w:top="680" w:bottom="660" w:left="800" w:right="800"/>
        </w:sectPr>
      </w:pPr>
    </w:p>
    <w:p>
      <w:pPr>
        <w:pStyle w:val="BodyText"/>
        <w:spacing w:before="5"/>
        <w:rPr>
          <w:rFonts w:ascii="Chronicle Text G1"/>
          <w:b w:val="0"/>
          <w:sz w:val="17"/>
        </w:rPr>
      </w:pPr>
    </w:p>
    <w:p>
      <w:pPr>
        <w:pStyle w:val="Heading8"/>
        <w:ind w:left="123" w:right="-2"/>
      </w:pPr>
      <w:r>
        <w:rPr>
          <w:color w:val="636466"/>
          <w:w w:val="95"/>
        </w:rPr>
        <w:t>Distinguished Teaching Fellows</w:t>
      </w:r>
    </w:p>
    <w:p>
      <w:pPr>
        <w:pStyle w:val="BodyText"/>
        <w:spacing w:line="249" w:lineRule="auto" w:before="86"/>
        <w:ind w:left="107" w:right="-2"/>
      </w:pPr>
      <w:r>
        <w:rPr/>
        <w:t>Mr Roman Goik (Design) and Associate Professor Gwyneth Howell (Communications) were recognised as University Distinguished </w:t>
      </w:r>
      <w:r>
        <w:rPr>
          <w:w w:val="95"/>
        </w:rPr>
        <w:t>Teaching Fellows.</w:t>
      </w:r>
    </w:p>
    <w:p>
      <w:pPr>
        <w:pStyle w:val="BodyText"/>
        <w:spacing w:before="7"/>
        <w:rPr>
          <w:sz w:val="21"/>
        </w:rPr>
      </w:pPr>
    </w:p>
    <w:p>
      <w:pPr>
        <w:pStyle w:val="Heading8"/>
        <w:ind w:right="-2"/>
      </w:pPr>
      <w:r>
        <w:rPr/>
        <w:t>ENGAGEMENT</w:t>
      </w:r>
    </w:p>
    <w:p>
      <w:pPr>
        <w:pStyle w:val="BodyText"/>
        <w:spacing w:line="249" w:lineRule="auto" w:before="86"/>
        <w:ind w:left="107" w:right="-2"/>
      </w:pPr>
      <w:r>
        <w:rPr/>
        <w:t>The</w:t>
      </w:r>
      <w:r>
        <w:rPr>
          <w:spacing w:val="-16"/>
        </w:rPr>
        <w:t> </w:t>
      </w:r>
      <w:r>
        <w:rPr/>
        <w:t>School</w:t>
      </w:r>
      <w:r>
        <w:rPr>
          <w:spacing w:val="-16"/>
        </w:rPr>
        <w:t> </w:t>
      </w:r>
      <w:r>
        <w:rPr/>
        <w:t>continues</w:t>
      </w:r>
      <w:r>
        <w:rPr>
          <w:spacing w:val="-16"/>
        </w:rPr>
        <w:t> </w:t>
      </w:r>
      <w:r>
        <w:rPr/>
        <w:t>to</w:t>
      </w:r>
      <w:r>
        <w:rPr>
          <w:spacing w:val="-16"/>
        </w:rPr>
        <w:t> </w:t>
      </w:r>
      <w:r>
        <w:rPr/>
        <w:t>initiate</w:t>
      </w:r>
      <w:r>
        <w:rPr>
          <w:spacing w:val="-16"/>
        </w:rPr>
        <w:t> </w:t>
      </w:r>
      <w:r>
        <w:rPr/>
        <w:t>activities</w:t>
      </w:r>
      <w:r>
        <w:rPr>
          <w:spacing w:val="-16"/>
        </w:rPr>
        <w:t> </w:t>
      </w:r>
      <w:r>
        <w:rPr/>
        <w:t>and projects that engage with the international academic</w:t>
      </w:r>
      <w:r>
        <w:rPr>
          <w:spacing w:val="-16"/>
        </w:rPr>
        <w:t> </w:t>
      </w:r>
      <w:r>
        <w:rPr/>
        <w:t>community</w:t>
      </w:r>
      <w:r>
        <w:rPr>
          <w:spacing w:val="-16"/>
        </w:rPr>
        <w:t> </w:t>
      </w:r>
      <w:r>
        <w:rPr/>
        <w:t>and</w:t>
      </w:r>
      <w:r>
        <w:rPr>
          <w:spacing w:val="-16"/>
        </w:rPr>
        <w:t> </w:t>
      </w:r>
      <w:r>
        <w:rPr/>
        <w:t>other</w:t>
      </w:r>
      <w:r>
        <w:rPr>
          <w:spacing w:val="-16"/>
        </w:rPr>
        <w:t> </w:t>
      </w:r>
      <w:r>
        <w:rPr/>
        <w:t>stakeholders. </w:t>
      </w:r>
      <w:r>
        <w:rPr>
          <w:spacing w:val="1"/>
          <w:w w:val="97"/>
        </w:rPr>
        <w:t>Successes</w:t>
      </w:r>
      <w:r>
        <w:rPr>
          <w:w w:val="97"/>
        </w:rPr>
        <w:t> </w:t>
      </w:r>
      <w:r>
        <w:rPr>
          <w:w w:val="95"/>
        </w:rPr>
        <w:t>in </w:t>
      </w:r>
      <w:r>
        <w:rPr>
          <w:spacing w:val="1"/>
          <w:w w:val="88"/>
        </w:rPr>
        <w:t>2015</w:t>
      </w:r>
      <w:r>
        <w:rPr>
          <w:spacing w:val="-13"/>
          <w:w w:val="88"/>
        </w:rPr>
        <w:t> </w:t>
      </w:r>
      <w:r>
        <w:rPr>
          <w:spacing w:val="1"/>
          <w:w w:val="93"/>
        </w:rPr>
        <w:t>include:</w:t>
      </w:r>
    </w:p>
    <w:p>
      <w:pPr>
        <w:pStyle w:val="BodyText"/>
        <w:spacing w:before="6"/>
        <w:rPr>
          <w:sz w:val="14"/>
        </w:rPr>
      </w:pPr>
    </w:p>
    <w:p>
      <w:pPr>
        <w:pStyle w:val="Heading8"/>
        <w:ind w:left="118" w:right="-2"/>
      </w:pPr>
      <w:r>
        <w:rPr>
          <w:color w:val="636466"/>
          <w:w w:val="95"/>
        </w:rPr>
        <w:t>China–Australia Symposium on Bilingualism</w:t>
      </w:r>
    </w:p>
    <w:p>
      <w:pPr>
        <w:pStyle w:val="BodyText"/>
        <w:spacing w:line="249" w:lineRule="auto" w:before="86"/>
        <w:ind w:left="107" w:right="-2"/>
      </w:pPr>
      <w:r>
        <w:rPr/>
        <w:t>The China–Australia Symposium on Bilingualism was jointly organised by the College of Chinese Language and Culture, Jinan</w:t>
      </w:r>
      <w:r>
        <w:rPr>
          <w:spacing w:val="-15"/>
        </w:rPr>
        <w:t> </w:t>
      </w:r>
      <w:r>
        <w:rPr/>
        <w:t>University</w:t>
      </w:r>
      <w:r>
        <w:rPr>
          <w:spacing w:val="-15"/>
        </w:rPr>
        <w:t> </w:t>
      </w:r>
      <w:r>
        <w:rPr/>
        <w:t>and</w:t>
      </w:r>
      <w:r>
        <w:rPr>
          <w:spacing w:val="-15"/>
        </w:rPr>
        <w:t> </w:t>
      </w:r>
      <w:r>
        <w:rPr/>
        <w:t>the</w:t>
      </w:r>
      <w:r>
        <w:rPr>
          <w:spacing w:val="-15"/>
        </w:rPr>
        <w:t> </w:t>
      </w:r>
      <w:r>
        <w:rPr/>
        <w:t>School</w:t>
      </w:r>
      <w:r>
        <w:rPr>
          <w:spacing w:val="-15"/>
        </w:rPr>
        <w:t> </w:t>
      </w:r>
      <w:r>
        <w:rPr/>
        <w:t>of</w:t>
      </w:r>
      <w:r>
        <w:rPr>
          <w:spacing w:val="-15"/>
        </w:rPr>
        <w:t> </w:t>
      </w:r>
      <w:r>
        <w:rPr/>
        <w:t>Humanities and Communication </w:t>
      </w:r>
      <w:r>
        <w:rPr>
          <w:spacing w:val="3"/>
        </w:rPr>
        <w:t>Arts, </w:t>
      </w:r>
      <w:r>
        <w:rPr/>
        <w:t>and was held in </w:t>
      </w:r>
      <w:r>
        <w:rPr>
          <w:spacing w:val="1"/>
          <w:w w:val="98"/>
        </w:rPr>
        <w:t>Guangzhou</w:t>
      </w:r>
      <w:r>
        <w:rPr>
          <w:w w:val="98"/>
        </w:rPr>
        <w:t> </w:t>
      </w:r>
      <w:r>
        <w:rPr>
          <w:w w:val="95"/>
        </w:rPr>
        <w:t>in </w:t>
      </w:r>
      <w:r>
        <w:rPr>
          <w:spacing w:val="1"/>
          <w:w w:val="99"/>
        </w:rPr>
        <w:t>November</w:t>
      </w:r>
      <w:r>
        <w:rPr>
          <w:spacing w:val="-18"/>
          <w:w w:val="99"/>
        </w:rPr>
        <w:t> </w:t>
      </w:r>
      <w:r>
        <w:rPr>
          <w:spacing w:val="1"/>
          <w:w w:val="84"/>
        </w:rPr>
        <w:t>2015.</w:t>
      </w:r>
    </w:p>
    <w:p>
      <w:pPr>
        <w:pStyle w:val="BodyText"/>
        <w:spacing w:before="6"/>
        <w:rPr>
          <w:sz w:val="14"/>
        </w:rPr>
      </w:pPr>
    </w:p>
    <w:p>
      <w:pPr>
        <w:pStyle w:val="Heading8"/>
        <w:ind w:left="123" w:right="-2"/>
      </w:pPr>
      <w:r>
        <w:rPr>
          <w:color w:val="636466"/>
          <w:w w:val="95"/>
        </w:rPr>
        <w:t>Digital Humanities</w:t>
      </w:r>
    </w:p>
    <w:p>
      <w:pPr>
        <w:pStyle w:val="BodyText"/>
        <w:spacing w:line="249" w:lineRule="auto" w:before="86"/>
        <w:ind w:left="107" w:right="78"/>
      </w:pPr>
      <w:r>
        <w:rPr/>
        <w:t>The Department hosted Digital Humanities </w:t>
      </w:r>
      <w:r>
        <w:rPr>
          <w:w w:val="83"/>
        </w:rPr>
        <w:t>2015: </w:t>
      </w:r>
      <w:r>
        <w:rPr>
          <w:w w:val="98"/>
        </w:rPr>
        <w:t>Global </w:t>
      </w:r>
      <w:r>
        <w:rPr>
          <w:w w:val="97"/>
        </w:rPr>
        <w:t>Digital </w:t>
      </w:r>
      <w:r>
        <w:rPr>
          <w:w w:val="96"/>
        </w:rPr>
        <w:t>Humanities </w:t>
      </w:r>
      <w:r>
        <w:rPr>
          <w:w w:val="95"/>
        </w:rPr>
        <w:t>conference, </w:t>
      </w:r>
      <w:r>
        <w:rPr/>
        <w:t>the annual conference of the Alliance of Digital Humanities Organizations (ADHO). It was the first time the conference has been held outside Europe and North America and more than 500 delegates (320 international delegates) from 33 countries attended.</w:t>
      </w:r>
    </w:p>
    <w:p>
      <w:pPr>
        <w:pStyle w:val="BodyText"/>
        <w:spacing w:line="249" w:lineRule="auto"/>
        <w:ind w:left="107" w:right="28"/>
      </w:pPr>
      <w:r>
        <w:rPr/>
        <w:t>The major sponsors were State Library of NSW; Gale: Cengage Learning; ProQuest; the Australian Academy of the Humanities; Council of Humanities, Arts and Social Sciences (CHASS); and the Australasian Consortium of Humanities Research Centres.</w:t>
      </w:r>
    </w:p>
    <w:p>
      <w:pPr>
        <w:pStyle w:val="BodyText"/>
        <w:spacing w:before="6"/>
        <w:rPr>
          <w:sz w:val="14"/>
        </w:rPr>
      </w:pPr>
    </w:p>
    <w:p>
      <w:pPr>
        <w:pStyle w:val="Heading8"/>
        <w:ind w:left="123" w:right="-2"/>
      </w:pPr>
      <w:r>
        <w:rPr>
          <w:color w:val="636466"/>
          <w:w w:val="95"/>
        </w:rPr>
        <w:t>History at Western Sydney</w:t>
      </w:r>
    </w:p>
    <w:p>
      <w:pPr>
        <w:pStyle w:val="BodyText"/>
        <w:spacing w:line="249" w:lineRule="auto" w:before="86"/>
        <w:ind w:left="107" w:right="-5"/>
      </w:pPr>
      <w:r>
        <w:rPr/>
        <w:t>Professor</w:t>
      </w:r>
      <w:r>
        <w:rPr>
          <w:spacing w:val="-15"/>
        </w:rPr>
        <w:t> </w:t>
      </w:r>
      <w:r>
        <w:rPr/>
        <w:t>Jan</w:t>
      </w:r>
      <w:r>
        <w:rPr>
          <w:spacing w:val="-15"/>
        </w:rPr>
        <w:t> </w:t>
      </w:r>
      <w:r>
        <w:rPr/>
        <w:t>Zielonka</w:t>
      </w:r>
      <w:r>
        <w:rPr>
          <w:spacing w:val="-15"/>
        </w:rPr>
        <w:t> </w:t>
      </w:r>
      <w:r>
        <w:rPr/>
        <w:t>(Professor</w:t>
      </w:r>
      <w:r>
        <w:rPr>
          <w:spacing w:val="-15"/>
        </w:rPr>
        <w:t> </w:t>
      </w:r>
      <w:r>
        <w:rPr/>
        <w:t>of</w:t>
      </w:r>
      <w:r>
        <w:rPr>
          <w:spacing w:val="-15"/>
        </w:rPr>
        <w:t> </w:t>
      </w:r>
      <w:r>
        <w:rPr/>
        <w:t>European Politics at the University of Oxford and Ralf Dahrendorf Professorial Fellow at St Antony’s College)</w:t>
      </w:r>
      <w:r>
        <w:rPr>
          <w:spacing w:val="-19"/>
        </w:rPr>
        <w:t> </w:t>
      </w:r>
      <w:r>
        <w:rPr/>
        <w:t>gave</w:t>
      </w:r>
      <w:r>
        <w:rPr>
          <w:spacing w:val="-19"/>
        </w:rPr>
        <w:t> </w:t>
      </w:r>
      <w:r>
        <w:rPr/>
        <w:t>the</w:t>
      </w:r>
      <w:r>
        <w:rPr>
          <w:spacing w:val="-19"/>
        </w:rPr>
        <w:t> </w:t>
      </w:r>
      <w:r>
        <w:rPr/>
        <w:t>third</w:t>
      </w:r>
      <w:r>
        <w:rPr>
          <w:spacing w:val="-19"/>
        </w:rPr>
        <w:t> </w:t>
      </w:r>
      <w:r>
        <w:rPr/>
        <w:t>annual</w:t>
      </w:r>
      <w:r>
        <w:rPr>
          <w:spacing w:val="-19"/>
        </w:rPr>
        <w:t> </w:t>
      </w:r>
      <w:r>
        <w:rPr/>
        <w:t>Europe</w:t>
      </w:r>
    </w:p>
    <w:p>
      <w:pPr>
        <w:pStyle w:val="BodyText"/>
        <w:spacing w:line="247" w:lineRule="auto"/>
        <w:ind w:left="107" w:right="-2"/>
      </w:pPr>
      <w:r>
        <w:rPr/>
        <w:t>Lecture at the State Library of NSW on ‘Can the European Union Defend Ukraine?’ in September. The lecture was recorded and broadcast</w:t>
      </w:r>
      <w:r>
        <w:rPr>
          <w:spacing w:val="-21"/>
        </w:rPr>
        <w:t> </w:t>
      </w:r>
      <w:r>
        <w:rPr/>
        <w:t>by</w:t>
      </w:r>
      <w:r>
        <w:rPr>
          <w:spacing w:val="-21"/>
        </w:rPr>
        <w:t> </w:t>
      </w:r>
      <w:r>
        <w:rPr/>
        <w:t>ABC</w:t>
      </w:r>
      <w:r>
        <w:rPr>
          <w:spacing w:val="-21"/>
        </w:rPr>
        <w:t> </w:t>
      </w:r>
      <w:r>
        <w:rPr/>
        <w:t>Radio’s</w:t>
      </w:r>
      <w:r>
        <w:rPr>
          <w:spacing w:val="-21"/>
        </w:rPr>
        <w:t> </w:t>
      </w:r>
      <w:r>
        <w:rPr>
          <w:rFonts w:ascii="Century Gothic" w:hAnsi="Century Gothic"/>
          <w:i/>
        </w:rPr>
        <w:t>Big</w:t>
      </w:r>
      <w:r>
        <w:rPr>
          <w:rFonts w:ascii="Century Gothic" w:hAnsi="Century Gothic"/>
          <w:i/>
          <w:spacing w:val="-16"/>
        </w:rPr>
        <w:t> </w:t>
      </w:r>
      <w:r>
        <w:rPr>
          <w:rFonts w:ascii="Century Gothic" w:hAnsi="Century Gothic"/>
          <w:i/>
        </w:rPr>
        <w:t>Ideas</w:t>
      </w:r>
      <w:r>
        <w:rPr>
          <w:rFonts w:ascii="Century Gothic" w:hAnsi="Century Gothic"/>
          <w:i/>
          <w:spacing w:val="-16"/>
        </w:rPr>
        <w:t> </w:t>
      </w:r>
      <w:r>
        <w:rPr/>
        <w:t>program.</w:t>
      </w:r>
    </w:p>
    <w:p>
      <w:pPr>
        <w:pStyle w:val="BodyText"/>
        <w:spacing w:before="6"/>
        <w:rPr>
          <w:sz w:val="14"/>
        </w:rPr>
      </w:pPr>
    </w:p>
    <w:p>
      <w:pPr>
        <w:pStyle w:val="Heading8"/>
        <w:ind w:left="123" w:right="-2"/>
      </w:pPr>
      <w:r>
        <w:rPr>
          <w:color w:val="636466"/>
        </w:rPr>
        <w:t>Media for All</w:t>
      </w:r>
    </w:p>
    <w:p>
      <w:pPr>
        <w:pStyle w:val="BodyText"/>
        <w:spacing w:line="249" w:lineRule="auto" w:before="86"/>
        <w:ind w:left="107" w:right="171"/>
      </w:pPr>
      <w:r>
        <w:rPr/>
        <w:t>The School hosted the sixth international Media for All conference – Audiovisual Translation and Media Accessibility: Global Challenges, which was the first time it was held outside Europe.</w:t>
      </w:r>
    </w:p>
    <w:p>
      <w:pPr>
        <w:pStyle w:val="BodyText"/>
        <w:spacing w:before="4"/>
        <w:rPr>
          <w:sz w:val="17"/>
        </w:rPr>
      </w:pPr>
      <w:r>
        <w:rPr/>
        <w:br w:type="column"/>
      </w:r>
      <w:r>
        <w:rPr>
          <w:sz w:val="17"/>
        </w:rPr>
      </w:r>
    </w:p>
    <w:p>
      <w:pPr>
        <w:pStyle w:val="Heading8"/>
        <w:ind w:left="123"/>
      </w:pPr>
      <w:r>
        <w:rPr>
          <w:color w:val="636466"/>
          <w:w w:val="95"/>
        </w:rPr>
        <w:t>Philosophy at Western Sydney</w:t>
      </w:r>
    </w:p>
    <w:p>
      <w:pPr>
        <w:pStyle w:val="BodyText"/>
        <w:spacing w:line="249" w:lineRule="auto" w:before="86"/>
        <w:ind w:left="107" w:right="118"/>
      </w:pPr>
      <w:r>
        <w:rPr/>
        <w:t>Professor David Wood (W. Alton Jones Professor of Philosophy at Vanderbilt University) delivered the Thinking Out Loud lectures at the State Library of NSW.</w:t>
      </w:r>
    </w:p>
    <w:p>
      <w:pPr>
        <w:pStyle w:val="BodyText"/>
        <w:rPr>
          <w:sz w:val="14"/>
        </w:rPr>
      </w:pPr>
    </w:p>
    <w:p>
      <w:pPr>
        <w:pStyle w:val="BodyText"/>
        <w:spacing w:line="249" w:lineRule="auto"/>
        <w:ind w:left="107" w:right="10"/>
      </w:pPr>
      <w:r>
        <w:rPr/>
        <w:t>Professor Peg Birmingham (DePaul University), Professor James Martel (San Francisco State University) and Professor Anna Yeatman (Whitlam Institute at Western Sydney University) jointly delivered the 25th Sydney Seminar for the Arts and Philosophy on the topic ‘Can There Be Law Without Violence?’ at the State Library of NSW.</w:t>
      </w:r>
    </w:p>
    <w:p>
      <w:pPr>
        <w:pStyle w:val="BodyText"/>
        <w:spacing w:before="7"/>
        <w:rPr>
          <w:sz w:val="21"/>
        </w:rPr>
      </w:pPr>
    </w:p>
    <w:p>
      <w:pPr>
        <w:pStyle w:val="Heading8"/>
      </w:pPr>
      <w:r>
        <w:rPr>
          <w:w w:val="95"/>
        </w:rPr>
        <w:t>WRITING AND SOCIETY RESEARCH CENTRE</w:t>
      </w:r>
    </w:p>
    <w:p>
      <w:pPr>
        <w:pStyle w:val="BodyText"/>
        <w:spacing w:before="86"/>
        <w:ind w:left="107"/>
      </w:pPr>
      <w:r>
        <w:rPr/>
        <w:t>The</w:t>
      </w:r>
      <w:r>
        <w:rPr>
          <w:spacing w:val="-21"/>
        </w:rPr>
        <w:t> </w:t>
      </w:r>
      <w:r>
        <w:rPr/>
        <w:t>Centre</w:t>
      </w:r>
      <w:r>
        <w:rPr>
          <w:spacing w:val="-21"/>
        </w:rPr>
        <w:t> </w:t>
      </w:r>
      <w:r>
        <w:rPr/>
        <w:t>hosted</w:t>
      </w:r>
      <w:r>
        <w:rPr>
          <w:spacing w:val="-21"/>
        </w:rPr>
        <w:t> </w:t>
      </w:r>
      <w:r>
        <w:rPr/>
        <w:t>The</w:t>
      </w:r>
      <w:r>
        <w:rPr>
          <w:spacing w:val="-21"/>
        </w:rPr>
        <w:t> </w:t>
      </w:r>
      <w:r>
        <w:rPr/>
        <w:t>Endlessness</w:t>
      </w:r>
      <w:r>
        <w:rPr>
          <w:spacing w:val="-21"/>
        </w:rPr>
        <w:t> </w:t>
      </w:r>
      <w:r>
        <w:rPr/>
        <w:t>of</w:t>
      </w:r>
      <w:r>
        <w:rPr>
          <w:spacing w:val="-21"/>
        </w:rPr>
        <w:t> </w:t>
      </w:r>
      <w:r>
        <w:rPr/>
        <w:t>Ending:</w:t>
      </w:r>
    </w:p>
    <w:p>
      <w:pPr>
        <w:pStyle w:val="BodyText"/>
        <w:spacing w:line="249" w:lineRule="auto" w:before="7"/>
        <w:ind w:left="107" w:right="162"/>
      </w:pPr>
      <w:r>
        <w:rPr/>
        <w:t>Samuel Beckett and the Mind conference </w:t>
      </w:r>
      <w:r>
        <w:rPr>
          <w:w w:val="98"/>
        </w:rPr>
        <w:t>on </w:t>
      </w:r>
      <w:r>
        <w:rPr>
          <w:w w:val="98"/>
        </w:rPr>
        <w:t>29–30 </w:t>
      </w:r>
      <w:r>
        <w:rPr>
          <w:w w:val="98"/>
        </w:rPr>
        <w:t>June </w:t>
      </w:r>
      <w:r>
        <w:rPr>
          <w:w w:val="88"/>
        </w:rPr>
        <w:t>2015 </w:t>
      </w:r>
      <w:r>
        <w:rPr>
          <w:w w:val="97"/>
        </w:rPr>
        <w:t>and </w:t>
      </w:r>
      <w:r>
        <w:rPr>
          <w:w w:val="97"/>
        </w:rPr>
        <w:t>the </w:t>
      </w:r>
      <w:r>
        <w:rPr>
          <w:w w:val="96"/>
        </w:rPr>
        <w:t>China </w:t>
      </w:r>
      <w:r>
        <w:rPr>
          <w:w w:val="98"/>
        </w:rPr>
        <w:t>Australia </w:t>
      </w:r>
      <w:r>
        <w:rPr>
          <w:w w:val="98"/>
        </w:rPr>
        <w:t>Literary </w:t>
      </w:r>
      <w:r>
        <w:rPr>
          <w:w w:val="99"/>
        </w:rPr>
        <w:t>Forum </w:t>
      </w:r>
      <w:r>
        <w:rPr>
          <w:w w:val="94"/>
        </w:rPr>
        <w:t>3 </w:t>
      </w:r>
      <w:r>
        <w:rPr>
          <w:w w:val="98"/>
        </w:rPr>
        <w:t>on </w:t>
      </w:r>
      <w:r>
        <w:rPr>
          <w:w w:val="95"/>
        </w:rPr>
        <w:t>28–29 </w:t>
      </w:r>
      <w:r>
        <w:rPr>
          <w:w w:val="100"/>
        </w:rPr>
        <w:t>August </w:t>
      </w:r>
      <w:r>
        <w:rPr>
          <w:w w:val="86"/>
        </w:rPr>
        <w:t>2014.</w:t>
      </w:r>
    </w:p>
    <w:p>
      <w:pPr>
        <w:pStyle w:val="BodyText"/>
        <w:spacing w:before="7"/>
        <w:rPr>
          <w:sz w:val="21"/>
        </w:rPr>
      </w:pPr>
    </w:p>
    <w:p>
      <w:pPr>
        <w:pStyle w:val="Heading8"/>
      </w:pPr>
      <w:r>
        <w:rPr/>
        <w:t>RESEARCH</w:t>
      </w:r>
    </w:p>
    <w:p>
      <w:pPr>
        <w:pStyle w:val="BodyText"/>
        <w:spacing w:before="86"/>
        <w:ind w:left="107" w:right="-3"/>
      </w:pPr>
      <w:r>
        <w:rPr>
          <w:w w:val="92"/>
        </w:rPr>
        <w:t>T</w:t>
      </w:r>
      <w:r>
        <w:rPr>
          <w:spacing w:val="1"/>
          <w:w w:val="95"/>
        </w:rPr>
        <w:t>h</w:t>
      </w:r>
      <w:r>
        <w:rPr>
          <w:w w:val="95"/>
        </w:rPr>
        <w:t>e</w:t>
      </w:r>
      <w:r>
        <w:rPr>
          <w:spacing w:val="-16"/>
        </w:rPr>
        <w:t> </w:t>
      </w:r>
      <w:r>
        <w:rPr>
          <w:spacing w:val="1"/>
          <w:w w:val="98"/>
        </w:rPr>
        <w:t>S</w:t>
      </w:r>
      <w:r>
        <w:rPr>
          <w:w w:val="102"/>
        </w:rPr>
        <w:t>c</w:t>
      </w:r>
      <w:r>
        <w:rPr>
          <w:spacing w:val="1"/>
          <w:w w:val="95"/>
        </w:rPr>
        <w:t>h</w:t>
      </w:r>
      <w:r>
        <w:rPr>
          <w:spacing w:val="1"/>
          <w:w w:val="100"/>
        </w:rPr>
        <w:t>o</w:t>
      </w:r>
      <w:r>
        <w:rPr>
          <w:w w:val="100"/>
        </w:rPr>
        <w:t>o</w:t>
      </w:r>
      <w:r>
        <w:rPr>
          <w:w w:val="95"/>
        </w:rPr>
        <w:t>l</w:t>
      </w:r>
      <w:r>
        <w:rPr>
          <w:spacing w:val="-16"/>
        </w:rPr>
        <w:t> </w:t>
      </w:r>
      <w:r>
        <w:rPr>
          <w:spacing w:val="-3"/>
          <w:w w:val="101"/>
        </w:rPr>
        <w:t>w</w:t>
      </w:r>
      <w:r>
        <w:rPr>
          <w:w w:val="100"/>
        </w:rPr>
        <w:t>o</w:t>
      </w:r>
      <w:r>
        <w:rPr>
          <w:w w:val="95"/>
        </w:rPr>
        <w:t>n</w:t>
      </w:r>
      <w:r>
        <w:rPr>
          <w:spacing w:val="-16"/>
        </w:rPr>
        <w:t> </w:t>
      </w:r>
      <w:r>
        <w:rPr>
          <w:w w:val="95"/>
        </w:rPr>
        <w:t>s</w:t>
      </w:r>
      <w:r>
        <w:rPr>
          <w:spacing w:val="-2"/>
          <w:w w:val="95"/>
        </w:rPr>
        <w:t>e</w:t>
      </w:r>
      <w:r>
        <w:rPr>
          <w:spacing w:val="-3"/>
          <w:w w:val="101"/>
        </w:rPr>
        <w:t>v</w:t>
      </w:r>
      <w:r>
        <w:rPr>
          <w:spacing w:val="1"/>
          <w:w w:val="95"/>
        </w:rPr>
        <w:t>e</w:t>
      </w:r>
      <w:r>
        <w:rPr>
          <w:w w:val="95"/>
        </w:rPr>
        <w:t>r</w:t>
      </w:r>
      <w:r>
        <w:rPr>
          <w:w w:val="94"/>
        </w:rPr>
        <w:t>a</w:t>
      </w:r>
      <w:r>
        <w:rPr>
          <w:w w:val="95"/>
        </w:rPr>
        <w:t>l</w:t>
      </w:r>
      <w:r>
        <w:rPr>
          <w:spacing w:val="-16"/>
        </w:rPr>
        <w:t> </w:t>
      </w:r>
      <w:r>
        <w:rPr>
          <w:spacing w:val="-2"/>
          <w:w w:val="95"/>
        </w:rPr>
        <w:t>r</w:t>
      </w:r>
      <w:r>
        <w:rPr>
          <w:spacing w:val="2"/>
          <w:w w:val="95"/>
        </w:rPr>
        <w:t>e</w:t>
      </w:r>
      <w:r>
        <w:rPr>
          <w:w w:val="95"/>
        </w:rPr>
        <w:t>s</w:t>
      </w:r>
      <w:r>
        <w:rPr>
          <w:spacing w:val="1"/>
          <w:w w:val="95"/>
        </w:rPr>
        <w:t>e</w:t>
      </w:r>
      <w:r>
        <w:rPr>
          <w:w w:val="94"/>
        </w:rPr>
        <w:t>a</w:t>
      </w:r>
      <w:r>
        <w:rPr>
          <w:spacing w:val="-3"/>
          <w:w w:val="95"/>
        </w:rPr>
        <w:t>r</w:t>
      </w:r>
      <w:r>
        <w:rPr>
          <w:w w:val="102"/>
        </w:rPr>
        <w:t>c</w:t>
      </w:r>
      <w:r>
        <w:rPr>
          <w:w w:val="95"/>
        </w:rPr>
        <w:t>h</w:t>
      </w:r>
      <w:r>
        <w:rPr>
          <w:spacing w:val="-16"/>
        </w:rPr>
        <w:t> </w:t>
      </w:r>
      <w:r>
        <w:rPr>
          <w:w w:val="102"/>
        </w:rPr>
        <w:t>g</w:t>
      </w:r>
      <w:r>
        <w:rPr>
          <w:w w:val="95"/>
        </w:rPr>
        <w:t>r</w:t>
      </w:r>
      <w:r>
        <w:rPr>
          <w:w w:val="94"/>
        </w:rPr>
        <w:t>a</w:t>
      </w:r>
      <w:r>
        <w:rPr>
          <w:spacing w:val="-1"/>
          <w:w w:val="95"/>
        </w:rPr>
        <w:t>n</w:t>
      </w:r>
      <w:r>
        <w:rPr>
          <w:spacing w:val="2"/>
          <w:w w:val="102"/>
        </w:rPr>
        <w:t>t</w:t>
      </w:r>
      <w:r>
        <w:rPr>
          <w:w w:val="95"/>
        </w:rPr>
        <w:t>s</w:t>
      </w:r>
      <w:r>
        <w:rPr>
          <w:spacing w:val="-16"/>
        </w:rPr>
        <w:t> </w:t>
      </w:r>
      <w:r>
        <w:rPr>
          <w:spacing w:val="-1"/>
          <w:w w:val="95"/>
        </w:rPr>
        <w:t>i</w:t>
      </w:r>
      <w:r>
        <w:rPr>
          <w:w w:val="95"/>
        </w:rPr>
        <w:t>n</w:t>
      </w:r>
      <w:r>
        <w:rPr>
          <w:spacing w:val="-16"/>
        </w:rPr>
        <w:t> </w:t>
      </w:r>
      <w:r>
        <w:rPr>
          <w:w w:val="93"/>
        </w:rPr>
        <w:t>2</w:t>
      </w:r>
      <w:r>
        <w:rPr>
          <w:spacing w:val="-1"/>
          <w:w w:val="111"/>
        </w:rPr>
        <w:t>0</w:t>
      </w:r>
      <w:r>
        <w:rPr>
          <w:spacing w:val="1"/>
          <w:w w:val="54"/>
        </w:rPr>
        <w:t>1</w:t>
      </w:r>
      <w:r>
        <w:rPr>
          <w:spacing w:val="3"/>
          <w:w w:val="95"/>
        </w:rPr>
        <w:t>5</w:t>
      </w:r>
      <w:r>
        <w:rPr>
          <w:w w:val="68"/>
        </w:rPr>
        <w:t>.</w:t>
      </w:r>
    </w:p>
    <w:p>
      <w:pPr>
        <w:pStyle w:val="BodyText"/>
        <w:spacing w:before="2"/>
        <w:rPr>
          <w:sz w:val="15"/>
        </w:rPr>
      </w:pPr>
    </w:p>
    <w:p>
      <w:pPr>
        <w:pStyle w:val="Heading8"/>
        <w:ind w:left="109"/>
      </w:pPr>
      <w:r>
        <w:rPr>
          <w:color w:val="636466"/>
          <w:w w:val="95"/>
        </w:rPr>
        <w:t>ARC Discovery Grants</w:t>
      </w:r>
    </w:p>
    <w:p>
      <w:pPr>
        <w:spacing w:line="247" w:lineRule="auto" w:before="93"/>
        <w:ind w:left="107" w:right="150" w:firstLine="0"/>
        <w:jc w:val="left"/>
        <w:rPr>
          <w:sz w:val="16"/>
        </w:rPr>
      </w:pPr>
      <w:r>
        <w:rPr>
          <w:rFonts w:ascii="Gotham Narrow Book"/>
          <w:b w:val="0"/>
          <w:i/>
          <w:sz w:val="16"/>
        </w:rPr>
        <w:t>Mapping print, charting enlightenment </w:t>
      </w:r>
      <w:r>
        <w:rPr>
          <w:sz w:val="16"/>
        </w:rPr>
        <w:t>Professor Simon Burrows (Western Sydney), Professor Paul Arthur (Western Sydney),</w:t>
      </w:r>
      <w:r>
        <w:rPr>
          <w:spacing w:val="-26"/>
          <w:sz w:val="16"/>
        </w:rPr>
        <w:t> </w:t>
      </w:r>
      <w:r>
        <w:rPr>
          <w:sz w:val="16"/>
        </w:rPr>
        <w:t>Dr</w:t>
      </w:r>
      <w:r>
        <w:rPr>
          <w:spacing w:val="-26"/>
          <w:sz w:val="16"/>
        </w:rPr>
        <w:t> </w:t>
      </w:r>
      <w:r>
        <w:rPr>
          <w:sz w:val="16"/>
        </w:rPr>
        <w:t>Jason</w:t>
      </w:r>
      <w:r>
        <w:rPr>
          <w:spacing w:val="-26"/>
          <w:sz w:val="16"/>
        </w:rPr>
        <w:t> </w:t>
      </w:r>
      <w:r>
        <w:rPr>
          <w:sz w:val="16"/>
        </w:rPr>
        <w:t>Ensor</w:t>
      </w:r>
      <w:r>
        <w:rPr>
          <w:spacing w:val="-26"/>
          <w:sz w:val="16"/>
        </w:rPr>
        <w:t> </w:t>
      </w:r>
      <w:r>
        <w:rPr>
          <w:sz w:val="16"/>
        </w:rPr>
        <w:t>(Western</w:t>
      </w:r>
      <w:r>
        <w:rPr>
          <w:spacing w:val="-26"/>
          <w:sz w:val="16"/>
        </w:rPr>
        <w:t> </w:t>
      </w:r>
      <w:r>
        <w:rPr>
          <w:sz w:val="16"/>
        </w:rPr>
        <w:t>Sydney),</w:t>
      </w:r>
    </w:p>
    <w:p>
      <w:pPr>
        <w:pStyle w:val="BodyText"/>
        <w:spacing w:line="249" w:lineRule="auto" w:before="1"/>
        <w:ind w:left="107"/>
      </w:pPr>
      <w:r>
        <w:rPr/>
        <w:t>Professor</w:t>
      </w:r>
      <w:r>
        <w:rPr>
          <w:spacing w:val="-15"/>
        </w:rPr>
        <w:t> </w:t>
      </w:r>
      <w:r>
        <w:rPr/>
        <w:t>Angus</w:t>
      </w:r>
      <w:r>
        <w:rPr>
          <w:spacing w:val="-15"/>
        </w:rPr>
        <w:t> </w:t>
      </w:r>
      <w:r>
        <w:rPr/>
        <w:t>Martin</w:t>
      </w:r>
      <w:r>
        <w:rPr>
          <w:spacing w:val="-15"/>
        </w:rPr>
        <w:t> </w:t>
      </w:r>
      <w:r>
        <w:rPr/>
        <w:t>(University</w:t>
      </w:r>
      <w:r>
        <w:rPr>
          <w:spacing w:val="-15"/>
        </w:rPr>
        <w:t> </w:t>
      </w:r>
      <w:r>
        <w:rPr/>
        <w:t>of</w:t>
      </w:r>
      <w:r>
        <w:rPr>
          <w:spacing w:val="-15"/>
        </w:rPr>
        <w:t> </w:t>
      </w:r>
      <w:r>
        <w:rPr/>
        <w:t>Sydney) and Professor Dan Edelstein (Stanford University)</w:t>
      </w:r>
      <w:r>
        <w:rPr>
          <w:spacing w:val="-19"/>
        </w:rPr>
        <w:t> </w:t>
      </w:r>
      <w:r>
        <w:rPr/>
        <w:t>were</w:t>
      </w:r>
      <w:r>
        <w:rPr>
          <w:spacing w:val="-19"/>
        </w:rPr>
        <w:t> </w:t>
      </w:r>
      <w:r>
        <w:rPr/>
        <w:t>awarded</w:t>
      </w:r>
      <w:r>
        <w:rPr>
          <w:spacing w:val="-19"/>
        </w:rPr>
        <w:t> </w:t>
      </w:r>
      <w:r>
        <w:rPr/>
        <w:t>funding</w:t>
      </w:r>
      <w:r>
        <w:rPr>
          <w:spacing w:val="-19"/>
        </w:rPr>
        <w:t> </w:t>
      </w:r>
      <w:r>
        <w:rPr/>
        <w:t>of</w:t>
      </w:r>
    </w:p>
    <w:p>
      <w:pPr>
        <w:pStyle w:val="BodyText"/>
        <w:spacing w:line="192" w:lineRule="exact"/>
        <w:ind w:left="107"/>
      </w:pPr>
      <w:r>
        <w:rPr/>
        <w:t>$459,606.</w:t>
      </w:r>
    </w:p>
    <w:p>
      <w:pPr>
        <w:pStyle w:val="BodyText"/>
        <w:spacing w:before="2"/>
        <w:rPr>
          <w:sz w:val="15"/>
        </w:rPr>
      </w:pPr>
    </w:p>
    <w:p>
      <w:pPr>
        <w:spacing w:line="249" w:lineRule="auto" w:before="0"/>
        <w:ind w:left="107" w:right="0" w:firstLine="0"/>
        <w:jc w:val="left"/>
        <w:rPr>
          <w:rFonts w:ascii="Gotham Narrow Book"/>
          <w:b w:val="0"/>
          <w:i/>
          <w:sz w:val="16"/>
        </w:rPr>
      </w:pPr>
      <w:r>
        <w:rPr>
          <w:rFonts w:ascii="Gotham Narrow Book"/>
          <w:b w:val="0"/>
          <w:i/>
          <w:sz w:val="16"/>
        </w:rPr>
        <w:t>Data Centres and the Governance of Labour </w:t>
      </w:r>
      <w:r>
        <w:rPr>
          <w:rFonts w:ascii="Gotham Narrow Book"/>
          <w:b w:val="0"/>
          <w:i/>
          <w:sz w:val="16"/>
        </w:rPr>
        <w:t>and Territory</w:t>
      </w:r>
    </w:p>
    <w:p>
      <w:pPr>
        <w:pStyle w:val="BodyText"/>
        <w:spacing w:line="249" w:lineRule="auto"/>
        <w:ind w:left="107" w:right="93"/>
      </w:pPr>
      <w:r>
        <w:rPr/>
        <w:t>Professor Brett Neilson </w:t>
      </w:r>
      <w:r>
        <w:rPr>
          <w:spacing w:val="3"/>
        </w:rPr>
        <w:t>(ICS, </w:t>
      </w:r>
      <w:r>
        <w:rPr/>
        <w:t>Western Sydney), Professor Ned Rossiter </w:t>
      </w:r>
      <w:r>
        <w:rPr>
          <w:spacing w:val="3"/>
        </w:rPr>
        <w:t>(HCA, </w:t>
      </w:r>
      <w:r>
        <w:rPr/>
        <w:t>Western Sydney), Dr Tanya Notley </w:t>
      </w:r>
      <w:r>
        <w:rPr>
          <w:spacing w:val="3"/>
        </w:rPr>
        <w:t>(HCA, </w:t>
      </w:r>
      <w:r>
        <w:rPr/>
        <w:t>Western Sydney), Professor Laikwan Pang (Chinese</w:t>
      </w:r>
      <w:r>
        <w:rPr>
          <w:spacing w:val="-18"/>
        </w:rPr>
        <w:t> </w:t>
      </w:r>
      <w:r>
        <w:rPr/>
        <w:t>University</w:t>
      </w:r>
      <w:r>
        <w:rPr>
          <w:spacing w:val="-18"/>
        </w:rPr>
        <w:t> </w:t>
      </w:r>
      <w:r>
        <w:rPr/>
        <w:t>of</w:t>
      </w:r>
      <w:r>
        <w:rPr>
          <w:spacing w:val="-18"/>
        </w:rPr>
        <w:t> </w:t>
      </w:r>
      <w:r>
        <w:rPr/>
        <w:t>Hong</w:t>
      </w:r>
      <w:r>
        <w:rPr>
          <w:spacing w:val="-18"/>
        </w:rPr>
        <w:t> </w:t>
      </w:r>
      <w:r>
        <w:rPr/>
        <w:t>Kong),</w:t>
      </w:r>
      <w:r>
        <w:rPr>
          <w:spacing w:val="-18"/>
        </w:rPr>
        <w:t> </w:t>
      </w:r>
      <w:r>
        <w:rPr/>
        <w:t>Professor Stefano Harney (Singapore Management University), Associate Professor Sandro Mezzadra (University of Bologna), Professor Anna Reading (King’s College London) and Dr</w:t>
      </w:r>
      <w:r>
        <w:rPr>
          <w:spacing w:val="-17"/>
        </w:rPr>
        <w:t> </w:t>
      </w:r>
      <w:r>
        <w:rPr/>
        <w:t>Florian</w:t>
      </w:r>
      <w:r>
        <w:rPr>
          <w:spacing w:val="-17"/>
        </w:rPr>
        <w:t> </w:t>
      </w:r>
      <w:r>
        <w:rPr/>
        <w:t>Sprenger</w:t>
      </w:r>
      <w:r>
        <w:rPr>
          <w:spacing w:val="-17"/>
        </w:rPr>
        <w:t> </w:t>
      </w:r>
      <w:r>
        <w:rPr/>
        <w:t>(Leuphana</w:t>
      </w:r>
      <w:r>
        <w:rPr>
          <w:spacing w:val="-17"/>
        </w:rPr>
        <w:t> </w:t>
      </w:r>
      <w:r>
        <w:rPr/>
        <w:t>University</w:t>
      </w:r>
    </w:p>
    <w:p>
      <w:pPr>
        <w:pStyle w:val="BodyText"/>
        <w:spacing w:line="192" w:lineRule="exact"/>
        <w:ind w:left="107"/>
      </w:pPr>
      <w:r>
        <w:rPr/>
        <w:t>of Lüneburg) were awarded funding of</w:t>
      </w:r>
    </w:p>
    <w:p>
      <w:pPr>
        <w:pStyle w:val="BodyText"/>
        <w:spacing w:before="7"/>
        <w:ind w:left="107"/>
      </w:pPr>
      <w:r>
        <w:rPr/>
        <w:t>$433,790.</w:t>
      </w:r>
    </w:p>
    <w:p>
      <w:pPr>
        <w:pStyle w:val="BodyText"/>
        <w:spacing w:before="4"/>
        <w:rPr>
          <w:sz w:val="17"/>
        </w:rPr>
      </w:pPr>
      <w:r>
        <w:rPr/>
        <w:br w:type="column"/>
      </w:r>
      <w:r>
        <w:rPr>
          <w:sz w:val="17"/>
        </w:rPr>
      </w:r>
    </w:p>
    <w:p>
      <w:pPr>
        <w:pStyle w:val="Heading8"/>
        <w:spacing w:line="249" w:lineRule="auto"/>
        <w:ind w:left="109" w:right="287"/>
      </w:pPr>
      <w:r>
        <w:rPr>
          <w:color w:val="636466"/>
          <w:w w:val="95"/>
        </w:rPr>
        <w:t>ARC Discovery Early Career Researcher </w:t>
      </w:r>
      <w:r>
        <w:rPr>
          <w:color w:val="636466"/>
        </w:rPr>
        <w:t>Awards</w:t>
      </w:r>
    </w:p>
    <w:p>
      <w:pPr>
        <w:spacing w:line="249" w:lineRule="auto" w:before="85"/>
        <w:ind w:left="107" w:right="121" w:firstLine="0"/>
        <w:jc w:val="left"/>
        <w:rPr>
          <w:rFonts w:ascii="Gotham Narrow Book"/>
          <w:b w:val="0"/>
          <w:i/>
          <w:sz w:val="16"/>
        </w:rPr>
      </w:pPr>
      <w:r>
        <w:rPr>
          <w:rFonts w:ascii="Gotham Narrow Book"/>
          <w:b w:val="0"/>
          <w:i/>
          <w:sz w:val="16"/>
        </w:rPr>
        <w:t>Unquiet Minds: Psychiatry in World War Two </w:t>
      </w:r>
      <w:r>
        <w:rPr>
          <w:rFonts w:ascii="Gotham Narrow Book"/>
          <w:b w:val="0"/>
          <w:i/>
          <w:sz w:val="16"/>
        </w:rPr>
        <w:t>and its Aftermaths</w:t>
      </w:r>
    </w:p>
    <w:p>
      <w:pPr>
        <w:pStyle w:val="BodyText"/>
        <w:spacing w:line="249" w:lineRule="auto"/>
        <w:ind w:left="107" w:right="121"/>
      </w:pPr>
      <w:r>
        <w:rPr/>
        <w:t>Dr Elizabeth Roberts-Pedersen was awarded funding of $354,000.</w:t>
      </w:r>
    </w:p>
    <w:p>
      <w:pPr>
        <w:pStyle w:val="BodyText"/>
        <w:spacing w:before="6"/>
        <w:rPr>
          <w:sz w:val="14"/>
        </w:rPr>
      </w:pPr>
    </w:p>
    <w:p>
      <w:pPr>
        <w:spacing w:line="249" w:lineRule="auto" w:before="0"/>
        <w:ind w:left="107" w:right="287" w:firstLine="0"/>
        <w:jc w:val="left"/>
        <w:rPr>
          <w:rFonts w:ascii="Gotham Narrow Book"/>
          <w:b w:val="0"/>
          <w:i/>
          <w:sz w:val="16"/>
        </w:rPr>
      </w:pPr>
      <w:r>
        <w:rPr>
          <w:rFonts w:ascii="Gotham Narrow Book"/>
          <w:b w:val="0"/>
          <w:i/>
          <w:sz w:val="16"/>
        </w:rPr>
        <w:t>The Invention of Collateral Damage and the </w:t>
      </w:r>
      <w:r>
        <w:rPr>
          <w:rFonts w:ascii="Gotham Narrow Book"/>
          <w:b w:val="0"/>
          <w:i/>
          <w:sz w:val="16"/>
        </w:rPr>
        <w:t>Changing Moral Economy of War</w:t>
      </w:r>
    </w:p>
    <w:p>
      <w:pPr>
        <w:pStyle w:val="BodyText"/>
        <w:spacing w:line="249" w:lineRule="auto"/>
        <w:ind w:left="107" w:right="350"/>
      </w:pPr>
      <w:r>
        <w:rPr/>
        <w:t>Dr Jessica Whyte was awarded funding of funding of $346,434.</w:t>
      </w:r>
    </w:p>
    <w:p>
      <w:pPr>
        <w:pStyle w:val="BodyText"/>
        <w:spacing w:before="6"/>
        <w:rPr>
          <w:sz w:val="14"/>
        </w:rPr>
      </w:pPr>
    </w:p>
    <w:p>
      <w:pPr>
        <w:spacing w:line="244" w:lineRule="auto" w:before="0"/>
        <w:ind w:left="107" w:right="166" w:firstLine="0"/>
        <w:jc w:val="left"/>
        <w:rPr>
          <w:sz w:val="16"/>
        </w:rPr>
      </w:pPr>
      <w:r>
        <w:rPr>
          <w:rFonts w:ascii="Gotham Narrow Book" w:hAnsi="Gotham Narrow Book"/>
          <w:b w:val="0"/>
          <w:i/>
          <w:sz w:val="16"/>
        </w:rPr>
        <w:t>War Letters – Musical Settings of WWI letters </w:t>
      </w:r>
      <w:r>
        <w:rPr>
          <w:sz w:val="16"/>
        </w:rPr>
        <w:t>Dr Diana Blom won funding from the ANZAC Centenary Local Grants Program.</w:t>
      </w:r>
    </w:p>
    <w:p>
      <w:pPr>
        <w:pStyle w:val="BodyText"/>
        <w:spacing w:before="11"/>
        <w:rPr>
          <w:sz w:val="21"/>
        </w:rPr>
      </w:pPr>
    </w:p>
    <w:p>
      <w:pPr>
        <w:pStyle w:val="Heading8"/>
        <w:ind w:right="287"/>
      </w:pPr>
      <w:r>
        <w:rPr>
          <w:w w:val="95"/>
        </w:rPr>
        <w:t>OTHER AWARDS AND PRIZES</w:t>
      </w:r>
    </w:p>
    <w:p>
      <w:pPr>
        <w:pStyle w:val="BodyText"/>
        <w:spacing w:line="247" w:lineRule="auto" w:before="85"/>
        <w:ind w:left="333" w:right="484" w:hanging="227"/>
      </w:pPr>
      <w:r>
        <w:rPr>
          <w:rFonts w:ascii="Century Gothic" w:hAnsi="Century Gothic"/>
          <w:b/>
          <w:w w:val="115"/>
        </w:rPr>
        <w:t>≥  </w:t>
      </w:r>
      <w:r>
        <w:rPr/>
        <w:t>Associate Professor Chris Andrews was</w:t>
      </w:r>
      <w:r>
        <w:rPr>
          <w:spacing w:val="-13"/>
        </w:rPr>
        <w:t> </w:t>
      </w:r>
      <w:r>
        <w:rPr/>
        <w:t>elected</w:t>
      </w:r>
      <w:r>
        <w:rPr>
          <w:spacing w:val="-13"/>
        </w:rPr>
        <w:t> </w:t>
      </w:r>
      <w:r>
        <w:rPr/>
        <w:t>a</w:t>
      </w:r>
      <w:r>
        <w:rPr>
          <w:spacing w:val="-13"/>
        </w:rPr>
        <w:t> </w:t>
      </w:r>
      <w:r>
        <w:rPr/>
        <w:t>Fellow</w:t>
      </w:r>
      <w:r>
        <w:rPr>
          <w:spacing w:val="-13"/>
        </w:rPr>
        <w:t> </w:t>
      </w:r>
      <w:r>
        <w:rPr/>
        <w:t>of</w:t>
      </w:r>
      <w:r>
        <w:rPr>
          <w:spacing w:val="-13"/>
        </w:rPr>
        <w:t> </w:t>
      </w:r>
      <w:r>
        <w:rPr/>
        <w:t>the</w:t>
      </w:r>
      <w:r>
        <w:rPr>
          <w:spacing w:val="-13"/>
        </w:rPr>
        <w:t> </w:t>
      </w:r>
      <w:r>
        <w:rPr/>
        <w:t>Australian Academy</w:t>
      </w:r>
      <w:r>
        <w:rPr>
          <w:spacing w:val="-17"/>
        </w:rPr>
        <w:t> </w:t>
      </w:r>
      <w:r>
        <w:rPr/>
        <w:t>of</w:t>
      </w:r>
      <w:r>
        <w:rPr>
          <w:spacing w:val="-17"/>
        </w:rPr>
        <w:t> </w:t>
      </w:r>
      <w:r>
        <w:rPr/>
        <w:t>the</w:t>
      </w:r>
      <w:r>
        <w:rPr>
          <w:spacing w:val="-17"/>
        </w:rPr>
        <w:t> </w:t>
      </w:r>
      <w:r>
        <w:rPr/>
        <w:t>Humanities.</w:t>
      </w:r>
    </w:p>
    <w:p>
      <w:pPr>
        <w:pStyle w:val="BodyText"/>
        <w:spacing w:line="247" w:lineRule="auto" w:before="57"/>
        <w:ind w:left="333" w:right="585" w:hanging="227"/>
      </w:pPr>
      <w:r>
        <w:rPr>
          <w:rFonts w:ascii="Century Gothic" w:hAnsi="Century Gothic"/>
          <w:b/>
          <w:w w:val="115"/>
        </w:rPr>
        <w:t>≥  </w:t>
      </w:r>
      <w:r>
        <w:rPr/>
        <w:t>Professor Paul Arthur was awarded a visiting professorship from the Government</w:t>
      </w:r>
      <w:r>
        <w:rPr>
          <w:spacing w:val="-22"/>
        </w:rPr>
        <w:t> </w:t>
      </w:r>
      <w:r>
        <w:rPr/>
        <w:t>of</w:t>
      </w:r>
      <w:r>
        <w:rPr>
          <w:spacing w:val="-22"/>
        </w:rPr>
        <w:t> </w:t>
      </w:r>
      <w:r>
        <w:rPr/>
        <w:t>India’s</w:t>
      </w:r>
      <w:r>
        <w:rPr>
          <w:spacing w:val="-22"/>
        </w:rPr>
        <w:t> </w:t>
      </w:r>
      <w:r>
        <w:rPr/>
        <w:t>GIAN</w:t>
      </w:r>
      <w:r>
        <w:rPr>
          <w:spacing w:val="-22"/>
        </w:rPr>
        <w:t> </w:t>
      </w:r>
      <w:r>
        <w:rPr/>
        <w:t>scheme for global excellence in science and technology.</w:t>
      </w:r>
    </w:p>
    <w:p>
      <w:pPr>
        <w:spacing w:line="244" w:lineRule="auto" w:before="57"/>
        <w:ind w:left="333" w:right="213" w:hanging="227"/>
        <w:jc w:val="left"/>
        <w:rPr>
          <w:sz w:val="16"/>
        </w:rPr>
      </w:pPr>
      <w:r>
        <w:rPr>
          <w:rFonts w:ascii="Century Gothic" w:hAnsi="Century Gothic"/>
          <w:b/>
          <w:w w:val="115"/>
          <w:sz w:val="16"/>
        </w:rPr>
        <w:t>≥ </w:t>
      </w:r>
      <w:r>
        <w:rPr>
          <w:sz w:val="16"/>
        </w:rPr>
        <w:t>Michael Mohammed Ahmad was recognised</w:t>
      </w:r>
      <w:r>
        <w:rPr>
          <w:spacing w:val="-36"/>
          <w:sz w:val="16"/>
        </w:rPr>
        <w:t> </w:t>
      </w:r>
      <w:r>
        <w:rPr>
          <w:sz w:val="16"/>
        </w:rPr>
        <w:t>as</w:t>
      </w:r>
      <w:r>
        <w:rPr>
          <w:spacing w:val="-36"/>
          <w:sz w:val="16"/>
        </w:rPr>
        <w:t> </w:t>
      </w:r>
      <w:r>
        <w:rPr>
          <w:sz w:val="16"/>
        </w:rPr>
        <w:t>one</w:t>
      </w:r>
      <w:r>
        <w:rPr>
          <w:spacing w:val="-36"/>
          <w:sz w:val="16"/>
        </w:rPr>
        <w:t> </w:t>
      </w:r>
      <w:r>
        <w:rPr>
          <w:sz w:val="16"/>
        </w:rPr>
        <w:t>of</w:t>
      </w:r>
      <w:r>
        <w:rPr>
          <w:spacing w:val="-36"/>
          <w:sz w:val="16"/>
        </w:rPr>
        <w:t> </w:t>
      </w:r>
      <w:r>
        <w:rPr>
          <w:rFonts w:ascii="Century Gothic" w:hAnsi="Century Gothic"/>
          <w:i/>
          <w:sz w:val="16"/>
        </w:rPr>
        <w:t>The</w:t>
      </w:r>
      <w:r>
        <w:rPr>
          <w:rFonts w:ascii="Century Gothic" w:hAnsi="Century Gothic"/>
          <w:i/>
          <w:spacing w:val="-30"/>
          <w:sz w:val="16"/>
        </w:rPr>
        <w:t> </w:t>
      </w:r>
      <w:r>
        <w:rPr>
          <w:rFonts w:ascii="Century Gothic" w:hAnsi="Century Gothic"/>
          <w:i/>
          <w:sz w:val="16"/>
        </w:rPr>
        <w:t>Sydney</w:t>
      </w:r>
      <w:r>
        <w:rPr>
          <w:rFonts w:ascii="Century Gothic" w:hAnsi="Century Gothic"/>
          <w:i/>
          <w:spacing w:val="-30"/>
          <w:sz w:val="16"/>
        </w:rPr>
        <w:t> </w:t>
      </w:r>
      <w:r>
        <w:rPr>
          <w:rFonts w:ascii="Century Gothic" w:hAnsi="Century Gothic"/>
          <w:i/>
          <w:sz w:val="16"/>
        </w:rPr>
        <w:t>Morning </w:t>
      </w:r>
      <w:r>
        <w:rPr>
          <w:rFonts w:ascii="Century Gothic" w:hAnsi="Century Gothic"/>
          <w:i/>
          <w:sz w:val="16"/>
        </w:rPr>
        <w:t>Herald</w:t>
      </w:r>
      <w:r>
        <w:rPr>
          <w:rFonts w:ascii="Century Gothic" w:hAnsi="Century Gothic"/>
          <w:i/>
          <w:spacing w:val="-19"/>
          <w:sz w:val="16"/>
        </w:rPr>
        <w:t> </w:t>
      </w:r>
      <w:r>
        <w:rPr>
          <w:spacing w:val="2"/>
          <w:sz w:val="16"/>
        </w:rPr>
        <w:t>Best</w:t>
      </w:r>
      <w:r>
        <w:rPr>
          <w:spacing w:val="-24"/>
          <w:sz w:val="16"/>
        </w:rPr>
        <w:t> </w:t>
      </w:r>
      <w:r>
        <w:rPr>
          <w:sz w:val="16"/>
        </w:rPr>
        <w:t>Young</w:t>
      </w:r>
      <w:r>
        <w:rPr>
          <w:spacing w:val="-24"/>
          <w:sz w:val="16"/>
        </w:rPr>
        <w:t> </w:t>
      </w:r>
      <w:r>
        <w:rPr>
          <w:sz w:val="16"/>
        </w:rPr>
        <w:t>Australian</w:t>
      </w:r>
      <w:r>
        <w:rPr>
          <w:spacing w:val="-24"/>
          <w:sz w:val="16"/>
        </w:rPr>
        <w:t> </w:t>
      </w:r>
      <w:r>
        <w:rPr>
          <w:sz w:val="16"/>
        </w:rPr>
        <w:t>Novelists</w:t>
      </w:r>
      <w:r>
        <w:rPr>
          <w:spacing w:val="-24"/>
          <w:sz w:val="16"/>
        </w:rPr>
        <w:t> </w:t>
      </w:r>
      <w:r>
        <w:rPr>
          <w:sz w:val="16"/>
        </w:rPr>
        <w:t>of </w:t>
      </w:r>
      <w:r>
        <w:rPr>
          <w:spacing w:val="1"/>
          <w:w w:val="88"/>
          <w:sz w:val="16"/>
        </w:rPr>
        <w:t>2015</w:t>
      </w:r>
      <w:r>
        <w:rPr>
          <w:w w:val="88"/>
          <w:sz w:val="16"/>
        </w:rPr>
        <w:t> </w:t>
      </w:r>
      <w:r>
        <w:rPr>
          <w:w w:val="98"/>
          <w:sz w:val="16"/>
        </w:rPr>
        <w:t>for </w:t>
      </w:r>
      <w:r>
        <w:rPr>
          <w:rFonts w:ascii="Century Gothic" w:hAnsi="Century Gothic"/>
          <w:i/>
          <w:spacing w:val="1"/>
          <w:w w:val="92"/>
          <w:sz w:val="16"/>
        </w:rPr>
        <w:t>The</w:t>
      </w:r>
      <w:r>
        <w:rPr>
          <w:rFonts w:ascii="Century Gothic" w:hAnsi="Century Gothic"/>
          <w:i/>
          <w:spacing w:val="-27"/>
          <w:w w:val="92"/>
          <w:sz w:val="16"/>
        </w:rPr>
        <w:t> </w:t>
      </w:r>
      <w:r>
        <w:rPr>
          <w:rFonts w:ascii="Century Gothic" w:hAnsi="Century Gothic"/>
          <w:i/>
          <w:spacing w:val="-2"/>
          <w:w w:val="95"/>
          <w:sz w:val="16"/>
        </w:rPr>
        <w:t>Tribe</w:t>
      </w:r>
      <w:r>
        <w:rPr>
          <w:spacing w:val="-2"/>
          <w:w w:val="95"/>
          <w:sz w:val="16"/>
        </w:rPr>
        <w:t>.</w:t>
      </w:r>
    </w:p>
    <w:p>
      <w:pPr>
        <w:pStyle w:val="BodyText"/>
        <w:spacing w:line="247" w:lineRule="auto" w:before="56"/>
        <w:ind w:left="333" w:right="182" w:hanging="227"/>
      </w:pPr>
      <w:r>
        <w:rPr>
          <w:rFonts w:ascii="Century Gothic" w:hAnsi="Century Gothic"/>
          <w:b/>
          <w:w w:val="115"/>
        </w:rPr>
        <w:t>≥  </w:t>
      </w:r>
      <w:r>
        <w:rPr/>
        <w:t>Dr Catherine Bishop won a State Library of NSW Australian Religious History Fellowship, a New Zealand History Research</w:t>
      </w:r>
      <w:r>
        <w:rPr>
          <w:spacing w:val="-19"/>
        </w:rPr>
        <w:t> </w:t>
      </w:r>
      <w:r>
        <w:rPr/>
        <w:t>Trust</w:t>
      </w:r>
      <w:r>
        <w:rPr>
          <w:spacing w:val="-19"/>
        </w:rPr>
        <w:t> </w:t>
      </w:r>
      <w:r>
        <w:rPr/>
        <w:t>Fund</w:t>
      </w:r>
      <w:r>
        <w:rPr>
          <w:spacing w:val="-19"/>
        </w:rPr>
        <w:t> </w:t>
      </w:r>
      <w:r>
        <w:rPr/>
        <w:t>Award,</w:t>
      </w:r>
      <w:r>
        <w:rPr>
          <w:spacing w:val="-19"/>
        </w:rPr>
        <w:t> </w:t>
      </w:r>
      <w:r>
        <w:rPr/>
        <w:t>an</w:t>
      </w:r>
      <w:r>
        <w:rPr>
          <w:spacing w:val="-19"/>
        </w:rPr>
        <w:t> </w:t>
      </w:r>
      <w:r>
        <w:rPr/>
        <w:t>Australian Academy of the Humanities Travelling Fellowship,</w:t>
      </w:r>
      <w:r>
        <w:rPr>
          <w:spacing w:val="-14"/>
        </w:rPr>
        <w:t> </w:t>
      </w:r>
      <w:r>
        <w:rPr/>
        <w:t>the</w:t>
      </w:r>
      <w:r>
        <w:rPr>
          <w:spacing w:val="-14"/>
        </w:rPr>
        <w:t> </w:t>
      </w:r>
      <w:r>
        <w:rPr/>
        <w:t>Australian</w:t>
      </w:r>
      <w:r>
        <w:rPr>
          <w:spacing w:val="-14"/>
        </w:rPr>
        <w:t> </w:t>
      </w:r>
      <w:r>
        <w:rPr/>
        <w:t>Academy</w:t>
      </w:r>
      <w:r>
        <w:rPr>
          <w:spacing w:val="-14"/>
        </w:rPr>
        <w:t> </w:t>
      </w:r>
      <w:r>
        <w:rPr/>
        <w:t>of</w:t>
      </w:r>
      <w:r>
        <w:rPr>
          <w:spacing w:val="-14"/>
        </w:rPr>
        <w:t> </w:t>
      </w:r>
      <w:r>
        <w:rPr/>
        <w:t>the Humanities</w:t>
      </w:r>
      <w:r>
        <w:rPr>
          <w:spacing w:val="-14"/>
        </w:rPr>
        <w:t> </w:t>
      </w:r>
      <w:r>
        <w:rPr/>
        <w:t>Publishing</w:t>
      </w:r>
      <w:r>
        <w:rPr>
          <w:spacing w:val="-14"/>
        </w:rPr>
        <w:t> </w:t>
      </w:r>
      <w:r>
        <w:rPr/>
        <w:t>Award</w:t>
      </w:r>
      <w:r>
        <w:rPr>
          <w:spacing w:val="-14"/>
        </w:rPr>
        <w:t> </w:t>
      </w:r>
      <w:r>
        <w:rPr/>
        <w:t>and</w:t>
      </w:r>
      <w:r>
        <w:rPr>
          <w:spacing w:val="-14"/>
        </w:rPr>
        <w:t> </w:t>
      </w:r>
      <w:r>
        <w:rPr/>
        <w:t>the</w:t>
      </w:r>
      <w:r>
        <w:rPr>
          <w:spacing w:val="-14"/>
        </w:rPr>
        <w:t> </w:t>
      </w:r>
      <w:r>
        <w:rPr/>
        <w:t>City of</w:t>
      </w:r>
      <w:r>
        <w:rPr>
          <w:spacing w:val="-16"/>
        </w:rPr>
        <w:t> </w:t>
      </w:r>
      <w:r>
        <w:rPr/>
        <w:t>Sydney</w:t>
      </w:r>
      <w:r>
        <w:rPr>
          <w:spacing w:val="-16"/>
        </w:rPr>
        <w:t> </w:t>
      </w:r>
      <w:r>
        <w:rPr/>
        <w:t>History</w:t>
      </w:r>
      <w:r>
        <w:rPr>
          <w:spacing w:val="-16"/>
        </w:rPr>
        <w:t> </w:t>
      </w:r>
      <w:r>
        <w:rPr/>
        <w:t>Publishing</w:t>
      </w:r>
      <w:r>
        <w:rPr>
          <w:spacing w:val="-16"/>
        </w:rPr>
        <w:t> </w:t>
      </w:r>
      <w:r>
        <w:rPr/>
        <w:t>Award.</w:t>
      </w:r>
    </w:p>
    <w:p>
      <w:pPr>
        <w:pStyle w:val="BodyText"/>
        <w:spacing w:line="247" w:lineRule="auto" w:before="57"/>
        <w:ind w:left="333" w:right="202" w:hanging="227"/>
      </w:pPr>
      <w:r>
        <w:rPr>
          <w:rFonts w:ascii="Century Gothic" w:hAnsi="Century Gothic"/>
          <w:b/>
          <w:w w:val="115"/>
        </w:rPr>
        <w:t>≥ </w:t>
      </w:r>
      <w:r>
        <w:rPr/>
        <w:t>Luke Carman won the UTS Glenda Adams </w:t>
      </w:r>
      <w:r>
        <w:rPr>
          <w:w w:val="99"/>
        </w:rPr>
        <w:t>New </w:t>
      </w:r>
      <w:r>
        <w:rPr>
          <w:w w:val="99"/>
        </w:rPr>
        <w:t>Writing </w:t>
      </w:r>
      <w:r>
        <w:rPr>
          <w:w w:val="101"/>
        </w:rPr>
        <w:t>Award </w:t>
      </w:r>
      <w:r>
        <w:rPr>
          <w:w w:val="88"/>
        </w:rPr>
        <w:t>2015 </w:t>
      </w:r>
      <w:r>
        <w:rPr>
          <w:w w:val="98"/>
        </w:rPr>
        <w:t>at </w:t>
      </w:r>
      <w:r>
        <w:rPr>
          <w:w w:val="97"/>
        </w:rPr>
        <w:t>the </w:t>
      </w:r>
      <w:r>
        <w:rPr>
          <w:w w:val="101"/>
        </w:rPr>
        <w:t>NSW </w:t>
      </w:r>
      <w:r>
        <w:rPr/>
        <w:t>Premier’s Literary Awards.</w:t>
      </w:r>
    </w:p>
    <w:p>
      <w:pPr>
        <w:spacing w:line="247" w:lineRule="auto" w:before="57"/>
        <w:ind w:left="333" w:right="125" w:hanging="227"/>
        <w:jc w:val="left"/>
        <w:rPr>
          <w:sz w:val="16"/>
        </w:rPr>
      </w:pPr>
      <w:r>
        <w:rPr>
          <w:rFonts w:ascii="Century Gothic" w:hAnsi="Century Gothic"/>
          <w:b/>
          <w:w w:val="115"/>
          <w:sz w:val="16"/>
        </w:rPr>
        <w:t>≥</w:t>
      </w:r>
      <w:r>
        <w:rPr>
          <w:rFonts w:ascii="Century Gothic" w:hAnsi="Century Gothic"/>
          <w:b/>
          <w:spacing w:val="-13"/>
          <w:w w:val="115"/>
          <w:sz w:val="16"/>
        </w:rPr>
        <w:t> </w:t>
      </w:r>
      <w:r>
        <w:rPr>
          <w:sz w:val="16"/>
        </w:rPr>
        <w:t>Felicity</w:t>
      </w:r>
      <w:r>
        <w:rPr>
          <w:spacing w:val="-35"/>
          <w:sz w:val="16"/>
        </w:rPr>
        <w:t> </w:t>
      </w:r>
      <w:r>
        <w:rPr>
          <w:sz w:val="16"/>
        </w:rPr>
        <w:t>Castagna’s</w:t>
      </w:r>
      <w:r>
        <w:rPr>
          <w:spacing w:val="-35"/>
          <w:sz w:val="16"/>
        </w:rPr>
        <w:t> </w:t>
      </w:r>
      <w:r>
        <w:rPr>
          <w:rFonts w:ascii="Century Gothic" w:hAnsi="Century Gothic"/>
          <w:i/>
          <w:sz w:val="16"/>
        </w:rPr>
        <w:t>The</w:t>
      </w:r>
      <w:r>
        <w:rPr>
          <w:rFonts w:ascii="Century Gothic" w:hAnsi="Century Gothic"/>
          <w:i/>
          <w:spacing w:val="-30"/>
          <w:sz w:val="16"/>
        </w:rPr>
        <w:t> </w:t>
      </w:r>
      <w:r>
        <w:rPr>
          <w:rFonts w:ascii="Century Gothic" w:hAnsi="Century Gothic"/>
          <w:i/>
          <w:sz w:val="16"/>
        </w:rPr>
        <w:t>Incredible</w:t>
      </w:r>
      <w:r>
        <w:rPr>
          <w:rFonts w:ascii="Century Gothic" w:hAnsi="Century Gothic"/>
          <w:i/>
          <w:spacing w:val="-30"/>
          <w:sz w:val="16"/>
        </w:rPr>
        <w:t> </w:t>
      </w:r>
      <w:r>
        <w:rPr>
          <w:rFonts w:ascii="Century Gothic" w:hAnsi="Century Gothic"/>
          <w:i/>
          <w:sz w:val="16"/>
        </w:rPr>
        <w:t>Here</w:t>
      </w:r>
      <w:r>
        <w:rPr>
          <w:rFonts w:ascii="Century Gothic" w:hAnsi="Century Gothic"/>
          <w:i/>
          <w:spacing w:val="-30"/>
          <w:sz w:val="16"/>
        </w:rPr>
        <w:t> </w:t>
      </w:r>
      <w:r>
        <w:rPr>
          <w:rFonts w:ascii="Century Gothic" w:hAnsi="Century Gothic"/>
          <w:i/>
          <w:sz w:val="16"/>
        </w:rPr>
        <w:t>and </w:t>
      </w:r>
      <w:r>
        <w:rPr>
          <w:rFonts w:ascii="Century Gothic" w:hAnsi="Century Gothic"/>
          <w:i/>
          <w:sz w:val="16"/>
        </w:rPr>
        <w:t>Now</w:t>
      </w:r>
      <w:r>
        <w:rPr>
          <w:rFonts w:ascii="Century Gothic" w:hAnsi="Century Gothic"/>
          <w:i/>
          <w:spacing w:val="-19"/>
          <w:sz w:val="16"/>
        </w:rPr>
        <w:t> </w:t>
      </w:r>
      <w:r>
        <w:rPr>
          <w:sz w:val="16"/>
        </w:rPr>
        <w:t>has</w:t>
      </w:r>
      <w:r>
        <w:rPr>
          <w:spacing w:val="-25"/>
          <w:sz w:val="16"/>
        </w:rPr>
        <w:t> </w:t>
      </w:r>
      <w:r>
        <w:rPr>
          <w:sz w:val="16"/>
        </w:rPr>
        <w:t>been</w:t>
      </w:r>
      <w:r>
        <w:rPr>
          <w:spacing w:val="-25"/>
          <w:sz w:val="16"/>
        </w:rPr>
        <w:t> </w:t>
      </w:r>
      <w:r>
        <w:rPr>
          <w:sz w:val="16"/>
        </w:rPr>
        <w:t>chosen</w:t>
      </w:r>
      <w:r>
        <w:rPr>
          <w:spacing w:val="-25"/>
          <w:sz w:val="16"/>
        </w:rPr>
        <w:t> </w:t>
      </w:r>
      <w:r>
        <w:rPr>
          <w:sz w:val="16"/>
        </w:rPr>
        <w:t>for</w:t>
      </w:r>
      <w:r>
        <w:rPr>
          <w:spacing w:val="-25"/>
          <w:sz w:val="16"/>
        </w:rPr>
        <w:t> </w:t>
      </w:r>
      <w:r>
        <w:rPr>
          <w:sz w:val="16"/>
        </w:rPr>
        <w:t>the</w:t>
      </w:r>
      <w:r>
        <w:rPr>
          <w:spacing w:val="-25"/>
          <w:sz w:val="16"/>
        </w:rPr>
        <w:t> </w:t>
      </w:r>
      <w:r>
        <w:rPr>
          <w:sz w:val="16"/>
        </w:rPr>
        <w:t>International Board on Books for Young People </w:t>
      </w:r>
      <w:r>
        <w:rPr>
          <w:spacing w:val="2"/>
          <w:sz w:val="16"/>
        </w:rPr>
        <w:t>(IBBY) </w:t>
      </w:r>
      <w:r>
        <w:rPr>
          <w:spacing w:val="1"/>
          <w:w w:val="88"/>
          <w:sz w:val="16"/>
        </w:rPr>
        <w:t>2015</w:t>
      </w:r>
      <w:r>
        <w:rPr>
          <w:w w:val="88"/>
          <w:sz w:val="16"/>
        </w:rPr>
        <w:t> </w:t>
      </w:r>
      <w:r>
        <w:rPr>
          <w:spacing w:val="1"/>
          <w:w w:val="97"/>
          <w:sz w:val="16"/>
        </w:rPr>
        <w:t>Honour</w:t>
      </w:r>
      <w:r>
        <w:rPr>
          <w:spacing w:val="-5"/>
          <w:w w:val="97"/>
          <w:sz w:val="16"/>
        </w:rPr>
        <w:t> </w:t>
      </w:r>
      <w:r>
        <w:rPr>
          <w:spacing w:val="1"/>
          <w:w w:val="93"/>
          <w:sz w:val="16"/>
        </w:rPr>
        <w:t>List.</w:t>
      </w:r>
    </w:p>
    <w:p>
      <w:pPr>
        <w:pStyle w:val="BodyText"/>
        <w:spacing w:line="247" w:lineRule="auto" w:before="57"/>
        <w:ind w:left="333" w:right="404" w:hanging="227"/>
      </w:pPr>
      <w:r>
        <w:rPr>
          <w:rFonts w:ascii="Century Gothic" w:hAnsi="Century Gothic"/>
          <w:b/>
          <w:w w:val="115"/>
        </w:rPr>
        <w:t>≥ </w:t>
      </w:r>
      <w:r>
        <w:rPr/>
        <w:t>Dr Bruce Crossman was awarded an Australia–Japan Foundation grant for a project in collaboration with Aichi Prefectural University of Fine Arts and Music.</w:t>
      </w:r>
    </w:p>
    <w:p>
      <w:pPr>
        <w:pStyle w:val="BodyText"/>
        <w:spacing w:line="244" w:lineRule="auto" w:before="57"/>
        <w:ind w:left="333" w:right="115" w:hanging="227"/>
      </w:pPr>
      <w:r>
        <w:rPr>
          <w:rFonts w:ascii="Century Gothic" w:hAnsi="Century Gothic"/>
          <w:b/>
          <w:w w:val="115"/>
        </w:rPr>
        <w:t>≥ </w:t>
      </w:r>
      <w:r>
        <w:rPr/>
        <w:t>Dr Anne Jamison won a Nancy Keesing Fellowship from the State Library of NSW.</w:t>
      </w:r>
    </w:p>
    <w:p>
      <w:pPr>
        <w:spacing w:after="0" w:line="244" w:lineRule="auto"/>
        <w:sectPr>
          <w:type w:val="continuous"/>
          <w:pgSz w:w="11910" w:h="16840"/>
          <w:pgMar w:top="1580" w:bottom="280" w:left="800" w:right="800"/>
          <w:cols w:num="3" w:equalWidth="0">
            <w:col w:w="3308" w:space="131"/>
            <w:col w:w="3320" w:space="11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1"/>
        <w:rPr>
          <w:sz w:val="20"/>
        </w:rPr>
      </w:pPr>
    </w:p>
    <w:p>
      <w:pPr>
        <w:pStyle w:val="BodyText"/>
        <w:spacing w:line="247" w:lineRule="auto" w:before="1"/>
        <w:ind w:left="333" w:right="-20" w:hanging="227"/>
      </w:pPr>
      <w:r>
        <w:rPr>
          <w:rFonts w:ascii="Century Gothic" w:hAnsi="Century Gothic"/>
          <w:b/>
          <w:w w:val="115"/>
        </w:rPr>
        <w:t>≥ </w:t>
      </w:r>
      <w:r>
        <w:rPr/>
        <w:t>Dr Peter Mauch was awarded a Japan Society for the Promotion of Science fellowship.</w:t>
      </w:r>
    </w:p>
    <w:p>
      <w:pPr>
        <w:pStyle w:val="BodyText"/>
        <w:spacing w:line="247" w:lineRule="auto" w:before="57"/>
        <w:ind w:left="333" w:right="275" w:hanging="227"/>
        <w:jc w:val="both"/>
      </w:pPr>
      <w:r>
        <w:rPr>
          <w:rFonts w:ascii="Century Gothic" w:hAnsi="Century Gothic"/>
          <w:b/>
          <w:w w:val="115"/>
        </w:rPr>
        <w:t>≥ </w:t>
      </w:r>
      <w:r>
        <w:rPr/>
        <w:t>Dr Lucija Medojevic won the Australian </w:t>
      </w:r>
      <w:r>
        <w:rPr>
          <w:w w:val="98"/>
        </w:rPr>
        <w:t>Linguistic </w:t>
      </w:r>
      <w:r>
        <w:rPr>
          <w:w w:val="98"/>
        </w:rPr>
        <w:t>Society’s </w:t>
      </w:r>
      <w:r>
        <w:rPr>
          <w:w w:val="88"/>
        </w:rPr>
        <w:t>2015 </w:t>
      </w:r>
      <w:r>
        <w:rPr>
          <w:w w:val="96"/>
        </w:rPr>
        <w:t>Michael </w:t>
      </w:r>
      <w:r>
        <w:rPr>
          <w:w w:val="98"/>
        </w:rPr>
        <w:t>Clyne </w:t>
      </w:r>
      <w:r>
        <w:rPr/>
        <w:t>Prize for best PhD thesis.</w:t>
      </w:r>
    </w:p>
    <w:p>
      <w:pPr>
        <w:pStyle w:val="BodyText"/>
        <w:spacing w:line="247" w:lineRule="auto" w:before="57"/>
        <w:ind w:left="333" w:right="-20" w:hanging="227"/>
      </w:pPr>
      <w:r>
        <w:rPr>
          <w:rFonts w:ascii="Century Gothic" w:hAnsi="Century Gothic"/>
          <w:b/>
          <w:w w:val="115"/>
        </w:rPr>
        <w:t>≥ </w:t>
      </w:r>
      <w:r>
        <w:rPr/>
        <w:t>Ms Kendal Murray won Deakin University’s Contemporary Small Sculpture Exhibition </w:t>
      </w:r>
      <w:r>
        <w:rPr>
          <w:w w:val="97"/>
        </w:rPr>
        <w:t>and </w:t>
      </w:r>
      <w:r>
        <w:rPr>
          <w:w w:val="97"/>
        </w:rPr>
        <w:t>Woollahra </w:t>
      </w:r>
      <w:r>
        <w:rPr>
          <w:w w:val="96"/>
        </w:rPr>
        <w:t>Small </w:t>
      </w:r>
      <w:r>
        <w:rPr>
          <w:w w:val="98"/>
        </w:rPr>
        <w:t>Sculpture </w:t>
      </w:r>
      <w:r>
        <w:rPr>
          <w:w w:val="98"/>
        </w:rPr>
        <w:t>Prize’s </w:t>
      </w:r>
      <w:r>
        <w:rPr>
          <w:w w:val="88"/>
        </w:rPr>
        <w:t>2015 </w:t>
      </w:r>
      <w:r>
        <w:rPr/>
        <w:t>Beowulf Award.</w:t>
      </w:r>
    </w:p>
    <w:p>
      <w:pPr>
        <w:pStyle w:val="BodyText"/>
        <w:spacing w:line="247" w:lineRule="auto" w:before="57"/>
        <w:ind w:left="333" w:right="123" w:hanging="227"/>
      </w:pPr>
      <w:r>
        <w:rPr>
          <w:rFonts w:ascii="Century Gothic" w:hAnsi="Century Gothic"/>
          <w:b/>
          <w:w w:val="115"/>
        </w:rPr>
        <w:t>≥ </w:t>
      </w:r>
      <w:r>
        <w:rPr/>
        <w:t>Dr Amin Palangi won the Australian Directors Guild prize for Best Director in the Feature Documentary Category.</w:t>
      </w:r>
    </w:p>
    <w:p>
      <w:pPr>
        <w:pStyle w:val="BodyText"/>
        <w:spacing w:line="247" w:lineRule="auto" w:before="57"/>
        <w:ind w:left="333" w:right="68" w:hanging="227"/>
      </w:pPr>
      <w:r>
        <w:rPr>
          <w:rFonts w:ascii="Century Gothic" w:hAnsi="Century Gothic"/>
          <w:b/>
          <w:w w:val="115"/>
        </w:rPr>
        <w:t>≥  </w:t>
      </w:r>
      <w:r>
        <w:rPr/>
        <w:t>Professor Anthony Uhlmann was elected a</w:t>
      </w:r>
      <w:r>
        <w:rPr>
          <w:spacing w:val="-12"/>
        </w:rPr>
        <w:t> </w:t>
      </w:r>
      <w:r>
        <w:rPr/>
        <w:t>Fellow</w:t>
      </w:r>
      <w:r>
        <w:rPr>
          <w:spacing w:val="-12"/>
        </w:rPr>
        <w:t> </w:t>
      </w:r>
      <w:r>
        <w:rPr/>
        <w:t>of</w:t>
      </w:r>
      <w:r>
        <w:rPr>
          <w:spacing w:val="-12"/>
        </w:rPr>
        <w:t> </w:t>
      </w:r>
      <w:r>
        <w:rPr/>
        <w:t>the</w:t>
      </w:r>
      <w:r>
        <w:rPr>
          <w:spacing w:val="-12"/>
        </w:rPr>
        <w:t> </w:t>
      </w:r>
      <w:r>
        <w:rPr/>
        <w:t>Australian</w:t>
      </w:r>
      <w:r>
        <w:rPr>
          <w:spacing w:val="-12"/>
        </w:rPr>
        <w:t> </w:t>
      </w:r>
      <w:r>
        <w:rPr/>
        <w:t>Academy</w:t>
      </w:r>
      <w:r>
        <w:rPr>
          <w:spacing w:val="-12"/>
        </w:rPr>
        <w:t> </w:t>
      </w:r>
      <w:r>
        <w:rPr/>
        <w:t>of</w:t>
      </w:r>
      <w:r>
        <w:rPr>
          <w:spacing w:val="-12"/>
        </w:rPr>
        <w:t> </w:t>
      </w:r>
      <w:r>
        <w:rPr/>
        <w:t>the Humanities.</w:t>
      </w:r>
    </w:p>
    <w:p>
      <w:pPr>
        <w:pStyle w:val="BodyText"/>
        <w:spacing w:line="247" w:lineRule="auto" w:before="57"/>
        <w:ind w:left="333" w:right="158" w:hanging="227"/>
      </w:pPr>
      <w:r>
        <w:rPr>
          <w:rFonts w:ascii="Century Gothic" w:hAnsi="Century Gothic"/>
          <w:b/>
          <w:w w:val="115"/>
        </w:rPr>
        <w:t>≥ </w:t>
      </w:r>
      <w:r>
        <w:rPr>
          <w:w w:val="105"/>
        </w:rPr>
        <w:t>Associate</w:t>
      </w:r>
      <w:r>
        <w:rPr>
          <w:spacing w:val="-33"/>
          <w:w w:val="105"/>
        </w:rPr>
        <w:t> </w:t>
      </w:r>
      <w:r>
        <w:rPr>
          <w:w w:val="105"/>
        </w:rPr>
        <w:t>Professor</w:t>
      </w:r>
      <w:r>
        <w:rPr>
          <w:spacing w:val="-33"/>
          <w:w w:val="105"/>
        </w:rPr>
        <w:t> </w:t>
      </w:r>
      <w:r>
        <w:rPr>
          <w:w w:val="105"/>
        </w:rPr>
        <w:t>Dimitris</w:t>
      </w:r>
      <w:r>
        <w:rPr>
          <w:spacing w:val="-33"/>
          <w:w w:val="105"/>
        </w:rPr>
        <w:t> </w:t>
      </w:r>
      <w:r>
        <w:rPr>
          <w:w w:val="105"/>
        </w:rPr>
        <w:t>Vardoulakis won the Vice-Chancellor’s Excellence </w:t>
      </w:r>
      <w:r>
        <w:rPr/>
        <w:t>Award for</w:t>
      </w:r>
      <w:r>
        <w:rPr>
          <w:spacing w:val="-37"/>
        </w:rPr>
        <w:t> </w:t>
      </w:r>
      <w:r>
        <w:rPr/>
        <w:t>Leadership.</w:t>
      </w:r>
    </w:p>
    <w:p>
      <w:pPr>
        <w:pStyle w:val="BodyText"/>
        <w:spacing w:line="244" w:lineRule="auto" w:before="57"/>
        <w:ind w:left="333" w:right="58" w:hanging="227"/>
      </w:pPr>
      <w:r>
        <w:rPr>
          <w:rFonts w:ascii="Century Gothic" w:hAnsi="Century Gothic"/>
          <w:b/>
          <w:w w:val="115"/>
        </w:rPr>
        <w:t>≥ </w:t>
      </w:r>
      <w:r>
        <w:rPr/>
        <w:t>Alexis Wright was awarded a Sidney Myer Creative Fellowship.</w:t>
      </w:r>
    </w:p>
    <w:p>
      <w:pPr>
        <w:pStyle w:val="BodyText"/>
        <w:spacing w:before="11"/>
        <w:rPr>
          <w:sz w:val="21"/>
        </w:rPr>
      </w:pPr>
    </w:p>
    <w:p>
      <w:pPr>
        <w:pStyle w:val="Heading8"/>
        <w:spacing w:line="249" w:lineRule="auto"/>
        <w:ind w:right="818"/>
      </w:pPr>
      <w:r>
        <w:rPr/>
        <w:t>BOOKS AND OTHER RESEARCH PUBLICATIONS</w:t>
      </w:r>
    </w:p>
    <w:p>
      <w:pPr>
        <w:spacing w:line="244" w:lineRule="auto" w:before="78"/>
        <w:ind w:left="333" w:right="63" w:hanging="227"/>
        <w:jc w:val="both"/>
        <w:rPr>
          <w:sz w:val="16"/>
        </w:rPr>
      </w:pPr>
      <w:r>
        <w:rPr>
          <w:rFonts w:ascii="Century Gothic" w:hAnsi="Century Gothic"/>
          <w:b/>
          <w:w w:val="95"/>
          <w:sz w:val="16"/>
        </w:rPr>
        <w:t>≥</w:t>
      </w:r>
      <w:r>
        <w:rPr>
          <w:rFonts w:ascii="Century Gothic" w:hAnsi="Century Gothic"/>
          <w:b/>
          <w:spacing w:val="-9"/>
          <w:w w:val="95"/>
          <w:sz w:val="16"/>
        </w:rPr>
        <w:t> </w:t>
      </w:r>
      <w:r>
        <w:rPr>
          <w:rFonts w:ascii="Century Gothic" w:hAnsi="Century Gothic"/>
          <w:i/>
          <w:w w:val="95"/>
          <w:sz w:val="16"/>
        </w:rPr>
        <w:t>Plantations</w:t>
      </w:r>
      <w:r>
        <w:rPr>
          <w:rFonts w:ascii="Century Gothic" w:hAnsi="Century Gothic"/>
          <w:i/>
          <w:spacing w:val="-30"/>
          <w:w w:val="95"/>
          <w:sz w:val="16"/>
        </w:rPr>
        <w:t> </w:t>
      </w:r>
      <w:r>
        <w:rPr>
          <w:rFonts w:ascii="Century Gothic" w:hAnsi="Century Gothic"/>
          <w:i/>
          <w:w w:val="95"/>
          <w:sz w:val="16"/>
        </w:rPr>
        <w:t>and</w:t>
      </w:r>
      <w:r>
        <w:rPr>
          <w:rFonts w:ascii="Century Gothic" w:hAnsi="Century Gothic"/>
          <w:i/>
          <w:spacing w:val="-30"/>
          <w:w w:val="95"/>
          <w:sz w:val="16"/>
        </w:rPr>
        <w:t> </w:t>
      </w:r>
      <w:r>
        <w:rPr>
          <w:rFonts w:ascii="Century Gothic" w:hAnsi="Century Gothic"/>
          <w:i/>
          <w:w w:val="95"/>
          <w:sz w:val="16"/>
        </w:rPr>
        <w:t>Protected</w:t>
      </w:r>
      <w:r>
        <w:rPr>
          <w:rFonts w:ascii="Century Gothic" w:hAnsi="Century Gothic"/>
          <w:i/>
          <w:spacing w:val="-30"/>
          <w:w w:val="95"/>
          <w:sz w:val="16"/>
        </w:rPr>
        <w:t> </w:t>
      </w:r>
      <w:r>
        <w:rPr>
          <w:rFonts w:ascii="Century Gothic" w:hAnsi="Century Gothic"/>
          <w:i/>
          <w:w w:val="95"/>
          <w:sz w:val="16"/>
        </w:rPr>
        <w:t>Areas:</w:t>
      </w:r>
      <w:r>
        <w:rPr>
          <w:rFonts w:ascii="Century Gothic" w:hAnsi="Century Gothic"/>
          <w:i/>
          <w:spacing w:val="-30"/>
          <w:w w:val="95"/>
          <w:sz w:val="16"/>
        </w:rPr>
        <w:t> </w:t>
      </w:r>
      <w:r>
        <w:rPr>
          <w:rFonts w:ascii="Century Gothic" w:hAnsi="Century Gothic"/>
          <w:i/>
          <w:w w:val="95"/>
          <w:sz w:val="16"/>
        </w:rPr>
        <w:t>A</w:t>
      </w:r>
      <w:r>
        <w:rPr>
          <w:rFonts w:ascii="Century Gothic" w:hAnsi="Century Gothic"/>
          <w:i/>
          <w:spacing w:val="-30"/>
          <w:w w:val="95"/>
          <w:sz w:val="16"/>
        </w:rPr>
        <w:t> </w:t>
      </w:r>
      <w:r>
        <w:rPr>
          <w:rFonts w:ascii="Century Gothic" w:hAnsi="Century Gothic"/>
          <w:i/>
          <w:w w:val="95"/>
          <w:sz w:val="16"/>
        </w:rPr>
        <w:t>Global </w:t>
      </w:r>
      <w:r>
        <w:rPr>
          <w:rFonts w:ascii="Century Gothic" w:hAnsi="Century Gothic"/>
          <w:i/>
          <w:w w:val="95"/>
          <w:sz w:val="16"/>
        </w:rPr>
        <w:t>History</w:t>
      </w:r>
      <w:r>
        <w:rPr>
          <w:rFonts w:ascii="Century Gothic" w:hAnsi="Century Gothic"/>
          <w:i/>
          <w:spacing w:val="-16"/>
          <w:w w:val="95"/>
          <w:sz w:val="16"/>
        </w:rPr>
        <w:t> </w:t>
      </w:r>
      <w:r>
        <w:rPr>
          <w:rFonts w:ascii="Century Gothic" w:hAnsi="Century Gothic"/>
          <w:i/>
          <w:w w:val="95"/>
          <w:sz w:val="16"/>
        </w:rPr>
        <w:t>of</w:t>
      </w:r>
      <w:r>
        <w:rPr>
          <w:rFonts w:ascii="Century Gothic" w:hAnsi="Century Gothic"/>
          <w:i/>
          <w:spacing w:val="-16"/>
          <w:w w:val="95"/>
          <w:sz w:val="16"/>
        </w:rPr>
        <w:t> </w:t>
      </w:r>
      <w:r>
        <w:rPr>
          <w:rFonts w:ascii="Century Gothic" w:hAnsi="Century Gothic"/>
          <w:i/>
          <w:w w:val="95"/>
          <w:sz w:val="16"/>
        </w:rPr>
        <w:t>Forest</w:t>
      </w:r>
      <w:r>
        <w:rPr>
          <w:rFonts w:ascii="Century Gothic" w:hAnsi="Century Gothic"/>
          <w:i/>
          <w:spacing w:val="-16"/>
          <w:w w:val="95"/>
          <w:sz w:val="16"/>
        </w:rPr>
        <w:t> </w:t>
      </w:r>
      <w:r>
        <w:rPr>
          <w:rFonts w:ascii="Century Gothic" w:hAnsi="Century Gothic"/>
          <w:i/>
          <w:w w:val="95"/>
          <w:sz w:val="16"/>
        </w:rPr>
        <w:t>Management</w:t>
      </w:r>
      <w:r>
        <w:rPr>
          <w:rFonts w:ascii="Century Gothic" w:hAnsi="Century Gothic"/>
          <w:i/>
          <w:spacing w:val="-16"/>
          <w:w w:val="95"/>
          <w:sz w:val="16"/>
        </w:rPr>
        <w:t> </w:t>
      </w:r>
      <w:r>
        <w:rPr>
          <w:w w:val="95"/>
          <w:sz w:val="16"/>
        </w:rPr>
        <w:t>by</w:t>
      </w:r>
      <w:r>
        <w:rPr>
          <w:spacing w:val="-21"/>
          <w:w w:val="95"/>
          <w:sz w:val="16"/>
        </w:rPr>
        <w:t> </w:t>
      </w:r>
      <w:r>
        <w:rPr>
          <w:w w:val="95"/>
          <w:sz w:val="16"/>
        </w:rPr>
        <w:t>Dr</w:t>
      </w:r>
      <w:r>
        <w:rPr>
          <w:spacing w:val="-21"/>
          <w:w w:val="95"/>
          <w:sz w:val="16"/>
        </w:rPr>
        <w:t> </w:t>
      </w:r>
      <w:r>
        <w:rPr>
          <w:w w:val="95"/>
          <w:sz w:val="16"/>
        </w:rPr>
        <w:t>Brett </w:t>
      </w:r>
      <w:r>
        <w:rPr>
          <w:sz w:val="16"/>
        </w:rPr>
        <w:t>Bennett</w:t>
      </w:r>
      <w:r>
        <w:rPr>
          <w:spacing w:val="-30"/>
          <w:sz w:val="16"/>
        </w:rPr>
        <w:t> </w:t>
      </w:r>
      <w:r>
        <w:rPr>
          <w:sz w:val="16"/>
        </w:rPr>
        <w:t>(MIT</w:t>
      </w:r>
      <w:r>
        <w:rPr>
          <w:spacing w:val="-30"/>
          <w:sz w:val="16"/>
        </w:rPr>
        <w:t> </w:t>
      </w:r>
      <w:r>
        <w:rPr>
          <w:sz w:val="16"/>
        </w:rPr>
        <w:t>Press)</w:t>
      </w:r>
    </w:p>
    <w:p>
      <w:pPr>
        <w:spacing w:line="244" w:lineRule="auto" w:before="58"/>
        <w:ind w:left="333" w:right="5" w:hanging="227"/>
        <w:jc w:val="left"/>
        <w:rPr>
          <w:sz w:val="16"/>
        </w:rPr>
      </w:pPr>
      <w:r>
        <w:rPr>
          <w:rFonts w:ascii="Century Gothic" w:hAnsi="Century Gothic"/>
          <w:b/>
          <w:w w:val="95"/>
          <w:sz w:val="16"/>
        </w:rPr>
        <w:t>≥ </w:t>
      </w:r>
      <w:r>
        <w:rPr>
          <w:rFonts w:ascii="Century Gothic" w:hAnsi="Century Gothic"/>
          <w:i/>
          <w:w w:val="95"/>
          <w:sz w:val="16"/>
        </w:rPr>
        <w:t>Forestry and Water Conservation in South </w:t>
      </w:r>
      <w:r>
        <w:rPr>
          <w:rFonts w:ascii="Century Gothic" w:hAnsi="Century Gothic"/>
          <w:i/>
          <w:sz w:val="16"/>
        </w:rPr>
        <w:t>Africa </w:t>
      </w:r>
      <w:r>
        <w:rPr>
          <w:sz w:val="16"/>
        </w:rPr>
        <w:t>by Dr Brett Bennett and Mr Fred Kruger (ANU Press)</w:t>
      </w:r>
    </w:p>
    <w:p>
      <w:pPr>
        <w:spacing w:line="244" w:lineRule="auto" w:before="58"/>
        <w:ind w:left="333" w:right="-20" w:hanging="227"/>
        <w:jc w:val="left"/>
        <w:rPr>
          <w:sz w:val="16"/>
        </w:rPr>
      </w:pPr>
      <w:r>
        <w:rPr>
          <w:rFonts w:ascii="Century Gothic" w:hAnsi="Century Gothic"/>
          <w:b/>
          <w:w w:val="115"/>
          <w:sz w:val="16"/>
        </w:rPr>
        <w:t>≥ </w:t>
      </w:r>
      <w:r>
        <w:rPr>
          <w:rFonts w:ascii="Century Gothic" w:hAnsi="Century Gothic"/>
          <w:i/>
          <w:sz w:val="16"/>
        </w:rPr>
        <w:t>Minding Her Own Business: Colonial </w:t>
      </w:r>
      <w:r>
        <w:rPr>
          <w:rFonts w:ascii="Century Gothic" w:hAnsi="Century Gothic"/>
          <w:i/>
          <w:w w:val="95"/>
          <w:sz w:val="16"/>
        </w:rPr>
        <w:t>Businesswomen</w:t>
      </w:r>
      <w:r>
        <w:rPr>
          <w:rFonts w:ascii="Century Gothic" w:hAnsi="Century Gothic"/>
          <w:i/>
          <w:spacing w:val="-10"/>
          <w:w w:val="95"/>
          <w:sz w:val="16"/>
        </w:rPr>
        <w:t> </w:t>
      </w:r>
      <w:r>
        <w:rPr>
          <w:rFonts w:ascii="Century Gothic" w:hAnsi="Century Gothic"/>
          <w:i/>
          <w:w w:val="95"/>
          <w:sz w:val="16"/>
        </w:rPr>
        <w:t>in</w:t>
      </w:r>
      <w:r>
        <w:rPr>
          <w:rFonts w:ascii="Century Gothic" w:hAnsi="Century Gothic"/>
          <w:i/>
          <w:spacing w:val="-10"/>
          <w:w w:val="95"/>
          <w:sz w:val="16"/>
        </w:rPr>
        <w:t> </w:t>
      </w:r>
      <w:r>
        <w:rPr>
          <w:rFonts w:ascii="Century Gothic" w:hAnsi="Century Gothic"/>
          <w:i/>
          <w:w w:val="95"/>
          <w:sz w:val="16"/>
        </w:rPr>
        <w:t>Sydney</w:t>
      </w:r>
      <w:r>
        <w:rPr>
          <w:rFonts w:ascii="Century Gothic" w:hAnsi="Century Gothic"/>
          <w:i/>
          <w:spacing w:val="-10"/>
          <w:w w:val="95"/>
          <w:sz w:val="16"/>
        </w:rPr>
        <w:t> </w:t>
      </w:r>
      <w:r>
        <w:rPr>
          <w:w w:val="95"/>
          <w:sz w:val="16"/>
        </w:rPr>
        <w:t>by</w:t>
      </w:r>
      <w:r>
        <w:rPr>
          <w:spacing w:val="-14"/>
          <w:w w:val="95"/>
          <w:sz w:val="16"/>
        </w:rPr>
        <w:t> </w:t>
      </w:r>
      <w:r>
        <w:rPr>
          <w:w w:val="95"/>
          <w:sz w:val="16"/>
        </w:rPr>
        <w:t>Dr</w:t>
      </w:r>
      <w:r>
        <w:rPr>
          <w:spacing w:val="-14"/>
          <w:w w:val="95"/>
          <w:sz w:val="16"/>
        </w:rPr>
        <w:t> </w:t>
      </w:r>
      <w:r>
        <w:rPr>
          <w:w w:val="95"/>
          <w:sz w:val="16"/>
        </w:rPr>
        <w:t>Catherine </w:t>
      </w:r>
      <w:r>
        <w:rPr>
          <w:sz w:val="16"/>
        </w:rPr>
        <w:t>Bishop (NewSouth</w:t>
      </w:r>
      <w:r>
        <w:rPr>
          <w:spacing w:val="-19"/>
          <w:sz w:val="16"/>
        </w:rPr>
        <w:t> </w:t>
      </w:r>
      <w:r>
        <w:rPr>
          <w:sz w:val="16"/>
        </w:rPr>
        <w:t>Books)</w:t>
      </w:r>
    </w:p>
    <w:p>
      <w:pPr>
        <w:spacing w:line="244" w:lineRule="auto" w:before="58"/>
        <w:ind w:left="333" w:right="-20" w:hanging="227"/>
        <w:jc w:val="left"/>
        <w:rPr>
          <w:sz w:val="16"/>
        </w:rPr>
      </w:pPr>
      <w:r>
        <w:rPr>
          <w:rFonts w:ascii="Century Gothic" w:hAnsi="Century Gothic"/>
          <w:b/>
          <w:w w:val="115"/>
          <w:sz w:val="16"/>
        </w:rPr>
        <w:t>≥ </w:t>
      </w:r>
      <w:r>
        <w:rPr>
          <w:rFonts w:ascii="Century Gothic" w:hAnsi="Century Gothic"/>
          <w:i/>
          <w:sz w:val="16"/>
        </w:rPr>
        <w:t>Murder in Tottenham: Australia’s First </w:t>
      </w:r>
      <w:r>
        <w:rPr>
          <w:rFonts w:ascii="Century Gothic" w:hAnsi="Century Gothic"/>
          <w:i/>
          <w:w w:val="95"/>
          <w:sz w:val="16"/>
        </w:rPr>
        <w:t>Political Assassination </w:t>
      </w:r>
      <w:r>
        <w:rPr>
          <w:w w:val="95"/>
          <w:sz w:val="16"/>
        </w:rPr>
        <w:t>by Dr Rowan Day </w:t>
      </w:r>
      <w:r>
        <w:rPr>
          <w:sz w:val="16"/>
        </w:rPr>
        <w:t>(Anchor Books)</w:t>
      </w:r>
    </w:p>
    <w:p>
      <w:pPr>
        <w:spacing w:line="244" w:lineRule="auto" w:before="58"/>
        <w:ind w:left="333" w:right="5" w:hanging="227"/>
        <w:jc w:val="left"/>
        <w:rPr>
          <w:sz w:val="16"/>
        </w:rPr>
      </w:pPr>
      <w:r>
        <w:rPr>
          <w:rFonts w:ascii="Century Gothic" w:hAnsi="Century Gothic"/>
          <w:b/>
          <w:w w:val="115"/>
          <w:sz w:val="16"/>
        </w:rPr>
        <w:t>≥ </w:t>
      </w:r>
      <w:r>
        <w:rPr>
          <w:rFonts w:ascii="Century Gothic" w:hAnsi="Century Gothic"/>
          <w:i/>
          <w:sz w:val="16"/>
        </w:rPr>
        <w:t>Animal Property Rights: A </w:t>
      </w:r>
      <w:r>
        <w:rPr>
          <w:rFonts w:ascii="Century Gothic" w:hAnsi="Century Gothic"/>
          <w:i/>
          <w:spacing w:val="2"/>
          <w:sz w:val="16"/>
        </w:rPr>
        <w:t>Theory </w:t>
      </w:r>
      <w:r>
        <w:rPr>
          <w:rFonts w:ascii="Century Gothic" w:hAnsi="Century Gothic"/>
          <w:i/>
          <w:sz w:val="16"/>
        </w:rPr>
        <w:t>of </w:t>
      </w:r>
      <w:r>
        <w:rPr>
          <w:rFonts w:ascii="Century Gothic" w:hAnsi="Century Gothic"/>
          <w:i/>
          <w:sz w:val="16"/>
        </w:rPr>
        <w:t>Habitat</w:t>
      </w:r>
      <w:r>
        <w:rPr>
          <w:rFonts w:ascii="Century Gothic" w:hAnsi="Century Gothic"/>
          <w:i/>
          <w:spacing w:val="-30"/>
          <w:sz w:val="16"/>
        </w:rPr>
        <w:t> </w:t>
      </w:r>
      <w:r>
        <w:rPr>
          <w:rFonts w:ascii="Century Gothic" w:hAnsi="Century Gothic"/>
          <w:i/>
          <w:sz w:val="16"/>
        </w:rPr>
        <w:t>Rights</w:t>
      </w:r>
      <w:r>
        <w:rPr>
          <w:rFonts w:ascii="Century Gothic" w:hAnsi="Century Gothic"/>
          <w:i/>
          <w:spacing w:val="-30"/>
          <w:sz w:val="16"/>
        </w:rPr>
        <w:t> </w:t>
      </w:r>
      <w:r>
        <w:rPr>
          <w:rFonts w:ascii="Century Gothic" w:hAnsi="Century Gothic"/>
          <w:i/>
          <w:sz w:val="16"/>
        </w:rPr>
        <w:t>for</w:t>
      </w:r>
      <w:r>
        <w:rPr>
          <w:rFonts w:ascii="Century Gothic" w:hAnsi="Century Gothic"/>
          <w:i/>
          <w:spacing w:val="-30"/>
          <w:sz w:val="16"/>
        </w:rPr>
        <w:t> </w:t>
      </w:r>
      <w:r>
        <w:rPr>
          <w:rFonts w:ascii="Century Gothic" w:hAnsi="Century Gothic"/>
          <w:i/>
          <w:sz w:val="16"/>
        </w:rPr>
        <w:t>Wild</w:t>
      </w:r>
      <w:r>
        <w:rPr>
          <w:rFonts w:ascii="Century Gothic" w:hAnsi="Century Gothic"/>
          <w:i/>
          <w:spacing w:val="-30"/>
          <w:sz w:val="16"/>
        </w:rPr>
        <w:t> </w:t>
      </w:r>
      <w:r>
        <w:rPr>
          <w:rFonts w:ascii="Century Gothic" w:hAnsi="Century Gothic"/>
          <w:i/>
          <w:sz w:val="16"/>
        </w:rPr>
        <w:t>Animals</w:t>
      </w:r>
      <w:r>
        <w:rPr>
          <w:rFonts w:ascii="Century Gothic" w:hAnsi="Century Gothic"/>
          <w:i/>
          <w:spacing w:val="-30"/>
          <w:sz w:val="16"/>
        </w:rPr>
        <w:t> </w:t>
      </w:r>
      <w:r>
        <w:rPr>
          <w:sz w:val="16"/>
        </w:rPr>
        <w:t>by</w:t>
      </w:r>
      <w:r>
        <w:rPr>
          <w:spacing w:val="-35"/>
          <w:sz w:val="16"/>
        </w:rPr>
        <w:t> </w:t>
      </w:r>
      <w:r>
        <w:rPr>
          <w:sz w:val="16"/>
        </w:rPr>
        <w:t>Dr</w:t>
      </w:r>
      <w:r>
        <w:rPr>
          <w:spacing w:val="-35"/>
          <w:sz w:val="16"/>
        </w:rPr>
        <w:t> </w:t>
      </w:r>
      <w:r>
        <w:rPr>
          <w:sz w:val="16"/>
        </w:rPr>
        <w:t>John Hadley (Lexington</w:t>
      </w:r>
      <w:r>
        <w:rPr>
          <w:spacing w:val="-32"/>
          <w:sz w:val="16"/>
        </w:rPr>
        <w:t> </w:t>
      </w:r>
      <w:r>
        <w:rPr>
          <w:sz w:val="16"/>
        </w:rPr>
        <w:t>Books)</w:t>
      </w:r>
    </w:p>
    <w:p>
      <w:pPr>
        <w:spacing w:line="244" w:lineRule="auto" w:before="58"/>
        <w:ind w:left="333" w:right="185" w:hanging="227"/>
        <w:jc w:val="left"/>
        <w:rPr>
          <w:sz w:val="16"/>
        </w:rPr>
      </w:pPr>
      <w:r>
        <w:rPr>
          <w:rFonts w:ascii="Century Gothic" w:hAnsi="Century Gothic"/>
          <w:b/>
          <w:w w:val="115"/>
          <w:sz w:val="16"/>
        </w:rPr>
        <w:t>≥</w:t>
      </w:r>
      <w:r>
        <w:rPr>
          <w:rFonts w:ascii="Century Gothic" w:hAnsi="Century Gothic"/>
          <w:b/>
          <w:spacing w:val="4"/>
          <w:w w:val="115"/>
          <w:sz w:val="16"/>
        </w:rPr>
        <w:t> </w:t>
      </w:r>
      <w:r>
        <w:rPr>
          <w:rFonts w:ascii="Century Gothic" w:hAnsi="Century Gothic"/>
          <w:i/>
          <w:sz w:val="16"/>
        </w:rPr>
        <w:t>Biopolitical</w:t>
      </w:r>
      <w:r>
        <w:rPr>
          <w:rFonts w:ascii="Century Gothic" w:hAnsi="Century Gothic"/>
          <w:i/>
          <w:spacing w:val="-23"/>
          <w:sz w:val="16"/>
        </w:rPr>
        <w:t> </w:t>
      </w:r>
      <w:r>
        <w:rPr>
          <w:rFonts w:ascii="Century Gothic" w:hAnsi="Century Gothic"/>
          <w:i/>
          <w:sz w:val="16"/>
        </w:rPr>
        <w:t>Imperialism</w:t>
      </w:r>
      <w:r>
        <w:rPr>
          <w:rFonts w:ascii="Century Gothic" w:hAnsi="Century Gothic"/>
          <w:i/>
          <w:spacing w:val="-23"/>
          <w:sz w:val="16"/>
        </w:rPr>
        <w:t> </w:t>
      </w:r>
      <w:r>
        <w:rPr>
          <w:sz w:val="16"/>
        </w:rPr>
        <w:t>by</w:t>
      </w:r>
      <w:r>
        <w:rPr>
          <w:spacing w:val="-29"/>
          <w:sz w:val="16"/>
        </w:rPr>
        <w:t> </w:t>
      </w:r>
      <w:r>
        <w:rPr>
          <w:sz w:val="16"/>
        </w:rPr>
        <w:t>Dr</w:t>
      </w:r>
      <w:r>
        <w:rPr>
          <w:spacing w:val="-29"/>
          <w:sz w:val="16"/>
        </w:rPr>
        <w:t> </w:t>
      </w:r>
      <w:r>
        <w:rPr>
          <w:sz w:val="16"/>
        </w:rPr>
        <w:t>Mark</w:t>
      </w:r>
      <w:r>
        <w:rPr>
          <w:spacing w:val="-29"/>
          <w:sz w:val="16"/>
        </w:rPr>
        <w:t> </w:t>
      </w:r>
      <w:r>
        <w:rPr>
          <w:sz w:val="16"/>
        </w:rPr>
        <w:t>Kelly (Zero</w:t>
      </w:r>
      <w:r>
        <w:rPr>
          <w:spacing w:val="-16"/>
          <w:sz w:val="16"/>
        </w:rPr>
        <w:t> </w:t>
      </w:r>
      <w:r>
        <w:rPr>
          <w:sz w:val="16"/>
        </w:rPr>
        <w:t>Books)</w:t>
      </w:r>
    </w:p>
    <w:p>
      <w:pPr>
        <w:spacing w:line="244" w:lineRule="auto" w:before="58"/>
        <w:ind w:left="333" w:right="-20" w:hanging="227"/>
        <w:jc w:val="left"/>
        <w:rPr>
          <w:sz w:val="16"/>
        </w:rPr>
      </w:pPr>
      <w:r>
        <w:rPr>
          <w:rFonts w:ascii="Century Gothic" w:hAnsi="Century Gothic"/>
          <w:b/>
          <w:w w:val="115"/>
          <w:sz w:val="16"/>
        </w:rPr>
        <w:t>≥ </w:t>
      </w:r>
      <w:r>
        <w:rPr>
          <w:rFonts w:ascii="Century Gothic" w:hAnsi="Century Gothic"/>
          <w:i/>
          <w:sz w:val="16"/>
        </w:rPr>
        <w:t>Sexual Myths of Modernity: Sadism, </w:t>
      </w:r>
      <w:r>
        <w:rPr>
          <w:rFonts w:ascii="Century Gothic" w:hAnsi="Century Gothic"/>
          <w:i/>
          <w:w w:val="90"/>
          <w:sz w:val="16"/>
        </w:rPr>
        <w:t>Masochism, and Historical Teleology </w:t>
      </w:r>
      <w:r>
        <w:rPr>
          <w:w w:val="90"/>
          <w:sz w:val="16"/>
        </w:rPr>
        <w:t>by Dr </w:t>
      </w:r>
      <w:r>
        <w:rPr>
          <w:sz w:val="16"/>
        </w:rPr>
        <w:t>Alison M. Moore (Lexington Books)</w:t>
      </w:r>
    </w:p>
    <w:p>
      <w:pPr>
        <w:spacing w:line="244" w:lineRule="auto" w:before="58"/>
        <w:ind w:left="333" w:right="372" w:hanging="227"/>
        <w:jc w:val="left"/>
        <w:rPr>
          <w:sz w:val="16"/>
        </w:rPr>
      </w:pPr>
      <w:r>
        <w:rPr>
          <w:rFonts w:ascii="Century Gothic" w:hAnsi="Century Gothic"/>
          <w:b/>
          <w:w w:val="115"/>
          <w:sz w:val="16"/>
        </w:rPr>
        <w:t>≥ </w:t>
      </w:r>
      <w:r>
        <w:rPr>
          <w:rFonts w:ascii="Century Gothic" w:hAnsi="Century Gothic"/>
          <w:i/>
          <w:sz w:val="16"/>
        </w:rPr>
        <w:t>Wandrin’ Star: Wild Jack Peake of </w:t>
      </w:r>
      <w:r>
        <w:rPr>
          <w:rFonts w:ascii="Century Gothic" w:hAnsi="Century Gothic"/>
          <w:i/>
          <w:sz w:val="16"/>
        </w:rPr>
        <w:t>Peakhurst</w:t>
      </w:r>
      <w:r>
        <w:rPr>
          <w:rFonts w:ascii="Century Gothic" w:hAnsi="Century Gothic"/>
          <w:i/>
          <w:spacing w:val="-18"/>
          <w:sz w:val="16"/>
        </w:rPr>
        <w:t> </w:t>
      </w:r>
      <w:r>
        <w:rPr>
          <w:sz w:val="16"/>
        </w:rPr>
        <w:t>by</w:t>
      </w:r>
      <w:r>
        <w:rPr>
          <w:spacing w:val="-23"/>
          <w:sz w:val="16"/>
        </w:rPr>
        <w:t> </w:t>
      </w:r>
      <w:r>
        <w:rPr>
          <w:sz w:val="16"/>
        </w:rPr>
        <w:t>Dr</w:t>
      </w:r>
      <w:r>
        <w:rPr>
          <w:spacing w:val="-23"/>
          <w:sz w:val="16"/>
        </w:rPr>
        <w:t> </w:t>
      </w:r>
      <w:r>
        <w:rPr>
          <w:sz w:val="16"/>
        </w:rPr>
        <w:t>Wayne</w:t>
      </w:r>
      <w:r>
        <w:rPr>
          <w:spacing w:val="-23"/>
          <w:sz w:val="16"/>
        </w:rPr>
        <w:t> </w:t>
      </w:r>
      <w:r>
        <w:rPr>
          <w:sz w:val="16"/>
        </w:rPr>
        <w:t>Peake</w:t>
      </w:r>
      <w:r>
        <w:rPr>
          <w:spacing w:val="-23"/>
          <w:sz w:val="16"/>
        </w:rPr>
        <w:t> </w:t>
      </w:r>
      <w:r>
        <w:rPr>
          <w:sz w:val="16"/>
        </w:rPr>
        <w:t>(Ascot Press)</w:t>
      </w:r>
    </w:p>
    <w:p>
      <w:pPr>
        <w:spacing w:line="244" w:lineRule="auto" w:before="58"/>
        <w:ind w:left="333" w:right="55" w:hanging="227"/>
        <w:jc w:val="left"/>
        <w:rPr>
          <w:sz w:val="16"/>
        </w:rPr>
      </w:pPr>
      <w:r>
        <w:rPr>
          <w:rFonts w:ascii="Century Gothic" w:hAnsi="Century Gothic"/>
          <w:b/>
          <w:w w:val="115"/>
          <w:sz w:val="16"/>
        </w:rPr>
        <w:t>≥ </w:t>
      </w:r>
      <w:r>
        <w:rPr>
          <w:rFonts w:ascii="Century Gothic" w:hAnsi="Century Gothic"/>
          <w:i/>
          <w:sz w:val="16"/>
        </w:rPr>
        <w:t>Max Weber’s Theory of Modernity: The </w:t>
      </w:r>
      <w:r>
        <w:rPr>
          <w:rFonts w:ascii="Century Gothic" w:hAnsi="Century Gothic"/>
          <w:i/>
          <w:w w:val="95"/>
          <w:sz w:val="16"/>
        </w:rPr>
        <w:t>Endless Pursuit of Meaning </w:t>
      </w:r>
      <w:r>
        <w:rPr>
          <w:w w:val="95"/>
          <w:sz w:val="16"/>
        </w:rPr>
        <w:t>by Dr Michael </w:t>
      </w:r>
      <w:r>
        <w:rPr>
          <w:sz w:val="16"/>
        </w:rPr>
        <w:t>Symonds (Ashgate)</w:t>
      </w:r>
    </w:p>
    <w:p>
      <w:pPr>
        <w:pStyle w:val="BodyText"/>
        <w:spacing w:before="1"/>
        <w:rPr>
          <w:sz w:val="20"/>
        </w:rPr>
      </w:pPr>
      <w:r>
        <w:rPr/>
        <w:br w:type="column"/>
      </w:r>
      <w:r>
        <w:rPr>
          <w:sz w:val="20"/>
        </w:rPr>
      </w:r>
    </w:p>
    <w:p>
      <w:pPr>
        <w:spacing w:line="244" w:lineRule="auto" w:before="0"/>
        <w:ind w:left="333" w:right="296" w:hanging="227"/>
        <w:jc w:val="left"/>
        <w:rPr>
          <w:sz w:val="16"/>
        </w:rPr>
      </w:pPr>
      <w:r>
        <w:rPr>
          <w:rFonts w:ascii="Century Gothic" w:hAnsi="Century Gothic"/>
          <w:b/>
          <w:w w:val="95"/>
          <w:sz w:val="16"/>
        </w:rPr>
        <w:t>≥ </w:t>
      </w:r>
      <w:r>
        <w:rPr>
          <w:rFonts w:ascii="Century Gothic" w:hAnsi="Century Gothic"/>
          <w:i/>
          <w:w w:val="95"/>
          <w:sz w:val="16"/>
        </w:rPr>
        <w:t>Small Acts of Disappearance </w:t>
      </w:r>
      <w:r>
        <w:rPr>
          <w:w w:val="95"/>
          <w:sz w:val="16"/>
        </w:rPr>
        <w:t>by Fiona Wright (Giramondo).</w:t>
      </w:r>
    </w:p>
    <w:p>
      <w:pPr>
        <w:pStyle w:val="BodyText"/>
        <w:spacing w:before="11"/>
        <w:rPr>
          <w:sz w:val="22"/>
        </w:rPr>
      </w:pPr>
    </w:p>
    <w:p>
      <w:pPr>
        <w:pStyle w:val="Heading5"/>
        <w:ind w:left="114" w:right="296"/>
      </w:pPr>
      <w:bookmarkStart w:name="_TOC_250013" w:id="12"/>
      <w:bookmarkEnd w:id="12"/>
      <w:r>
        <w:rPr>
          <w:w w:val="95"/>
        </w:rPr>
        <w:t>SCHOOL OF LAW</w:t>
      </w:r>
    </w:p>
    <w:p>
      <w:pPr>
        <w:pStyle w:val="BodyText"/>
        <w:spacing w:line="249" w:lineRule="auto" w:before="209"/>
        <w:ind w:left="107" w:right="73"/>
      </w:pPr>
      <w:r>
        <w:rPr/>
        <w:t>Demand was strong for the School of Law’s </w:t>
      </w:r>
      <w:r>
        <w:rPr>
          <w:spacing w:val="1"/>
          <w:w w:val="99"/>
        </w:rPr>
        <w:t>combined</w:t>
      </w:r>
      <w:r>
        <w:rPr>
          <w:w w:val="99"/>
        </w:rPr>
        <w:t> </w:t>
      </w:r>
      <w:r>
        <w:rPr>
          <w:spacing w:val="1"/>
          <w:w w:val="97"/>
        </w:rPr>
        <w:t>degrees</w:t>
      </w:r>
      <w:r>
        <w:rPr>
          <w:w w:val="97"/>
        </w:rPr>
        <w:t> </w:t>
      </w:r>
      <w:r>
        <w:rPr>
          <w:w w:val="95"/>
        </w:rPr>
        <w:t>in </w:t>
      </w:r>
      <w:r>
        <w:rPr>
          <w:spacing w:val="1"/>
          <w:w w:val="84"/>
        </w:rPr>
        <w:t>2015,</w:t>
      </w:r>
      <w:r>
        <w:rPr>
          <w:w w:val="84"/>
        </w:rPr>
        <w:t> </w:t>
      </w:r>
      <w:r>
        <w:rPr>
          <w:spacing w:val="1"/>
          <w:w w:val="97"/>
        </w:rPr>
        <w:t>particularly</w:t>
      </w:r>
      <w:r>
        <w:rPr>
          <w:w w:val="97"/>
        </w:rPr>
        <w:t> </w:t>
      </w:r>
      <w:r>
        <w:rPr>
          <w:w w:val="97"/>
        </w:rPr>
        <w:t>the </w:t>
      </w:r>
      <w:r>
        <w:rPr/>
        <w:t>new Bachelor of Criminology and Bachelor of</w:t>
      </w:r>
      <w:r>
        <w:rPr>
          <w:spacing w:val="-16"/>
        </w:rPr>
        <w:t> </w:t>
      </w:r>
      <w:r>
        <w:rPr/>
        <w:t>Laws.</w:t>
      </w:r>
      <w:r>
        <w:rPr>
          <w:spacing w:val="-16"/>
        </w:rPr>
        <w:t> </w:t>
      </w:r>
      <w:r>
        <w:rPr/>
        <w:t>The</w:t>
      </w:r>
      <w:r>
        <w:rPr>
          <w:spacing w:val="-16"/>
        </w:rPr>
        <w:t> </w:t>
      </w:r>
      <w:r>
        <w:rPr/>
        <w:t>ongoing</w:t>
      </w:r>
      <w:r>
        <w:rPr>
          <w:spacing w:val="-16"/>
        </w:rPr>
        <w:t> </w:t>
      </w:r>
      <w:r>
        <w:rPr/>
        <w:t>development</w:t>
      </w:r>
      <w:r>
        <w:rPr>
          <w:spacing w:val="-16"/>
        </w:rPr>
        <w:t> </w:t>
      </w:r>
      <w:r>
        <w:rPr/>
        <w:t>in</w:t>
      </w:r>
      <w:r>
        <w:rPr>
          <w:spacing w:val="-16"/>
        </w:rPr>
        <w:t> </w:t>
      </w:r>
      <w:r>
        <w:rPr/>
        <w:t>online learning and the deepening of blended learning across the School have been excellent. The School has developed new </w:t>
      </w:r>
      <w:r>
        <w:rPr>
          <w:spacing w:val="1"/>
          <w:w w:val="97"/>
        </w:rPr>
        <w:t>courses</w:t>
      </w:r>
      <w:r>
        <w:rPr>
          <w:spacing w:val="-9"/>
          <w:w w:val="97"/>
        </w:rPr>
        <w:t> </w:t>
      </w:r>
      <w:r>
        <w:rPr>
          <w:spacing w:val="-1"/>
          <w:w w:val="101"/>
        </w:rPr>
        <w:t>to</w:t>
      </w:r>
      <w:r>
        <w:rPr>
          <w:spacing w:val="-11"/>
          <w:w w:val="101"/>
        </w:rPr>
        <w:t> </w:t>
      </w:r>
      <w:r>
        <w:rPr>
          <w:w w:val="97"/>
        </w:rPr>
        <w:t>offer</w:t>
      </w:r>
      <w:r>
        <w:rPr>
          <w:spacing w:val="-9"/>
          <w:w w:val="97"/>
        </w:rPr>
        <w:t> </w:t>
      </w:r>
      <w:r>
        <w:rPr>
          <w:w w:val="95"/>
        </w:rPr>
        <w:t>in</w:t>
      </w:r>
      <w:r>
        <w:rPr>
          <w:spacing w:val="-8"/>
          <w:w w:val="95"/>
        </w:rPr>
        <w:t> </w:t>
      </w:r>
      <w:r>
        <w:rPr>
          <w:spacing w:val="2"/>
          <w:w w:val="85"/>
        </w:rPr>
        <w:t>2016,</w:t>
      </w:r>
      <w:r>
        <w:rPr>
          <w:spacing w:val="-3"/>
          <w:w w:val="85"/>
        </w:rPr>
        <w:t> </w:t>
      </w:r>
      <w:r>
        <w:rPr>
          <w:spacing w:val="1"/>
          <w:w w:val="97"/>
        </w:rPr>
        <w:t>including</w:t>
      </w:r>
      <w:r>
        <w:rPr>
          <w:spacing w:val="-9"/>
          <w:w w:val="97"/>
        </w:rPr>
        <w:t> </w:t>
      </w:r>
      <w:r>
        <w:rPr>
          <w:w w:val="94"/>
        </w:rPr>
        <w:t>a</w:t>
      </w:r>
      <w:r>
        <w:rPr>
          <w:spacing w:val="-7"/>
          <w:w w:val="94"/>
        </w:rPr>
        <w:t> </w:t>
      </w:r>
      <w:r>
        <w:rPr>
          <w:spacing w:val="1"/>
          <w:w w:val="96"/>
        </w:rPr>
        <w:t>Master</w:t>
      </w:r>
      <w:r>
        <w:rPr>
          <w:spacing w:val="-8"/>
          <w:w w:val="96"/>
        </w:rPr>
        <w:t> </w:t>
      </w:r>
      <w:r>
        <w:rPr>
          <w:w w:val="99"/>
        </w:rPr>
        <w:t>of </w:t>
      </w:r>
      <w:r>
        <w:rPr/>
        <w:t>Laws</w:t>
      </w:r>
      <w:r>
        <w:rPr>
          <w:spacing w:val="-21"/>
        </w:rPr>
        <w:t> </w:t>
      </w:r>
      <w:r>
        <w:rPr/>
        <w:t>in</w:t>
      </w:r>
      <w:r>
        <w:rPr>
          <w:spacing w:val="-21"/>
        </w:rPr>
        <w:t> </w:t>
      </w:r>
      <w:r>
        <w:rPr/>
        <w:t>International</w:t>
      </w:r>
      <w:r>
        <w:rPr>
          <w:spacing w:val="-21"/>
        </w:rPr>
        <w:t> </w:t>
      </w:r>
      <w:r>
        <w:rPr/>
        <w:t>Governance,</w:t>
      </w:r>
      <w:r>
        <w:rPr>
          <w:spacing w:val="-21"/>
        </w:rPr>
        <w:t> </w:t>
      </w:r>
      <w:r>
        <w:rPr/>
        <w:t>as</w:t>
      </w:r>
      <w:r>
        <w:rPr>
          <w:spacing w:val="-21"/>
        </w:rPr>
        <w:t> </w:t>
      </w:r>
      <w:r>
        <w:rPr/>
        <w:t>well</w:t>
      </w:r>
      <w:r>
        <w:rPr>
          <w:spacing w:val="-21"/>
        </w:rPr>
        <w:t> </w:t>
      </w:r>
      <w:r>
        <w:rPr/>
        <w:t>as more</w:t>
      </w:r>
      <w:r>
        <w:rPr>
          <w:spacing w:val="-18"/>
        </w:rPr>
        <w:t> </w:t>
      </w:r>
      <w:r>
        <w:rPr/>
        <w:t>combined</w:t>
      </w:r>
      <w:r>
        <w:rPr>
          <w:spacing w:val="-18"/>
        </w:rPr>
        <w:t> </w:t>
      </w:r>
      <w:r>
        <w:rPr/>
        <w:t>law</w:t>
      </w:r>
      <w:r>
        <w:rPr>
          <w:spacing w:val="-18"/>
        </w:rPr>
        <w:t> </w:t>
      </w:r>
      <w:r>
        <w:rPr/>
        <w:t>degrees</w:t>
      </w:r>
      <w:r>
        <w:rPr>
          <w:spacing w:val="-18"/>
        </w:rPr>
        <w:t> </w:t>
      </w:r>
      <w:r>
        <w:rPr/>
        <w:t>in</w:t>
      </w:r>
      <w:r>
        <w:rPr>
          <w:spacing w:val="-18"/>
        </w:rPr>
        <w:t> </w:t>
      </w:r>
      <w:r>
        <w:rPr/>
        <w:t>International Studies,</w:t>
      </w:r>
      <w:r>
        <w:rPr>
          <w:spacing w:val="-21"/>
        </w:rPr>
        <w:t> </w:t>
      </w:r>
      <w:r>
        <w:rPr/>
        <w:t>Construction</w:t>
      </w:r>
      <w:r>
        <w:rPr>
          <w:spacing w:val="-21"/>
        </w:rPr>
        <w:t> </w:t>
      </w:r>
      <w:r>
        <w:rPr/>
        <w:t>Management</w:t>
      </w:r>
      <w:r>
        <w:rPr>
          <w:spacing w:val="-21"/>
        </w:rPr>
        <w:t> </w:t>
      </w:r>
      <w:r>
        <w:rPr/>
        <w:t>and</w:t>
      </w:r>
      <w:r>
        <w:rPr>
          <w:spacing w:val="-21"/>
        </w:rPr>
        <w:t> </w:t>
      </w:r>
      <w:r>
        <w:rPr/>
        <w:t>ICT. In</w:t>
      </w:r>
      <w:r>
        <w:rPr>
          <w:spacing w:val="-16"/>
        </w:rPr>
        <w:t> </w:t>
      </w:r>
      <w:r>
        <w:rPr/>
        <w:t>addition,</w:t>
      </w:r>
      <w:r>
        <w:rPr>
          <w:spacing w:val="-16"/>
        </w:rPr>
        <w:t> </w:t>
      </w:r>
      <w:r>
        <w:rPr/>
        <w:t>the</w:t>
      </w:r>
      <w:r>
        <w:rPr>
          <w:spacing w:val="-16"/>
        </w:rPr>
        <w:t> </w:t>
      </w:r>
      <w:r>
        <w:rPr/>
        <w:t>School</w:t>
      </w:r>
      <w:r>
        <w:rPr>
          <w:spacing w:val="-16"/>
        </w:rPr>
        <w:t> </w:t>
      </w:r>
      <w:r>
        <w:rPr/>
        <w:t>provided</w:t>
      </w:r>
      <w:r>
        <w:rPr>
          <w:spacing w:val="-16"/>
        </w:rPr>
        <w:t> </w:t>
      </w:r>
      <w:r>
        <w:rPr/>
        <w:t>input</w:t>
      </w:r>
      <w:r>
        <w:rPr>
          <w:spacing w:val="-16"/>
        </w:rPr>
        <w:t> </w:t>
      </w:r>
      <w:r>
        <w:rPr/>
        <w:t>for</w:t>
      </w:r>
      <w:r>
        <w:rPr>
          <w:spacing w:val="-16"/>
        </w:rPr>
        <w:t> </w:t>
      </w:r>
      <w:r>
        <w:rPr/>
        <w:t>the uniquely developed Bachelor of Business </w:t>
      </w:r>
      <w:r>
        <w:rPr>
          <w:w w:val="98"/>
        </w:rPr>
        <w:t>(BBus) </w:t>
      </w:r>
      <w:r>
        <w:rPr>
          <w:spacing w:val="-1"/>
          <w:w w:val="97"/>
        </w:rPr>
        <w:t>(offered</w:t>
      </w:r>
      <w:r>
        <w:rPr>
          <w:w w:val="97"/>
        </w:rPr>
        <w:t> </w:t>
      </w:r>
      <w:r>
        <w:rPr>
          <w:w w:val="95"/>
        </w:rPr>
        <w:t>in </w:t>
      </w:r>
      <w:r>
        <w:rPr>
          <w:spacing w:val="1"/>
          <w:w w:val="91"/>
        </w:rPr>
        <w:t>2016)</w:t>
      </w:r>
      <w:r>
        <w:rPr>
          <w:w w:val="91"/>
        </w:rPr>
        <w:t> </w:t>
      </w:r>
      <w:r>
        <w:rPr>
          <w:spacing w:val="1"/>
          <w:w w:val="99"/>
        </w:rPr>
        <w:t>introductory</w:t>
      </w:r>
      <w:r>
        <w:rPr>
          <w:w w:val="99"/>
        </w:rPr>
        <w:t> </w:t>
      </w:r>
      <w:r>
        <w:rPr>
          <w:w w:val="97"/>
        </w:rPr>
        <w:t>law </w:t>
      </w:r>
      <w:r>
        <w:rPr/>
        <w:t>unit, called Enterprise Law. It also updated the compulsory law units for company law and taxation law in the new Bachelor of Accounting</w:t>
      </w:r>
      <w:r>
        <w:rPr>
          <w:spacing w:val="-14"/>
        </w:rPr>
        <w:t> </w:t>
      </w:r>
      <w:r>
        <w:rPr/>
        <w:t>and</w:t>
      </w:r>
      <w:r>
        <w:rPr>
          <w:spacing w:val="-14"/>
        </w:rPr>
        <w:t> </w:t>
      </w:r>
      <w:r>
        <w:rPr/>
        <w:t>provided</w:t>
      </w:r>
      <w:r>
        <w:rPr>
          <w:spacing w:val="-14"/>
        </w:rPr>
        <w:t> </w:t>
      </w:r>
      <w:r>
        <w:rPr/>
        <w:t>a</w:t>
      </w:r>
      <w:r>
        <w:rPr>
          <w:spacing w:val="-14"/>
        </w:rPr>
        <w:t> </w:t>
      </w:r>
      <w:r>
        <w:rPr/>
        <w:t>new</w:t>
      </w:r>
      <w:r>
        <w:rPr>
          <w:spacing w:val="-14"/>
        </w:rPr>
        <w:t> </w:t>
      </w:r>
      <w:r>
        <w:rPr/>
        <w:t>major</w:t>
      </w:r>
      <w:r>
        <w:rPr>
          <w:spacing w:val="-14"/>
        </w:rPr>
        <w:t> </w:t>
      </w:r>
      <w:r>
        <w:rPr/>
        <w:t>in</w:t>
      </w:r>
      <w:r>
        <w:rPr>
          <w:spacing w:val="-14"/>
        </w:rPr>
        <w:t> </w:t>
      </w:r>
      <w:r>
        <w:rPr/>
        <w:t>the </w:t>
      </w:r>
      <w:r>
        <w:rPr>
          <w:spacing w:val="2"/>
        </w:rPr>
        <w:t>BBus, </w:t>
      </w:r>
      <w:r>
        <w:rPr/>
        <w:t>which focuses on business regulation and</w:t>
      </w:r>
      <w:r>
        <w:rPr>
          <w:spacing w:val="-22"/>
        </w:rPr>
        <w:t> </w:t>
      </w:r>
      <w:r>
        <w:rPr/>
        <w:t>corporate</w:t>
      </w:r>
      <w:r>
        <w:rPr>
          <w:spacing w:val="-22"/>
        </w:rPr>
        <w:t> </w:t>
      </w:r>
      <w:r>
        <w:rPr/>
        <w:t>governance.</w:t>
      </w:r>
    </w:p>
    <w:p>
      <w:pPr>
        <w:pStyle w:val="BodyText"/>
        <w:rPr>
          <w:sz w:val="14"/>
        </w:rPr>
      </w:pPr>
    </w:p>
    <w:p>
      <w:pPr>
        <w:pStyle w:val="BodyText"/>
        <w:spacing w:line="249" w:lineRule="auto"/>
        <w:ind w:left="107" w:right="197"/>
      </w:pPr>
      <w:r>
        <w:rPr/>
        <w:t>The School has a close relationship with the</w:t>
      </w:r>
      <w:r>
        <w:rPr>
          <w:spacing w:val="-14"/>
        </w:rPr>
        <w:t> </w:t>
      </w:r>
      <w:r>
        <w:rPr/>
        <w:t>Law</w:t>
      </w:r>
      <w:r>
        <w:rPr>
          <w:spacing w:val="-14"/>
        </w:rPr>
        <w:t> </w:t>
      </w:r>
      <w:r>
        <w:rPr/>
        <w:t>Students’</w:t>
      </w:r>
      <w:r>
        <w:rPr>
          <w:spacing w:val="-14"/>
        </w:rPr>
        <w:t> </w:t>
      </w:r>
      <w:r>
        <w:rPr/>
        <w:t>Association</w:t>
      </w:r>
      <w:r>
        <w:rPr>
          <w:spacing w:val="-14"/>
        </w:rPr>
        <w:t> </w:t>
      </w:r>
      <w:r>
        <w:rPr/>
        <w:t>and</w:t>
      </w:r>
      <w:r>
        <w:rPr>
          <w:spacing w:val="-14"/>
        </w:rPr>
        <w:t> </w:t>
      </w:r>
      <w:r>
        <w:rPr/>
        <w:t>ran</w:t>
      </w:r>
      <w:r>
        <w:rPr>
          <w:spacing w:val="-14"/>
        </w:rPr>
        <w:t> </w:t>
      </w:r>
      <w:r>
        <w:rPr/>
        <w:t>joint</w:t>
      </w:r>
    </w:p>
    <w:p>
      <w:pPr>
        <w:pStyle w:val="BodyText"/>
        <w:spacing w:line="249" w:lineRule="auto"/>
        <w:ind w:left="107" w:right="-3"/>
      </w:pPr>
      <w:r>
        <w:rPr/>
        <w:t>events, including the Law Orientation Camp, mooting competitions and </w:t>
      </w:r>
      <w:r>
        <w:rPr>
          <w:spacing w:val="2"/>
        </w:rPr>
        <w:t>on-campus </w:t>
      </w:r>
      <w:r>
        <w:rPr/>
        <w:t>‘wellness</w:t>
      </w:r>
      <w:r>
        <w:rPr>
          <w:spacing w:val="-21"/>
        </w:rPr>
        <w:t> </w:t>
      </w:r>
      <w:r>
        <w:rPr/>
        <w:t>programs’.</w:t>
      </w:r>
      <w:r>
        <w:rPr>
          <w:spacing w:val="-21"/>
        </w:rPr>
        <w:t> </w:t>
      </w:r>
      <w:r>
        <w:rPr/>
        <w:t>The</w:t>
      </w:r>
      <w:r>
        <w:rPr>
          <w:spacing w:val="-21"/>
        </w:rPr>
        <w:t> </w:t>
      </w:r>
      <w:r>
        <w:rPr/>
        <w:t>highlights</w:t>
      </w:r>
      <w:r>
        <w:rPr>
          <w:spacing w:val="-21"/>
        </w:rPr>
        <w:t> </w:t>
      </w:r>
      <w:r>
        <w:rPr/>
        <w:t>of</w:t>
      </w:r>
      <w:r>
        <w:rPr>
          <w:spacing w:val="-21"/>
        </w:rPr>
        <w:t> </w:t>
      </w:r>
      <w:r>
        <w:rPr/>
        <w:t>the</w:t>
      </w:r>
      <w:r>
        <w:rPr>
          <w:spacing w:val="-21"/>
        </w:rPr>
        <w:t> </w:t>
      </w:r>
      <w:r>
        <w:rPr/>
        <w:t>year were the Law Ball in October and the three graduation ceremonies in April, September and December. The video about successful alumnus Mr Deng Adut was </w:t>
      </w:r>
      <w:r>
        <w:rPr>
          <w:spacing w:val="2"/>
        </w:rPr>
        <w:t>part </w:t>
      </w:r>
      <w:r>
        <w:rPr/>
        <w:t>of the University’s rebranding campaign, and has heightened awareness of the law school and the power of a refugee lawyer. Mr Adut was the</w:t>
      </w:r>
      <w:r>
        <w:rPr>
          <w:spacing w:val="-17"/>
        </w:rPr>
        <w:t> </w:t>
      </w:r>
      <w:r>
        <w:rPr/>
        <w:t>guest</w:t>
      </w:r>
      <w:r>
        <w:rPr>
          <w:spacing w:val="-17"/>
        </w:rPr>
        <w:t> </w:t>
      </w:r>
      <w:r>
        <w:rPr/>
        <w:t>speaker</w:t>
      </w:r>
      <w:r>
        <w:rPr>
          <w:spacing w:val="-17"/>
        </w:rPr>
        <w:t> </w:t>
      </w:r>
      <w:r>
        <w:rPr/>
        <w:t>at</w:t>
      </w:r>
      <w:r>
        <w:rPr>
          <w:spacing w:val="-17"/>
        </w:rPr>
        <w:t> </w:t>
      </w:r>
      <w:r>
        <w:rPr/>
        <w:t>the</w:t>
      </w:r>
      <w:r>
        <w:rPr>
          <w:spacing w:val="-17"/>
        </w:rPr>
        <w:t> </w:t>
      </w:r>
      <w:r>
        <w:rPr/>
        <w:t>Law</w:t>
      </w:r>
      <w:r>
        <w:rPr>
          <w:spacing w:val="-17"/>
        </w:rPr>
        <w:t> </w:t>
      </w:r>
      <w:r>
        <w:rPr/>
        <w:t>Students</w:t>
      </w:r>
      <w:r>
        <w:rPr>
          <w:spacing w:val="-17"/>
        </w:rPr>
        <w:t> </w:t>
      </w:r>
      <w:r>
        <w:rPr/>
        <w:t>Ball.</w:t>
      </w:r>
    </w:p>
    <w:p>
      <w:pPr>
        <w:pStyle w:val="BodyText"/>
        <w:rPr>
          <w:sz w:val="14"/>
        </w:rPr>
      </w:pPr>
    </w:p>
    <w:p>
      <w:pPr>
        <w:pStyle w:val="BodyText"/>
        <w:spacing w:line="249" w:lineRule="auto"/>
        <w:ind w:left="107" w:right="30"/>
      </w:pPr>
      <w:r>
        <w:rPr/>
        <w:t>Research has been a central theme for the School as its three clusters (International Governance, Environmental &amp; Sustainability and Social Justice) link to the University’s broad</w:t>
      </w:r>
      <w:r>
        <w:rPr>
          <w:spacing w:val="-18"/>
        </w:rPr>
        <w:t> </w:t>
      </w:r>
      <w:r>
        <w:rPr/>
        <w:t>research</w:t>
      </w:r>
      <w:r>
        <w:rPr>
          <w:spacing w:val="-18"/>
        </w:rPr>
        <w:t> </w:t>
      </w:r>
      <w:r>
        <w:rPr/>
        <w:t>themes.</w:t>
      </w:r>
      <w:r>
        <w:rPr>
          <w:spacing w:val="-18"/>
        </w:rPr>
        <w:t> </w:t>
      </w:r>
      <w:r>
        <w:rPr/>
        <w:t>The</w:t>
      </w:r>
      <w:r>
        <w:rPr>
          <w:spacing w:val="-18"/>
        </w:rPr>
        <w:t> </w:t>
      </w:r>
      <w:r>
        <w:rPr/>
        <w:t>School</w:t>
      </w:r>
      <w:r>
        <w:rPr>
          <w:spacing w:val="-18"/>
        </w:rPr>
        <w:t> </w:t>
      </w:r>
      <w:r>
        <w:rPr/>
        <w:t>published a number of </w:t>
      </w:r>
      <w:r>
        <w:rPr>
          <w:spacing w:val="2"/>
        </w:rPr>
        <w:t>books, </w:t>
      </w:r>
      <w:r>
        <w:rPr/>
        <w:t>chapters and journal </w:t>
      </w:r>
      <w:r>
        <w:rPr>
          <w:spacing w:val="1"/>
          <w:w w:val="97"/>
        </w:rPr>
        <w:t>articles</w:t>
      </w:r>
      <w:r>
        <w:rPr>
          <w:spacing w:val="-9"/>
          <w:w w:val="97"/>
        </w:rPr>
        <w:t> </w:t>
      </w:r>
      <w:r>
        <w:rPr>
          <w:w w:val="95"/>
        </w:rPr>
        <w:t>in</w:t>
      </w:r>
      <w:r>
        <w:rPr>
          <w:spacing w:val="-8"/>
          <w:w w:val="95"/>
        </w:rPr>
        <w:t> </w:t>
      </w:r>
      <w:r>
        <w:rPr>
          <w:spacing w:val="1"/>
          <w:w w:val="88"/>
        </w:rPr>
        <w:t>2015</w:t>
      </w:r>
      <w:r>
        <w:rPr>
          <w:spacing w:val="-5"/>
          <w:w w:val="88"/>
        </w:rPr>
        <w:t> </w:t>
      </w:r>
      <w:r>
        <w:rPr>
          <w:spacing w:val="1"/>
          <w:w w:val="97"/>
        </w:rPr>
        <w:t>and</w:t>
      </w:r>
      <w:r>
        <w:rPr>
          <w:spacing w:val="-9"/>
          <w:w w:val="97"/>
        </w:rPr>
        <w:t> </w:t>
      </w:r>
      <w:r>
        <w:rPr>
          <w:spacing w:val="1"/>
          <w:w w:val="99"/>
        </w:rPr>
        <w:t>lodged</w:t>
      </w:r>
      <w:r>
        <w:rPr>
          <w:spacing w:val="-10"/>
          <w:w w:val="99"/>
        </w:rPr>
        <w:t> </w:t>
      </w:r>
      <w:r>
        <w:rPr>
          <w:w w:val="94"/>
        </w:rPr>
        <w:t>a</w:t>
      </w:r>
      <w:r>
        <w:rPr>
          <w:spacing w:val="-8"/>
          <w:w w:val="94"/>
        </w:rPr>
        <w:t> </w:t>
      </w:r>
      <w:r>
        <w:rPr>
          <w:spacing w:val="1"/>
          <w:w w:val="97"/>
        </w:rPr>
        <w:t>number</w:t>
      </w:r>
      <w:r>
        <w:rPr>
          <w:spacing w:val="-9"/>
          <w:w w:val="97"/>
        </w:rPr>
        <w:t> </w:t>
      </w:r>
      <w:r>
        <w:rPr>
          <w:w w:val="99"/>
        </w:rPr>
        <w:t>of</w:t>
      </w:r>
      <w:r>
        <w:rPr>
          <w:spacing w:val="-10"/>
          <w:w w:val="99"/>
        </w:rPr>
        <w:t> </w:t>
      </w:r>
      <w:r>
        <w:rPr>
          <w:spacing w:val="1"/>
          <w:w w:val="98"/>
        </w:rPr>
        <w:t>grant</w:t>
      </w:r>
      <w:r>
        <w:rPr>
          <w:w w:val="98"/>
        </w:rPr>
        <w:t> </w:t>
      </w:r>
      <w:r>
        <w:rPr/>
        <w:t>applications.</w:t>
      </w:r>
    </w:p>
    <w:p>
      <w:pPr>
        <w:pStyle w:val="BodyText"/>
        <w:rPr>
          <w:sz w:val="14"/>
        </w:rPr>
      </w:pPr>
    </w:p>
    <w:p>
      <w:pPr>
        <w:pStyle w:val="BodyText"/>
        <w:spacing w:line="249" w:lineRule="auto"/>
        <w:ind w:left="107" w:right="-3"/>
      </w:pPr>
      <w:r>
        <w:rPr/>
        <w:t>Six HDR students graduated with doctorates in law. The School also appointed six new academics, including Associate Professor Dr Alpana Roy and several lecturers, providing greater depth in the research clusters.</w:t>
      </w:r>
    </w:p>
    <w:p>
      <w:pPr>
        <w:pStyle w:val="BodyText"/>
        <w:spacing w:before="2"/>
        <w:rPr>
          <w:sz w:val="20"/>
        </w:rPr>
      </w:pPr>
      <w:r>
        <w:rPr/>
        <w:br w:type="column"/>
      </w:r>
      <w:r>
        <w:rPr>
          <w:sz w:val="20"/>
        </w:rPr>
      </w:r>
    </w:p>
    <w:p>
      <w:pPr>
        <w:pStyle w:val="BodyText"/>
        <w:spacing w:line="249" w:lineRule="auto"/>
        <w:ind w:left="107" w:right="34"/>
      </w:pPr>
      <w:r>
        <w:rPr/>
        <w:t>Dr Roy is the senior law academic on the Campbelltown </w:t>
      </w:r>
      <w:r>
        <w:rPr>
          <w:spacing w:val="2"/>
        </w:rPr>
        <w:t>campus, </w:t>
      </w:r>
      <w:r>
        <w:rPr/>
        <w:t>where she has developed</w:t>
      </w:r>
      <w:r>
        <w:rPr>
          <w:spacing w:val="-20"/>
        </w:rPr>
        <w:t> </w:t>
      </w:r>
      <w:r>
        <w:rPr/>
        <w:t>a</w:t>
      </w:r>
      <w:r>
        <w:rPr>
          <w:spacing w:val="-20"/>
        </w:rPr>
        <w:t> </w:t>
      </w:r>
      <w:r>
        <w:rPr/>
        <w:t>seminar</w:t>
      </w:r>
      <w:r>
        <w:rPr>
          <w:spacing w:val="-20"/>
        </w:rPr>
        <w:t> </w:t>
      </w:r>
      <w:r>
        <w:rPr/>
        <w:t>series</w:t>
      </w:r>
      <w:r>
        <w:rPr>
          <w:spacing w:val="-20"/>
        </w:rPr>
        <w:t> </w:t>
      </w:r>
      <w:r>
        <w:rPr/>
        <w:t>and</w:t>
      </w:r>
      <w:r>
        <w:rPr>
          <w:spacing w:val="-20"/>
        </w:rPr>
        <w:t> </w:t>
      </w:r>
      <w:r>
        <w:rPr/>
        <w:t>research</w:t>
      </w:r>
      <w:r>
        <w:rPr>
          <w:spacing w:val="-20"/>
        </w:rPr>
        <w:t> </w:t>
      </w:r>
      <w:r>
        <w:rPr/>
        <w:t>lunch bag activities, bringing research colleagues closer</w:t>
      </w:r>
      <w:r>
        <w:rPr>
          <w:spacing w:val="-23"/>
        </w:rPr>
        <w:t> </w:t>
      </w:r>
      <w:r>
        <w:rPr/>
        <w:t>together.</w:t>
      </w:r>
      <w:r>
        <w:rPr>
          <w:spacing w:val="-23"/>
        </w:rPr>
        <w:t> </w:t>
      </w:r>
      <w:r>
        <w:rPr/>
        <w:t>Dr</w:t>
      </w:r>
      <w:r>
        <w:rPr>
          <w:spacing w:val="-23"/>
        </w:rPr>
        <w:t> </w:t>
      </w:r>
      <w:r>
        <w:rPr/>
        <w:t>Catherine</w:t>
      </w:r>
      <w:r>
        <w:rPr>
          <w:spacing w:val="-23"/>
        </w:rPr>
        <w:t> </w:t>
      </w:r>
      <w:r>
        <w:rPr/>
        <w:t>Renshaw</w:t>
      </w:r>
      <w:r>
        <w:rPr>
          <w:spacing w:val="-23"/>
        </w:rPr>
        <w:t> </w:t>
      </w:r>
      <w:r>
        <w:rPr/>
        <w:t>ran</w:t>
      </w:r>
    </w:p>
    <w:p>
      <w:pPr>
        <w:pStyle w:val="BodyText"/>
        <w:spacing w:line="249" w:lineRule="auto"/>
        <w:ind w:left="107" w:right="213"/>
      </w:pPr>
      <w:r>
        <w:rPr/>
        <w:t>a particularly successful research project on human rights in Myanmar.</w:t>
      </w:r>
    </w:p>
    <w:p>
      <w:pPr>
        <w:pStyle w:val="BodyText"/>
        <w:rPr>
          <w:sz w:val="14"/>
        </w:rPr>
      </w:pPr>
    </w:p>
    <w:p>
      <w:pPr>
        <w:pStyle w:val="BodyText"/>
        <w:spacing w:line="249" w:lineRule="auto"/>
        <w:ind w:left="107" w:right="323"/>
      </w:pPr>
      <w:r>
        <w:rPr/>
        <w:t>Community engagement has always </w:t>
      </w:r>
      <w:r>
        <w:rPr>
          <w:spacing w:val="2"/>
        </w:rPr>
        <w:t>been </w:t>
      </w:r>
      <w:r>
        <w:rPr/>
        <w:t>a</w:t>
      </w:r>
      <w:r>
        <w:rPr>
          <w:spacing w:val="-19"/>
        </w:rPr>
        <w:t> </w:t>
      </w:r>
      <w:r>
        <w:rPr/>
        <w:t>key</w:t>
      </w:r>
      <w:r>
        <w:rPr>
          <w:spacing w:val="-19"/>
        </w:rPr>
        <w:t> </w:t>
      </w:r>
      <w:r>
        <w:rPr>
          <w:spacing w:val="2"/>
        </w:rPr>
        <w:t>aspect</w:t>
      </w:r>
      <w:r>
        <w:rPr>
          <w:spacing w:val="-19"/>
        </w:rPr>
        <w:t> </w:t>
      </w:r>
      <w:r>
        <w:rPr/>
        <w:t>of</w:t>
      </w:r>
      <w:r>
        <w:rPr>
          <w:spacing w:val="-19"/>
        </w:rPr>
        <w:t> </w:t>
      </w:r>
      <w:r>
        <w:rPr/>
        <w:t>the</w:t>
      </w:r>
      <w:r>
        <w:rPr>
          <w:spacing w:val="-19"/>
        </w:rPr>
        <w:t> </w:t>
      </w:r>
      <w:r>
        <w:rPr/>
        <w:t>School.</w:t>
      </w:r>
      <w:r>
        <w:rPr>
          <w:spacing w:val="-19"/>
        </w:rPr>
        <w:t> </w:t>
      </w:r>
      <w:r>
        <w:rPr/>
        <w:t>The</w:t>
      </w:r>
      <w:r>
        <w:rPr>
          <w:spacing w:val="-19"/>
        </w:rPr>
        <w:t> </w:t>
      </w:r>
      <w:r>
        <w:rPr/>
        <w:t>University’s</w:t>
      </w:r>
    </w:p>
    <w:p>
      <w:pPr>
        <w:pStyle w:val="BodyText"/>
        <w:spacing w:line="249" w:lineRule="auto"/>
        <w:ind w:left="107" w:right="40"/>
      </w:pPr>
      <w:r>
        <w:rPr/>
        <w:t>Parramatta Community Justice Clinic (PCJC) plays a crucial role, providing free legal advice to the community, as well as giving law students great practical experience. The PCJC is a partnership with the Macquarie Legal Centre, and it is hoped the partnership will</w:t>
      </w:r>
    </w:p>
    <w:p>
      <w:pPr>
        <w:pStyle w:val="BodyText"/>
        <w:spacing w:line="249" w:lineRule="auto"/>
        <w:ind w:left="107" w:right="195"/>
      </w:pPr>
      <w:r>
        <w:rPr/>
        <w:t>be expanded to include the Macarthur Legal </w:t>
      </w:r>
      <w:r>
        <w:rPr>
          <w:w w:val="97"/>
        </w:rPr>
        <w:t>Centre </w:t>
      </w:r>
      <w:r>
        <w:rPr>
          <w:w w:val="98"/>
        </w:rPr>
        <w:t>at </w:t>
      </w:r>
      <w:r>
        <w:rPr>
          <w:w w:val="98"/>
        </w:rPr>
        <w:t>Campbelltown </w:t>
      </w:r>
      <w:r>
        <w:rPr>
          <w:w w:val="95"/>
        </w:rPr>
        <w:t>in </w:t>
      </w:r>
      <w:r>
        <w:rPr>
          <w:w w:val="85"/>
        </w:rPr>
        <w:t>2016.</w:t>
      </w:r>
    </w:p>
    <w:p>
      <w:pPr>
        <w:pStyle w:val="BodyText"/>
        <w:rPr>
          <w:sz w:val="14"/>
        </w:rPr>
      </w:pPr>
    </w:p>
    <w:p>
      <w:pPr>
        <w:pStyle w:val="BodyText"/>
        <w:spacing w:line="249" w:lineRule="auto"/>
        <w:ind w:left="107" w:right="121"/>
      </w:pPr>
      <w:r>
        <w:rPr/>
        <w:t>The Kirby Cup (named after the Adjunct Professor and former High Court Judge, the Hon. Michael Kirby, AC) mooting competition for HSC Legal Studies students was launched </w:t>
      </w:r>
      <w:r>
        <w:rPr>
          <w:w w:val="95"/>
        </w:rPr>
        <w:t>in </w:t>
      </w:r>
      <w:r>
        <w:rPr>
          <w:w w:val="84"/>
        </w:rPr>
        <w:t>2015. </w:t>
      </w:r>
      <w:r>
        <w:rPr>
          <w:w w:val="94"/>
        </w:rPr>
        <w:t>This </w:t>
      </w:r>
      <w:r>
        <w:rPr>
          <w:w w:val="97"/>
        </w:rPr>
        <w:t>builds </w:t>
      </w:r>
      <w:r>
        <w:rPr>
          <w:w w:val="98"/>
        </w:rPr>
        <w:t>on </w:t>
      </w:r>
      <w:r>
        <w:rPr>
          <w:w w:val="97"/>
        </w:rPr>
        <w:t>the </w:t>
      </w:r>
      <w:r>
        <w:rPr>
          <w:w w:val="96"/>
        </w:rPr>
        <w:t>last </w:t>
      </w:r>
      <w:r>
        <w:rPr>
          <w:w w:val="97"/>
        </w:rPr>
        <w:t>five </w:t>
      </w:r>
      <w:r>
        <w:rPr>
          <w:w w:val="96"/>
        </w:rPr>
        <w:t>years</w:t>
      </w:r>
    </w:p>
    <w:p>
      <w:pPr>
        <w:pStyle w:val="BodyText"/>
        <w:spacing w:line="249" w:lineRule="auto"/>
        <w:ind w:left="107" w:right="508"/>
      </w:pPr>
      <w:r>
        <w:rPr/>
        <w:t>of sponsoring the Whitlam Cup for Year </w:t>
      </w:r>
      <w:r>
        <w:rPr>
          <w:w w:val="82"/>
        </w:rPr>
        <w:t>10 </w:t>
      </w:r>
      <w:r>
        <w:rPr>
          <w:w w:val="95"/>
        </w:rPr>
        <w:t>Debating, </w:t>
      </w:r>
      <w:r>
        <w:rPr>
          <w:w w:val="97"/>
        </w:rPr>
        <w:t>whose </w:t>
      </w:r>
      <w:r>
        <w:rPr>
          <w:w w:val="95"/>
        </w:rPr>
        <w:t>finals </w:t>
      </w:r>
      <w:r>
        <w:rPr>
          <w:w w:val="95"/>
        </w:rPr>
        <w:t>are </w:t>
      </w:r>
      <w:r>
        <w:rPr>
          <w:w w:val="95"/>
        </w:rPr>
        <w:t>run </w:t>
      </w:r>
      <w:r>
        <w:rPr>
          <w:w w:val="95"/>
        </w:rPr>
        <w:t>in </w:t>
      </w:r>
      <w:r>
        <w:rPr>
          <w:w w:val="97"/>
        </w:rPr>
        <w:t>the</w:t>
      </w:r>
    </w:p>
    <w:p>
      <w:pPr>
        <w:pStyle w:val="BodyText"/>
        <w:spacing w:line="249" w:lineRule="auto"/>
        <w:ind w:left="107" w:right="267"/>
      </w:pPr>
      <w:r>
        <w:rPr/>
        <w:t>University’s</w:t>
      </w:r>
      <w:r>
        <w:rPr>
          <w:spacing w:val="-14"/>
        </w:rPr>
        <w:t> </w:t>
      </w:r>
      <w:r>
        <w:rPr/>
        <w:t>moot</w:t>
      </w:r>
      <w:r>
        <w:rPr>
          <w:spacing w:val="-14"/>
        </w:rPr>
        <w:t> </w:t>
      </w:r>
      <w:r>
        <w:rPr>
          <w:spacing w:val="2"/>
        </w:rPr>
        <w:t>courts</w:t>
      </w:r>
      <w:r>
        <w:rPr>
          <w:spacing w:val="-14"/>
        </w:rPr>
        <w:t> </w:t>
      </w:r>
      <w:r>
        <w:rPr/>
        <w:t>at</w:t>
      </w:r>
      <w:r>
        <w:rPr>
          <w:spacing w:val="-14"/>
        </w:rPr>
        <w:t> </w:t>
      </w:r>
      <w:r>
        <w:rPr/>
        <w:t>both</w:t>
      </w:r>
      <w:r>
        <w:rPr>
          <w:spacing w:val="-14"/>
        </w:rPr>
        <w:t> </w:t>
      </w:r>
      <w:r>
        <w:rPr/>
        <w:t>Parramatta and Campbelltown. Other events include membership of the legal profession’s many committees, pro bono work and providing commentaries for TV, radio, newspapers and The Conversation website. In addition, Professor Steven Freeland was appointed to</w:t>
      </w:r>
      <w:r>
        <w:rPr>
          <w:spacing w:val="-16"/>
        </w:rPr>
        <w:t> </w:t>
      </w:r>
      <w:r>
        <w:rPr/>
        <w:t>review</w:t>
      </w:r>
      <w:r>
        <w:rPr>
          <w:spacing w:val="-16"/>
        </w:rPr>
        <w:t> </w:t>
      </w:r>
      <w:r>
        <w:rPr/>
        <w:t>space</w:t>
      </w:r>
      <w:r>
        <w:rPr>
          <w:spacing w:val="-16"/>
        </w:rPr>
        <w:t> </w:t>
      </w:r>
      <w:r>
        <w:rPr/>
        <w:t>law</w:t>
      </w:r>
      <w:r>
        <w:rPr>
          <w:spacing w:val="-16"/>
        </w:rPr>
        <w:t> </w:t>
      </w:r>
      <w:r>
        <w:rPr/>
        <w:t>for</w:t>
      </w:r>
      <w:r>
        <w:rPr>
          <w:spacing w:val="-16"/>
        </w:rPr>
        <w:t> </w:t>
      </w:r>
      <w:r>
        <w:rPr/>
        <w:t>the</w:t>
      </w:r>
      <w:r>
        <w:rPr>
          <w:spacing w:val="-16"/>
        </w:rPr>
        <w:t> </w:t>
      </w:r>
      <w:r>
        <w:rPr/>
        <w:t>Commonwealth Government.</w:t>
      </w:r>
    </w:p>
    <w:p>
      <w:pPr>
        <w:pStyle w:val="BodyText"/>
        <w:rPr>
          <w:sz w:val="14"/>
        </w:rPr>
      </w:pPr>
    </w:p>
    <w:p>
      <w:pPr>
        <w:pStyle w:val="BodyText"/>
        <w:spacing w:line="249" w:lineRule="auto"/>
        <w:ind w:left="107" w:right="167"/>
      </w:pPr>
      <w:r>
        <w:rPr/>
        <w:t>School governance was reorganised to provide greater leadership opportunities for the First Year Advisor Directors of Research/ HDR, Engagement and International.</w:t>
      </w:r>
    </w:p>
    <w:p>
      <w:pPr>
        <w:pStyle w:val="BodyText"/>
        <w:spacing w:line="249" w:lineRule="auto"/>
        <w:ind w:left="107" w:right="255"/>
      </w:pPr>
      <w:r>
        <w:rPr/>
        <w:t>International has focused on China, India and Bangladesh, and University and School memorandums of understanding were signed for teaching, student exchange and research opportunities. Visits to Shanghai, Beijing, Xi’an, Taipei and Dhaka have built strong foundations for future international</w:t>
      </w:r>
    </w:p>
    <w:p>
      <w:pPr>
        <w:pStyle w:val="BodyText"/>
        <w:spacing w:line="249" w:lineRule="auto"/>
        <w:ind w:left="107" w:right="168"/>
      </w:pPr>
      <w:r>
        <w:rPr/>
        <w:t>collaborations.</w:t>
      </w:r>
      <w:r>
        <w:rPr>
          <w:spacing w:val="-18"/>
        </w:rPr>
        <w:t> </w:t>
      </w:r>
      <w:r>
        <w:rPr/>
        <w:t>Already,</w:t>
      </w:r>
      <w:r>
        <w:rPr>
          <w:spacing w:val="-18"/>
        </w:rPr>
        <w:t> </w:t>
      </w:r>
      <w:r>
        <w:rPr/>
        <w:t>25</w:t>
      </w:r>
      <w:r>
        <w:rPr>
          <w:spacing w:val="-18"/>
        </w:rPr>
        <w:t> </w:t>
      </w:r>
      <w:r>
        <w:rPr/>
        <w:t>law</w:t>
      </w:r>
      <w:r>
        <w:rPr>
          <w:spacing w:val="-18"/>
        </w:rPr>
        <w:t> </w:t>
      </w:r>
      <w:r>
        <w:rPr/>
        <w:t>students</w:t>
      </w:r>
      <w:r>
        <w:rPr>
          <w:spacing w:val="-18"/>
        </w:rPr>
        <w:t> </w:t>
      </w:r>
      <w:r>
        <w:rPr/>
        <w:t>from the Central University of Politics and Law (Beijing)</w:t>
      </w:r>
      <w:r>
        <w:rPr>
          <w:spacing w:val="-17"/>
        </w:rPr>
        <w:t> </w:t>
      </w:r>
      <w:r>
        <w:rPr/>
        <w:t>have</w:t>
      </w:r>
      <w:r>
        <w:rPr>
          <w:spacing w:val="-17"/>
        </w:rPr>
        <w:t> </w:t>
      </w:r>
      <w:r>
        <w:rPr/>
        <w:t>visited</w:t>
      </w:r>
      <w:r>
        <w:rPr>
          <w:spacing w:val="-17"/>
        </w:rPr>
        <w:t> </w:t>
      </w:r>
      <w:r>
        <w:rPr/>
        <w:t>Parramatta</w:t>
      </w:r>
      <w:r>
        <w:rPr>
          <w:spacing w:val="-17"/>
        </w:rPr>
        <w:t> </w:t>
      </w:r>
      <w:r>
        <w:rPr/>
        <w:t>and</w:t>
      </w:r>
      <w:r>
        <w:rPr>
          <w:spacing w:val="-17"/>
        </w:rPr>
        <w:t> </w:t>
      </w:r>
      <w:r>
        <w:rPr/>
        <w:t>25</w:t>
      </w:r>
      <w:r>
        <w:rPr>
          <w:spacing w:val="-17"/>
        </w:rPr>
        <w:t> </w:t>
      </w:r>
      <w:r>
        <w:rPr/>
        <w:t>local students have studied Chinese Foundations of</w:t>
      </w:r>
      <w:r>
        <w:rPr>
          <w:spacing w:val="-18"/>
        </w:rPr>
        <w:t> </w:t>
      </w:r>
      <w:r>
        <w:rPr/>
        <w:t>Law</w:t>
      </w:r>
      <w:r>
        <w:rPr>
          <w:spacing w:val="-18"/>
        </w:rPr>
        <w:t> </w:t>
      </w:r>
      <w:r>
        <w:rPr/>
        <w:t>at</w:t>
      </w:r>
      <w:r>
        <w:rPr>
          <w:spacing w:val="-18"/>
        </w:rPr>
        <w:t> </w:t>
      </w:r>
      <w:r>
        <w:rPr/>
        <w:t>Shanghai</w:t>
      </w:r>
      <w:r>
        <w:rPr>
          <w:spacing w:val="-18"/>
        </w:rPr>
        <w:t> </w:t>
      </w:r>
      <w:r>
        <w:rPr/>
        <w:t>University,</w:t>
      </w:r>
      <w:r>
        <w:rPr>
          <w:spacing w:val="-18"/>
        </w:rPr>
        <w:t> </w:t>
      </w:r>
      <w:r>
        <w:rPr/>
        <w:t>under</w:t>
      </w:r>
      <w:r>
        <w:rPr>
          <w:spacing w:val="-18"/>
        </w:rPr>
        <w:t> </w:t>
      </w:r>
      <w:r>
        <w:rPr/>
        <w:t>the</w:t>
      </w:r>
      <w:r>
        <w:rPr>
          <w:spacing w:val="-18"/>
        </w:rPr>
        <w:t> </w:t>
      </w:r>
      <w:r>
        <w:rPr/>
        <w:t>New Colombo</w:t>
      </w:r>
      <w:r>
        <w:rPr>
          <w:spacing w:val="-13"/>
        </w:rPr>
        <w:t> </w:t>
      </w:r>
      <w:r>
        <w:rPr/>
        <w:t>Plan.</w:t>
      </w:r>
    </w:p>
    <w:p>
      <w:pPr>
        <w:spacing w:after="0" w:line="249" w:lineRule="auto"/>
        <w:sectPr>
          <w:type w:val="continuous"/>
          <w:pgSz w:w="11910" w:h="16840"/>
          <w:pgMar w:top="1580" w:bottom="280" w:left="800" w:right="800"/>
          <w:cols w:num="3" w:equalWidth="0">
            <w:col w:w="3286" w:space="153"/>
            <w:col w:w="3292" w:space="147"/>
            <w:col w:w="3432"/>
          </w:cols>
        </w:sectPr>
      </w:pPr>
    </w:p>
    <w:p>
      <w:pPr>
        <w:pStyle w:val="BodyText"/>
        <w:spacing w:before="10"/>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40"/>
          <w:footerReference w:type="default" r:id="rId41"/>
          <w:pgSz w:w="11910" w:h="16840"/>
          <w:pgMar w:footer="473" w:header="494" w:top="680" w:bottom="660" w:left="800" w:right="800"/>
          <w:pgNumType w:start="22"/>
        </w:sectPr>
      </w:pPr>
    </w:p>
    <w:p>
      <w:pPr>
        <w:pStyle w:val="Heading5"/>
        <w:spacing w:before="197"/>
        <w:ind w:left="114"/>
      </w:pPr>
      <w:bookmarkStart w:name="_TOC_250012" w:id="13"/>
      <w:bookmarkEnd w:id="13"/>
      <w:r>
        <w:rPr>
          <w:w w:val="95"/>
        </w:rPr>
        <w:t>SCHOOL OF MEDICINE</w:t>
      </w:r>
    </w:p>
    <w:p>
      <w:pPr>
        <w:pStyle w:val="BodyText"/>
        <w:spacing w:line="249" w:lineRule="auto" w:before="209"/>
        <w:ind w:left="107" w:right="398"/>
      </w:pPr>
      <w:r>
        <w:rPr>
          <w:spacing w:val="-2"/>
          <w:w w:val="112"/>
        </w:rPr>
        <w:t>A</w:t>
      </w:r>
      <w:r>
        <w:rPr>
          <w:w w:val="102"/>
        </w:rPr>
        <w:t>t</w:t>
      </w:r>
      <w:r>
        <w:rPr>
          <w:spacing w:val="-12"/>
        </w:rPr>
        <w:t> </w:t>
      </w:r>
      <w:r>
        <w:rPr>
          <w:w w:val="102"/>
        </w:rPr>
        <w:t>t</w:t>
      </w:r>
      <w:r>
        <w:rPr>
          <w:spacing w:val="2"/>
          <w:w w:val="95"/>
        </w:rPr>
        <w:t>h</w:t>
      </w:r>
      <w:r>
        <w:rPr>
          <w:w w:val="95"/>
        </w:rPr>
        <w:t>e</w:t>
      </w:r>
      <w:r>
        <w:rPr>
          <w:spacing w:val="-12"/>
        </w:rPr>
        <w:t> </w:t>
      </w:r>
      <w:r>
        <w:rPr>
          <w:spacing w:val="2"/>
          <w:w w:val="95"/>
        </w:rPr>
        <w:t>e</w:t>
      </w:r>
      <w:r>
        <w:rPr>
          <w:spacing w:val="2"/>
          <w:w w:val="95"/>
        </w:rPr>
        <w:t>n</w:t>
      </w:r>
      <w:r>
        <w:rPr>
          <w:w w:val="102"/>
        </w:rPr>
        <w:t>d</w:t>
      </w:r>
      <w:r>
        <w:rPr>
          <w:spacing w:val="-12"/>
        </w:rPr>
        <w:t> </w:t>
      </w:r>
      <w:r>
        <w:rPr>
          <w:w w:val="100"/>
        </w:rPr>
        <w:t>o</w:t>
      </w:r>
      <w:r>
        <w:rPr>
          <w:w w:val="98"/>
        </w:rPr>
        <w:t>f</w:t>
      </w:r>
      <w:r>
        <w:rPr>
          <w:spacing w:val="-12"/>
        </w:rPr>
        <w:t> </w:t>
      </w:r>
      <w:r>
        <w:rPr>
          <w:spacing w:val="2"/>
          <w:w w:val="93"/>
        </w:rPr>
        <w:t>2</w:t>
      </w:r>
      <w:r>
        <w:rPr>
          <w:spacing w:val="1"/>
          <w:w w:val="111"/>
        </w:rPr>
        <w:t>0</w:t>
      </w:r>
      <w:r>
        <w:rPr>
          <w:spacing w:val="2"/>
          <w:w w:val="54"/>
        </w:rPr>
        <w:t>1</w:t>
      </w:r>
      <w:r>
        <w:rPr>
          <w:spacing w:val="4"/>
          <w:w w:val="95"/>
        </w:rPr>
        <w:t>5</w:t>
      </w:r>
      <w:r>
        <w:rPr>
          <w:w w:val="68"/>
        </w:rPr>
        <w:t>,</w:t>
      </w:r>
      <w:r>
        <w:rPr>
          <w:spacing w:val="-12"/>
        </w:rPr>
        <w:t> </w:t>
      </w:r>
      <w:r>
        <w:rPr>
          <w:w w:val="102"/>
        </w:rPr>
        <w:t>t</w:t>
      </w:r>
      <w:r>
        <w:rPr>
          <w:spacing w:val="2"/>
          <w:w w:val="95"/>
        </w:rPr>
        <w:t>h</w:t>
      </w:r>
      <w:r>
        <w:rPr>
          <w:w w:val="95"/>
        </w:rPr>
        <w:t>e</w:t>
      </w:r>
      <w:r>
        <w:rPr>
          <w:spacing w:val="-12"/>
        </w:rPr>
        <w:t> </w:t>
      </w:r>
      <w:r>
        <w:rPr>
          <w:w w:val="97"/>
        </w:rPr>
        <w:t>f</w:t>
      </w:r>
      <w:r>
        <w:rPr>
          <w:spacing w:val="2"/>
          <w:w w:val="97"/>
        </w:rPr>
        <w:t>i</w:t>
      </w:r>
      <w:r>
        <w:rPr>
          <w:spacing w:val="2"/>
          <w:w w:val="95"/>
        </w:rPr>
        <w:t>r</w:t>
      </w:r>
      <w:r>
        <w:rPr>
          <w:spacing w:val="3"/>
          <w:w w:val="95"/>
        </w:rPr>
        <w:t>s</w:t>
      </w:r>
      <w:r>
        <w:rPr>
          <w:w w:val="102"/>
        </w:rPr>
        <w:t>t</w:t>
      </w:r>
      <w:r>
        <w:rPr>
          <w:spacing w:val="-12"/>
        </w:rPr>
        <w:t> </w:t>
      </w:r>
      <w:r>
        <w:rPr>
          <w:spacing w:val="2"/>
          <w:w w:val="102"/>
        </w:rPr>
        <w:t>g</w:t>
      </w:r>
      <w:r>
        <w:rPr>
          <w:spacing w:val="2"/>
          <w:w w:val="95"/>
        </w:rPr>
        <w:t>r</w:t>
      </w:r>
      <w:r>
        <w:rPr>
          <w:spacing w:val="2"/>
          <w:w w:val="94"/>
        </w:rPr>
        <w:t>a</w:t>
      </w:r>
      <w:r>
        <w:rPr>
          <w:spacing w:val="2"/>
          <w:w w:val="102"/>
        </w:rPr>
        <w:t>d</w:t>
      </w:r>
      <w:r>
        <w:rPr>
          <w:spacing w:val="2"/>
          <w:w w:val="95"/>
        </w:rPr>
        <w:t>u</w:t>
      </w:r>
      <w:r>
        <w:rPr>
          <w:w w:val="94"/>
        </w:rPr>
        <w:t>a</w:t>
      </w:r>
      <w:r>
        <w:rPr>
          <w:spacing w:val="-2"/>
          <w:w w:val="102"/>
        </w:rPr>
        <w:t>t</w:t>
      </w:r>
      <w:r>
        <w:rPr>
          <w:spacing w:val="3"/>
          <w:w w:val="95"/>
        </w:rPr>
        <w:t>e</w:t>
      </w:r>
      <w:r>
        <w:rPr>
          <w:w w:val="95"/>
        </w:rPr>
        <w:t>s </w:t>
      </w:r>
      <w:r>
        <w:rPr>
          <w:spacing w:val="3"/>
          <w:w w:val="98"/>
        </w:rPr>
        <w:t>f</w:t>
      </w:r>
      <w:r>
        <w:rPr>
          <w:spacing w:val="-1"/>
          <w:w w:val="95"/>
        </w:rPr>
        <w:t>r</w:t>
      </w:r>
      <w:r>
        <w:rPr>
          <w:spacing w:val="2"/>
          <w:w w:val="100"/>
        </w:rPr>
        <w:t>o</w:t>
      </w:r>
      <w:r>
        <w:rPr>
          <w:w w:val="98"/>
        </w:rPr>
        <w:t>m</w:t>
      </w:r>
      <w:r>
        <w:rPr>
          <w:spacing w:val="-12"/>
        </w:rPr>
        <w:t> </w:t>
      </w:r>
      <w:r>
        <w:rPr>
          <w:w w:val="102"/>
        </w:rPr>
        <w:t>t</w:t>
      </w:r>
      <w:r>
        <w:rPr>
          <w:spacing w:val="2"/>
          <w:w w:val="95"/>
        </w:rPr>
        <w:t>h</w:t>
      </w:r>
      <w:r>
        <w:rPr>
          <w:w w:val="95"/>
        </w:rPr>
        <w:t>e</w:t>
      </w:r>
      <w:r>
        <w:rPr>
          <w:spacing w:val="-12"/>
        </w:rPr>
        <w:t> </w:t>
      </w:r>
      <w:r>
        <w:rPr>
          <w:spacing w:val="3"/>
          <w:w w:val="98"/>
        </w:rPr>
        <w:t>S</w:t>
      </w:r>
      <w:r>
        <w:rPr>
          <w:spacing w:val="1"/>
          <w:w w:val="102"/>
        </w:rPr>
        <w:t>c</w:t>
      </w:r>
      <w:r>
        <w:rPr>
          <w:spacing w:val="2"/>
          <w:w w:val="95"/>
        </w:rPr>
        <w:t>h</w:t>
      </w:r>
      <w:r>
        <w:rPr>
          <w:spacing w:val="2"/>
          <w:w w:val="100"/>
        </w:rPr>
        <w:t>oo</w:t>
      </w:r>
      <w:r>
        <w:rPr>
          <w:w w:val="95"/>
        </w:rPr>
        <w:t>l</w:t>
      </w:r>
      <w:r>
        <w:rPr>
          <w:spacing w:val="-12"/>
        </w:rPr>
        <w:t> </w:t>
      </w:r>
      <w:r>
        <w:rPr>
          <w:w w:val="100"/>
        </w:rPr>
        <w:t>o</w:t>
      </w:r>
      <w:r>
        <w:rPr>
          <w:w w:val="98"/>
        </w:rPr>
        <w:t>f</w:t>
      </w:r>
      <w:r>
        <w:rPr>
          <w:spacing w:val="-12"/>
        </w:rPr>
        <w:t> </w:t>
      </w:r>
      <w:r>
        <w:rPr>
          <w:spacing w:val="3"/>
          <w:w w:val="97"/>
        </w:rPr>
        <w:t>M</w:t>
      </w:r>
      <w:r>
        <w:rPr>
          <w:spacing w:val="3"/>
          <w:w w:val="95"/>
        </w:rPr>
        <w:t>e</w:t>
      </w:r>
      <w:r>
        <w:rPr>
          <w:spacing w:val="1"/>
          <w:w w:val="102"/>
        </w:rPr>
        <w:t>d</w:t>
      </w:r>
      <w:r>
        <w:rPr>
          <w:spacing w:val="1"/>
          <w:w w:val="95"/>
        </w:rPr>
        <w:t>i</w:t>
      </w:r>
      <w:r>
        <w:rPr>
          <w:spacing w:val="1"/>
          <w:w w:val="102"/>
        </w:rPr>
        <w:t>c</w:t>
      </w:r>
      <w:r>
        <w:rPr>
          <w:spacing w:val="1"/>
          <w:w w:val="95"/>
        </w:rPr>
        <w:t>i</w:t>
      </w:r>
      <w:r>
        <w:rPr>
          <w:spacing w:val="2"/>
          <w:w w:val="95"/>
        </w:rPr>
        <w:t>n</w:t>
      </w:r>
      <w:r>
        <w:rPr>
          <w:spacing w:val="1"/>
          <w:w w:val="95"/>
        </w:rPr>
        <w:t>e</w:t>
      </w:r>
      <w:r>
        <w:rPr>
          <w:spacing w:val="-4"/>
          <w:w w:val="97"/>
        </w:rPr>
        <w:t>’</w:t>
      </w:r>
      <w:r>
        <w:rPr>
          <w:w w:val="95"/>
        </w:rPr>
        <w:t>s</w:t>
      </w:r>
      <w:r>
        <w:rPr>
          <w:spacing w:val="-12"/>
        </w:rPr>
        <w:t> </w:t>
      </w:r>
      <w:r>
        <w:rPr>
          <w:spacing w:val="2"/>
          <w:w w:val="93"/>
        </w:rPr>
        <w:t>2</w:t>
      </w:r>
      <w:r>
        <w:rPr>
          <w:spacing w:val="1"/>
          <w:w w:val="111"/>
        </w:rPr>
        <w:t>0</w:t>
      </w:r>
      <w:r>
        <w:rPr>
          <w:spacing w:val="3"/>
          <w:w w:val="54"/>
        </w:rPr>
        <w:t>1</w:t>
      </w:r>
      <w:r>
        <w:rPr>
          <w:w w:val="54"/>
        </w:rPr>
        <w:t>1</w:t>
      </w:r>
      <w:r>
        <w:rPr>
          <w:spacing w:val="-12"/>
        </w:rPr>
        <w:t> </w:t>
      </w:r>
      <w:r>
        <w:rPr>
          <w:spacing w:val="1"/>
          <w:w w:val="95"/>
        </w:rPr>
        <w:t>i</w:t>
      </w:r>
      <w:r>
        <w:rPr>
          <w:w w:val="95"/>
        </w:rPr>
        <w:t>n</w:t>
      </w:r>
      <w:r>
        <w:rPr>
          <w:spacing w:val="2"/>
          <w:w w:val="102"/>
        </w:rPr>
        <w:t>t</w:t>
      </w:r>
      <w:r>
        <w:rPr>
          <w:spacing w:val="2"/>
          <w:w w:val="94"/>
        </w:rPr>
        <w:t>a</w:t>
      </w:r>
      <w:r>
        <w:rPr>
          <w:spacing w:val="-1"/>
          <w:w w:val="96"/>
        </w:rPr>
        <w:t>k</w:t>
      </w:r>
      <w:r>
        <w:rPr>
          <w:w w:val="95"/>
        </w:rPr>
        <w:t>e</w:t>
      </w:r>
    </w:p>
    <w:p>
      <w:pPr>
        <w:pStyle w:val="BodyText"/>
        <w:spacing w:line="249" w:lineRule="auto"/>
        <w:ind w:left="107"/>
      </w:pPr>
      <w:r>
        <w:rPr/>
        <w:t>completed their specialty training in General Practice.</w:t>
      </w:r>
      <w:r>
        <w:rPr>
          <w:spacing w:val="-17"/>
        </w:rPr>
        <w:t> </w:t>
      </w:r>
      <w:r>
        <w:rPr/>
        <w:t>Many</w:t>
      </w:r>
      <w:r>
        <w:rPr>
          <w:spacing w:val="-17"/>
        </w:rPr>
        <w:t> </w:t>
      </w:r>
      <w:r>
        <w:rPr/>
        <w:t>other</w:t>
      </w:r>
      <w:r>
        <w:rPr>
          <w:spacing w:val="-17"/>
        </w:rPr>
        <w:t> </w:t>
      </w:r>
      <w:r>
        <w:rPr/>
        <w:t>students</w:t>
      </w:r>
      <w:r>
        <w:rPr>
          <w:spacing w:val="-17"/>
        </w:rPr>
        <w:t> </w:t>
      </w:r>
      <w:r>
        <w:rPr/>
        <w:t>are</w:t>
      </w:r>
      <w:r>
        <w:rPr>
          <w:spacing w:val="-17"/>
        </w:rPr>
        <w:t> </w:t>
      </w:r>
      <w:r>
        <w:rPr/>
        <w:t>continuing their specialty training in different fields across Western Sydney and beyond. As the </w:t>
      </w:r>
      <w:r>
        <w:rPr>
          <w:spacing w:val="1"/>
          <w:w w:val="90"/>
        </w:rPr>
        <w:t>10th</w:t>
      </w:r>
      <w:r>
        <w:rPr>
          <w:spacing w:val="-6"/>
          <w:w w:val="90"/>
        </w:rPr>
        <w:t> </w:t>
      </w:r>
      <w:r>
        <w:rPr>
          <w:spacing w:val="1"/>
          <w:w w:val="96"/>
        </w:rPr>
        <w:t>anniversary</w:t>
      </w:r>
      <w:r>
        <w:rPr>
          <w:spacing w:val="-9"/>
          <w:w w:val="96"/>
        </w:rPr>
        <w:t> </w:t>
      </w:r>
      <w:r>
        <w:rPr>
          <w:w w:val="99"/>
        </w:rPr>
        <w:t>of</w:t>
      </w:r>
      <w:r>
        <w:rPr>
          <w:spacing w:val="-10"/>
          <w:w w:val="99"/>
        </w:rPr>
        <w:t> </w:t>
      </w:r>
      <w:r>
        <w:rPr>
          <w:w w:val="97"/>
        </w:rPr>
        <w:t>the</w:t>
      </w:r>
      <w:r>
        <w:rPr>
          <w:spacing w:val="-10"/>
          <w:w w:val="97"/>
        </w:rPr>
        <w:t> </w:t>
      </w:r>
      <w:r>
        <w:rPr>
          <w:spacing w:val="1"/>
          <w:w w:val="98"/>
        </w:rPr>
        <w:t>School’s</w:t>
      </w:r>
      <w:r>
        <w:rPr>
          <w:spacing w:val="-10"/>
          <w:w w:val="98"/>
        </w:rPr>
        <w:t> </w:t>
      </w:r>
      <w:r>
        <w:rPr>
          <w:spacing w:val="1"/>
          <w:w w:val="97"/>
        </w:rPr>
        <w:t>first</w:t>
      </w:r>
      <w:r>
        <w:rPr>
          <w:spacing w:val="-9"/>
          <w:w w:val="97"/>
        </w:rPr>
        <w:t> </w:t>
      </w:r>
      <w:r>
        <w:rPr>
          <w:w w:val="96"/>
        </w:rPr>
        <w:t>intake</w:t>
      </w:r>
      <w:r>
        <w:rPr>
          <w:spacing w:val="-9"/>
          <w:w w:val="96"/>
        </w:rPr>
        <w:t> </w:t>
      </w:r>
      <w:r>
        <w:rPr>
          <w:w w:val="99"/>
        </w:rPr>
        <w:t>of </w:t>
      </w:r>
      <w:r>
        <w:rPr/>
        <w:t>students</w:t>
      </w:r>
      <w:r>
        <w:rPr>
          <w:spacing w:val="-17"/>
        </w:rPr>
        <w:t> </w:t>
      </w:r>
      <w:r>
        <w:rPr/>
        <w:t>approaches,</w:t>
      </w:r>
      <w:r>
        <w:rPr>
          <w:spacing w:val="-17"/>
        </w:rPr>
        <w:t> </w:t>
      </w:r>
      <w:r>
        <w:rPr/>
        <w:t>the</w:t>
      </w:r>
      <w:r>
        <w:rPr>
          <w:spacing w:val="-17"/>
        </w:rPr>
        <w:t> </w:t>
      </w:r>
      <w:r>
        <w:rPr/>
        <w:t>School</w:t>
      </w:r>
      <w:r>
        <w:rPr>
          <w:spacing w:val="-17"/>
        </w:rPr>
        <w:t> </w:t>
      </w:r>
      <w:r>
        <w:rPr/>
        <w:t>is</w:t>
      </w:r>
      <w:r>
        <w:rPr>
          <w:spacing w:val="-17"/>
        </w:rPr>
        <w:t> </w:t>
      </w:r>
      <w:r>
        <w:rPr/>
        <w:t>increasing its focus on maintaining and developing its alumni</w:t>
      </w:r>
      <w:r>
        <w:rPr>
          <w:spacing w:val="-32"/>
        </w:rPr>
        <w:t> </w:t>
      </w:r>
      <w:r>
        <w:rPr/>
        <w:t>program.</w:t>
      </w:r>
    </w:p>
    <w:p>
      <w:pPr>
        <w:pStyle w:val="BodyText"/>
        <w:rPr>
          <w:sz w:val="14"/>
        </w:rPr>
      </w:pPr>
    </w:p>
    <w:p>
      <w:pPr>
        <w:pStyle w:val="BodyText"/>
        <w:spacing w:line="249" w:lineRule="auto"/>
        <w:ind w:left="107" w:right="1"/>
      </w:pPr>
      <w:r>
        <w:rPr/>
        <w:t>The</w:t>
      </w:r>
      <w:r>
        <w:rPr>
          <w:spacing w:val="-30"/>
        </w:rPr>
        <w:t> </w:t>
      </w:r>
      <w:r>
        <w:rPr/>
        <w:t>Dean,</w:t>
      </w:r>
      <w:r>
        <w:rPr>
          <w:spacing w:val="-30"/>
        </w:rPr>
        <w:t> </w:t>
      </w:r>
      <w:r>
        <w:rPr/>
        <w:t>Professor</w:t>
      </w:r>
      <w:r>
        <w:rPr>
          <w:spacing w:val="-30"/>
        </w:rPr>
        <w:t> </w:t>
      </w:r>
      <w:r>
        <w:rPr/>
        <w:t>Annemarie</w:t>
      </w:r>
      <w:r>
        <w:rPr>
          <w:spacing w:val="-30"/>
        </w:rPr>
        <w:t> </w:t>
      </w:r>
      <w:r>
        <w:rPr/>
        <w:t>Hennessy,</w:t>
      </w:r>
      <w:r>
        <w:rPr>
          <w:spacing w:val="-30"/>
        </w:rPr>
        <w:t> </w:t>
      </w:r>
      <w:r>
        <w:rPr/>
        <w:t>was made a member of the Order of Australia in </w:t>
      </w:r>
      <w:r>
        <w:rPr>
          <w:w w:val="97"/>
        </w:rPr>
        <w:t>the</w:t>
      </w:r>
      <w:r>
        <w:rPr>
          <w:spacing w:val="-11"/>
          <w:w w:val="97"/>
        </w:rPr>
        <w:t> </w:t>
      </w:r>
      <w:r>
        <w:rPr>
          <w:w w:val="88"/>
        </w:rPr>
        <w:t>2015</w:t>
      </w:r>
      <w:r>
        <w:rPr>
          <w:spacing w:val="-6"/>
          <w:w w:val="88"/>
        </w:rPr>
        <w:t> </w:t>
      </w:r>
      <w:r>
        <w:rPr>
          <w:w w:val="96"/>
        </w:rPr>
        <w:t>Queen’s</w:t>
      </w:r>
      <w:r>
        <w:rPr>
          <w:spacing w:val="-10"/>
          <w:w w:val="96"/>
        </w:rPr>
        <w:t> </w:t>
      </w:r>
      <w:r>
        <w:rPr>
          <w:w w:val="99"/>
        </w:rPr>
        <w:t>Birthday</w:t>
      </w:r>
      <w:r>
        <w:rPr>
          <w:spacing w:val="-11"/>
          <w:w w:val="99"/>
        </w:rPr>
        <w:t> </w:t>
      </w:r>
      <w:r>
        <w:rPr>
          <w:spacing w:val="1"/>
          <w:w w:val="97"/>
        </w:rPr>
        <w:t>Honours</w:t>
      </w:r>
      <w:r>
        <w:rPr>
          <w:spacing w:val="-10"/>
          <w:w w:val="97"/>
        </w:rPr>
        <w:t> </w:t>
      </w:r>
      <w:r>
        <w:rPr>
          <w:w w:val="99"/>
        </w:rPr>
        <w:t>List</w:t>
      </w:r>
      <w:r>
        <w:rPr>
          <w:spacing w:val="-11"/>
          <w:w w:val="99"/>
        </w:rPr>
        <w:t> </w:t>
      </w:r>
      <w:r>
        <w:rPr>
          <w:w w:val="98"/>
        </w:rPr>
        <w:t>for</w:t>
      </w:r>
      <w:r>
        <w:rPr>
          <w:spacing w:val="-11"/>
          <w:w w:val="98"/>
        </w:rPr>
        <w:t> </w:t>
      </w:r>
      <w:r>
        <w:rPr>
          <w:w w:val="95"/>
        </w:rPr>
        <w:t>her </w:t>
      </w:r>
      <w:r>
        <w:rPr/>
        <w:t>‘significant service to tertiary education, and to</w:t>
      </w:r>
      <w:r>
        <w:rPr>
          <w:spacing w:val="-21"/>
        </w:rPr>
        <w:t> </w:t>
      </w:r>
      <w:r>
        <w:rPr/>
        <w:t>medical</w:t>
      </w:r>
      <w:r>
        <w:rPr>
          <w:spacing w:val="-21"/>
        </w:rPr>
        <w:t> </w:t>
      </w:r>
      <w:r>
        <w:rPr/>
        <w:t>research,</w:t>
      </w:r>
      <w:r>
        <w:rPr>
          <w:spacing w:val="-21"/>
        </w:rPr>
        <w:t> </w:t>
      </w:r>
      <w:r>
        <w:rPr/>
        <w:t>particularly</w:t>
      </w:r>
      <w:r>
        <w:rPr>
          <w:spacing w:val="-21"/>
        </w:rPr>
        <w:t> </w:t>
      </w:r>
      <w:r>
        <w:rPr/>
        <w:t>in</w:t>
      </w:r>
      <w:r>
        <w:rPr>
          <w:spacing w:val="-21"/>
        </w:rPr>
        <w:t> </w:t>
      </w:r>
      <w:r>
        <w:rPr/>
        <w:t>the</w:t>
      </w:r>
      <w:r>
        <w:rPr>
          <w:spacing w:val="-21"/>
        </w:rPr>
        <w:t> </w:t>
      </w:r>
      <w:r>
        <w:rPr/>
        <w:t>area</w:t>
      </w:r>
      <w:r>
        <w:rPr>
          <w:spacing w:val="-21"/>
        </w:rPr>
        <w:t> </w:t>
      </w:r>
      <w:r>
        <w:rPr/>
        <w:t>of clinical</w:t>
      </w:r>
      <w:r>
        <w:rPr>
          <w:spacing w:val="-33"/>
        </w:rPr>
        <w:t> </w:t>
      </w:r>
      <w:r>
        <w:rPr/>
        <w:t>hypertension</w:t>
      </w:r>
      <w:r>
        <w:rPr>
          <w:spacing w:val="-33"/>
        </w:rPr>
        <w:t> </w:t>
      </w:r>
      <w:r>
        <w:rPr/>
        <w:t>and</w:t>
      </w:r>
      <w:r>
        <w:rPr>
          <w:spacing w:val="-33"/>
        </w:rPr>
        <w:t> </w:t>
      </w:r>
      <w:r>
        <w:rPr/>
        <w:t>maternal</w:t>
      </w:r>
      <w:r>
        <w:rPr>
          <w:spacing w:val="-33"/>
        </w:rPr>
        <w:t> </w:t>
      </w:r>
      <w:r>
        <w:rPr/>
        <w:t>health.’</w:t>
      </w:r>
    </w:p>
    <w:p>
      <w:pPr>
        <w:pStyle w:val="BodyText"/>
        <w:rPr>
          <w:sz w:val="14"/>
        </w:rPr>
      </w:pPr>
    </w:p>
    <w:p>
      <w:pPr>
        <w:pStyle w:val="BodyText"/>
        <w:spacing w:line="249" w:lineRule="auto"/>
        <w:ind w:left="107" w:right="-5"/>
      </w:pPr>
      <w:r>
        <w:rPr/>
        <w:t>The Royal Australasian College of Physicians awarded</w:t>
      </w:r>
      <w:r>
        <w:rPr>
          <w:spacing w:val="-14"/>
        </w:rPr>
        <w:t> </w:t>
      </w:r>
      <w:r>
        <w:rPr/>
        <w:t>Professor</w:t>
      </w:r>
      <w:r>
        <w:rPr>
          <w:spacing w:val="-14"/>
        </w:rPr>
        <w:t> </w:t>
      </w:r>
      <w:r>
        <w:rPr/>
        <w:t>John</w:t>
      </w:r>
      <w:r>
        <w:rPr>
          <w:spacing w:val="-14"/>
        </w:rPr>
        <w:t> </w:t>
      </w:r>
      <w:r>
        <w:rPr/>
        <w:t>Whitehall</w:t>
      </w:r>
      <w:r>
        <w:rPr>
          <w:spacing w:val="-14"/>
        </w:rPr>
        <w:t> </w:t>
      </w:r>
      <w:r>
        <w:rPr/>
        <w:t>the</w:t>
      </w:r>
      <w:r>
        <w:rPr>
          <w:spacing w:val="-14"/>
        </w:rPr>
        <w:t> </w:t>
      </w:r>
      <w:r>
        <w:rPr/>
        <w:t>Howard Williams medal in acknowledgement of his outstanding contribution to paediatrics and child</w:t>
      </w:r>
      <w:r>
        <w:rPr>
          <w:spacing w:val="-34"/>
        </w:rPr>
        <w:t> </w:t>
      </w:r>
      <w:r>
        <w:rPr/>
        <w:t>health.</w:t>
      </w:r>
    </w:p>
    <w:p>
      <w:pPr>
        <w:pStyle w:val="BodyText"/>
        <w:rPr>
          <w:sz w:val="14"/>
        </w:rPr>
      </w:pPr>
    </w:p>
    <w:p>
      <w:pPr>
        <w:pStyle w:val="BodyText"/>
        <w:spacing w:line="249" w:lineRule="auto"/>
        <w:ind w:left="107" w:right="83"/>
      </w:pPr>
      <w:r>
        <w:rPr>
          <w:spacing w:val="-1"/>
          <w:w w:val="107"/>
        </w:rPr>
        <w:t>At</w:t>
      </w:r>
      <w:r>
        <w:rPr>
          <w:w w:val="107"/>
        </w:rPr>
        <w:t> </w:t>
      </w:r>
      <w:r>
        <w:rPr>
          <w:w w:val="97"/>
        </w:rPr>
        <w:t>the </w:t>
      </w:r>
      <w:r>
        <w:rPr>
          <w:spacing w:val="1"/>
          <w:w w:val="88"/>
        </w:rPr>
        <w:t>2015</w:t>
      </w:r>
      <w:r>
        <w:rPr>
          <w:w w:val="88"/>
        </w:rPr>
        <w:t> </w:t>
      </w:r>
      <w:r>
        <w:rPr>
          <w:spacing w:val="1"/>
          <w:w w:val="98"/>
        </w:rPr>
        <w:t>Vice-Chancellor’s</w:t>
      </w:r>
      <w:r>
        <w:rPr>
          <w:w w:val="98"/>
        </w:rPr>
        <w:t> </w:t>
      </w:r>
      <w:r>
        <w:rPr>
          <w:spacing w:val="1"/>
          <w:w w:val="98"/>
        </w:rPr>
        <w:t>Excellence</w:t>
      </w:r>
      <w:r>
        <w:rPr>
          <w:w w:val="98"/>
        </w:rPr>
        <w:t> </w:t>
      </w:r>
      <w:r>
        <w:rPr/>
        <w:t>Awards, Dr Elizabeth Conroy was named Early Career Researcher of the </w:t>
      </w:r>
      <w:r>
        <w:rPr>
          <w:spacing w:val="-3"/>
        </w:rPr>
        <w:t>Year, </w:t>
      </w:r>
      <w:r>
        <w:rPr/>
        <w:t>Dr Brahm</w:t>
      </w:r>
      <w:r>
        <w:rPr>
          <w:spacing w:val="-20"/>
        </w:rPr>
        <w:t> </w:t>
      </w:r>
      <w:r>
        <w:rPr/>
        <w:t>Marjadi</w:t>
      </w:r>
      <w:r>
        <w:rPr>
          <w:spacing w:val="-20"/>
        </w:rPr>
        <w:t> </w:t>
      </w:r>
      <w:r>
        <w:rPr/>
        <w:t>and</w:t>
      </w:r>
      <w:r>
        <w:rPr>
          <w:spacing w:val="-20"/>
        </w:rPr>
        <w:t> </w:t>
      </w:r>
      <w:r>
        <w:rPr/>
        <w:t>Tina</w:t>
      </w:r>
      <w:r>
        <w:rPr>
          <w:spacing w:val="-20"/>
        </w:rPr>
        <w:t> </w:t>
      </w:r>
      <w:r>
        <w:rPr>
          <w:spacing w:val="2"/>
        </w:rPr>
        <w:t>Banks</w:t>
      </w:r>
      <w:r>
        <w:rPr>
          <w:spacing w:val="-20"/>
        </w:rPr>
        <w:t> </w:t>
      </w:r>
      <w:r>
        <w:rPr/>
        <w:t>were</w:t>
      </w:r>
      <w:r>
        <w:rPr>
          <w:spacing w:val="-20"/>
        </w:rPr>
        <w:t> </w:t>
      </w:r>
      <w:r>
        <w:rPr/>
        <w:t>the</w:t>
      </w:r>
      <w:r>
        <w:rPr>
          <w:spacing w:val="-20"/>
        </w:rPr>
        <w:t> </w:t>
      </w:r>
      <w:r>
        <w:rPr/>
        <w:t>team winner</w:t>
      </w:r>
      <w:r>
        <w:rPr>
          <w:spacing w:val="-15"/>
        </w:rPr>
        <w:t> </w:t>
      </w:r>
      <w:r>
        <w:rPr/>
        <w:t>of</w:t>
      </w:r>
      <w:r>
        <w:rPr>
          <w:spacing w:val="-15"/>
        </w:rPr>
        <w:t> </w:t>
      </w:r>
      <w:r>
        <w:rPr/>
        <w:t>the</w:t>
      </w:r>
      <w:r>
        <w:rPr>
          <w:spacing w:val="-15"/>
        </w:rPr>
        <w:t> </w:t>
      </w:r>
      <w:r>
        <w:rPr/>
        <w:t>Engagement</w:t>
      </w:r>
      <w:r>
        <w:rPr>
          <w:spacing w:val="-15"/>
        </w:rPr>
        <w:t> </w:t>
      </w:r>
      <w:r>
        <w:rPr/>
        <w:t>and</w:t>
      </w:r>
      <w:r>
        <w:rPr>
          <w:spacing w:val="-15"/>
        </w:rPr>
        <w:t> </w:t>
      </w:r>
      <w:r>
        <w:rPr/>
        <w:t>Sustainability category, and Dr Vincent Ho received a citation for his outstanding contribution to student</w:t>
      </w:r>
      <w:r>
        <w:rPr>
          <w:spacing w:val="-33"/>
        </w:rPr>
        <w:t> </w:t>
      </w:r>
      <w:r>
        <w:rPr/>
        <w:t>learning.</w:t>
      </w:r>
    </w:p>
    <w:p>
      <w:pPr>
        <w:pStyle w:val="BodyText"/>
        <w:rPr>
          <w:sz w:val="14"/>
        </w:rPr>
      </w:pPr>
    </w:p>
    <w:p>
      <w:pPr>
        <w:pStyle w:val="BodyText"/>
        <w:spacing w:line="249" w:lineRule="auto"/>
        <w:ind w:left="107" w:right="204"/>
      </w:pPr>
      <w:r>
        <w:rPr/>
        <w:t>The School is also pleased to note the achievement</w:t>
      </w:r>
      <w:r>
        <w:rPr>
          <w:spacing w:val="-19"/>
        </w:rPr>
        <w:t> </w:t>
      </w:r>
      <w:r>
        <w:rPr/>
        <w:t>of</w:t>
      </w:r>
      <w:r>
        <w:rPr>
          <w:spacing w:val="-19"/>
        </w:rPr>
        <w:t> </w:t>
      </w:r>
      <w:r>
        <w:rPr/>
        <w:t>Dr</w:t>
      </w:r>
      <w:r>
        <w:rPr>
          <w:spacing w:val="-19"/>
        </w:rPr>
        <w:t> </w:t>
      </w:r>
      <w:r>
        <w:rPr/>
        <w:t>Erika</w:t>
      </w:r>
      <w:r>
        <w:rPr>
          <w:spacing w:val="-19"/>
        </w:rPr>
        <w:t> </w:t>
      </w:r>
      <w:r>
        <w:rPr/>
        <w:t>Gyengesi,</w:t>
      </w:r>
      <w:r>
        <w:rPr>
          <w:spacing w:val="-19"/>
        </w:rPr>
        <w:t> </w:t>
      </w:r>
      <w:r>
        <w:rPr/>
        <w:t>who</w:t>
      </w:r>
      <w:r>
        <w:rPr>
          <w:spacing w:val="-19"/>
        </w:rPr>
        <w:t> </w:t>
      </w:r>
      <w:r>
        <w:rPr/>
        <w:t>was </w:t>
      </w:r>
      <w:r>
        <w:rPr>
          <w:w w:val="99"/>
        </w:rPr>
        <w:t>promoted</w:t>
      </w:r>
      <w:r>
        <w:rPr>
          <w:spacing w:val="-9"/>
          <w:w w:val="99"/>
        </w:rPr>
        <w:t> </w:t>
      </w:r>
      <w:r>
        <w:rPr>
          <w:spacing w:val="-1"/>
          <w:w w:val="101"/>
        </w:rPr>
        <w:t>to</w:t>
      </w:r>
      <w:r>
        <w:rPr>
          <w:spacing w:val="-10"/>
          <w:w w:val="101"/>
        </w:rPr>
        <w:t> </w:t>
      </w:r>
      <w:r>
        <w:rPr>
          <w:spacing w:val="1"/>
          <w:w w:val="97"/>
        </w:rPr>
        <w:t>lecturer</w:t>
      </w:r>
      <w:r>
        <w:rPr>
          <w:spacing w:val="-8"/>
          <w:w w:val="97"/>
        </w:rPr>
        <w:t> </w:t>
      </w:r>
      <w:r>
        <w:rPr>
          <w:w w:val="95"/>
        </w:rPr>
        <w:t>in</w:t>
      </w:r>
      <w:r>
        <w:rPr>
          <w:spacing w:val="-7"/>
          <w:w w:val="95"/>
        </w:rPr>
        <w:t> </w:t>
      </w:r>
      <w:r>
        <w:rPr>
          <w:w w:val="97"/>
        </w:rPr>
        <w:t>the</w:t>
      </w:r>
      <w:r>
        <w:rPr>
          <w:spacing w:val="-8"/>
          <w:w w:val="97"/>
        </w:rPr>
        <w:t> </w:t>
      </w:r>
      <w:r>
        <w:rPr>
          <w:spacing w:val="1"/>
          <w:w w:val="90"/>
        </w:rPr>
        <w:t>2014</w:t>
      </w:r>
      <w:r>
        <w:rPr>
          <w:spacing w:val="-5"/>
          <w:w w:val="90"/>
        </w:rPr>
        <w:t> </w:t>
      </w:r>
      <w:r>
        <w:rPr>
          <w:w w:val="99"/>
        </w:rPr>
        <w:t>promotion </w:t>
      </w:r>
      <w:r>
        <w:rPr/>
        <w:t>round.</w:t>
      </w:r>
    </w:p>
    <w:p>
      <w:pPr>
        <w:pStyle w:val="BodyText"/>
        <w:rPr>
          <w:sz w:val="14"/>
        </w:rPr>
      </w:pPr>
    </w:p>
    <w:p>
      <w:pPr>
        <w:pStyle w:val="BodyText"/>
        <w:spacing w:line="249" w:lineRule="auto"/>
        <w:ind w:left="107" w:right="251"/>
      </w:pPr>
      <w:r>
        <w:rPr/>
        <w:t>We</w:t>
      </w:r>
      <w:r>
        <w:rPr>
          <w:spacing w:val="-12"/>
        </w:rPr>
        <w:t> </w:t>
      </w:r>
      <w:r>
        <w:rPr/>
        <w:t>are</w:t>
      </w:r>
      <w:r>
        <w:rPr>
          <w:spacing w:val="-12"/>
        </w:rPr>
        <w:t> </w:t>
      </w:r>
      <w:r>
        <w:rPr/>
        <w:t>pleased</w:t>
      </w:r>
      <w:r>
        <w:rPr>
          <w:spacing w:val="-12"/>
        </w:rPr>
        <w:t> </w:t>
      </w:r>
      <w:r>
        <w:rPr/>
        <w:t>to</w:t>
      </w:r>
      <w:r>
        <w:rPr>
          <w:spacing w:val="-12"/>
        </w:rPr>
        <w:t> </w:t>
      </w:r>
      <w:r>
        <w:rPr/>
        <w:t>welcome</w:t>
      </w:r>
      <w:r>
        <w:rPr>
          <w:spacing w:val="-12"/>
        </w:rPr>
        <w:t> </w:t>
      </w:r>
      <w:r>
        <w:rPr/>
        <w:t>the</w:t>
      </w:r>
      <w:r>
        <w:rPr>
          <w:spacing w:val="-12"/>
        </w:rPr>
        <w:t> </w:t>
      </w:r>
      <w:r>
        <w:rPr/>
        <w:t>Aboriginal Health and Wellbeing group, including Dr Megan Williams, Ms Sally Fitzpatrick, Dr Rachelle</w:t>
      </w:r>
      <w:r>
        <w:rPr>
          <w:spacing w:val="-18"/>
        </w:rPr>
        <w:t> </w:t>
      </w:r>
      <w:r>
        <w:rPr/>
        <w:t>Arkles</w:t>
      </w:r>
      <w:r>
        <w:rPr>
          <w:spacing w:val="-18"/>
        </w:rPr>
        <w:t> </w:t>
      </w:r>
      <w:r>
        <w:rPr/>
        <w:t>and</w:t>
      </w:r>
      <w:r>
        <w:rPr>
          <w:spacing w:val="-18"/>
        </w:rPr>
        <w:t> </w:t>
      </w:r>
      <w:r>
        <w:rPr/>
        <w:t>Dr</w:t>
      </w:r>
      <w:r>
        <w:rPr>
          <w:spacing w:val="-18"/>
        </w:rPr>
        <w:t> </w:t>
      </w:r>
      <w:r>
        <w:rPr/>
        <w:t>Ilse</w:t>
      </w:r>
      <w:r>
        <w:rPr>
          <w:spacing w:val="-18"/>
        </w:rPr>
        <w:t> </w:t>
      </w:r>
      <w:r>
        <w:rPr/>
        <w:t>Blignault,</w:t>
      </w:r>
      <w:r>
        <w:rPr>
          <w:spacing w:val="-18"/>
        </w:rPr>
        <w:t> </w:t>
      </w:r>
      <w:r>
        <w:rPr/>
        <w:t>to</w:t>
      </w:r>
      <w:r>
        <w:rPr>
          <w:spacing w:val="-18"/>
        </w:rPr>
        <w:t> </w:t>
      </w:r>
      <w:r>
        <w:rPr/>
        <w:t>the Centre</w:t>
      </w:r>
      <w:r>
        <w:rPr>
          <w:spacing w:val="-25"/>
        </w:rPr>
        <w:t> </w:t>
      </w:r>
      <w:r>
        <w:rPr/>
        <w:t>for</w:t>
      </w:r>
      <w:r>
        <w:rPr>
          <w:spacing w:val="-25"/>
        </w:rPr>
        <w:t> </w:t>
      </w:r>
      <w:r>
        <w:rPr/>
        <w:t>Health</w:t>
      </w:r>
      <w:r>
        <w:rPr>
          <w:spacing w:val="-25"/>
        </w:rPr>
        <w:t> </w:t>
      </w:r>
      <w:r>
        <w:rPr/>
        <w:t>Research.</w:t>
      </w:r>
    </w:p>
    <w:p>
      <w:pPr>
        <w:pStyle w:val="BodyText"/>
        <w:spacing w:before="7"/>
        <w:rPr>
          <w:sz w:val="21"/>
        </w:rPr>
      </w:pPr>
    </w:p>
    <w:p>
      <w:pPr>
        <w:pStyle w:val="Heading8"/>
      </w:pPr>
      <w:r>
        <w:rPr>
          <w:w w:val="95"/>
        </w:rPr>
        <w:t>LEARNING AND TEACHING</w:t>
      </w:r>
    </w:p>
    <w:p>
      <w:pPr>
        <w:pStyle w:val="BodyText"/>
        <w:spacing w:line="249" w:lineRule="auto" w:before="86"/>
        <w:ind w:left="107"/>
      </w:pPr>
      <w:r>
        <w:rPr/>
        <w:t>Following Professor Cees van der Vleuten’s visit to the University, Professor Wendy Hu travelled</w:t>
      </w:r>
      <w:r>
        <w:rPr>
          <w:spacing w:val="-20"/>
        </w:rPr>
        <w:t> </w:t>
      </w:r>
      <w:r>
        <w:rPr/>
        <w:t>to</w:t>
      </w:r>
      <w:r>
        <w:rPr>
          <w:spacing w:val="-20"/>
        </w:rPr>
        <w:t> </w:t>
      </w:r>
      <w:r>
        <w:rPr/>
        <w:t>Maastricht</w:t>
      </w:r>
      <w:r>
        <w:rPr>
          <w:spacing w:val="-20"/>
        </w:rPr>
        <w:t> </w:t>
      </w:r>
      <w:r>
        <w:rPr/>
        <w:t>and</w:t>
      </w:r>
      <w:r>
        <w:rPr>
          <w:spacing w:val="-20"/>
        </w:rPr>
        <w:t> </w:t>
      </w:r>
      <w:r>
        <w:rPr/>
        <w:t>Utrecht</w:t>
      </w:r>
      <w:r>
        <w:rPr>
          <w:spacing w:val="-20"/>
        </w:rPr>
        <w:t> </w:t>
      </w:r>
      <w:r>
        <w:rPr/>
        <w:t>universities in the Netherlands to work on international projects in medical education, and to explore opportunities for further collaboration in research</w:t>
      </w:r>
      <w:r>
        <w:rPr>
          <w:spacing w:val="-29"/>
        </w:rPr>
        <w:t> </w:t>
      </w:r>
      <w:r>
        <w:rPr/>
        <w:t>and</w:t>
      </w:r>
      <w:r>
        <w:rPr>
          <w:spacing w:val="-29"/>
        </w:rPr>
        <w:t> </w:t>
      </w:r>
      <w:r>
        <w:rPr/>
        <w:t>scholarship.</w:t>
      </w:r>
    </w:p>
    <w:p>
      <w:pPr>
        <w:pStyle w:val="BodyText"/>
        <w:spacing w:before="10"/>
      </w:pPr>
      <w:r>
        <w:rPr/>
        <w:br w:type="column"/>
      </w:r>
      <w:r>
        <w:rPr/>
      </w:r>
    </w:p>
    <w:p>
      <w:pPr>
        <w:pStyle w:val="BodyText"/>
        <w:spacing w:line="249" w:lineRule="auto"/>
        <w:ind w:left="107" w:right="-17"/>
      </w:pPr>
      <w:r>
        <w:rPr/>
        <w:t>The Bathurst Rural Clinical School (BRCS) celebrated its fifth anniversary in conjunction with</w:t>
      </w:r>
      <w:r>
        <w:rPr>
          <w:spacing w:val="-20"/>
        </w:rPr>
        <w:t> </w:t>
      </w:r>
      <w:r>
        <w:rPr/>
        <w:t>Bathurst’s</w:t>
      </w:r>
      <w:r>
        <w:rPr>
          <w:spacing w:val="-20"/>
        </w:rPr>
        <w:t> </w:t>
      </w:r>
      <w:r>
        <w:rPr/>
        <w:t>200th</w:t>
      </w:r>
      <w:r>
        <w:rPr>
          <w:spacing w:val="-20"/>
        </w:rPr>
        <w:t> </w:t>
      </w:r>
      <w:r>
        <w:rPr/>
        <w:t>anniversary</w:t>
      </w:r>
      <w:r>
        <w:rPr>
          <w:spacing w:val="-20"/>
        </w:rPr>
        <w:t> </w:t>
      </w:r>
      <w:r>
        <w:rPr/>
        <w:t>celebrations in May. The School held an education day followed by a dinner at which the School formally</w:t>
      </w:r>
      <w:r>
        <w:rPr>
          <w:spacing w:val="-26"/>
        </w:rPr>
        <w:t> </w:t>
      </w:r>
      <w:r>
        <w:rPr/>
        <w:t>recognised</w:t>
      </w:r>
      <w:r>
        <w:rPr>
          <w:spacing w:val="-26"/>
        </w:rPr>
        <w:t> </w:t>
      </w:r>
      <w:r>
        <w:rPr/>
        <w:t>the</w:t>
      </w:r>
      <w:r>
        <w:rPr>
          <w:spacing w:val="-26"/>
        </w:rPr>
        <w:t> </w:t>
      </w:r>
      <w:r>
        <w:rPr/>
        <w:t>retirement</w:t>
      </w:r>
      <w:r>
        <w:rPr>
          <w:spacing w:val="-26"/>
        </w:rPr>
        <w:t> </w:t>
      </w:r>
      <w:r>
        <w:rPr/>
        <w:t>of</w:t>
      </w:r>
    </w:p>
    <w:p>
      <w:pPr>
        <w:pStyle w:val="BodyText"/>
        <w:spacing w:line="249" w:lineRule="auto"/>
        <w:ind w:left="107" w:right="220"/>
      </w:pPr>
      <w:r>
        <w:rPr/>
        <w:t>Jenny</w:t>
      </w:r>
      <w:r>
        <w:rPr>
          <w:spacing w:val="-22"/>
        </w:rPr>
        <w:t> </w:t>
      </w:r>
      <w:r>
        <w:rPr/>
        <w:t>Akers,</w:t>
      </w:r>
      <w:r>
        <w:rPr>
          <w:spacing w:val="-22"/>
        </w:rPr>
        <w:t> </w:t>
      </w:r>
      <w:r>
        <w:rPr/>
        <w:t>a</w:t>
      </w:r>
      <w:r>
        <w:rPr>
          <w:spacing w:val="-22"/>
        </w:rPr>
        <w:t> </w:t>
      </w:r>
      <w:r>
        <w:rPr/>
        <w:t>foundation</w:t>
      </w:r>
      <w:r>
        <w:rPr>
          <w:spacing w:val="-22"/>
        </w:rPr>
        <w:t> </w:t>
      </w:r>
      <w:r>
        <w:rPr/>
        <w:t>staff</w:t>
      </w:r>
      <w:r>
        <w:rPr>
          <w:spacing w:val="-22"/>
        </w:rPr>
        <w:t> </w:t>
      </w:r>
      <w:r>
        <w:rPr/>
        <w:t>member.</w:t>
      </w:r>
      <w:r>
        <w:rPr>
          <w:spacing w:val="-22"/>
        </w:rPr>
        <w:t> </w:t>
      </w:r>
      <w:r>
        <w:rPr/>
        <w:t>As Executive</w:t>
      </w:r>
      <w:r>
        <w:rPr>
          <w:spacing w:val="-22"/>
        </w:rPr>
        <w:t> </w:t>
      </w:r>
      <w:r>
        <w:rPr/>
        <w:t>Officer</w:t>
      </w:r>
      <w:r>
        <w:rPr>
          <w:spacing w:val="-22"/>
        </w:rPr>
        <w:t> </w:t>
      </w:r>
      <w:r>
        <w:rPr/>
        <w:t>for</w:t>
      </w:r>
      <w:r>
        <w:rPr>
          <w:spacing w:val="-22"/>
        </w:rPr>
        <w:t> </w:t>
      </w:r>
      <w:r>
        <w:rPr/>
        <w:t>Clinical</w:t>
      </w:r>
      <w:r>
        <w:rPr>
          <w:spacing w:val="-22"/>
        </w:rPr>
        <w:t> </w:t>
      </w:r>
      <w:r>
        <w:rPr/>
        <w:t>Education,</w:t>
      </w:r>
      <w:r>
        <w:rPr>
          <w:spacing w:val="-22"/>
        </w:rPr>
        <w:t> </w:t>
      </w:r>
      <w:r>
        <w:rPr/>
        <w:t>she oversaw the establishment of the clinical schools at Campbelltown and Blacktown hospitals, and then later set up the rural program.</w:t>
      </w:r>
    </w:p>
    <w:p>
      <w:pPr>
        <w:pStyle w:val="BodyText"/>
        <w:rPr>
          <w:sz w:val="14"/>
        </w:rPr>
      </w:pPr>
    </w:p>
    <w:p>
      <w:pPr>
        <w:pStyle w:val="BodyText"/>
        <w:spacing w:line="249" w:lineRule="auto"/>
        <w:ind w:left="107" w:right="187"/>
      </w:pPr>
      <w:r>
        <w:rPr/>
        <w:t>Dr Bronwen Dalziel and Glenn Mason from the</w:t>
      </w:r>
      <w:r>
        <w:rPr>
          <w:spacing w:val="-27"/>
        </w:rPr>
        <w:t> </w:t>
      </w:r>
      <w:r>
        <w:rPr/>
        <w:t>Medical</w:t>
      </w:r>
      <w:r>
        <w:rPr>
          <w:spacing w:val="-27"/>
        </w:rPr>
        <w:t> </w:t>
      </w:r>
      <w:r>
        <w:rPr/>
        <w:t>Education</w:t>
      </w:r>
      <w:r>
        <w:rPr>
          <w:spacing w:val="-27"/>
        </w:rPr>
        <w:t> </w:t>
      </w:r>
      <w:r>
        <w:rPr/>
        <w:t>Unit</w:t>
      </w:r>
      <w:r>
        <w:rPr>
          <w:spacing w:val="-27"/>
        </w:rPr>
        <w:t> </w:t>
      </w:r>
      <w:r>
        <w:rPr/>
        <w:t>were</w:t>
      </w:r>
      <w:r>
        <w:rPr>
          <w:spacing w:val="-27"/>
        </w:rPr>
        <w:t> </w:t>
      </w:r>
      <w:r>
        <w:rPr/>
        <w:t>awarded</w:t>
      </w:r>
      <w:r>
        <w:rPr>
          <w:spacing w:val="-27"/>
        </w:rPr>
        <w:t> </w:t>
      </w:r>
      <w:r>
        <w:rPr/>
        <w:t>an Office</w:t>
      </w:r>
      <w:r>
        <w:rPr>
          <w:spacing w:val="-29"/>
        </w:rPr>
        <w:t> </w:t>
      </w:r>
      <w:r>
        <w:rPr/>
        <w:t>of</w:t>
      </w:r>
      <w:r>
        <w:rPr>
          <w:spacing w:val="-29"/>
        </w:rPr>
        <w:t> </w:t>
      </w:r>
      <w:r>
        <w:rPr/>
        <w:t>Learning</w:t>
      </w:r>
      <w:r>
        <w:rPr>
          <w:spacing w:val="-29"/>
        </w:rPr>
        <w:t> </w:t>
      </w:r>
      <w:r>
        <w:rPr/>
        <w:t>and</w:t>
      </w:r>
      <w:r>
        <w:rPr>
          <w:spacing w:val="-29"/>
        </w:rPr>
        <w:t> </w:t>
      </w:r>
      <w:r>
        <w:rPr/>
        <w:t>Teaching</w:t>
      </w:r>
      <w:r>
        <w:rPr>
          <w:spacing w:val="-29"/>
        </w:rPr>
        <w:t> </w:t>
      </w:r>
      <w:r>
        <w:rPr/>
        <w:t>Citation</w:t>
      </w:r>
      <w:r>
        <w:rPr>
          <w:spacing w:val="-29"/>
        </w:rPr>
        <w:t> </w:t>
      </w:r>
      <w:r>
        <w:rPr/>
        <w:t>for</w:t>
      </w:r>
    </w:p>
    <w:p>
      <w:pPr>
        <w:pStyle w:val="BodyText"/>
        <w:spacing w:line="249" w:lineRule="auto"/>
        <w:ind w:left="107" w:right="-3"/>
      </w:pPr>
      <w:r>
        <w:rPr/>
        <w:t>Outstanding</w:t>
      </w:r>
      <w:r>
        <w:rPr>
          <w:spacing w:val="-29"/>
        </w:rPr>
        <w:t> </w:t>
      </w:r>
      <w:r>
        <w:rPr/>
        <w:t>Contributions</w:t>
      </w:r>
      <w:r>
        <w:rPr>
          <w:spacing w:val="-29"/>
        </w:rPr>
        <w:t> </w:t>
      </w:r>
      <w:r>
        <w:rPr/>
        <w:t>to</w:t>
      </w:r>
      <w:r>
        <w:rPr>
          <w:spacing w:val="-29"/>
        </w:rPr>
        <w:t> </w:t>
      </w:r>
      <w:r>
        <w:rPr/>
        <w:t>Student</w:t>
      </w:r>
      <w:r>
        <w:rPr>
          <w:spacing w:val="-29"/>
        </w:rPr>
        <w:t> </w:t>
      </w:r>
      <w:r>
        <w:rPr/>
        <w:t>Learning for</w:t>
      </w:r>
      <w:r>
        <w:rPr>
          <w:spacing w:val="-25"/>
        </w:rPr>
        <w:t> </w:t>
      </w:r>
      <w:r>
        <w:rPr/>
        <w:t>their</w:t>
      </w:r>
      <w:r>
        <w:rPr>
          <w:spacing w:val="-25"/>
        </w:rPr>
        <w:t> </w:t>
      </w:r>
      <w:r>
        <w:rPr/>
        <w:t>work</w:t>
      </w:r>
      <w:r>
        <w:rPr>
          <w:spacing w:val="-25"/>
        </w:rPr>
        <w:t> </w:t>
      </w:r>
      <w:r>
        <w:rPr/>
        <w:t>on</w:t>
      </w:r>
      <w:r>
        <w:rPr>
          <w:spacing w:val="-25"/>
        </w:rPr>
        <w:t> </w:t>
      </w:r>
      <w:r>
        <w:rPr/>
        <w:t>the</w:t>
      </w:r>
      <w:r>
        <w:rPr>
          <w:spacing w:val="-25"/>
        </w:rPr>
        <w:t> </w:t>
      </w:r>
      <w:r>
        <w:rPr/>
        <w:t>Scientific</w:t>
      </w:r>
      <w:r>
        <w:rPr>
          <w:spacing w:val="-25"/>
        </w:rPr>
        <w:t> </w:t>
      </w:r>
      <w:r>
        <w:rPr/>
        <w:t>Streams.</w:t>
      </w:r>
      <w:r>
        <w:rPr>
          <w:spacing w:val="-25"/>
        </w:rPr>
        <w:t> </w:t>
      </w:r>
      <w:r>
        <w:rPr/>
        <w:t>These streams are online materials that Bachelor of Medicine and Bachelor of Surgery (MBBS) students</w:t>
      </w:r>
      <w:r>
        <w:rPr>
          <w:spacing w:val="-25"/>
        </w:rPr>
        <w:t> </w:t>
      </w:r>
      <w:r>
        <w:rPr/>
        <w:t>use</w:t>
      </w:r>
      <w:r>
        <w:rPr>
          <w:spacing w:val="-25"/>
        </w:rPr>
        <w:t> </w:t>
      </w:r>
      <w:r>
        <w:rPr/>
        <w:t>during</w:t>
      </w:r>
      <w:r>
        <w:rPr>
          <w:spacing w:val="-25"/>
        </w:rPr>
        <w:t> </w:t>
      </w:r>
      <w:r>
        <w:rPr/>
        <w:t>years</w:t>
      </w:r>
      <w:r>
        <w:rPr>
          <w:spacing w:val="-25"/>
        </w:rPr>
        <w:t> </w:t>
      </w:r>
      <w:r>
        <w:rPr/>
        <w:t>3–5</w:t>
      </w:r>
      <w:r>
        <w:rPr>
          <w:spacing w:val="-25"/>
        </w:rPr>
        <w:t> </w:t>
      </w:r>
      <w:r>
        <w:rPr/>
        <w:t>of</w:t>
      </w:r>
      <w:r>
        <w:rPr>
          <w:spacing w:val="-25"/>
        </w:rPr>
        <w:t> </w:t>
      </w:r>
      <w:r>
        <w:rPr/>
        <w:t>the</w:t>
      </w:r>
      <w:r>
        <w:rPr>
          <w:spacing w:val="-25"/>
        </w:rPr>
        <w:t> </w:t>
      </w:r>
      <w:r>
        <w:rPr/>
        <w:t>program. Dr</w:t>
      </w:r>
      <w:r>
        <w:rPr>
          <w:spacing w:val="-25"/>
        </w:rPr>
        <w:t> </w:t>
      </w:r>
      <w:r>
        <w:rPr/>
        <w:t>Dalziel</w:t>
      </w:r>
      <w:r>
        <w:rPr>
          <w:spacing w:val="-25"/>
        </w:rPr>
        <w:t> </w:t>
      </w:r>
      <w:r>
        <w:rPr/>
        <w:t>and</w:t>
      </w:r>
      <w:r>
        <w:rPr>
          <w:spacing w:val="-25"/>
        </w:rPr>
        <w:t> </w:t>
      </w:r>
      <w:r>
        <w:rPr/>
        <w:t>Mr</w:t>
      </w:r>
      <w:r>
        <w:rPr>
          <w:spacing w:val="-25"/>
        </w:rPr>
        <w:t> </w:t>
      </w:r>
      <w:r>
        <w:rPr/>
        <w:t>Mason</w:t>
      </w:r>
      <w:r>
        <w:rPr>
          <w:spacing w:val="-25"/>
        </w:rPr>
        <w:t> </w:t>
      </w:r>
      <w:r>
        <w:rPr/>
        <w:t>were</w:t>
      </w:r>
      <w:r>
        <w:rPr>
          <w:spacing w:val="-25"/>
        </w:rPr>
        <w:t> </w:t>
      </w:r>
      <w:r>
        <w:rPr/>
        <w:t>the</w:t>
      </w:r>
      <w:r>
        <w:rPr>
          <w:spacing w:val="-25"/>
        </w:rPr>
        <w:t> </w:t>
      </w:r>
      <w:r>
        <w:rPr/>
        <w:t>only</w:t>
      </w:r>
      <w:r>
        <w:rPr>
          <w:spacing w:val="-25"/>
        </w:rPr>
        <w:t> </w:t>
      </w:r>
      <w:r>
        <w:rPr/>
        <w:t>Western Sydney University staff members to win this </w:t>
      </w:r>
      <w:r>
        <w:rPr>
          <w:spacing w:val="-1"/>
          <w:w w:val="96"/>
        </w:rPr>
        <w:t>national</w:t>
      </w:r>
      <w:r>
        <w:rPr>
          <w:w w:val="96"/>
        </w:rPr>
        <w:t> </w:t>
      </w:r>
      <w:r>
        <w:rPr>
          <w:spacing w:val="-2"/>
          <w:w w:val="97"/>
        </w:rPr>
        <w:t>award</w:t>
      </w:r>
      <w:r>
        <w:rPr>
          <w:w w:val="97"/>
        </w:rPr>
        <w:t> </w:t>
      </w:r>
      <w:r>
        <w:rPr>
          <w:spacing w:val="-1"/>
          <w:w w:val="95"/>
        </w:rPr>
        <w:t>in</w:t>
      </w:r>
      <w:r>
        <w:rPr>
          <w:w w:val="95"/>
        </w:rPr>
        <w:t> </w:t>
      </w:r>
      <w:r>
        <w:rPr>
          <w:w w:val="86"/>
        </w:rPr>
        <w:t>2014. </w:t>
      </w:r>
      <w:r>
        <w:rPr>
          <w:w w:val="96"/>
        </w:rPr>
        <w:t>Dr </w:t>
      </w:r>
      <w:r>
        <w:rPr>
          <w:spacing w:val="-1"/>
          <w:w w:val="97"/>
        </w:rPr>
        <w:t>Dalziel</w:t>
      </w:r>
      <w:r>
        <w:rPr>
          <w:w w:val="97"/>
        </w:rPr>
        <w:t> </w:t>
      </w:r>
      <w:r>
        <w:rPr>
          <w:w w:val="96"/>
        </w:rPr>
        <w:t>was </w:t>
      </w:r>
      <w:r>
        <w:rPr>
          <w:spacing w:val="-1"/>
          <w:w w:val="96"/>
        </w:rPr>
        <w:t>also</w:t>
      </w:r>
      <w:r>
        <w:rPr>
          <w:w w:val="96"/>
        </w:rPr>
        <w:t> </w:t>
      </w:r>
      <w:r>
        <w:rPr/>
        <w:t>awarded</w:t>
      </w:r>
      <w:r>
        <w:rPr>
          <w:spacing w:val="-30"/>
        </w:rPr>
        <w:t> </w:t>
      </w:r>
      <w:r>
        <w:rPr/>
        <w:t>a</w:t>
      </w:r>
      <w:r>
        <w:rPr>
          <w:spacing w:val="-30"/>
        </w:rPr>
        <w:t> </w:t>
      </w:r>
      <w:r>
        <w:rPr/>
        <w:t>Western</w:t>
      </w:r>
      <w:r>
        <w:rPr>
          <w:spacing w:val="-30"/>
        </w:rPr>
        <w:t> </w:t>
      </w:r>
      <w:r>
        <w:rPr/>
        <w:t>Sydney</w:t>
      </w:r>
      <w:r>
        <w:rPr>
          <w:spacing w:val="-30"/>
        </w:rPr>
        <w:t> </w:t>
      </w:r>
      <w:r>
        <w:rPr/>
        <w:t>University</w:t>
      </w:r>
      <w:r>
        <w:rPr>
          <w:spacing w:val="-30"/>
        </w:rPr>
        <w:t> </w:t>
      </w:r>
      <w:r>
        <w:rPr/>
        <w:t>Learning and Teaching Award for using an evidence- based</w:t>
      </w:r>
      <w:r>
        <w:rPr>
          <w:spacing w:val="-24"/>
        </w:rPr>
        <w:t> </w:t>
      </w:r>
      <w:r>
        <w:rPr/>
        <w:t>framework</w:t>
      </w:r>
      <w:r>
        <w:rPr>
          <w:spacing w:val="-24"/>
        </w:rPr>
        <w:t> </w:t>
      </w:r>
      <w:r>
        <w:rPr/>
        <w:t>for</w:t>
      </w:r>
      <w:r>
        <w:rPr>
          <w:spacing w:val="-24"/>
        </w:rPr>
        <w:t> </w:t>
      </w:r>
      <w:r>
        <w:rPr/>
        <w:t>guiding</w:t>
      </w:r>
      <w:r>
        <w:rPr>
          <w:spacing w:val="-24"/>
        </w:rPr>
        <w:t> </w:t>
      </w:r>
      <w:r>
        <w:rPr/>
        <w:t>student</w:t>
      </w:r>
      <w:r>
        <w:rPr>
          <w:spacing w:val="-24"/>
        </w:rPr>
        <w:t> </w:t>
      </w:r>
      <w:r>
        <w:rPr/>
        <w:t>learning </w:t>
      </w:r>
      <w:r>
        <w:rPr>
          <w:w w:val="95"/>
        </w:rPr>
        <w:t>throughout the</w:t>
      </w:r>
      <w:r>
        <w:rPr>
          <w:spacing w:val="2"/>
          <w:w w:val="95"/>
        </w:rPr>
        <w:t> </w:t>
      </w:r>
      <w:r>
        <w:rPr>
          <w:w w:val="95"/>
        </w:rPr>
        <w:t>course.</w:t>
      </w:r>
    </w:p>
    <w:p>
      <w:pPr>
        <w:pStyle w:val="BodyText"/>
        <w:rPr>
          <w:sz w:val="14"/>
        </w:rPr>
      </w:pPr>
    </w:p>
    <w:p>
      <w:pPr>
        <w:pStyle w:val="BodyText"/>
        <w:spacing w:line="249" w:lineRule="auto"/>
        <w:ind w:left="107" w:right="142"/>
      </w:pPr>
      <w:r>
        <w:rPr/>
        <w:t>Associate Professor Joanne Lind was named an inaugural Western Sydney University Distinguished Teaching Fellow in recognition of her sustained achievement and commitment to outstanding teaching scholarship and practice.</w:t>
      </w:r>
    </w:p>
    <w:p>
      <w:pPr>
        <w:pStyle w:val="BodyText"/>
        <w:rPr>
          <w:sz w:val="14"/>
        </w:rPr>
      </w:pPr>
    </w:p>
    <w:p>
      <w:pPr>
        <w:pStyle w:val="BodyText"/>
        <w:spacing w:line="249" w:lineRule="auto"/>
        <w:ind w:left="107" w:right="122"/>
      </w:pPr>
      <w:r>
        <w:rPr/>
        <w:t>The School continued to focus on providing supervisor support and engagement.</w:t>
      </w:r>
    </w:p>
    <w:p>
      <w:pPr>
        <w:pStyle w:val="BodyText"/>
        <w:spacing w:line="249" w:lineRule="auto"/>
        <w:ind w:left="107" w:right="308"/>
      </w:pPr>
      <w:r>
        <w:rPr/>
        <w:t>For those in hospital environments, this mainly</w:t>
      </w:r>
      <w:r>
        <w:rPr>
          <w:spacing w:val="-15"/>
        </w:rPr>
        <w:t> </w:t>
      </w:r>
      <w:r>
        <w:rPr/>
        <w:t>occurs</w:t>
      </w:r>
      <w:r>
        <w:rPr>
          <w:spacing w:val="-15"/>
        </w:rPr>
        <w:t> </w:t>
      </w:r>
      <w:r>
        <w:rPr/>
        <w:t>through</w:t>
      </w:r>
      <w:r>
        <w:rPr>
          <w:spacing w:val="-15"/>
        </w:rPr>
        <w:t> </w:t>
      </w:r>
      <w:r>
        <w:rPr/>
        <w:t>the</w:t>
      </w:r>
      <w:r>
        <w:rPr>
          <w:spacing w:val="-15"/>
        </w:rPr>
        <w:t> </w:t>
      </w:r>
      <w:r>
        <w:rPr/>
        <w:t>clinical</w:t>
      </w:r>
      <w:r>
        <w:rPr>
          <w:spacing w:val="-15"/>
        </w:rPr>
        <w:t> </w:t>
      </w:r>
      <w:r>
        <w:rPr/>
        <w:t>schools and relevant clinical </w:t>
      </w:r>
      <w:r>
        <w:rPr>
          <w:spacing w:val="2"/>
        </w:rPr>
        <w:t>academics. </w:t>
      </w:r>
      <w:r>
        <w:rPr/>
        <w:t>The School continues to seek opportunities for</w:t>
      </w:r>
      <w:r>
        <w:rPr>
          <w:spacing w:val="-14"/>
        </w:rPr>
        <w:t> </w:t>
      </w:r>
      <w:r>
        <w:rPr/>
        <w:t>discussions</w:t>
      </w:r>
      <w:r>
        <w:rPr>
          <w:spacing w:val="-14"/>
        </w:rPr>
        <w:t> </w:t>
      </w:r>
      <w:r>
        <w:rPr/>
        <w:t>and</w:t>
      </w:r>
      <w:r>
        <w:rPr>
          <w:spacing w:val="-14"/>
        </w:rPr>
        <w:t> </w:t>
      </w:r>
      <w:r>
        <w:rPr/>
        <w:t>learning</w:t>
      </w:r>
      <w:r>
        <w:rPr>
          <w:spacing w:val="-14"/>
        </w:rPr>
        <w:t> </w:t>
      </w:r>
      <w:r>
        <w:rPr/>
        <w:t>opportunities</w:t>
      </w:r>
    </w:p>
    <w:p>
      <w:pPr>
        <w:pStyle w:val="BodyText"/>
        <w:spacing w:line="249" w:lineRule="auto"/>
        <w:ind w:left="107"/>
      </w:pPr>
      <w:r>
        <w:rPr/>
        <w:t>through its alliances, for example, bringing together</w:t>
      </w:r>
      <w:r>
        <w:rPr>
          <w:spacing w:val="-13"/>
        </w:rPr>
        <w:t> </w:t>
      </w:r>
      <w:r>
        <w:rPr/>
        <w:t>general</w:t>
      </w:r>
      <w:r>
        <w:rPr>
          <w:spacing w:val="-13"/>
        </w:rPr>
        <w:t> </w:t>
      </w:r>
      <w:r>
        <w:rPr/>
        <w:t>practitioners</w:t>
      </w:r>
      <w:r>
        <w:rPr>
          <w:spacing w:val="-13"/>
        </w:rPr>
        <w:t> </w:t>
      </w:r>
      <w:r>
        <w:rPr/>
        <w:t>and</w:t>
      </w:r>
      <w:r>
        <w:rPr>
          <w:spacing w:val="-13"/>
        </w:rPr>
        <w:t> </w:t>
      </w:r>
      <w:r>
        <w:rPr/>
        <w:t>community partners who supervise students in the Medicine-in-Context component of our program.</w:t>
      </w:r>
    </w:p>
    <w:p>
      <w:pPr>
        <w:pStyle w:val="BodyText"/>
        <w:rPr>
          <w:sz w:val="14"/>
        </w:rPr>
      </w:pPr>
    </w:p>
    <w:p>
      <w:pPr>
        <w:pStyle w:val="BodyText"/>
        <w:spacing w:line="249" w:lineRule="auto"/>
        <w:ind w:left="107" w:right="-4"/>
      </w:pPr>
      <w:r>
        <w:rPr/>
        <w:t>In October, for the first time we convened a workshop that brought together supervisors from all non-clinical attachments (community partners, paediatric school supervisors and Aboriginal Medical Service supervisors) with alumni and students. This workshop was</w:t>
      </w:r>
    </w:p>
    <w:p>
      <w:pPr>
        <w:pStyle w:val="BodyText"/>
        <w:spacing w:before="10"/>
      </w:pPr>
      <w:r>
        <w:rPr/>
        <w:br w:type="column"/>
      </w:r>
      <w:r>
        <w:rPr/>
      </w:r>
    </w:p>
    <w:p>
      <w:pPr>
        <w:pStyle w:val="BodyText"/>
        <w:spacing w:line="249" w:lineRule="auto"/>
        <w:ind w:left="107" w:right="51"/>
      </w:pPr>
      <w:r>
        <w:rPr/>
        <w:t>mutually valuable as it continued the robust conversations and collaboration necessary for developing these course components, and the program as a whole.</w:t>
      </w:r>
    </w:p>
    <w:p>
      <w:pPr>
        <w:pStyle w:val="BodyText"/>
        <w:spacing w:before="7"/>
        <w:rPr>
          <w:sz w:val="21"/>
        </w:rPr>
      </w:pPr>
    </w:p>
    <w:p>
      <w:pPr>
        <w:pStyle w:val="Heading8"/>
        <w:ind w:right="287"/>
      </w:pPr>
      <w:r>
        <w:rPr/>
        <w:t>RESEARCH</w:t>
      </w:r>
    </w:p>
    <w:p>
      <w:pPr>
        <w:pStyle w:val="BodyText"/>
        <w:spacing w:line="249" w:lineRule="auto" w:before="86"/>
        <w:ind w:left="107" w:right="128"/>
      </w:pPr>
      <w:r>
        <w:rPr/>
        <w:t>The School was again pleased with the outcomes of the National Health and Medical Research</w:t>
      </w:r>
      <w:r>
        <w:rPr>
          <w:spacing w:val="-16"/>
        </w:rPr>
        <w:t> </w:t>
      </w:r>
      <w:r>
        <w:rPr/>
        <w:t>Council</w:t>
      </w:r>
      <w:r>
        <w:rPr>
          <w:spacing w:val="-16"/>
        </w:rPr>
        <w:t> </w:t>
      </w:r>
      <w:r>
        <w:rPr>
          <w:spacing w:val="2"/>
        </w:rPr>
        <w:t>(NHMRC)</w:t>
      </w:r>
      <w:r>
        <w:rPr>
          <w:spacing w:val="-16"/>
        </w:rPr>
        <w:t> </w:t>
      </w:r>
      <w:r>
        <w:rPr/>
        <w:t>grants</w:t>
      </w:r>
      <w:r>
        <w:rPr>
          <w:spacing w:val="-16"/>
        </w:rPr>
        <w:t> </w:t>
      </w:r>
      <w:r>
        <w:rPr/>
        <w:t>announced </w:t>
      </w:r>
      <w:r>
        <w:rPr>
          <w:w w:val="95"/>
        </w:rPr>
        <w:t>in </w:t>
      </w:r>
      <w:r>
        <w:rPr>
          <w:spacing w:val="1"/>
          <w:w w:val="84"/>
        </w:rPr>
        <w:t>2015.</w:t>
      </w:r>
      <w:r>
        <w:rPr>
          <w:w w:val="84"/>
        </w:rPr>
        <w:t> </w:t>
      </w:r>
      <w:r>
        <w:rPr>
          <w:spacing w:val="1"/>
          <w:w w:val="80"/>
        </w:rPr>
        <w:t>In</w:t>
      </w:r>
      <w:r>
        <w:rPr>
          <w:w w:val="80"/>
        </w:rPr>
        <w:t> </w:t>
      </w:r>
      <w:r>
        <w:rPr>
          <w:w w:val="94"/>
        </w:rPr>
        <w:t>a </w:t>
      </w:r>
      <w:r>
        <w:rPr>
          <w:spacing w:val="1"/>
          <w:w w:val="98"/>
        </w:rPr>
        <w:t>very</w:t>
      </w:r>
      <w:r>
        <w:rPr>
          <w:w w:val="98"/>
        </w:rPr>
        <w:t> </w:t>
      </w:r>
      <w:r>
        <w:rPr>
          <w:w w:val="99"/>
        </w:rPr>
        <w:t>competitive </w:t>
      </w:r>
      <w:r>
        <w:rPr>
          <w:spacing w:val="1"/>
          <w:w w:val="95"/>
        </w:rPr>
        <w:t>environment,</w:t>
      </w:r>
      <w:r>
        <w:rPr>
          <w:w w:val="95"/>
        </w:rPr>
        <w:t> </w:t>
      </w:r>
      <w:r>
        <w:rPr/>
        <w:t>the School had excellent results. Professor David Simmons, who joined the school from </w:t>
      </w:r>
      <w:r>
        <w:rPr>
          <w:w w:val="97"/>
        </w:rPr>
        <w:t>the</w:t>
      </w:r>
      <w:r>
        <w:rPr>
          <w:spacing w:val="-8"/>
          <w:w w:val="97"/>
        </w:rPr>
        <w:t> </w:t>
      </w:r>
      <w:r>
        <w:rPr>
          <w:w w:val="98"/>
        </w:rPr>
        <w:t>United</w:t>
      </w:r>
      <w:r>
        <w:rPr>
          <w:spacing w:val="-8"/>
          <w:w w:val="98"/>
        </w:rPr>
        <w:t> </w:t>
      </w:r>
      <w:r>
        <w:rPr>
          <w:spacing w:val="1"/>
          <w:w w:val="99"/>
        </w:rPr>
        <w:t>Kingdom</w:t>
      </w:r>
      <w:r>
        <w:rPr>
          <w:spacing w:val="-9"/>
          <w:w w:val="99"/>
        </w:rPr>
        <w:t> </w:t>
      </w:r>
      <w:r>
        <w:rPr>
          <w:w w:val="95"/>
        </w:rPr>
        <w:t>in</w:t>
      </w:r>
      <w:r>
        <w:rPr>
          <w:spacing w:val="-7"/>
          <w:w w:val="95"/>
        </w:rPr>
        <w:t> </w:t>
      </w:r>
      <w:r>
        <w:rPr>
          <w:spacing w:val="1"/>
          <w:w w:val="96"/>
        </w:rPr>
        <w:t>early</w:t>
      </w:r>
      <w:r>
        <w:rPr>
          <w:spacing w:val="-7"/>
          <w:w w:val="96"/>
        </w:rPr>
        <w:t> </w:t>
      </w:r>
      <w:r>
        <w:rPr>
          <w:spacing w:val="1"/>
          <w:w w:val="84"/>
        </w:rPr>
        <w:t>2015,</w:t>
      </w:r>
      <w:r>
        <w:rPr>
          <w:spacing w:val="-1"/>
          <w:w w:val="84"/>
        </w:rPr>
        <w:t> </w:t>
      </w:r>
      <w:r>
        <w:rPr>
          <w:w w:val="99"/>
        </w:rPr>
        <w:t>won</w:t>
      </w:r>
      <w:r>
        <w:rPr>
          <w:spacing w:val="-8"/>
          <w:w w:val="99"/>
        </w:rPr>
        <w:t> </w:t>
      </w:r>
      <w:r>
        <w:rPr>
          <w:w w:val="94"/>
        </w:rPr>
        <w:t>a</w:t>
      </w:r>
    </w:p>
    <w:p>
      <w:pPr>
        <w:pStyle w:val="BodyText"/>
        <w:spacing w:line="249" w:lineRule="auto"/>
        <w:ind w:left="107" w:right="313"/>
      </w:pPr>
      <w:r>
        <w:rPr/>
        <w:t>$2.2 million grant for the TOBOGM study investigating gestational diabetes mellitus. Associate Professor Federico Girosi from the Centre for Health Research is also an</w:t>
      </w:r>
    </w:p>
    <w:p>
      <w:pPr>
        <w:pStyle w:val="BodyText"/>
        <w:spacing w:line="249" w:lineRule="auto"/>
        <w:ind w:left="107" w:right="182"/>
      </w:pPr>
      <w:r>
        <w:rPr/>
        <w:t>investigator</w:t>
      </w:r>
      <w:r>
        <w:rPr>
          <w:spacing w:val="-19"/>
        </w:rPr>
        <w:t> </w:t>
      </w:r>
      <w:r>
        <w:rPr/>
        <w:t>on</w:t>
      </w:r>
      <w:r>
        <w:rPr>
          <w:spacing w:val="-19"/>
        </w:rPr>
        <w:t> </w:t>
      </w:r>
      <w:r>
        <w:rPr/>
        <w:t>this</w:t>
      </w:r>
      <w:r>
        <w:rPr>
          <w:spacing w:val="-19"/>
        </w:rPr>
        <w:t> </w:t>
      </w:r>
      <w:r>
        <w:rPr/>
        <w:t>study.</w:t>
      </w:r>
      <w:r>
        <w:rPr>
          <w:spacing w:val="-19"/>
        </w:rPr>
        <w:t> </w:t>
      </w:r>
      <w:r>
        <w:rPr/>
        <w:t>Professor</w:t>
      </w:r>
      <w:r>
        <w:rPr>
          <w:spacing w:val="-19"/>
        </w:rPr>
        <w:t> </w:t>
      </w:r>
      <w:r>
        <w:rPr/>
        <w:t>Vaughan Macefield was appointed chief investigator on</w:t>
      </w:r>
      <w:r>
        <w:rPr>
          <w:spacing w:val="-15"/>
        </w:rPr>
        <w:t> </w:t>
      </w:r>
      <w:r>
        <w:rPr/>
        <w:t>two</w:t>
      </w:r>
      <w:r>
        <w:rPr>
          <w:spacing w:val="-15"/>
        </w:rPr>
        <w:t> </w:t>
      </w:r>
      <w:r>
        <w:rPr/>
        <w:t>successful</w:t>
      </w:r>
      <w:r>
        <w:rPr>
          <w:spacing w:val="-15"/>
        </w:rPr>
        <w:t> </w:t>
      </w:r>
      <w:r>
        <w:rPr/>
        <w:t>studies,</w:t>
      </w:r>
      <w:r>
        <w:rPr>
          <w:spacing w:val="-15"/>
        </w:rPr>
        <w:t> </w:t>
      </w:r>
      <w:r>
        <w:rPr/>
        <w:t>with</w:t>
      </w:r>
      <w:r>
        <w:rPr>
          <w:spacing w:val="-15"/>
        </w:rPr>
        <w:t> </w:t>
      </w:r>
      <w:r>
        <w:rPr/>
        <w:t>funding</w:t>
      </w:r>
      <w:r>
        <w:rPr>
          <w:spacing w:val="-15"/>
        </w:rPr>
        <w:t> </w:t>
      </w:r>
      <w:r>
        <w:rPr/>
        <w:t>of</w:t>
      </w:r>
    </w:p>
    <w:p>
      <w:pPr>
        <w:pStyle w:val="BodyText"/>
        <w:spacing w:line="249" w:lineRule="auto"/>
        <w:ind w:left="107" w:right="81"/>
      </w:pPr>
      <w:r>
        <w:rPr/>
        <w:t>more than $800,000 to continue investigating neurogenic hypertension. He is conducting one of these studies in conjunction with Professor Annemarie Hennessy and Associate Professor Angela Makris. Associate Professor Tim Karl, who has joined the School in early </w:t>
      </w:r>
      <w:r>
        <w:rPr>
          <w:w w:val="85"/>
        </w:rPr>
        <w:t>2016, </w:t>
      </w:r>
      <w:r>
        <w:rPr>
          <w:w w:val="99"/>
        </w:rPr>
        <w:t>won </w:t>
      </w:r>
      <w:r>
        <w:rPr>
          <w:w w:val="94"/>
        </w:rPr>
        <w:t>a </w:t>
      </w:r>
      <w:r>
        <w:rPr>
          <w:w w:val="94"/>
        </w:rPr>
        <w:t>$651,000 </w:t>
      </w:r>
      <w:r>
        <w:rPr>
          <w:w w:val="98"/>
        </w:rPr>
        <w:t>grant </w:t>
      </w:r>
      <w:r>
        <w:rPr>
          <w:w w:val="101"/>
        </w:rPr>
        <w:t>to </w:t>
      </w:r>
      <w:r>
        <w:rPr>
          <w:w w:val="97"/>
        </w:rPr>
        <w:t>explore </w:t>
      </w:r>
      <w:r>
        <w:rPr/>
        <w:t>neuropathological mechanisms associated with schizophrenia. Finally, Professor John Morley, Professor Hennessy, Associate Professor Lind and Professor Macefield are also listed on grants that are being facilitated through other institutions.</w:t>
      </w:r>
    </w:p>
    <w:p>
      <w:pPr>
        <w:pStyle w:val="BodyText"/>
        <w:rPr>
          <w:sz w:val="14"/>
        </w:rPr>
      </w:pPr>
    </w:p>
    <w:p>
      <w:pPr>
        <w:pStyle w:val="BodyText"/>
        <w:spacing w:line="249" w:lineRule="auto"/>
        <w:ind w:left="107" w:right="355"/>
        <w:jc w:val="both"/>
      </w:pPr>
      <w:r>
        <w:rPr/>
        <w:t>At the Blacktown/Mt Druitt Clinical School and</w:t>
      </w:r>
      <w:r>
        <w:rPr>
          <w:spacing w:val="-16"/>
        </w:rPr>
        <w:t> </w:t>
      </w:r>
      <w:r>
        <w:rPr/>
        <w:t>Research</w:t>
      </w:r>
      <w:r>
        <w:rPr>
          <w:spacing w:val="-16"/>
        </w:rPr>
        <w:t> </w:t>
      </w:r>
      <w:r>
        <w:rPr/>
        <w:t>Centre,</w:t>
      </w:r>
      <w:r>
        <w:rPr>
          <w:spacing w:val="-16"/>
        </w:rPr>
        <w:t> </w:t>
      </w:r>
      <w:r>
        <w:rPr/>
        <w:t>Dr</w:t>
      </w:r>
      <w:r>
        <w:rPr>
          <w:spacing w:val="-16"/>
        </w:rPr>
        <w:t> </w:t>
      </w:r>
      <w:r>
        <w:rPr/>
        <w:t>Vita</w:t>
      </w:r>
      <w:r>
        <w:rPr>
          <w:spacing w:val="-16"/>
        </w:rPr>
        <w:t> </w:t>
      </w:r>
      <w:r>
        <w:rPr/>
        <w:t>Birzniece</w:t>
      </w:r>
      <w:r>
        <w:rPr>
          <w:spacing w:val="-16"/>
        </w:rPr>
        <w:t> </w:t>
      </w:r>
      <w:r>
        <w:rPr/>
        <w:t>and Professor</w:t>
      </w:r>
      <w:r>
        <w:rPr>
          <w:spacing w:val="-18"/>
        </w:rPr>
        <w:t> </w:t>
      </w:r>
      <w:r>
        <w:rPr/>
        <w:t>Mark</w:t>
      </w:r>
      <w:r>
        <w:rPr>
          <w:spacing w:val="-18"/>
        </w:rPr>
        <w:t> </w:t>
      </w:r>
      <w:r>
        <w:rPr/>
        <w:t>McLean</w:t>
      </w:r>
      <w:r>
        <w:rPr>
          <w:spacing w:val="-18"/>
        </w:rPr>
        <w:t> </w:t>
      </w:r>
      <w:r>
        <w:rPr/>
        <w:t>have</w:t>
      </w:r>
      <w:r>
        <w:rPr>
          <w:spacing w:val="-18"/>
        </w:rPr>
        <w:t> </w:t>
      </w:r>
      <w:r>
        <w:rPr/>
        <w:t>established</w:t>
      </w:r>
    </w:p>
    <w:p>
      <w:pPr>
        <w:pStyle w:val="BodyText"/>
        <w:spacing w:line="249" w:lineRule="auto"/>
        <w:ind w:left="107" w:right="336"/>
      </w:pPr>
      <w:r>
        <w:rPr/>
        <w:t>a Metabolic Research Clinic, which is an important expansion of clinical research activities that are enabling engagement in national and international studies.</w:t>
      </w:r>
    </w:p>
    <w:p>
      <w:pPr>
        <w:pStyle w:val="BodyText"/>
        <w:rPr>
          <w:sz w:val="14"/>
        </w:rPr>
      </w:pPr>
    </w:p>
    <w:p>
      <w:pPr>
        <w:pStyle w:val="BodyText"/>
        <w:spacing w:line="249" w:lineRule="auto"/>
        <w:ind w:left="107" w:right="42"/>
      </w:pPr>
      <w:r>
        <w:rPr/>
        <w:t>The number of graduates to complete a Doctor of Philosophy continues to grow. We celebrated with eight new graduates at the December ceremonies – the largest single number since the School was established. </w:t>
      </w:r>
      <w:r>
        <w:rPr>
          <w:w w:val="97"/>
        </w:rPr>
        <w:t>More </w:t>
      </w:r>
      <w:r>
        <w:rPr>
          <w:w w:val="97"/>
        </w:rPr>
        <w:t>than </w:t>
      </w:r>
      <w:r>
        <w:rPr>
          <w:w w:val="92"/>
        </w:rPr>
        <w:t>100 </w:t>
      </w:r>
      <w:r>
        <w:rPr>
          <w:w w:val="97"/>
        </w:rPr>
        <w:t>students </w:t>
      </w:r>
      <w:r>
        <w:rPr>
          <w:w w:val="95"/>
        </w:rPr>
        <w:t>are </w:t>
      </w:r>
      <w:r>
        <w:rPr>
          <w:w w:val="97"/>
        </w:rPr>
        <w:t>currently </w:t>
      </w:r>
      <w:r>
        <w:rPr>
          <w:w w:val="98"/>
        </w:rPr>
        <w:t>studying </w:t>
      </w:r>
      <w:r>
        <w:rPr/>
        <w:t>for a Doctor of Philosophy at the School and the Centre for Health Research. This reflects well on the breadth and depth of research activity across the School and the contribution of staff members and students to external measures of quality, including the outstanding</w:t>
      </w:r>
    </w:p>
    <w:p>
      <w:pPr>
        <w:spacing w:after="0" w:line="249" w:lineRule="auto"/>
        <w:sectPr>
          <w:type w:val="continuous"/>
          <w:pgSz w:w="11910" w:h="16840"/>
          <w:pgMar w:top="1580" w:bottom="280" w:left="800" w:right="800"/>
          <w:cols w:num="3" w:equalWidth="0">
            <w:col w:w="3320" w:space="119"/>
            <w:col w:w="3311" w:space="128"/>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234"/>
      </w:pPr>
      <w:r>
        <w:rPr/>
        <w:t>Excellence in Research Activity results the </w:t>
      </w:r>
      <w:r>
        <w:rPr>
          <w:w w:val="97"/>
        </w:rPr>
        <w:t>University </w:t>
      </w:r>
      <w:r>
        <w:rPr>
          <w:w w:val="98"/>
        </w:rPr>
        <w:t>achieved </w:t>
      </w:r>
      <w:r>
        <w:rPr>
          <w:w w:val="95"/>
        </w:rPr>
        <w:t>in </w:t>
      </w:r>
      <w:r>
        <w:rPr>
          <w:w w:val="84"/>
        </w:rPr>
        <w:t>2015.</w:t>
      </w:r>
    </w:p>
    <w:p>
      <w:pPr>
        <w:pStyle w:val="BodyText"/>
        <w:spacing w:before="7"/>
        <w:rPr>
          <w:sz w:val="21"/>
        </w:rPr>
      </w:pPr>
    </w:p>
    <w:p>
      <w:pPr>
        <w:pStyle w:val="Heading8"/>
        <w:ind w:right="234"/>
      </w:pPr>
      <w:r>
        <w:rPr/>
        <w:t>ENGAGEMENT</w:t>
      </w:r>
    </w:p>
    <w:p>
      <w:pPr>
        <w:pStyle w:val="BodyText"/>
        <w:spacing w:line="249" w:lineRule="auto" w:before="86"/>
        <w:ind w:left="107" w:right="-7"/>
      </w:pPr>
      <w:r>
        <w:rPr/>
        <w:t>Community forums were held on the Campbelltown campus and at the Blacktown/ Mt Druitt Clinical School in March and September. There were a range of speakers and presentations, including an update on</w:t>
      </w:r>
    </w:p>
    <w:p>
      <w:pPr>
        <w:pStyle w:val="BodyText"/>
        <w:spacing w:line="249" w:lineRule="auto"/>
        <w:ind w:left="107" w:right="-7"/>
      </w:pPr>
      <w:r>
        <w:rPr/>
        <w:t>the new Macarthur Clinical School. The NSW Health Minister, the </w:t>
      </w:r>
      <w:r>
        <w:rPr>
          <w:spacing w:val="2"/>
        </w:rPr>
        <w:t>Hon. </w:t>
      </w:r>
      <w:r>
        <w:rPr/>
        <w:t>Jillian Skinner, </w:t>
      </w:r>
      <w:r>
        <w:rPr>
          <w:spacing w:val="-3"/>
        </w:rPr>
        <w:t>MP, </w:t>
      </w:r>
      <w:r>
        <w:rPr/>
        <w:t>attended an official sod-turning event for the </w:t>
      </w:r>
      <w:r>
        <w:rPr>
          <w:w w:val="97"/>
        </w:rPr>
        <w:t>new</w:t>
      </w:r>
      <w:r>
        <w:rPr>
          <w:spacing w:val="-7"/>
          <w:w w:val="97"/>
        </w:rPr>
        <w:t> </w:t>
      </w:r>
      <w:r>
        <w:rPr>
          <w:spacing w:val="1"/>
          <w:w w:val="98"/>
        </w:rPr>
        <w:t>School</w:t>
      </w:r>
      <w:r>
        <w:rPr>
          <w:spacing w:val="-8"/>
          <w:w w:val="98"/>
        </w:rPr>
        <w:t> </w:t>
      </w:r>
      <w:r>
        <w:rPr>
          <w:w w:val="95"/>
        </w:rPr>
        <w:t>in</w:t>
      </w:r>
      <w:r>
        <w:rPr>
          <w:spacing w:val="-6"/>
          <w:w w:val="95"/>
        </w:rPr>
        <w:t> </w:t>
      </w:r>
      <w:r>
        <w:rPr>
          <w:spacing w:val="1"/>
          <w:w w:val="98"/>
        </w:rPr>
        <w:t>December</w:t>
      </w:r>
      <w:r>
        <w:rPr>
          <w:spacing w:val="-7"/>
          <w:w w:val="98"/>
        </w:rPr>
        <w:t> </w:t>
      </w:r>
      <w:r>
        <w:rPr>
          <w:spacing w:val="1"/>
          <w:w w:val="84"/>
        </w:rPr>
        <w:t>2015,</w:t>
      </w:r>
      <w:r>
        <w:rPr>
          <w:w w:val="84"/>
        </w:rPr>
        <w:t> </w:t>
      </w:r>
      <w:r>
        <w:rPr>
          <w:w w:val="96"/>
        </w:rPr>
        <w:t>while</w:t>
      </w:r>
      <w:r>
        <w:rPr>
          <w:spacing w:val="-7"/>
          <w:w w:val="96"/>
        </w:rPr>
        <w:t> </w:t>
      </w:r>
      <w:r>
        <w:rPr>
          <w:w w:val="94"/>
        </w:rPr>
        <w:t>a</w:t>
      </w:r>
      <w:r>
        <w:rPr>
          <w:spacing w:val="-6"/>
          <w:w w:val="94"/>
        </w:rPr>
        <w:t> </w:t>
      </w:r>
      <w:r>
        <w:rPr>
          <w:spacing w:val="1"/>
          <w:w w:val="98"/>
        </w:rPr>
        <w:t>student</w:t>
      </w:r>
      <w:r>
        <w:rPr>
          <w:w w:val="98"/>
        </w:rPr>
        <w:t> </w:t>
      </w:r>
      <w:r>
        <w:rPr/>
        <w:t>presentation</w:t>
      </w:r>
      <w:r>
        <w:rPr>
          <w:spacing w:val="-15"/>
        </w:rPr>
        <w:t> </w:t>
      </w:r>
      <w:r>
        <w:rPr/>
        <w:t>was</w:t>
      </w:r>
      <w:r>
        <w:rPr>
          <w:spacing w:val="-15"/>
        </w:rPr>
        <w:t> </w:t>
      </w:r>
      <w:r>
        <w:rPr/>
        <w:t>held</w:t>
      </w:r>
      <w:r>
        <w:rPr>
          <w:spacing w:val="-15"/>
        </w:rPr>
        <w:t> </w:t>
      </w:r>
      <w:r>
        <w:rPr/>
        <w:t>on</w:t>
      </w:r>
      <w:r>
        <w:rPr>
          <w:spacing w:val="-15"/>
        </w:rPr>
        <w:t> </w:t>
      </w:r>
      <w:r>
        <w:rPr/>
        <w:t>research</w:t>
      </w:r>
      <w:r>
        <w:rPr>
          <w:spacing w:val="-15"/>
        </w:rPr>
        <w:t> </w:t>
      </w:r>
      <w:r>
        <w:rPr/>
        <w:t>conducted with the Pacific Islander community in Western Sydney. Once again, community ideas have been adopted in new approaches to curriculum planning, with future student projects and patient/carer shadowing for students</w:t>
      </w:r>
      <w:r>
        <w:rPr>
          <w:spacing w:val="-17"/>
        </w:rPr>
        <w:t> </w:t>
      </w:r>
      <w:r>
        <w:rPr/>
        <w:t>in</w:t>
      </w:r>
      <w:r>
        <w:rPr>
          <w:spacing w:val="-17"/>
        </w:rPr>
        <w:t> </w:t>
      </w:r>
      <w:r>
        <w:rPr/>
        <w:t>the</w:t>
      </w:r>
      <w:r>
        <w:rPr>
          <w:spacing w:val="-17"/>
        </w:rPr>
        <w:t> </w:t>
      </w:r>
      <w:r>
        <w:rPr/>
        <w:t>clinical</w:t>
      </w:r>
      <w:r>
        <w:rPr>
          <w:spacing w:val="-17"/>
        </w:rPr>
        <w:t> </w:t>
      </w:r>
      <w:r>
        <w:rPr/>
        <w:t>phase</w:t>
      </w:r>
      <w:r>
        <w:rPr>
          <w:spacing w:val="-17"/>
        </w:rPr>
        <w:t> </w:t>
      </w:r>
      <w:r>
        <w:rPr/>
        <w:t>of</w:t>
      </w:r>
      <w:r>
        <w:rPr>
          <w:spacing w:val="-17"/>
        </w:rPr>
        <w:t> </w:t>
      </w:r>
      <w:r>
        <w:rPr/>
        <w:t>their</w:t>
      </w:r>
      <w:r>
        <w:rPr>
          <w:spacing w:val="-17"/>
        </w:rPr>
        <w:t> </w:t>
      </w:r>
      <w:r>
        <w:rPr/>
        <w:t>studies.</w:t>
      </w:r>
    </w:p>
    <w:p>
      <w:pPr>
        <w:pStyle w:val="BodyText"/>
        <w:rPr>
          <w:sz w:val="14"/>
        </w:rPr>
      </w:pPr>
    </w:p>
    <w:p>
      <w:pPr>
        <w:pStyle w:val="BodyText"/>
        <w:spacing w:line="249" w:lineRule="auto"/>
        <w:ind w:left="107" w:right="25"/>
      </w:pPr>
      <w:r>
        <w:rPr/>
        <w:t>Many other pathways are available for community participation in the operations and activities of the School. These include interviews</w:t>
      </w:r>
      <w:r>
        <w:rPr>
          <w:spacing w:val="-22"/>
        </w:rPr>
        <w:t> </w:t>
      </w:r>
      <w:r>
        <w:rPr>
          <w:spacing w:val="-3"/>
        </w:rPr>
        <w:t>(as</w:t>
      </w:r>
      <w:r>
        <w:rPr>
          <w:spacing w:val="-22"/>
        </w:rPr>
        <w:t> </w:t>
      </w:r>
      <w:r>
        <w:rPr>
          <w:spacing w:val="2"/>
        </w:rPr>
        <w:t>part</w:t>
      </w:r>
      <w:r>
        <w:rPr>
          <w:spacing w:val="-22"/>
        </w:rPr>
        <w:t> </w:t>
      </w:r>
      <w:r>
        <w:rPr/>
        <w:t>of</w:t>
      </w:r>
      <w:r>
        <w:rPr>
          <w:spacing w:val="-22"/>
        </w:rPr>
        <w:t> </w:t>
      </w:r>
      <w:r>
        <w:rPr/>
        <w:t>the</w:t>
      </w:r>
      <w:r>
        <w:rPr>
          <w:spacing w:val="-22"/>
        </w:rPr>
        <w:t> </w:t>
      </w:r>
      <w:r>
        <w:rPr/>
        <w:t>admissions</w:t>
      </w:r>
      <w:r>
        <w:rPr>
          <w:spacing w:val="-22"/>
        </w:rPr>
        <w:t> </w:t>
      </w:r>
      <w:r>
        <w:rPr/>
        <w:t>process), examination programs, community forums and</w:t>
      </w:r>
      <w:r>
        <w:rPr>
          <w:spacing w:val="-15"/>
        </w:rPr>
        <w:t> </w:t>
      </w:r>
      <w:r>
        <w:rPr/>
        <w:t>membership</w:t>
      </w:r>
      <w:r>
        <w:rPr>
          <w:spacing w:val="-15"/>
        </w:rPr>
        <w:t> </w:t>
      </w:r>
      <w:r>
        <w:rPr/>
        <w:t>of</w:t>
      </w:r>
      <w:r>
        <w:rPr>
          <w:spacing w:val="-15"/>
        </w:rPr>
        <w:t> </w:t>
      </w:r>
      <w:r>
        <w:rPr/>
        <w:t>School</w:t>
      </w:r>
      <w:r>
        <w:rPr>
          <w:spacing w:val="-15"/>
        </w:rPr>
        <w:t> </w:t>
      </w:r>
      <w:r>
        <w:rPr/>
        <w:t>committees.</w:t>
      </w:r>
    </w:p>
    <w:p>
      <w:pPr>
        <w:pStyle w:val="BodyText"/>
        <w:rPr>
          <w:sz w:val="14"/>
        </w:rPr>
      </w:pPr>
    </w:p>
    <w:p>
      <w:pPr>
        <w:pStyle w:val="BodyText"/>
        <w:spacing w:line="249" w:lineRule="auto"/>
        <w:ind w:left="107" w:right="-15"/>
      </w:pPr>
      <w:r>
        <w:rPr/>
        <w:t>Staff expertise is also critical for engaging with the wider community. For example, in </w:t>
      </w:r>
      <w:r>
        <w:rPr>
          <w:w w:val="84"/>
        </w:rPr>
        <w:t>2015, </w:t>
      </w:r>
      <w:r>
        <w:rPr>
          <w:w w:val="97"/>
        </w:rPr>
        <w:t>Professor </w:t>
      </w:r>
      <w:r>
        <w:rPr>
          <w:w w:val="96"/>
        </w:rPr>
        <w:t>Hilary </w:t>
      </w:r>
      <w:r>
        <w:rPr>
          <w:w w:val="98"/>
        </w:rPr>
        <w:t>Bambrick </w:t>
      </w:r>
      <w:r>
        <w:rPr>
          <w:w w:val="98"/>
        </w:rPr>
        <w:t>gave </w:t>
      </w:r>
      <w:r>
        <w:rPr>
          <w:w w:val="98"/>
        </w:rPr>
        <w:t>expert </w:t>
      </w:r>
      <w:r>
        <w:rPr/>
        <w:t>evidence at the Federal Parliamentary inquiry into ‘The human rights issues confronting women and girls in the Indian Ocean–Asia Pacific region’. Professor Bambrick is also working on projects studying the effects of climate change and processes for adapting</w:t>
      </w:r>
    </w:p>
    <w:p>
      <w:pPr>
        <w:pStyle w:val="BodyText"/>
        <w:spacing w:line="249" w:lineRule="auto"/>
        <w:ind w:left="107" w:right="-3"/>
      </w:pPr>
      <w:r>
        <w:rPr/>
        <w:t>to change. In addition, Dr Poonam Mudgil participated</w:t>
      </w:r>
      <w:r>
        <w:rPr>
          <w:spacing w:val="-15"/>
        </w:rPr>
        <w:t> </w:t>
      </w:r>
      <w:r>
        <w:rPr/>
        <w:t>in</w:t>
      </w:r>
      <w:r>
        <w:rPr>
          <w:spacing w:val="-15"/>
        </w:rPr>
        <w:t> </w:t>
      </w:r>
      <w:r>
        <w:rPr/>
        <w:t>the</w:t>
      </w:r>
      <w:r>
        <w:rPr>
          <w:spacing w:val="-15"/>
        </w:rPr>
        <w:t> </w:t>
      </w:r>
      <w:r>
        <w:rPr>
          <w:spacing w:val="2"/>
        </w:rPr>
        <w:t>CSIRO</w:t>
      </w:r>
      <w:r>
        <w:rPr>
          <w:spacing w:val="-15"/>
        </w:rPr>
        <w:t> </w:t>
      </w:r>
      <w:r>
        <w:rPr/>
        <w:t>Scientists</w:t>
      </w:r>
      <w:r>
        <w:rPr>
          <w:spacing w:val="-15"/>
        </w:rPr>
        <w:t> </w:t>
      </w:r>
      <w:r>
        <w:rPr/>
        <w:t>in</w:t>
      </w:r>
      <w:r>
        <w:rPr>
          <w:spacing w:val="-15"/>
        </w:rPr>
        <w:t> </w:t>
      </w:r>
      <w:r>
        <w:rPr/>
        <w:t>Schools program,</w:t>
      </w:r>
      <w:r>
        <w:rPr>
          <w:spacing w:val="-16"/>
        </w:rPr>
        <w:t> </w:t>
      </w:r>
      <w:r>
        <w:rPr/>
        <w:t>giving</w:t>
      </w:r>
      <w:r>
        <w:rPr>
          <w:spacing w:val="-16"/>
        </w:rPr>
        <w:t> </w:t>
      </w:r>
      <w:r>
        <w:rPr/>
        <w:t>a</w:t>
      </w:r>
      <w:r>
        <w:rPr>
          <w:spacing w:val="-16"/>
        </w:rPr>
        <w:t> </w:t>
      </w:r>
      <w:r>
        <w:rPr/>
        <w:t>presentation</w:t>
      </w:r>
      <w:r>
        <w:rPr>
          <w:spacing w:val="-16"/>
        </w:rPr>
        <w:t> </w:t>
      </w:r>
      <w:r>
        <w:rPr/>
        <w:t>at</w:t>
      </w:r>
      <w:r>
        <w:rPr>
          <w:spacing w:val="-16"/>
        </w:rPr>
        <w:t> </w:t>
      </w:r>
      <w:r>
        <w:rPr/>
        <w:t>Birrong</w:t>
      </w:r>
      <w:r>
        <w:rPr>
          <w:spacing w:val="-16"/>
        </w:rPr>
        <w:t> </w:t>
      </w:r>
      <w:r>
        <w:rPr/>
        <w:t>Girls High</w:t>
      </w:r>
      <w:r>
        <w:rPr>
          <w:spacing w:val="-22"/>
        </w:rPr>
        <w:t> </w:t>
      </w:r>
      <w:r>
        <w:rPr/>
        <w:t>School.</w:t>
      </w:r>
    </w:p>
    <w:p>
      <w:pPr>
        <w:pStyle w:val="BodyText"/>
        <w:rPr>
          <w:sz w:val="14"/>
        </w:rPr>
      </w:pPr>
    </w:p>
    <w:p>
      <w:pPr>
        <w:pStyle w:val="BodyText"/>
        <w:spacing w:line="249" w:lineRule="auto"/>
        <w:ind w:left="107" w:right="37"/>
      </w:pPr>
      <w:r>
        <w:rPr/>
        <w:t>Students in the School of Medicine also use their developing knowledge and skills in </w:t>
      </w:r>
      <w:r>
        <w:rPr>
          <w:w w:val="99"/>
        </w:rPr>
        <w:t>community </w:t>
      </w:r>
      <w:r>
        <w:rPr>
          <w:w w:val="97"/>
        </w:rPr>
        <w:t>engagement </w:t>
      </w:r>
      <w:r>
        <w:rPr>
          <w:w w:val="95"/>
        </w:rPr>
        <w:t>activities. </w:t>
      </w:r>
      <w:r>
        <w:rPr>
          <w:w w:val="80"/>
        </w:rPr>
        <w:t>In </w:t>
      </w:r>
      <w:r>
        <w:rPr>
          <w:w w:val="84"/>
        </w:rPr>
        <w:t>2015, </w:t>
      </w:r>
      <w:r>
        <w:rPr/>
        <w:t>these included (in conjunction with staff members and fellow students from the School of Nursing and Midwifery) offering health checks to Sydney Metro rail workers at Castle Hill, Macquarie Park, Kellyville and Mulgrave. BRCS students and staff members also ran health checks at the Burraga Sheep Show and the Perthville Community Fair, as well as for members of the Bathurst Black</w:t>
      </w:r>
    </w:p>
    <w:p>
      <w:pPr>
        <w:pStyle w:val="BodyText"/>
        <w:spacing w:before="2"/>
        <w:rPr>
          <w:sz w:val="20"/>
        </w:rPr>
      </w:pPr>
      <w:r>
        <w:rPr/>
        <w:br w:type="column"/>
      </w:r>
      <w:r>
        <w:rPr>
          <w:sz w:val="20"/>
        </w:rPr>
      </w:r>
    </w:p>
    <w:p>
      <w:pPr>
        <w:pStyle w:val="BodyText"/>
        <w:spacing w:line="249" w:lineRule="auto"/>
        <w:ind w:left="107" w:right="121"/>
      </w:pPr>
      <w:r>
        <w:rPr/>
        <w:t>Trackers,</w:t>
      </w:r>
      <w:r>
        <w:rPr>
          <w:spacing w:val="-20"/>
        </w:rPr>
        <w:t> </w:t>
      </w:r>
      <w:r>
        <w:rPr/>
        <w:t>the</w:t>
      </w:r>
      <w:r>
        <w:rPr>
          <w:spacing w:val="-20"/>
        </w:rPr>
        <w:t> </w:t>
      </w:r>
      <w:r>
        <w:rPr/>
        <w:t>local</w:t>
      </w:r>
      <w:r>
        <w:rPr>
          <w:spacing w:val="-20"/>
        </w:rPr>
        <w:t> </w:t>
      </w:r>
      <w:r>
        <w:rPr/>
        <w:t>team</w:t>
      </w:r>
      <w:r>
        <w:rPr>
          <w:spacing w:val="-20"/>
        </w:rPr>
        <w:t> </w:t>
      </w:r>
      <w:r>
        <w:rPr/>
        <w:t>that</w:t>
      </w:r>
      <w:r>
        <w:rPr>
          <w:spacing w:val="-20"/>
        </w:rPr>
        <w:t> </w:t>
      </w:r>
      <w:r>
        <w:rPr/>
        <w:t>competes</w:t>
      </w:r>
      <w:r>
        <w:rPr>
          <w:spacing w:val="-20"/>
        </w:rPr>
        <w:t> </w:t>
      </w:r>
      <w:r>
        <w:rPr/>
        <w:t>in</w:t>
      </w:r>
      <w:r>
        <w:rPr>
          <w:spacing w:val="-20"/>
        </w:rPr>
        <w:t> </w:t>
      </w:r>
      <w:r>
        <w:rPr/>
        <w:t>the annual Aboriginal Rugby League Knockout competition,</w:t>
      </w:r>
      <w:r>
        <w:rPr>
          <w:spacing w:val="-18"/>
        </w:rPr>
        <w:t> </w:t>
      </w:r>
      <w:r>
        <w:rPr/>
        <w:t>which</w:t>
      </w:r>
      <w:r>
        <w:rPr>
          <w:spacing w:val="-18"/>
        </w:rPr>
        <w:t> </w:t>
      </w:r>
      <w:r>
        <w:rPr>
          <w:spacing w:val="3"/>
        </w:rPr>
        <w:t>BRCS</w:t>
      </w:r>
      <w:r>
        <w:rPr>
          <w:spacing w:val="-18"/>
        </w:rPr>
        <w:t> </w:t>
      </w:r>
      <w:r>
        <w:rPr/>
        <w:t>sponsors.</w:t>
      </w:r>
    </w:p>
    <w:p>
      <w:pPr>
        <w:pStyle w:val="BodyText"/>
      </w:pPr>
    </w:p>
    <w:p>
      <w:pPr>
        <w:pStyle w:val="Heading5"/>
        <w:spacing w:line="260" w:lineRule="exact" w:before="101"/>
        <w:ind w:left="118" w:right="95" w:hanging="4"/>
      </w:pPr>
      <w:bookmarkStart w:name="_TOC_250011" w:id="14"/>
      <w:r>
        <w:rPr>
          <w:w w:val="95"/>
        </w:rPr>
        <w:t>SCHOOL OF NURSING AND </w:t>
      </w:r>
      <w:bookmarkEnd w:id="14"/>
      <w:r>
        <w:rPr/>
        <w:t>MIDWIFERY</w:t>
      </w:r>
    </w:p>
    <w:p>
      <w:pPr>
        <w:pStyle w:val="BodyText"/>
        <w:spacing w:line="249" w:lineRule="auto" w:before="214"/>
        <w:ind w:left="107" w:right="82"/>
      </w:pPr>
      <w:r>
        <w:rPr/>
        <w:t>The</w:t>
      </w:r>
      <w:r>
        <w:rPr>
          <w:spacing w:val="-13"/>
        </w:rPr>
        <w:t> </w:t>
      </w:r>
      <w:r>
        <w:rPr/>
        <w:t>School</w:t>
      </w:r>
      <w:r>
        <w:rPr>
          <w:spacing w:val="-13"/>
        </w:rPr>
        <w:t> </w:t>
      </w:r>
      <w:r>
        <w:rPr/>
        <w:t>of</w:t>
      </w:r>
      <w:r>
        <w:rPr>
          <w:spacing w:val="-13"/>
        </w:rPr>
        <w:t> </w:t>
      </w:r>
      <w:r>
        <w:rPr/>
        <w:t>Nursing</w:t>
      </w:r>
      <w:r>
        <w:rPr>
          <w:spacing w:val="-13"/>
        </w:rPr>
        <w:t> </w:t>
      </w:r>
      <w:r>
        <w:rPr/>
        <w:t>and</w:t>
      </w:r>
      <w:r>
        <w:rPr>
          <w:spacing w:val="-13"/>
        </w:rPr>
        <w:t> </w:t>
      </w:r>
      <w:r>
        <w:rPr/>
        <w:t>Midwifery</w:t>
      </w:r>
      <w:r>
        <w:rPr>
          <w:spacing w:val="-13"/>
        </w:rPr>
        <w:t> </w:t>
      </w:r>
      <w:r>
        <w:rPr/>
        <w:t>(SoNM) is an acknowledged leader in nursing and midwifery</w:t>
      </w:r>
      <w:r>
        <w:rPr>
          <w:spacing w:val="-18"/>
        </w:rPr>
        <w:t> </w:t>
      </w:r>
      <w:r>
        <w:rPr/>
        <w:t>education</w:t>
      </w:r>
      <w:r>
        <w:rPr>
          <w:spacing w:val="-18"/>
        </w:rPr>
        <w:t> </w:t>
      </w:r>
      <w:r>
        <w:rPr/>
        <w:t>and</w:t>
      </w:r>
      <w:r>
        <w:rPr>
          <w:spacing w:val="-18"/>
        </w:rPr>
        <w:t> </w:t>
      </w:r>
      <w:r>
        <w:rPr/>
        <w:t>research,</w:t>
      </w:r>
      <w:r>
        <w:rPr>
          <w:spacing w:val="-18"/>
        </w:rPr>
        <w:t> </w:t>
      </w:r>
      <w:r>
        <w:rPr/>
        <w:t>delivering high quality education, engaged learning and</w:t>
      </w:r>
      <w:r>
        <w:rPr>
          <w:spacing w:val="-22"/>
        </w:rPr>
        <w:t> </w:t>
      </w:r>
      <w:r>
        <w:rPr/>
        <w:t>teaching,</w:t>
      </w:r>
      <w:r>
        <w:rPr>
          <w:spacing w:val="-22"/>
        </w:rPr>
        <w:t> </w:t>
      </w:r>
      <w:r>
        <w:rPr/>
        <w:t>industry</w:t>
      </w:r>
      <w:r>
        <w:rPr>
          <w:spacing w:val="-22"/>
        </w:rPr>
        <w:t> </w:t>
      </w:r>
      <w:r>
        <w:rPr/>
        <w:t>partnerships,</w:t>
      </w:r>
      <w:r>
        <w:rPr>
          <w:spacing w:val="-22"/>
        </w:rPr>
        <w:t> </w:t>
      </w:r>
      <w:r>
        <w:rPr/>
        <w:t>research excellence, professional leadership and organisational</w:t>
      </w:r>
      <w:r>
        <w:rPr>
          <w:spacing w:val="-19"/>
        </w:rPr>
        <w:t> </w:t>
      </w:r>
      <w:r>
        <w:rPr/>
        <w:t>effectiveness.</w:t>
      </w:r>
      <w:r>
        <w:rPr>
          <w:spacing w:val="-19"/>
        </w:rPr>
        <w:t> </w:t>
      </w:r>
      <w:r>
        <w:rPr/>
        <w:t>With</w:t>
      </w:r>
      <w:r>
        <w:rPr>
          <w:spacing w:val="-19"/>
        </w:rPr>
        <w:t> </w:t>
      </w:r>
      <w:r>
        <w:rPr/>
        <w:t>one</w:t>
      </w:r>
      <w:r>
        <w:rPr>
          <w:spacing w:val="-19"/>
        </w:rPr>
        <w:t> </w:t>
      </w:r>
      <w:r>
        <w:rPr/>
        <w:t>of</w:t>
      </w:r>
    </w:p>
    <w:p>
      <w:pPr>
        <w:pStyle w:val="BodyText"/>
        <w:spacing w:line="249" w:lineRule="auto"/>
        <w:ind w:left="107" w:right="164"/>
      </w:pPr>
      <w:r>
        <w:rPr/>
        <w:t>the largest undergraduate, pre-registration nursing degree programs in Australia, the School measures achievement in terms of its ability to make a difference to students, staff, graduates and the Western Sydney community.</w:t>
      </w:r>
    </w:p>
    <w:p>
      <w:pPr>
        <w:pStyle w:val="BodyText"/>
        <w:rPr>
          <w:sz w:val="14"/>
        </w:rPr>
      </w:pPr>
    </w:p>
    <w:p>
      <w:pPr>
        <w:pStyle w:val="BodyText"/>
        <w:spacing w:line="249" w:lineRule="auto"/>
        <w:ind w:left="107" w:right="2"/>
      </w:pPr>
      <w:r>
        <w:rPr/>
        <w:t>The School offers undergraduate degrees in nursing and midwifery and a range of post- graduate</w:t>
      </w:r>
      <w:r>
        <w:rPr>
          <w:spacing w:val="-14"/>
        </w:rPr>
        <w:t> </w:t>
      </w:r>
      <w:r>
        <w:rPr/>
        <w:t>diploma</w:t>
      </w:r>
      <w:r>
        <w:rPr>
          <w:spacing w:val="-14"/>
        </w:rPr>
        <w:t> </w:t>
      </w:r>
      <w:r>
        <w:rPr/>
        <w:t>and</w:t>
      </w:r>
      <w:r>
        <w:rPr>
          <w:spacing w:val="-14"/>
        </w:rPr>
        <w:t> </w:t>
      </w:r>
      <w:r>
        <w:rPr/>
        <w:t>degree</w:t>
      </w:r>
      <w:r>
        <w:rPr>
          <w:spacing w:val="-14"/>
        </w:rPr>
        <w:t> </w:t>
      </w:r>
      <w:r>
        <w:rPr/>
        <w:t>programs</w:t>
      </w:r>
      <w:r>
        <w:rPr>
          <w:spacing w:val="-14"/>
        </w:rPr>
        <w:t> </w:t>
      </w:r>
      <w:r>
        <w:rPr/>
        <w:t>at</w:t>
      </w:r>
      <w:r>
        <w:rPr>
          <w:spacing w:val="-14"/>
        </w:rPr>
        <w:t> </w:t>
      </w:r>
      <w:r>
        <w:rPr/>
        <w:t>our Campbelltown, Parramatta and Hawkesbury </w:t>
      </w:r>
      <w:r>
        <w:rPr>
          <w:spacing w:val="2"/>
        </w:rPr>
        <w:t>campuses, </w:t>
      </w:r>
      <w:r>
        <w:rPr/>
        <w:t>as well as catering to first-year nursing</w:t>
      </w:r>
      <w:r>
        <w:rPr>
          <w:spacing w:val="-19"/>
        </w:rPr>
        <w:t> </w:t>
      </w:r>
      <w:r>
        <w:rPr/>
        <w:t>students</w:t>
      </w:r>
      <w:r>
        <w:rPr>
          <w:spacing w:val="-19"/>
        </w:rPr>
        <w:t> </w:t>
      </w:r>
      <w:r>
        <w:rPr/>
        <w:t>at</w:t>
      </w:r>
      <w:r>
        <w:rPr>
          <w:spacing w:val="-19"/>
        </w:rPr>
        <w:t> </w:t>
      </w:r>
      <w:r>
        <w:rPr/>
        <w:t>the</w:t>
      </w:r>
      <w:r>
        <w:rPr>
          <w:spacing w:val="-19"/>
        </w:rPr>
        <w:t> </w:t>
      </w:r>
      <w:r>
        <w:rPr/>
        <w:t>Lithgow</w:t>
      </w:r>
      <w:r>
        <w:rPr>
          <w:spacing w:val="-19"/>
        </w:rPr>
        <w:t> </w:t>
      </w:r>
      <w:r>
        <w:rPr>
          <w:spacing w:val="2"/>
        </w:rPr>
        <w:t>campus.</w:t>
      </w:r>
    </w:p>
    <w:p>
      <w:pPr>
        <w:pStyle w:val="BodyText"/>
        <w:spacing w:line="249" w:lineRule="auto"/>
        <w:ind w:left="107" w:right="29"/>
      </w:pPr>
      <w:r>
        <w:rPr/>
        <w:t>SoNM has also offered courses offshore for more than 25 years in collaboration with the Hong Kong Baptist University (HKBU), and is investigating working with Kiang Wu Nursing College of Macau and Parkway College in Singapore. In Australia, SoNM extended its reach in Western Sydney, opening a campus at Lithgow two years ago, which has created opportunities for local students and the community.</w:t>
      </w:r>
    </w:p>
    <w:p>
      <w:pPr>
        <w:pStyle w:val="BodyText"/>
        <w:rPr>
          <w:sz w:val="14"/>
        </w:rPr>
      </w:pPr>
    </w:p>
    <w:p>
      <w:pPr>
        <w:pStyle w:val="BodyText"/>
        <w:spacing w:line="249" w:lineRule="auto"/>
        <w:ind w:left="107" w:right="-4"/>
      </w:pPr>
      <w:r>
        <w:rPr/>
        <w:t>The School strongly </w:t>
      </w:r>
      <w:r>
        <w:rPr>
          <w:spacing w:val="2"/>
        </w:rPr>
        <w:t>supports </w:t>
      </w:r>
      <w:r>
        <w:rPr/>
        <w:t>research and has established a national and international profile in nursing, midwifery and health </w:t>
      </w:r>
      <w:r>
        <w:rPr>
          <w:spacing w:val="1"/>
          <w:w w:val="93"/>
        </w:rPr>
        <w:t>research.</w:t>
      </w:r>
      <w:r>
        <w:rPr>
          <w:w w:val="93"/>
        </w:rPr>
        <w:t> </w:t>
      </w:r>
      <w:r>
        <w:rPr>
          <w:spacing w:val="1"/>
          <w:w w:val="80"/>
        </w:rPr>
        <w:t>In</w:t>
      </w:r>
      <w:r>
        <w:rPr>
          <w:w w:val="80"/>
        </w:rPr>
        <w:t> </w:t>
      </w:r>
      <w:r>
        <w:rPr>
          <w:spacing w:val="1"/>
          <w:w w:val="84"/>
        </w:rPr>
        <w:t>2015,</w:t>
      </w:r>
      <w:r>
        <w:rPr>
          <w:w w:val="84"/>
        </w:rPr>
        <w:t> </w:t>
      </w:r>
      <w:r>
        <w:rPr>
          <w:spacing w:val="1"/>
          <w:w w:val="98"/>
        </w:rPr>
        <w:t>SoNM’s</w:t>
      </w:r>
      <w:r>
        <w:rPr>
          <w:w w:val="98"/>
        </w:rPr>
        <w:t> </w:t>
      </w:r>
      <w:r>
        <w:rPr>
          <w:spacing w:val="1"/>
          <w:w w:val="98"/>
        </w:rPr>
        <w:t>Excellence</w:t>
      </w:r>
      <w:r>
        <w:rPr>
          <w:w w:val="98"/>
        </w:rPr>
        <w:t> </w:t>
      </w:r>
      <w:r>
        <w:rPr>
          <w:w w:val="95"/>
        </w:rPr>
        <w:t>in </w:t>
      </w:r>
      <w:r>
        <w:rPr/>
        <w:t>Research for Australia (ERA) ranking increased</w:t>
      </w:r>
      <w:r>
        <w:rPr>
          <w:spacing w:val="-17"/>
        </w:rPr>
        <w:t> </w:t>
      </w:r>
      <w:r>
        <w:rPr/>
        <w:t>to</w:t>
      </w:r>
      <w:r>
        <w:rPr>
          <w:spacing w:val="-17"/>
        </w:rPr>
        <w:t> </w:t>
      </w:r>
      <w:r>
        <w:rPr/>
        <w:t>4,</w:t>
      </w:r>
      <w:r>
        <w:rPr>
          <w:spacing w:val="-17"/>
        </w:rPr>
        <w:t> </w:t>
      </w:r>
      <w:r>
        <w:rPr/>
        <w:t>reflecting</w:t>
      </w:r>
      <w:r>
        <w:rPr>
          <w:spacing w:val="-17"/>
        </w:rPr>
        <w:t> </w:t>
      </w:r>
      <w:r>
        <w:rPr/>
        <w:t>the</w:t>
      </w:r>
      <w:r>
        <w:rPr>
          <w:spacing w:val="-17"/>
        </w:rPr>
        <w:t> </w:t>
      </w:r>
      <w:r>
        <w:rPr/>
        <w:t>School’s</w:t>
      </w:r>
      <w:r>
        <w:rPr>
          <w:spacing w:val="-17"/>
        </w:rPr>
        <w:t> </w:t>
      </w:r>
      <w:r>
        <w:rPr/>
        <w:t>research strengths in midwifery, maternal and child health, aged care, chronic and complex care, acute care and mental health. The School continues</w:t>
      </w:r>
      <w:r>
        <w:rPr>
          <w:spacing w:val="-16"/>
        </w:rPr>
        <w:t> </w:t>
      </w:r>
      <w:r>
        <w:rPr/>
        <w:t>to</w:t>
      </w:r>
      <w:r>
        <w:rPr>
          <w:spacing w:val="-16"/>
        </w:rPr>
        <w:t> </w:t>
      </w:r>
      <w:r>
        <w:rPr/>
        <w:t>successfully</w:t>
      </w:r>
      <w:r>
        <w:rPr>
          <w:spacing w:val="-16"/>
        </w:rPr>
        <w:t> </w:t>
      </w:r>
      <w:r>
        <w:rPr/>
        <w:t>collaborate</w:t>
      </w:r>
      <w:r>
        <w:rPr>
          <w:spacing w:val="-16"/>
        </w:rPr>
        <w:t> </w:t>
      </w:r>
      <w:r>
        <w:rPr/>
        <w:t>with</w:t>
      </w:r>
    </w:p>
    <w:p>
      <w:pPr>
        <w:pStyle w:val="BodyText"/>
        <w:spacing w:line="249" w:lineRule="auto"/>
        <w:ind w:left="107" w:right="223"/>
      </w:pPr>
      <w:r>
        <w:rPr/>
        <w:t>the</w:t>
      </w:r>
      <w:r>
        <w:rPr>
          <w:spacing w:val="-22"/>
        </w:rPr>
        <w:t> </w:t>
      </w:r>
      <w:r>
        <w:rPr>
          <w:spacing w:val="2"/>
        </w:rPr>
        <w:t>Joanna</w:t>
      </w:r>
      <w:r>
        <w:rPr>
          <w:spacing w:val="-22"/>
        </w:rPr>
        <w:t> </w:t>
      </w:r>
      <w:r>
        <w:rPr/>
        <w:t>Briggs</w:t>
      </w:r>
      <w:r>
        <w:rPr>
          <w:spacing w:val="-22"/>
        </w:rPr>
        <w:t> </w:t>
      </w:r>
      <w:r>
        <w:rPr/>
        <w:t>Institute</w:t>
      </w:r>
      <w:r>
        <w:rPr>
          <w:spacing w:val="-22"/>
        </w:rPr>
        <w:t> </w:t>
      </w:r>
      <w:r>
        <w:rPr/>
        <w:t>and</w:t>
      </w:r>
      <w:r>
        <w:rPr>
          <w:spacing w:val="-22"/>
        </w:rPr>
        <w:t> </w:t>
      </w:r>
      <w:r>
        <w:rPr/>
        <w:t>the</w:t>
      </w:r>
      <w:r>
        <w:rPr>
          <w:spacing w:val="-22"/>
        </w:rPr>
        <w:t> </w:t>
      </w:r>
      <w:r>
        <w:rPr/>
        <w:t>Ingham Institute,</w:t>
      </w:r>
      <w:r>
        <w:rPr>
          <w:spacing w:val="-21"/>
        </w:rPr>
        <w:t> </w:t>
      </w:r>
      <w:r>
        <w:rPr/>
        <w:t>both</w:t>
      </w:r>
      <w:r>
        <w:rPr>
          <w:spacing w:val="-21"/>
        </w:rPr>
        <w:t> </w:t>
      </w:r>
      <w:r>
        <w:rPr/>
        <w:t>based</w:t>
      </w:r>
      <w:r>
        <w:rPr>
          <w:spacing w:val="-21"/>
        </w:rPr>
        <w:t> </w:t>
      </w:r>
      <w:r>
        <w:rPr/>
        <w:t>at</w:t>
      </w:r>
      <w:r>
        <w:rPr>
          <w:spacing w:val="-21"/>
        </w:rPr>
        <w:t> </w:t>
      </w:r>
      <w:r>
        <w:rPr/>
        <w:t>Liverpool</w:t>
      </w:r>
      <w:r>
        <w:rPr>
          <w:spacing w:val="-21"/>
        </w:rPr>
        <w:t> </w:t>
      </w:r>
      <w:r>
        <w:rPr/>
        <w:t>Hospital.</w:t>
      </w:r>
    </w:p>
    <w:p>
      <w:pPr>
        <w:pStyle w:val="BodyText"/>
        <w:rPr>
          <w:sz w:val="14"/>
        </w:rPr>
      </w:pPr>
    </w:p>
    <w:p>
      <w:pPr>
        <w:pStyle w:val="BodyText"/>
        <w:spacing w:line="249" w:lineRule="auto"/>
        <w:ind w:left="107" w:right="101"/>
      </w:pPr>
      <w:r>
        <w:rPr/>
        <w:t>In</w:t>
      </w:r>
      <w:r>
        <w:rPr>
          <w:spacing w:val="-21"/>
        </w:rPr>
        <w:t> </w:t>
      </w:r>
      <w:r>
        <w:rPr/>
        <w:t>a</w:t>
      </w:r>
      <w:r>
        <w:rPr>
          <w:spacing w:val="-21"/>
        </w:rPr>
        <w:t> </w:t>
      </w:r>
      <w:r>
        <w:rPr/>
        <w:t>competitive</w:t>
      </w:r>
      <w:r>
        <w:rPr>
          <w:spacing w:val="-21"/>
        </w:rPr>
        <w:t> </w:t>
      </w:r>
      <w:r>
        <w:rPr/>
        <w:t>market,</w:t>
      </w:r>
      <w:r>
        <w:rPr>
          <w:spacing w:val="-21"/>
        </w:rPr>
        <w:t> </w:t>
      </w:r>
      <w:r>
        <w:rPr/>
        <w:t>the</w:t>
      </w:r>
      <w:r>
        <w:rPr>
          <w:spacing w:val="-21"/>
        </w:rPr>
        <w:t> </w:t>
      </w:r>
      <w:r>
        <w:rPr/>
        <w:t>School’s</w:t>
      </w:r>
      <w:r>
        <w:rPr>
          <w:spacing w:val="-21"/>
        </w:rPr>
        <w:t> </w:t>
      </w:r>
      <w:r>
        <w:rPr/>
        <w:t>success in introducing the new curricula and the sustained</w:t>
      </w:r>
      <w:r>
        <w:rPr>
          <w:spacing w:val="-16"/>
        </w:rPr>
        <w:t> </w:t>
      </w:r>
      <w:r>
        <w:rPr/>
        <w:t>demand</w:t>
      </w:r>
      <w:r>
        <w:rPr>
          <w:spacing w:val="-16"/>
        </w:rPr>
        <w:t> </w:t>
      </w:r>
      <w:r>
        <w:rPr/>
        <w:t>for</w:t>
      </w:r>
      <w:r>
        <w:rPr>
          <w:spacing w:val="-16"/>
        </w:rPr>
        <w:t> </w:t>
      </w:r>
      <w:r>
        <w:rPr/>
        <w:t>nursing</w:t>
      </w:r>
      <w:r>
        <w:rPr>
          <w:spacing w:val="-16"/>
        </w:rPr>
        <w:t> </w:t>
      </w:r>
      <w:r>
        <w:rPr/>
        <w:t>and</w:t>
      </w:r>
      <w:r>
        <w:rPr>
          <w:spacing w:val="-16"/>
        </w:rPr>
        <w:t> </w:t>
      </w:r>
      <w:r>
        <w:rPr/>
        <w:t>midwifery</w:t>
      </w:r>
    </w:p>
    <w:p>
      <w:pPr>
        <w:pStyle w:val="BodyText"/>
        <w:spacing w:before="2"/>
        <w:rPr>
          <w:sz w:val="20"/>
        </w:rPr>
      </w:pPr>
      <w:r>
        <w:rPr/>
        <w:br w:type="column"/>
      </w:r>
      <w:r>
        <w:rPr>
          <w:sz w:val="20"/>
        </w:rPr>
      </w:r>
    </w:p>
    <w:p>
      <w:pPr>
        <w:pStyle w:val="BodyText"/>
        <w:spacing w:line="249" w:lineRule="auto"/>
        <w:ind w:left="107" w:right="121"/>
      </w:pPr>
      <w:r>
        <w:rPr/>
        <w:t>as a profession manifested in the continued </w:t>
      </w:r>
      <w:r>
        <w:rPr>
          <w:w w:val="97"/>
        </w:rPr>
        <w:t>high </w:t>
      </w:r>
      <w:r>
        <w:rPr>
          <w:w w:val="98"/>
        </w:rPr>
        <w:t>student </w:t>
      </w:r>
      <w:r>
        <w:rPr>
          <w:w w:val="97"/>
        </w:rPr>
        <w:t>enrolment </w:t>
      </w:r>
      <w:r>
        <w:rPr>
          <w:w w:val="95"/>
        </w:rPr>
        <w:t>in </w:t>
      </w:r>
      <w:r>
        <w:rPr>
          <w:w w:val="84"/>
        </w:rPr>
        <w:t>2015. </w:t>
      </w:r>
      <w:r>
        <w:rPr>
          <w:w w:val="99"/>
        </w:rPr>
        <w:t>With </w:t>
      </w:r>
      <w:r>
        <w:rPr>
          <w:w w:val="83"/>
        </w:rPr>
        <w:t>4,513 </w:t>
      </w:r>
      <w:r>
        <w:rPr/>
        <w:t>students (international students represented</w:t>
      </w:r>
    </w:p>
    <w:p>
      <w:pPr>
        <w:pStyle w:val="BodyText"/>
        <w:spacing w:line="249" w:lineRule="auto"/>
        <w:ind w:left="107" w:right="167"/>
      </w:pPr>
      <w:r>
        <w:rPr/>
        <w:t>22.15</w:t>
      </w:r>
      <w:r>
        <w:rPr>
          <w:spacing w:val="-26"/>
        </w:rPr>
        <w:t> </w:t>
      </w:r>
      <w:r>
        <w:rPr/>
        <w:t>per</w:t>
      </w:r>
      <w:r>
        <w:rPr>
          <w:spacing w:val="-26"/>
        </w:rPr>
        <w:t> </w:t>
      </w:r>
      <w:r>
        <w:rPr/>
        <w:t>cent</w:t>
      </w:r>
      <w:r>
        <w:rPr>
          <w:spacing w:val="-26"/>
        </w:rPr>
        <w:t> </w:t>
      </w:r>
      <w:r>
        <w:rPr/>
        <w:t>across</w:t>
      </w:r>
      <w:r>
        <w:rPr>
          <w:spacing w:val="-26"/>
        </w:rPr>
        <w:t> </w:t>
      </w:r>
      <w:r>
        <w:rPr/>
        <w:t>the</w:t>
      </w:r>
      <w:r>
        <w:rPr>
          <w:spacing w:val="-26"/>
        </w:rPr>
        <w:t> </w:t>
      </w:r>
      <w:r>
        <w:rPr/>
        <w:t>suite</w:t>
      </w:r>
      <w:r>
        <w:rPr>
          <w:spacing w:val="-26"/>
        </w:rPr>
        <w:t> </w:t>
      </w:r>
      <w:r>
        <w:rPr/>
        <w:t>of</w:t>
      </w:r>
      <w:r>
        <w:rPr>
          <w:spacing w:val="-26"/>
        </w:rPr>
        <w:t> </w:t>
      </w:r>
      <w:r>
        <w:rPr/>
        <w:t>courses),</w:t>
      </w:r>
      <w:r>
        <w:rPr>
          <w:spacing w:val="-26"/>
        </w:rPr>
        <w:t> </w:t>
      </w:r>
      <w:r>
        <w:rPr/>
        <w:t>the School</w:t>
      </w:r>
      <w:r>
        <w:rPr>
          <w:spacing w:val="-13"/>
        </w:rPr>
        <w:t> </w:t>
      </w:r>
      <w:r>
        <w:rPr/>
        <w:t>continues</w:t>
      </w:r>
      <w:r>
        <w:rPr>
          <w:spacing w:val="-13"/>
        </w:rPr>
        <w:t> </w:t>
      </w:r>
      <w:r>
        <w:rPr/>
        <w:t>to</w:t>
      </w:r>
      <w:r>
        <w:rPr>
          <w:spacing w:val="-13"/>
        </w:rPr>
        <w:t> </w:t>
      </w:r>
      <w:r>
        <w:rPr/>
        <w:t>build</w:t>
      </w:r>
      <w:r>
        <w:rPr>
          <w:spacing w:val="-13"/>
        </w:rPr>
        <w:t> </w:t>
      </w:r>
      <w:r>
        <w:rPr/>
        <w:t>on</w:t>
      </w:r>
      <w:r>
        <w:rPr>
          <w:spacing w:val="-13"/>
        </w:rPr>
        <w:t> </w:t>
      </w:r>
      <w:r>
        <w:rPr/>
        <w:t>its</w:t>
      </w:r>
      <w:r>
        <w:rPr>
          <w:spacing w:val="-13"/>
        </w:rPr>
        <w:t> </w:t>
      </w:r>
      <w:r>
        <w:rPr/>
        <w:t>reputation</w:t>
      </w:r>
      <w:r>
        <w:rPr>
          <w:spacing w:val="-13"/>
        </w:rPr>
        <w:t> </w:t>
      </w:r>
      <w:r>
        <w:rPr/>
        <w:t>for quality</w:t>
      </w:r>
      <w:r>
        <w:rPr>
          <w:spacing w:val="-19"/>
        </w:rPr>
        <w:t> </w:t>
      </w:r>
      <w:r>
        <w:rPr/>
        <w:t>outcomes,</w:t>
      </w:r>
      <w:r>
        <w:rPr>
          <w:spacing w:val="-19"/>
        </w:rPr>
        <w:t> </w:t>
      </w:r>
      <w:r>
        <w:rPr/>
        <w:t>with</w:t>
      </w:r>
      <w:r>
        <w:rPr>
          <w:spacing w:val="-19"/>
        </w:rPr>
        <w:t> </w:t>
      </w:r>
      <w:r>
        <w:rPr/>
        <w:t>enrolments</w:t>
      </w:r>
      <w:r>
        <w:rPr>
          <w:spacing w:val="-19"/>
        </w:rPr>
        <w:t> </w:t>
      </w:r>
      <w:r>
        <w:rPr/>
        <w:t>increasing by </w:t>
      </w:r>
      <w:r>
        <w:rPr>
          <w:spacing w:val="2"/>
        </w:rPr>
        <w:t>9.3 </w:t>
      </w:r>
      <w:r>
        <w:rPr/>
        <w:t>per cent in the Bachelor of Nursing (Advanced)</w:t>
      </w:r>
      <w:r>
        <w:rPr>
          <w:spacing w:val="-17"/>
        </w:rPr>
        <w:t> </w:t>
      </w:r>
      <w:r>
        <w:rPr/>
        <w:t>and</w:t>
      </w:r>
      <w:r>
        <w:rPr>
          <w:spacing w:val="-17"/>
        </w:rPr>
        <w:t> </w:t>
      </w:r>
      <w:r>
        <w:rPr/>
        <w:t>13</w:t>
      </w:r>
      <w:r>
        <w:rPr>
          <w:spacing w:val="-17"/>
        </w:rPr>
        <w:t> </w:t>
      </w:r>
      <w:r>
        <w:rPr/>
        <w:t>per</w:t>
      </w:r>
      <w:r>
        <w:rPr>
          <w:spacing w:val="-17"/>
        </w:rPr>
        <w:t> </w:t>
      </w:r>
      <w:r>
        <w:rPr/>
        <w:t>cent</w:t>
      </w:r>
      <w:r>
        <w:rPr>
          <w:spacing w:val="-17"/>
        </w:rPr>
        <w:t> </w:t>
      </w:r>
      <w:r>
        <w:rPr/>
        <w:t>in</w:t>
      </w:r>
      <w:r>
        <w:rPr>
          <w:spacing w:val="-17"/>
        </w:rPr>
        <w:t> </w:t>
      </w:r>
      <w:r>
        <w:rPr/>
        <w:t>the</w:t>
      </w:r>
      <w:r>
        <w:rPr>
          <w:spacing w:val="-17"/>
        </w:rPr>
        <w:t> </w:t>
      </w:r>
      <w:r>
        <w:rPr/>
        <w:t>Bachelor</w:t>
      </w:r>
      <w:r>
        <w:rPr>
          <w:spacing w:val="-17"/>
        </w:rPr>
        <w:t> </w:t>
      </w:r>
      <w:r>
        <w:rPr/>
        <w:t>of Midwifery.</w:t>
      </w:r>
    </w:p>
    <w:p>
      <w:pPr>
        <w:pStyle w:val="BodyText"/>
        <w:spacing w:before="7"/>
        <w:rPr>
          <w:sz w:val="21"/>
        </w:rPr>
      </w:pPr>
    </w:p>
    <w:p>
      <w:pPr>
        <w:pStyle w:val="Heading8"/>
        <w:ind w:right="287"/>
      </w:pPr>
      <w:r>
        <w:rPr>
          <w:w w:val="95"/>
        </w:rPr>
        <w:t>LEARNING AND TEACHING</w:t>
      </w:r>
    </w:p>
    <w:p>
      <w:pPr>
        <w:pStyle w:val="BodyText"/>
        <w:spacing w:line="249" w:lineRule="auto" w:before="86"/>
        <w:ind w:left="107" w:right="110"/>
      </w:pPr>
      <w:r>
        <w:rPr/>
        <w:t>SoNM continues to focus on blended learning for both effective, flexible teaching and student engagement to meet the University’s goal of being student-centred. The use of iPads and the resulting advances in blended learning are reflected in the success of</w:t>
      </w:r>
    </w:p>
    <w:p>
      <w:pPr>
        <w:pStyle w:val="BodyText"/>
        <w:spacing w:line="249" w:lineRule="auto"/>
        <w:ind w:left="107" w:right="541"/>
      </w:pPr>
      <w:r>
        <w:rPr/>
        <w:t>the courses, the student outcomes and the individual successes of the Blended</w:t>
      </w:r>
    </w:p>
    <w:p>
      <w:pPr>
        <w:pStyle w:val="BodyText"/>
        <w:spacing w:line="249" w:lineRule="auto"/>
        <w:ind w:left="107" w:right="198"/>
      </w:pPr>
      <w:r>
        <w:rPr/>
        <w:t>Learning team. The School was recognised in the Learning </w:t>
      </w:r>
      <w:r>
        <w:rPr>
          <w:spacing w:val="2"/>
        </w:rPr>
        <w:t>Impact </w:t>
      </w:r>
      <w:r>
        <w:rPr/>
        <w:t>Awards for Blended Learning Optimization and blended learning designer</w:t>
      </w:r>
      <w:r>
        <w:rPr>
          <w:spacing w:val="-14"/>
        </w:rPr>
        <w:t> </w:t>
      </w:r>
      <w:r>
        <w:rPr/>
        <w:t>Mr</w:t>
      </w:r>
      <w:r>
        <w:rPr>
          <w:spacing w:val="-14"/>
        </w:rPr>
        <w:t> </w:t>
      </w:r>
      <w:r>
        <w:rPr/>
        <w:t>Con</w:t>
      </w:r>
      <w:r>
        <w:rPr>
          <w:spacing w:val="-14"/>
        </w:rPr>
        <w:t> </w:t>
      </w:r>
      <w:r>
        <w:rPr/>
        <w:t>Athanasiou</w:t>
      </w:r>
      <w:r>
        <w:rPr>
          <w:spacing w:val="-14"/>
        </w:rPr>
        <w:t> </w:t>
      </w:r>
      <w:r>
        <w:rPr/>
        <w:t>was</w:t>
      </w:r>
      <w:r>
        <w:rPr>
          <w:spacing w:val="-14"/>
        </w:rPr>
        <w:t> </w:t>
      </w:r>
      <w:r>
        <w:rPr/>
        <w:t>recognised as an Apple Distinguished Educator. </w:t>
      </w:r>
      <w:r>
        <w:rPr>
          <w:spacing w:val="2"/>
        </w:rPr>
        <w:t>SoNM </w:t>
      </w:r>
      <w:r>
        <w:rPr/>
        <w:t>exhibited</w:t>
      </w:r>
      <w:r>
        <w:rPr>
          <w:spacing w:val="-19"/>
        </w:rPr>
        <w:t> </w:t>
      </w:r>
      <w:r>
        <w:rPr/>
        <w:t>the</w:t>
      </w:r>
      <w:r>
        <w:rPr>
          <w:spacing w:val="-19"/>
        </w:rPr>
        <w:t> </w:t>
      </w:r>
      <w:r>
        <w:rPr/>
        <w:t>success</w:t>
      </w:r>
      <w:r>
        <w:rPr>
          <w:spacing w:val="-19"/>
        </w:rPr>
        <w:t> </w:t>
      </w:r>
      <w:r>
        <w:rPr/>
        <w:t>of</w:t>
      </w:r>
      <w:r>
        <w:rPr>
          <w:spacing w:val="-19"/>
        </w:rPr>
        <w:t> </w:t>
      </w:r>
      <w:r>
        <w:rPr/>
        <w:t>the</w:t>
      </w:r>
      <w:r>
        <w:rPr>
          <w:spacing w:val="-19"/>
        </w:rPr>
        <w:t> </w:t>
      </w:r>
      <w:r>
        <w:rPr/>
        <w:t>strategy,</w:t>
      </w:r>
      <w:r>
        <w:rPr>
          <w:spacing w:val="-19"/>
        </w:rPr>
        <w:t> </w:t>
      </w:r>
      <w:r>
        <w:rPr/>
        <w:t>with</w:t>
      </w:r>
      <w:r>
        <w:rPr>
          <w:spacing w:val="-19"/>
        </w:rPr>
        <w:t> </w:t>
      </w:r>
      <w:r>
        <w:rPr/>
        <w:t>six</w:t>
      </w:r>
    </w:p>
    <w:p>
      <w:pPr>
        <w:pStyle w:val="BodyText"/>
        <w:spacing w:line="249" w:lineRule="auto"/>
        <w:ind w:left="107" w:right="121"/>
      </w:pPr>
      <w:r>
        <w:rPr/>
        <w:t>staff</w:t>
      </w:r>
      <w:r>
        <w:rPr>
          <w:spacing w:val="-18"/>
        </w:rPr>
        <w:t> </w:t>
      </w:r>
      <w:r>
        <w:rPr/>
        <w:t>members</w:t>
      </w:r>
      <w:r>
        <w:rPr>
          <w:spacing w:val="-18"/>
        </w:rPr>
        <w:t> </w:t>
      </w:r>
      <w:r>
        <w:rPr/>
        <w:t>sharing</w:t>
      </w:r>
      <w:r>
        <w:rPr>
          <w:spacing w:val="-18"/>
        </w:rPr>
        <w:t> </w:t>
      </w:r>
      <w:r>
        <w:rPr/>
        <w:t>new</w:t>
      </w:r>
      <w:r>
        <w:rPr>
          <w:spacing w:val="-18"/>
        </w:rPr>
        <w:t> </w:t>
      </w:r>
      <w:r>
        <w:rPr/>
        <w:t>skills</w:t>
      </w:r>
      <w:r>
        <w:rPr>
          <w:spacing w:val="-18"/>
        </w:rPr>
        <w:t> </w:t>
      </w:r>
      <w:r>
        <w:rPr/>
        <w:t>at</w:t>
      </w:r>
      <w:r>
        <w:rPr>
          <w:spacing w:val="-18"/>
        </w:rPr>
        <w:t> </w:t>
      </w:r>
      <w:r>
        <w:rPr/>
        <w:t>the</w:t>
      </w:r>
      <w:r>
        <w:rPr>
          <w:spacing w:val="-18"/>
        </w:rPr>
        <w:t> </w:t>
      </w:r>
      <w:r>
        <w:rPr>
          <w:spacing w:val="2"/>
        </w:rPr>
        <w:t>SoNM </w:t>
      </w:r>
      <w:r>
        <w:rPr/>
        <w:t>Blended Learning Showcase, the Cengage Learning Workshop and the University Designing</w:t>
      </w:r>
      <w:r>
        <w:rPr>
          <w:spacing w:val="-22"/>
        </w:rPr>
        <w:t> </w:t>
      </w:r>
      <w:r>
        <w:rPr/>
        <w:t>for</w:t>
      </w:r>
      <w:r>
        <w:rPr>
          <w:spacing w:val="-22"/>
        </w:rPr>
        <w:t> </w:t>
      </w:r>
      <w:r>
        <w:rPr/>
        <w:t>Learning</w:t>
      </w:r>
      <w:r>
        <w:rPr>
          <w:spacing w:val="-22"/>
        </w:rPr>
        <w:t> </w:t>
      </w:r>
      <w:r>
        <w:rPr/>
        <w:t>Showcase.</w:t>
      </w:r>
    </w:p>
    <w:p>
      <w:pPr>
        <w:pStyle w:val="BodyText"/>
        <w:rPr>
          <w:sz w:val="14"/>
        </w:rPr>
      </w:pPr>
    </w:p>
    <w:p>
      <w:pPr>
        <w:pStyle w:val="BodyText"/>
        <w:spacing w:line="249" w:lineRule="auto"/>
        <w:ind w:left="107" w:right="96"/>
      </w:pPr>
      <w:r>
        <w:rPr/>
        <w:t>The</w:t>
      </w:r>
      <w:r>
        <w:rPr>
          <w:spacing w:val="-16"/>
        </w:rPr>
        <w:t> </w:t>
      </w:r>
      <w:r>
        <w:rPr/>
        <w:t>School</w:t>
      </w:r>
      <w:r>
        <w:rPr>
          <w:spacing w:val="-16"/>
        </w:rPr>
        <w:t> </w:t>
      </w:r>
      <w:r>
        <w:rPr/>
        <w:t>has</w:t>
      </w:r>
      <w:r>
        <w:rPr>
          <w:spacing w:val="-16"/>
        </w:rPr>
        <w:t> </w:t>
      </w:r>
      <w:r>
        <w:rPr/>
        <w:t>reviewed</w:t>
      </w:r>
      <w:r>
        <w:rPr>
          <w:spacing w:val="-16"/>
        </w:rPr>
        <w:t> </w:t>
      </w:r>
      <w:r>
        <w:rPr/>
        <w:t>online</w:t>
      </w:r>
      <w:r>
        <w:rPr>
          <w:spacing w:val="-16"/>
        </w:rPr>
        <w:t> </w:t>
      </w:r>
      <w:r>
        <w:rPr/>
        <w:t>postgraduate offerings</w:t>
      </w:r>
      <w:r>
        <w:rPr>
          <w:spacing w:val="-19"/>
        </w:rPr>
        <w:t> </w:t>
      </w:r>
      <w:r>
        <w:rPr/>
        <w:t>for</w:t>
      </w:r>
      <w:r>
        <w:rPr>
          <w:spacing w:val="-19"/>
        </w:rPr>
        <w:t> </w:t>
      </w:r>
      <w:r>
        <w:rPr/>
        <w:t>quality</w:t>
      </w:r>
      <w:r>
        <w:rPr>
          <w:spacing w:val="-19"/>
        </w:rPr>
        <w:t> </w:t>
      </w:r>
      <w:r>
        <w:rPr/>
        <w:t>and</w:t>
      </w:r>
      <w:r>
        <w:rPr>
          <w:spacing w:val="-19"/>
        </w:rPr>
        <w:t> </w:t>
      </w:r>
      <w:r>
        <w:rPr/>
        <w:t>engagement.</w:t>
      </w:r>
      <w:r>
        <w:rPr>
          <w:spacing w:val="-19"/>
        </w:rPr>
        <w:t> </w:t>
      </w:r>
      <w:r>
        <w:rPr/>
        <w:t>It</w:t>
      </w:r>
      <w:r>
        <w:rPr>
          <w:spacing w:val="-19"/>
        </w:rPr>
        <w:t> </w:t>
      </w:r>
      <w:r>
        <w:rPr/>
        <w:t>is</w:t>
      </w:r>
      <w:r>
        <w:rPr>
          <w:spacing w:val="-19"/>
        </w:rPr>
        <w:t> </w:t>
      </w:r>
      <w:r>
        <w:rPr/>
        <w:t>also introducing interactive teaching and learning activities, moving away from static formats and using the Learning Activity Management System</w:t>
      </w:r>
      <w:r>
        <w:rPr>
          <w:spacing w:val="-17"/>
        </w:rPr>
        <w:t> </w:t>
      </w:r>
      <w:r>
        <w:rPr>
          <w:spacing w:val="2"/>
        </w:rPr>
        <w:t>(LAMS)</w:t>
      </w:r>
      <w:r>
        <w:rPr>
          <w:spacing w:val="-17"/>
        </w:rPr>
        <w:t> </w:t>
      </w:r>
      <w:r>
        <w:rPr/>
        <w:t>to</w:t>
      </w:r>
      <w:r>
        <w:rPr>
          <w:spacing w:val="-17"/>
        </w:rPr>
        <w:t> </w:t>
      </w:r>
      <w:r>
        <w:rPr/>
        <w:t>design,</w:t>
      </w:r>
      <w:r>
        <w:rPr>
          <w:spacing w:val="-17"/>
        </w:rPr>
        <w:t> </w:t>
      </w:r>
      <w:r>
        <w:rPr/>
        <w:t>manage</w:t>
      </w:r>
      <w:r>
        <w:rPr>
          <w:spacing w:val="-17"/>
        </w:rPr>
        <w:t> </w:t>
      </w:r>
      <w:r>
        <w:rPr/>
        <w:t>and</w:t>
      </w:r>
    </w:p>
    <w:p>
      <w:pPr>
        <w:pStyle w:val="BodyText"/>
        <w:spacing w:line="249" w:lineRule="auto"/>
        <w:ind w:left="107" w:right="102"/>
      </w:pPr>
      <w:r>
        <w:rPr/>
        <w:t>deliver online collaborative learning activities. In addition, the School is using more online media, Collaborate and discussion boards</w:t>
      </w:r>
    </w:p>
    <w:p>
      <w:pPr>
        <w:pStyle w:val="BodyText"/>
        <w:spacing w:line="249" w:lineRule="auto"/>
        <w:ind w:left="107" w:right="245"/>
      </w:pPr>
      <w:r>
        <w:rPr/>
        <w:t>to maximise student support, feedback and engagement for online units.</w:t>
      </w:r>
    </w:p>
    <w:p>
      <w:pPr>
        <w:pStyle w:val="BodyText"/>
        <w:rPr>
          <w:sz w:val="14"/>
        </w:rPr>
      </w:pPr>
    </w:p>
    <w:p>
      <w:pPr>
        <w:pStyle w:val="BodyText"/>
        <w:spacing w:line="249" w:lineRule="auto"/>
        <w:ind w:left="107" w:right="198"/>
      </w:pPr>
      <w:r>
        <w:rPr>
          <w:w w:val="80"/>
        </w:rPr>
        <w:t>In </w:t>
      </w:r>
      <w:r>
        <w:rPr>
          <w:w w:val="84"/>
        </w:rPr>
        <w:t>2015, </w:t>
      </w:r>
      <w:r>
        <w:rPr>
          <w:w w:val="97"/>
        </w:rPr>
        <w:t>the </w:t>
      </w:r>
      <w:r>
        <w:rPr>
          <w:w w:val="98"/>
        </w:rPr>
        <w:t>School </w:t>
      </w:r>
      <w:r>
        <w:rPr>
          <w:w w:val="98"/>
        </w:rPr>
        <w:t>introduced </w:t>
      </w:r>
      <w:r>
        <w:rPr>
          <w:w w:val="97"/>
        </w:rPr>
        <w:t>the </w:t>
      </w:r>
      <w:r>
        <w:rPr>
          <w:w w:val="98"/>
        </w:rPr>
        <w:t>third </w:t>
      </w:r>
      <w:r>
        <w:rPr>
          <w:w w:val="97"/>
        </w:rPr>
        <w:t>and </w:t>
      </w:r>
      <w:r>
        <w:rPr/>
        <w:t>final year of the new curricula for both the Bachelor of Nursing and the Bachelor of Midwifery, and the first cohort graduated in December. The cohort of first-year Bachelor of Nursing students at the Lithgow campus </w:t>
      </w:r>
      <w:r>
        <w:rPr>
          <w:w w:val="95"/>
        </w:rPr>
        <w:t>is </w:t>
      </w:r>
      <w:r>
        <w:rPr>
          <w:w w:val="98"/>
        </w:rPr>
        <w:t>expanding </w:t>
      </w:r>
      <w:r>
        <w:rPr>
          <w:w w:val="95"/>
        </w:rPr>
        <w:t>in </w:t>
      </w:r>
      <w:r>
        <w:rPr>
          <w:w w:val="90"/>
        </w:rPr>
        <w:t>2016 </w:t>
      </w:r>
      <w:r>
        <w:rPr>
          <w:w w:val="98"/>
        </w:rPr>
        <w:t>following </w:t>
      </w:r>
      <w:r>
        <w:rPr>
          <w:w w:val="97"/>
        </w:rPr>
        <w:t>the </w:t>
      </w:r>
      <w:r>
        <w:rPr>
          <w:w w:val="98"/>
        </w:rPr>
        <w:t>program’s </w:t>
      </w:r>
      <w:r>
        <w:rPr/>
        <w:t>success and positive engagement with the local community.</w:t>
      </w:r>
    </w:p>
    <w:p>
      <w:pPr>
        <w:pStyle w:val="BodyText"/>
        <w:rPr>
          <w:sz w:val="14"/>
        </w:rPr>
      </w:pPr>
    </w:p>
    <w:p>
      <w:pPr>
        <w:pStyle w:val="BodyText"/>
        <w:spacing w:line="249" w:lineRule="auto"/>
        <w:ind w:left="107" w:right="121"/>
      </w:pPr>
      <w:r>
        <w:rPr/>
        <w:t>The</w:t>
      </w:r>
      <w:r>
        <w:rPr>
          <w:spacing w:val="-17"/>
        </w:rPr>
        <w:t> </w:t>
      </w:r>
      <w:r>
        <w:rPr/>
        <w:t>School</w:t>
      </w:r>
      <w:r>
        <w:rPr>
          <w:spacing w:val="-17"/>
        </w:rPr>
        <w:t> </w:t>
      </w:r>
      <w:r>
        <w:rPr/>
        <w:t>is</w:t>
      </w:r>
      <w:r>
        <w:rPr>
          <w:spacing w:val="-17"/>
        </w:rPr>
        <w:t> </w:t>
      </w:r>
      <w:r>
        <w:rPr/>
        <w:t>increasing</w:t>
      </w:r>
      <w:r>
        <w:rPr>
          <w:spacing w:val="-17"/>
        </w:rPr>
        <w:t> </w:t>
      </w:r>
      <w:r>
        <w:rPr/>
        <w:t>its</w:t>
      </w:r>
      <w:r>
        <w:rPr>
          <w:spacing w:val="-17"/>
        </w:rPr>
        <w:t> </w:t>
      </w:r>
      <w:r>
        <w:rPr/>
        <w:t>training</w:t>
      </w:r>
      <w:r>
        <w:rPr>
          <w:spacing w:val="-17"/>
        </w:rPr>
        <w:t> </w:t>
      </w:r>
      <w:r>
        <w:rPr/>
        <w:t>in</w:t>
      </w:r>
      <w:r>
        <w:rPr>
          <w:spacing w:val="-17"/>
        </w:rPr>
        <w:t> </w:t>
      </w:r>
      <w:r>
        <w:rPr/>
        <w:t>the</w:t>
      </w:r>
      <w:r>
        <w:rPr>
          <w:spacing w:val="-17"/>
        </w:rPr>
        <w:t> </w:t>
      </w:r>
      <w:r>
        <w:rPr/>
        <w:t>use of</w:t>
      </w:r>
      <w:r>
        <w:rPr>
          <w:spacing w:val="-18"/>
        </w:rPr>
        <w:t> </w:t>
      </w:r>
      <w:r>
        <w:rPr/>
        <w:t>simulation</w:t>
      </w:r>
      <w:r>
        <w:rPr>
          <w:spacing w:val="-18"/>
        </w:rPr>
        <w:t> </w:t>
      </w:r>
      <w:r>
        <w:rPr/>
        <w:t>(SimPad</w:t>
      </w:r>
      <w:r>
        <w:rPr>
          <w:spacing w:val="-18"/>
        </w:rPr>
        <w:t> </w:t>
      </w:r>
      <w:r>
        <w:rPr/>
        <w:t>and</w:t>
      </w:r>
      <w:r>
        <w:rPr>
          <w:spacing w:val="-18"/>
        </w:rPr>
        <w:t> </w:t>
      </w:r>
      <w:r>
        <w:rPr/>
        <w:t>SimMan)</w:t>
      </w:r>
      <w:r>
        <w:rPr>
          <w:spacing w:val="-18"/>
        </w:rPr>
        <w:t> </w:t>
      </w:r>
      <w:r>
        <w:rPr/>
        <w:t>in</w:t>
      </w:r>
      <w:r>
        <w:rPr>
          <w:spacing w:val="-18"/>
        </w:rPr>
        <w:t> </w:t>
      </w:r>
      <w:r>
        <w:rPr/>
        <w:t>clinical</w:t>
      </w:r>
    </w:p>
    <w:p>
      <w:pPr>
        <w:spacing w:after="0" w:line="249" w:lineRule="auto"/>
        <w:sectPr>
          <w:type w:val="continuous"/>
          <w:pgSz w:w="11910" w:h="16840"/>
          <w:pgMar w:top="1580" w:bottom="280" w:left="800" w:right="800"/>
          <w:cols w:num="3" w:equalWidth="0">
            <w:col w:w="3313" w:space="126"/>
            <w:col w:w="3319" w:space="120"/>
            <w:col w:w="3432"/>
          </w:cols>
        </w:sectPr>
      </w:pPr>
    </w:p>
    <w:p>
      <w:pPr>
        <w:pStyle w:val="BodyText"/>
        <w:spacing w:before="10"/>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9" w:lineRule="auto"/>
        <w:ind w:left="107" w:right="88"/>
      </w:pPr>
      <w:r>
        <w:rPr/>
        <w:t>teaching. The Clinical Practice Unit technical staff at Laerdal head office in Melbourne had hands-on simulation, maintenance and moulage (simulated wounds) training to maximise use of the equipment to reinforce learning outcomes. In addition, the School has begun creating student clinical practice skills videos to enhance learning and engagement as part of the blended learning</w:t>
      </w:r>
    </w:p>
    <w:p>
      <w:pPr>
        <w:pStyle w:val="BodyText"/>
        <w:spacing w:line="249" w:lineRule="auto"/>
        <w:ind w:left="107"/>
      </w:pPr>
      <w:r>
        <w:rPr/>
        <w:t>strategy.</w:t>
      </w:r>
      <w:r>
        <w:rPr>
          <w:spacing w:val="-26"/>
        </w:rPr>
        <w:t> </w:t>
      </w:r>
      <w:r>
        <w:rPr/>
        <w:t>Learning</w:t>
      </w:r>
      <w:r>
        <w:rPr>
          <w:spacing w:val="-26"/>
        </w:rPr>
        <w:t> </w:t>
      </w:r>
      <w:r>
        <w:rPr/>
        <w:t>and</w:t>
      </w:r>
      <w:r>
        <w:rPr>
          <w:spacing w:val="-26"/>
        </w:rPr>
        <w:t> </w:t>
      </w:r>
      <w:r>
        <w:rPr/>
        <w:t>Teaching</w:t>
      </w:r>
      <w:r>
        <w:rPr>
          <w:spacing w:val="-26"/>
        </w:rPr>
        <w:t> </w:t>
      </w:r>
      <w:r>
        <w:rPr/>
        <w:t>Enhancement Grants (LTEG) have supported this. These videos will be </w:t>
      </w:r>
      <w:r>
        <w:rPr>
          <w:spacing w:val="2"/>
        </w:rPr>
        <w:t>embedded </w:t>
      </w:r>
      <w:r>
        <w:rPr/>
        <w:t>in Professional Practice</w:t>
      </w:r>
      <w:r>
        <w:rPr>
          <w:spacing w:val="-10"/>
        </w:rPr>
        <w:t> </w:t>
      </w:r>
      <w:r>
        <w:rPr/>
        <w:t>Experience</w:t>
      </w:r>
      <w:r>
        <w:rPr>
          <w:spacing w:val="-10"/>
        </w:rPr>
        <w:t> </w:t>
      </w:r>
      <w:r>
        <w:rPr/>
        <w:t>(PPE)</w:t>
      </w:r>
      <w:r>
        <w:rPr>
          <w:spacing w:val="-10"/>
        </w:rPr>
        <w:t> </w:t>
      </w:r>
      <w:r>
        <w:rPr/>
        <w:t>units</w:t>
      </w:r>
      <w:r>
        <w:rPr>
          <w:spacing w:val="-10"/>
        </w:rPr>
        <w:t> </w:t>
      </w:r>
      <w:r>
        <w:rPr/>
        <w:t>and</w:t>
      </w:r>
      <w:r>
        <w:rPr>
          <w:spacing w:val="-10"/>
        </w:rPr>
        <w:t> </w:t>
      </w:r>
      <w:r>
        <w:rPr/>
        <w:t>will</w:t>
      </w:r>
    </w:p>
    <w:p>
      <w:pPr>
        <w:pStyle w:val="BodyText"/>
        <w:spacing w:line="249" w:lineRule="auto"/>
        <w:ind w:left="107" w:right="146"/>
      </w:pPr>
      <w:r>
        <w:rPr/>
        <w:t>cover foundation skills including dispensing medication.</w:t>
      </w:r>
    </w:p>
    <w:p>
      <w:pPr>
        <w:pStyle w:val="BodyText"/>
        <w:rPr>
          <w:sz w:val="14"/>
        </w:rPr>
      </w:pPr>
    </w:p>
    <w:p>
      <w:pPr>
        <w:pStyle w:val="BodyText"/>
        <w:spacing w:line="249" w:lineRule="auto"/>
        <w:ind w:left="107" w:right="-9"/>
      </w:pPr>
      <w:r>
        <w:rPr/>
        <w:t>The school also uses LTEG for projects to support students. These projects include creating a central database for an academic literacy support initiative, promoting positive experiences for new students and developing assessment task rubric templates.</w:t>
      </w:r>
    </w:p>
    <w:p>
      <w:pPr>
        <w:pStyle w:val="BodyText"/>
        <w:rPr>
          <w:sz w:val="14"/>
        </w:rPr>
      </w:pPr>
    </w:p>
    <w:p>
      <w:pPr>
        <w:pStyle w:val="BodyText"/>
        <w:spacing w:line="249" w:lineRule="auto"/>
        <w:ind w:left="107" w:right="59"/>
      </w:pPr>
      <w:r>
        <w:rPr/>
        <w:t>The School reviewed the content and assessment for the Bachelor of Nursing </w:t>
      </w:r>
      <w:r>
        <w:rPr>
          <w:w w:val="97"/>
        </w:rPr>
        <w:t>courses </w:t>
      </w:r>
      <w:r>
        <w:rPr>
          <w:w w:val="95"/>
        </w:rPr>
        <w:t>in </w:t>
      </w:r>
      <w:r>
        <w:rPr>
          <w:w w:val="88"/>
        </w:rPr>
        <w:t>2015 </w:t>
      </w:r>
      <w:r>
        <w:rPr>
          <w:w w:val="101"/>
        </w:rPr>
        <w:t>to </w:t>
      </w:r>
      <w:r>
        <w:rPr>
          <w:w w:val="95"/>
        </w:rPr>
        <w:t>ensure </w:t>
      </w:r>
      <w:r>
        <w:rPr>
          <w:w w:val="98"/>
        </w:rPr>
        <w:t>academic </w:t>
      </w:r>
      <w:r>
        <w:rPr>
          <w:w w:val="93"/>
        </w:rPr>
        <w:t>rigour, </w:t>
      </w:r>
      <w:r>
        <w:rPr/>
        <w:t>relevance and equity for students. The undergraduate program has several new electives that will appeal to health discipline students across the University. The School anticipates that the student feedback on the Course Completion Survey will continue to reflect high levels of satisfaction.</w:t>
      </w:r>
    </w:p>
    <w:p>
      <w:pPr>
        <w:pStyle w:val="BodyText"/>
        <w:rPr>
          <w:sz w:val="14"/>
        </w:rPr>
      </w:pPr>
    </w:p>
    <w:p>
      <w:pPr>
        <w:pStyle w:val="BodyText"/>
        <w:spacing w:line="249" w:lineRule="auto"/>
        <w:ind w:left="107" w:right="1"/>
      </w:pPr>
      <w:r>
        <w:rPr>
          <w:spacing w:val="1"/>
          <w:w w:val="80"/>
        </w:rPr>
        <w:t>In</w:t>
      </w:r>
      <w:r>
        <w:rPr>
          <w:w w:val="80"/>
        </w:rPr>
        <w:t> </w:t>
      </w:r>
      <w:r>
        <w:rPr>
          <w:spacing w:val="2"/>
          <w:w w:val="85"/>
        </w:rPr>
        <w:t>2016,</w:t>
      </w:r>
      <w:r>
        <w:rPr>
          <w:w w:val="85"/>
        </w:rPr>
        <w:t> </w:t>
      </w:r>
      <w:r>
        <w:rPr>
          <w:w w:val="97"/>
        </w:rPr>
        <w:t>the </w:t>
      </w:r>
      <w:r>
        <w:rPr>
          <w:w w:val="96"/>
        </w:rPr>
        <w:t>internal </w:t>
      </w:r>
      <w:r>
        <w:rPr>
          <w:w w:val="98"/>
        </w:rPr>
        <w:t>accreditation </w:t>
      </w:r>
      <w:r>
        <w:rPr>
          <w:spacing w:val="-1"/>
          <w:w w:val="97"/>
        </w:rPr>
        <w:t>review</w:t>
      </w:r>
      <w:r>
        <w:rPr>
          <w:w w:val="97"/>
        </w:rPr>
        <w:t> </w:t>
      </w:r>
      <w:r>
        <w:rPr>
          <w:w w:val="99"/>
        </w:rPr>
        <w:t>of </w:t>
      </w:r>
      <w:r>
        <w:rPr/>
        <w:t>the three Bachelor of Nursing curricula; 4691 Bachelor</w:t>
      </w:r>
      <w:r>
        <w:rPr>
          <w:spacing w:val="-13"/>
        </w:rPr>
        <w:t> </w:t>
      </w:r>
      <w:r>
        <w:rPr/>
        <w:t>of</w:t>
      </w:r>
      <w:r>
        <w:rPr>
          <w:spacing w:val="-13"/>
        </w:rPr>
        <w:t> </w:t>
      </w:r>
      <w:r>
        <w:rPr/>
        <w:t>Nursing,</w:t>
      </w:r>
      <w:r>
        <w:rPr>
          <w:spacing w:val="-13"/>
        </w:rPr>
        <w:t> </w:t>
      </w:r>
      <w:r>
        <w:rPr/>
        <w:t>4692</w:t>
      </w:r>
      <w:r>
        <w:rPr>
          <w:spacing w:val="-13"/>
        </w:rPr>
        <w:t> </w:t>
      </w:r>
      <w:r>
        <w:rPr/>
        <w:t>Bachelor</w:t>
      </w:r>
      <w:r>
        <w:rPr>
          <w:spacing w:val="-13"/>
        </w:rPr>
        <w:t> </w:t>
      </w:r>
      <w:r>
        <w:rPr/>
        <w:t>of</w:t>
      </w:r>
      <w:r>
        <w:rPr>
          <w:spacing w:val="-13"/>
        </w:rPr>
        <w:t> </w:t>
      </w:r>
      <w:r>
        <w:rPr/>
        <w:t>Nursing (Graduate Entry) and the 4693 Bachelor of Nursing</w:t>
      </w:r>
      <w:r>
        <w:rPr>
          <w:spacing w:val="-14"/>
        </w:rPr>
        <w:t> </w:t>
      </w:r>
      <w:r>
        <w:rPr/>
        <w:t>(Advanced)</w:t>
      </w:r>
      <w:r>
        <w:rPr>
          <w:spacing w:val="-14"/>
        </w:rPr>
        <w:t> </w:t>
      </w:r>
      <w:r>
        <w:rPr/>
        <w:t>will</w:t>
      </w:r>
      <w:r>
        <w:rPr>
          <w:spacing w:val="-14"/>
        </w:rPr>
        <w:t> </w:t>
      </w:r>
      <w:r>
        <w:rPr/>
        <w:t>begin.</w:t>
      </w:r>
    </w:p>
    <w:p>
      <w:pPr>
        <w:pStyle w:val="BodyText"/>
        <w:rPr>
          <w:sz w:val="14"/>
        </w:rPr>
      </w:pPr>
    </w:p>
    <w:p>
      <w:pPr>
        <w:pStyle w:val="BodyText"/>
        <w:spacing w:line="249" w:lineRule="auto"/>
        <w:ind w:left="107" w:right="-16"/>
      </w:pPr>
      <w:r>
        <w:rPr/>
        <w:t>The Bachelor of Nursing (Advanced) course has been designed to develop future nursing leaders</w:t>
      </w:r>
      <w:r>
        <w:rPr>
          <w:spacing w:val="-20"/>
        </w:rPr>
        <w:t> </w:t>
      </w:r>
      <w:r>
        <w:rPr/>
        <w:t>and</w:t>
      </w:r>
      <w:r>
        <w:rPr>
          <w:spacing w:val="-20"/>
        </w:rPr>
        <w:t> </w:t>
      </w:r>
      <w:r>
        <w:rPr/>
        <w:t>researchers,</w:t>
      </w:r>
      <w:r>
        <w:rPr>
          <w:spacing w:val="-20"/>
        </w:rPr>
        <w:t> </w:t>
      </w:r>
      <w:r>
        <w:rPr/>
        <w:t>and</w:t>
      </w:r>
      <w:r>
        <w:rPr>
          <w:spacing w:val="-20"/>
        </w:rPr>
        <w:t> </w:t>
      </w:r>
      <w:r>
        <w:rPr/>
        <w:t>student</w:t>
      </w:r>
      <w:r>
        <w:rPr>
          <w:spacing w:val="-20"/>
        </w:rPr>
        <w:t> </w:t>
      </w:r>
      <w:r>
        <w:rPr/>
        <w:t>numbers continue</w:t>
      </w:r>
      <w:r>
        <w:rPr>
          <w:spacing w:val="-18"/>
        </w:rPr>
        <w:t> </w:t>
      </w:r>
      <w:r>
        <w:rPr/>
        <w:t>to</w:t>
      </w:r>
      <w:r>
        <w:rPr>
          <w:spacing w:val="-18"/>
        </w:rPr>
        <w:t> </w:t>
      </w:r>
      <w:r>
        <w:rPr/>
        <w:t>grow,</w:t>
      </w:r>
      <w:r>
        <w:rPr>
          <w:spacing w:val="-18"/>
        </w:rPr>
        <w:t> </w:t>
      </w:r>
      <w:r>
        <w:rPr/>
        <w:t>with</w:t>
      </w:r>
      <w:r>
        <w:rPr>
          <w:spacing w:val="-18"/>
        </w:rPr>
        <w:t> </w:t>
      </w:r>
      <w:r>
        <w:rPr/>
        <w:t>a</w:t>
      </w:r>
      <w:r>
        <w:rPr>
          <w:spacing w:val="-18"/>
        </w:rPr>
        <w:t> </w:t>
      </w:r>
      <w:r>
        <w:rPr>
          <w:spacing w:val="2"/>
        </w:rPr>
        <w:t>9.3</w:t>
      </w:r>
      <w:r>
        <w:rPr>
          <w:spacing w:val="-18"/>
        </w:rPr>
        <w:t> </w:t>
      </w:r>
      <w:r>
        <w:rPr/>
        <w:t>per</w:t>
      </w:r>
      <w:r>
        <w:rPr>
          <w:spacing w:val="-18"/>
        </w:rPr>
        <w:t> </w:t>
      </w:r>
      <w:r>
        <w:rPr/>
        <w:t>cent</w:t>
      </w:r>
      <w:r>
        <w:rPr>
          <w:spacing w:val="-18"/>
        </w:rPr>
        <w:t> </w:t>
      </w:r>
      <w:r>
        <w:rPr/>
        <w:t>increase </w:t>
      </w:r>
      <w:r>
        <w:rPr>
          <w:spacing w:val="1"/>
          <w:w w:val="98"/>
        </w:rPr>
        <w:t>from</w:t>
      </w:r>
      <w:r>
        <w:rPr>
          <w:spacing w:val="-8"/>
          <w:w w:val="98"/>
        </w:rPr>
        <w:t> </w:t>
      </w:r>
      <w:r>
        <w:rPr>
          <w:spacing w:val="1"/>
          <w:w w:val="86"/>
        </w:rPr>
        <w:t>2014.</w:t>
      </w:r>
      <w:r>
        <w:rPr>
          <w:spacing w:val="-2"/>
          <w:w w:val="86"/>
        </w:rPr>
        <w:t> </w:t>
      </w:r>
      <w:r>
        <w:rPr>
          <w:spacing w:val="1"/>
          <w:w w:val="98"/>
        </w:rPr>
        <w:t>Students</w:t>
      </w:r>
      <w:r>
        <w:rPr>
          <w:spacing w:val="-8"/>
          <w:w w:val="98"/>
        </w:rPr>
        <w:t> </w:t>
      </w:r>
      <w:r>
        <w:rPr>
          <w:spacing w:val="1"/>
          <w:w w:val="98"/>
        </w:rPr>
        <w:t>participate</w:t>
      </w:r>
      <w:r>
        <w:rPr>
          <w:spacing w:val="-8"/>
          <w:w w:val="98"/>
        </w:rPr>
        <w:t> </w:t>
      </w:r>
      <w:r>
        <w:rPr>
          <w:w w:val="95"/>
        </w:rPr>
        <w:t>in</w:t>
      </w:r>
      <w:r>
        <w:rPr>
          <w:spacing w:val="-7"/>
          <w:w w:val="95"/>
        </w:rPr>
        <w:t> </w:t>
      </w:r>
      <w:r>
        <w:rPr>
          <w:w w:val="94"/>
        </w:rPr>
        <w:t>a</w:t>
      </w:r>
      <w:r>
        <w:rPr>
          <w:spacing w:val="-6"/>
          <w:w w:val="94"/>
        </w:rPr>
        <w:t> </w:t>
      </w:r>
      <w:r>
        <w:rPr>
          <w:w w:val="98"/>
        </w:rPr>
        <w:t>mentoring </w:t>
      </w:r>
      <w:r>
        <w:rPr/>
        <w:t>program and extension activities that encourage participation in research activities in the School and University and develop students’</w:t>
      </w:r>
      <w:r>
        <w:rPr>
          <w:spacing w:val="-16"/>
        </w:rPr>
        <w:t> </w:t>
      </w:r>
      <w:r>
        <w:rPr/>
        <w:t>leadership</w:t>
      </w:r>
      <w:r>
        <w:rPr>
          <w:spacing w:val="-16"/>
        </w:rPr>
        <w:t> </w:t>
      </w:r>
      <w:r>
        <w:rPr/>
        <w:t>capacity.</w:t>
      </w:r>
      <w:r>
        <w:rPr>
          <w:spacing w:val="-16"/>
        </w:rPr>
        <w:t> </w:t>
      </w:r>
      <w:r>
        <w:rPr/>
        <w:t>The</w:t>
      </w:r>
      <w:r>
        <w:rPr>
          <w:spacing w:val="-16"/>
        </w:rPr>
        <w:t> </w:t>
      </w:r>
      <w:r>
        <w:rPr/>
        <w:t>Bachelor</w:t>
      </w:r>
      <w:r>
        <w:rPr>
          <w:spacing w:val="-16"/>
        </w:rPr>
        <w:t> </w:t>
      </w:r>
      <w:r>
        <w:rPr/>
        <w:t>of Nursing (Graduate Entry) continues to attract </w:t>
      </w:r>
      <w:r>
        <w:rPr>
          <w:w w:val="97"/>
        </w:rPr>
        <w:t>many </w:t>
      </w:r>
      <w:r>
        <w:rPr>
          <w:w w:val="96"/>
        </w:rPr>
        <w:t>international </w:t>
      </w:r>
      <w:r>
        <w:rPr>
          <w:spacing w:val="2"/>
          <w:w w:val="94"/>
        </w:rPr>
        <w:t>students.</w:t>
      </w:r>
      <w:r>
        <w:rPr>
          <w:w w:val="94"/>
        </w:rPr>
        <w:t> </w:t>
      </w:r>
      <w:r>
        <w:rPr>
          <w:spacing w:val="1"/>
          <w:w w:val="94"/>
        </w:rPr>
        <w:t>The</w:t>
      </w:r>
      <w:r>
        <w:rPr>
          <w:w w:val="94"/>
        </w:rPr>
        <w:t> </w:t>
      </w:r>
      <w:r>
        <w:rPr>
          <w:w w:val="87"/>
        </w:rPr>
        <w:t>2017 </w:t>
      </w:r>
      <w:r>
        <w:rPr>
          <w:w w:val="96"/>
        </w:rPr>
        <w:t>intake </w:t>
      </w:r>
      <w:r>
        <w:rPr/>
        <w:t>will be reviewed to ensure that the course continues to meet student demand and remains</w:t>
      </w:r>
      <w:r>
        <w:rPr>
          <w:spacing w:val="-21"/>
        </w:rPr>
        <w:t> </w:t>
      </w:r>
      <w:r>
        <w:rPr/>
        <w:t>competitive</w:t>
      </w:r>
      <w:r>
        <w:rPr>
          <w:spacing w:val="-21"/>
        </w:rPr>
        <w:t> </w:t>
      </w:r>
      <w:r>
        <w:rPr/>
        <w:t>in</w:t>
      </w:r>
      <w:r>
        <w:rPr>
          <w:spacing w:val="-21"/>
        </w:rPr>
        <w:t> </w:t>
      </w:r>
      <w:r>
        <w:rPr/>
        <w:t>the</w:t>
      </w:r>
      <w:r>
        <w:rPr>
          <w:spacing w:val="-21"/>
        </w:rPr>
        <w:t> </w:t>
      </w:r>
      <w:r>
        <w:rPr/>
        <w:t>wider</w:t>
      </w:r>
      <w:r>
        <w:rPr>
          <w:spacing w:val="-21"/>
        </w:rPr>
        <w:t> </w:t>
      </w:r>
      <w:r>
        <w:rPr/>
        <w:t>market.</w:t>
      </w:r>
    </w:p>
    <w:p>
      <w:pPr>
        <w:pStyle w:val="BodyText"/>
        <w:spacing w:before="10"/>
      </w:pPr>
      <w:r>
        <w:rPr/>
        <w:br w:type="column"/>
      </w:r>
      <w:r>
        <w:rPr/>
      </w:r>
    </w:p>
    <w:p>
      <w:pPr>
        <w:pStyle w:val="BodyText"/>
        <w:spacing w:line="249" w:lineRule="auto"/>
        <w:ind w:left="107" w:right="-1"/>
      </w:pPr>
      <w:r>
        <w:rPr>
          <w:spacing w:val="2"/>
        </w:rPr>
        <w:t>SoNM </w:t>
      </w:r>
      <w:r>
        <w:rPr/>
        <w:t>offers an elective unit, A Field Study: Comparative</w:t>
      </w:r>
      <w:r>
        <w:rPr>
          <w:spacing w:val="-20"/>
        </w:rPr>
        <w:t> </w:t>
      </w:r>
      <w:r>
        <w:rPr/>
        <w:t>Studies</w:t>
      </w:r>
      <w:r>
        <w:rPr>
          <w:spacing w:val="-20"/>
        </w:rPr>
        <w:t> </w:t>
      </w:r>
      <w:r>
        <w:rPr/>
        <w:t>of</w:t>
      </w:r>
      <w:r>
        <w:rPr>
          <w:spacing w:val="-20"/>
        </w:rPr>
        <w:t> </w:t>
      </w:r>
      <w:r>
        <w:rPr/>
        <w:t>Health</w:t>
      </w:r>
      <w:r>
        <w:rPr>
          <w:spacing w:val="-20"/>
        </w:rPr>
        <w:t> </w:t>
      </w:r>
      <w:r>
        <w:rPr/>
        <w:t>Care</w:t>
      </w:r>
      <w:r>
        <w:rPr>
          <w:spacing w:val="-20"/>
        </w:rPr>
        <w:t> </w:t>
      </w:r>
      <w:r>
        <w:rPr/>
        <w:t>Delivery, </w:t>
      </w:r>
      <w:r>
        <w:rPr>
          <w:spacing w:val="1"/>
          <w:w w:val="97"/>
        </w:rPr>
        <w:t>and</w:t>
      </w:r>
      <w:r>
        <w:rPr>
          <w:w w:val="97"/>
        </w:rPr>
        <w:t> </w:t>
      </w:r>
      <w:r>
        <w:rPr>
          <w:w w:val="95"/>
        </w:rPr>
        <w:t>in </w:t>
      </w:r>
      <w:r>
        <w:rPr>
          <w:spacing w:val="1"/>
          <w:w w:val="84"/>
        </w:rPr>
        <w:t>2015,</w:t>
      </w:r>
      <w:r>
        <w:rPr>
          <w:w w:val="84"/>
        </w:rPr>
        <w:t> </w:t>
      </w:r>
      <w:r>
        <w:rPr>
          <w:spacing w:val="1"/>
          <w:w w:val="77"/>
        </w:rPr>
        <w:t>19</w:t>
      </w:r>
      <w:r>
        <w:rPr>
          <w:w w:val="77"/>
        </w:rPr>
        <w:t> </w:t>
      </w:r>
      <w:r>
        <w:rPr>
          <w:spacing w:val="1"/>
          <w:w w:val="97"/>
        </w:rPr>
        <w:t>students</w:t>
      </w:r>
      <w:r>
        <w:rPr>
          <w:w w:val="97"/>
        </w:rPr>
        <w:t> </w:t>
      </w:r>
      <w:r>
        <w:rPr>
          <w:w w:val="97"/>
        </w:rPr>
        <w:t>travelled </w:t>
      </w:r>
      <w:r>
        <w:rPr>
          <w:spacing w:val="-1"/>
          <w:w w:val="101"/>
        </w:rPr>
        <w:t>to</w:t>
      </w:r>
      <w:r>
        <w:rPr>
          <w:spacing w:val="-36"/>
          <w:w w:val="101"/>
        </w:rPr>
        <w:t> </w:t>
      </w:r>
      <w:r>
        <w:rPr>
          <w:spacing w:val="1"/>
          <w:w w:val="99"/>
        </w:rPr>
        <w:t>Om</w:t>
      </w:r>
    </w:p>
    <w:p>
      <w:pPr>
        <w:pStyle w:val="BodyText"/>
        <w:spacing w:line="249" w:lineRule="auto"/>
        <w:ind w:left="107" w:right="-1"/>
      </w:pPr>
      <w:r>
        <w:rPr/>
        <w:t>Goi, a remote and mountainous region in Northern Thailand. The students and two </w:t>
      </w:r>
      <w:r>
        <w:rPr>
          <w:spacing w:val="2"/>
        </w:rPr>
        <w:t>SoNM </w:t>
      </w:r>
      <w:r>
        <w:rPr/>
        <w:t>academics volunteered at health centres,</w:t>
      </w:r>
      <w:r>
        <w:rPr>
          <w:spacing w:val="-20"/>
        </w:rPr>
        <w:t> </w:t>
      </w:r>
      <w:r>
        <w:rPr/>
        <w:t>which</w:t>
      </w:r>
      <w:r>
        <w:rPr>
          <w:spacing w:val="-20"/>
        </w:rPr>
        <w:t> </w:t>
      </w:r>
      <w:r>
        <w:rPr/>
        <w:t>are</w:t>
      </w:r>
      <w:r>
        <w:rPr>
          <w:spacing w:val="-20"/>
        </w:rPr>
        <w:t> </w:t>
      </w:r>
      <w:r>
        <w:rPr/>
        <w:t>the</w:t>
      </w:r>
      <w:r>
        <w:rPr>
          <w:spacing w:val="-20"/>
        </w:rPr>
        <w:t> </w:t>
      </w:r>
      <w:r>
        <w:rPr/>
        <w:t>main</w:t>
      </w:r>
      <w:r>
        <w:rPr>
          <w:spacing w:val="-20"/>
        </w:rPr>
        <w:t> </w:t>
      </w:r>
      <w:r>
        <w:rPr/>
        <w:t>healthcare</w:t>
      </w:r>
      <w:r>
        <w:rPr>
          <w:spacing w:val="-20"/>
        </w:rPr>
        <w:t> </w:t>
      </w:r>
      <w:r>
        <w:rPr/>
        <w:t>facility available</w:t>
      </w:r>
      <w:r>
        <w:rPr>
          <w:spacing w:val="-16"/>
        </w:rPr>
        <w:t> </w:t>
      </w:r>
      <w:r>
        <w:rPr/>
        <w:t>to</w:t>
      </w:r>
      <w:r>
        <w:rPr>
          <w:spacing w:val="-16"/>
        </w:rPr>
        <w:t> </w:t>
      </w:r>
      <w:r>
        <w:rPr/>
        <w:t>local</w:t>
      </w:r>
      <w:r>
        <w:rPr>
          <w:spacing w:val="-16"/>
        </w:rPr>
        <w:t> </w:t>
      </w:r>
      <w:r>
        <w:rPr/>
        <w:t>people.</w:t>
      </w:r>
      <w:r>
        <w:rPr>
          <w:spacing w:val="-16"/>
        </w:rPr>
        <w:t> </w:t>
      </w:r>
      <w:r>
        <w:rPr/>
        <w:t>The</w:t>
      </w:r>
      <w:r>
        <w:rPr>
          <w:spacing w:val="-16"/>
        </w:rPr>
        <w:t> </w:t>
      </w:r>
      <w:r>
        <w:rPr/>
        <w:t>centres</w:t>
      </w:r>
      <w:r>
        <w:rPr>
          <w:spacing w:val="-16"/>
        </w:rPr>
        <w:t> </w:t>
      </w:r>
      <w:r>
        <w:rPr/>
        <w:t>provide general health care, health </w:t>
      </w:r>
      <w:r>
        <w:rPr>
          <w:spacing w:val="2"/>
        </w:rPr>
        <w:t>assessments, </w:t>
      </w:r>
      <w:r>
        <w:rPr/>
        <w:t>antenatal checks and immunisation. Several other</w:t>
      </w:r>
      <w:r>
        <w:rPr>
          <w:spacing w:val="-16"/>
        </w:rPr>
        <w:t> </w:t>
      </w:r>
      <w:r>
        <w:rPr/>
        <w:t>students</w:t>
      </w:r>
      <w:r>
        <w:rPr>
          <w:spacing w:val="-16"/>
        </w:rPr>
        <w:t> </w:t>
      </w:r>
      <w:r>
        <w:rPr/>
        <w:t>also</w:t>
      </w:r>
      <w:r>
        <w:rPr>
          <w:spacing w:val="-16"/>
        </w:rPr>
        <w:t> </w:t>
      </w:r>
      <w:r>
        <w:rPr/>
        <w:t>undertook</w:t>
      </w:r>
      <w:r>
        <w:rPr>
          <w:spacing w:val="-16"/>
        </w:rPr>
        <w:t> </w:t>
      </w:r>
      <w:r>
        <w:rPr/>
        <w:t>individual</w:t>
      </w:r>
      <w:r>
        <w:rPr>
          <w:spacing w:val="-16"/>
        </w:rPr>
        <w:t> </w:t>
      </w:r>
      <w:r>
        <w:rPr/>
        <w:t>trips, including</w:t>
      </w:r>
      <w:r>
        <w:rPr>
          <w:spacing w:val="-18"/>
        </w:rPr>
        <w:t> </w:t>
      </w:r>
      <w:r>
        <w:rPr/>
        <w:t>three</w:t>
      </w:r>
      <w:r>
        <w:rPr>
          <w:spacing w:val="-18"/>
        </w:rPr>
        <w:t> </w:t>
      </w:r>
      <w:r>
        <w:rPr/>
        <w:t>who</w:t>
      </w:r>
      <w:r>
        <w:rPr>
          <w:spacing w:val="-18"/>
        </w:rPr>
        <w:t> </w:t>
      </w:r>
      <w:r>
        <w:rPr/>
        <w:t>went</w:t>
      </w:r>
      <w:r>
        <w:rPr>
          <w:spacing w:val="-18"/>
        </w:rPr>
        <w:t> </w:t>
      </w:r>
      <w:r>
        <w:rPr/>
        <w:t>to</w:t>
      </w:r>
      <w:r>
        <w:rPr>
          <w:spacing w:val="-18"/>
        </w:rPr>
        <w:t> </w:t>
      </w:r>
      <w:r>
        <w:rPr/>
        <w:t>the</w:t>
      </w:r>
      <w:r>
        <w:rPr>
          <w:spacing w:val="-18"/>
        </w:rPr>
        <w:t> </w:t>
      </w:r>
      <w:r>
        <w:rPr/>
        <w:t>Maldives.</w:t>
      </w:r>
    </w:p>
    <w:p>
      <w:pPr>
        <w:pStyle w:val="BodyText"/>
        <w:spacing w:line="249" w:lineRule="auto"/>
        <w:ind w:left="107" w:right="172"/>
      </w:pPr>
      <w:r>
        <w:rPr/>
        <w:t>The New Colombo Plan partly subsidised the students’ experience under its Mobility Program. The Thailand trip will expand to</w:t>
      </w:r>
    </w:p>
    <w:p>
      <w:pPr>
        <w:pStyle w:val="BodyText"/>
        <w:spacing w:line="249" w:lineRule="auto"/>
        <w:ind w:left="107" w:right="16"/>
      </w:pPr>
      <w:r>
        <w:rPr>
          <w:w w:val="98"/>
        </w:rPr>
        <w:t>other </w:t>
      </w:r>
      <w:r>
        <w:rPr>
          <w:w w:val="95"/>
        </w:rPr>
        <w:t>destinations, </w:t>
      </w:r>
      <w:r>
        <w:rPr>
          <w:w w:val="97"/>
        </w:rPr>
        <w:t>starting </w:t>
      </w:r>
      <w:r>
        <w:rPr>
          <w:w w:val="98"/>
        </w:rPr>
        <w:t>with </w:t>
      </w:r>
      <w:r>
        <w:rPr>
          <w:w w:val="96"/>
        </w:rPr>
        <w:t>China </w:t>
      </w:r>
      <w:r>
        <w:rPr>
          <w:w w:val="95"/>
        </w:rPr>
        <w:t>in </w:t>
      </w:r>
      <w:r>
        <w:rPr>
          <w:w w:val="90"/>
        </w:rPr>
        <w:t>2016 </w:t>
      </w:r>
      <w:r>
        <w:rPr/>
        <w:t>as a project that is underpinned by Primary Health Care focus of the curriculum.</w:t>
      </w:r>
    </w:p>
    <w:p>
      <w:pPr>
        <w:pStyle w:val="BodyText"/>
        <w:rPr>
          <w:sz w:val="14"/>
        </w:rPr>
      </w:pPr>
    </w:p>
    <w:p>
      <w:pPr>
        <w:pStyle w:val="BodyText"/>
        <w:spacing w:line="249" w:lineRule="auto"/>
        <w:ind w:left="107" w:right="62"/>
      </w:pPr>
      <w:r>
        <w:rPr>
          <w:spacing w:val="2"/>
        </w:rPr>
        <w:t>SoNM </w:t>
      </w:r>
      <w:r>
        <w:rPr/>
        <w:t>is also investigating extending the Master of Nursing programs to </w:t>
      </w:r>
      <w:r>
        <w:rPr>
          <w:spacing w:val="2"/>
        </w:rPr>
        <w:t>Macau, </w:t>
      </w:r>
      <w:r>
        <w:rPr/>
        <w:t>in collaboration</w:t>
      </w:r>
      <w:r>
        <w:rPr>
          <w:spacing w:val="-11"/>
        </w:rPr>
        <w:t> </w:t>
      </w:r>
      <w:r>
        <w:rPr/>
        <w:t>with</w:t>
      </w:r>
      <w:r>
        <w:rPr>
          <w:spacing w:val="-11"/>
        </w:rPr>
        <w:t> </w:t>
      </w:r>
      <w:r>
        <w:rPr/>
        <w:t>Kiang</w:t>
      </w:r>
      <w:r>
        <w:rPr>
          <w:spacing w:val="-11"/>
        </w:rPr>
        <w:t> </w:t>
      </w:r>
      <w:r>
        <w:rPr/>
        <w:t>Wu</w:t>
      </w:r>
      <w:r>
        <w:rPr>
          <w:spacing w:val="-11"/>
        </w:rPr>
        <w:t> </w:t>
      </w:r>
      <w:r>
        <w:rPr/>
        <w:t>Nursing</w:t>
      </w:r>
      <w:r>
        <w:rPr>
          <w:spacing w:val="-11"/>
        </w:rPr>
        <w:t> </w:t>
      </w:r>
      <w:r>
        <w:rPr/>
        <w:t>College of</w:t>
      </w:r>
      <w:r>
        <w:rPr>
          <w:spacing w:val="-18"/>
        </w:rPr>
        <w:t> </w:t>
      </w:r>
      <w:r>
        <w:rPr>
          <w:spacing w:val="2"/>
        </w:rPr>
        <w:t>Macau,</w:t>
      </w:r>
      <w:r>
        <w:rPr>
          <w:spacing w:val="-18"/>
        </w:rPr>
        <w:t> </w:t>
      </w:r>
      <w:r>
        <w:rPr/>
        <w:t>and</w:t>
      </w:r>
      <w:r>
        <w:rPr>
          <w:spacing w:val="-18"/>
        </w:rPr>
        <w:t> </w:t>
      </w:r>
      <w:r>
        <w:rPr/>
        <w:t>to</w:t>
      </w:r>
      <w:r>
        <w:rPr>
          <w:spacing w:val="-18"/>
        </w:rPr>
        <w:t> </w:t>
      </w:r>
      <w:r>
        <w:rPr/>
        <w:t>Singapore,</w:t>
      </w:r>
      <w:r>
        <w:rPr>
          <w:spacing w:val="-18"/>
        </w:rPr>
        <w:t> </w:t>
      </w:r>
      <w:r>
        <w:rPr/>
        <w:t>in</w:t>
      </w:r>
      <w:r>
        <w:rPr>
          <w:spacing w:val="-18"/>
        </w:rPr>
        <w:t> </w:t>
      </w:r>
      <w:r>
        <w:rPr/>
        <w:t>collaboration with</w:t>
      </w:r>
      <w:r>
        <w:rPr>
          <w:spacing w:val="-15"/>
        </w:rPr>
        <w:t> </w:t>
      </w:r>
      <w:r>
        <w:rPr/>
        <w:t>Parkway</w:t>
      </w:r>
      <w:r>
        <w:rPr>
          <w:spacing w:val="-15"/>
        </w:rPr>
        <w:t> </w:t>
      </w:r>
      <w:r>
        <w:rPr/>
        <w:t>College.</w:t>
      </w:r>
      <w:r>
        <w:rPr>
          <w:spacing w:val="-15"/>
        </w:rPr>
        <w:t> </w:t>
      </w:r>
      <w:r>
        <w:rPr/>
        <w:t>This</w:t>
      </w:r>
      <w:r>
        <w:rPr>
          <w:spacing w:val="-15"/>
        </w:rPr>
        <w:t> </w:t>
      </w:r>
      <w:r>
        <w:rPr/>
        <w:t>move</w:t>
      </w:r>
      <w:r>
        <w:rPr>
          <w:spacing w:val="-15"/>
        </w:rPr>
        <w:t> </w:t>
      </w:r>
      <w:r>
        <w:rPr/>
        <w:t>into</w:t>
      </w:r>
      <w:r>
        <w:rPr>
          <w:spacing w:val="-15"/>
        </w:rPr>
        <w:t> </w:t>
      </w:r>
      <w:r>
        <w:rPr/>
        <w:t>Asia</w:t>
      </w:r>
      <w:r>
        <w:rPr>
          <w:spacing w:val="-15"/>
        </w:rPr>
        <w:t> </w:t>
      </w:r>
      <w:r>
        <w:rPr/>
        <w:t>is targeted to meet demand for postgraduate nursing education in Singapore and </w:t>
      </w:r>
      <w:r>
        <w:rPr>
          <w:spacing w:val="2"/>
        </w:rPr>
        <w:t>Macau, </w:t>
      </w:r>
      <w:r>
        <w:rPr/>
        <w:t>whose</w:t>
      </w:r>
      <w:r>
        <w:rPr>
          <w:spacing w:val="-19"/>
        </w:rPr>
        <w:t> </w:t>
      </w:r>
      <w:r>
        <w:rPr/>
        <w:t>health</w:t>
      </w:r>
      <w:r>
        <w:rPr>
          <w:spacing w:val="-19"/>
        </w:rPr>
        <w:t> </w:t>
      </w:r>
      <w:r>
        <w:rPr/>
        <w:t>systems</w:t>
      </w:r>
      <w:r>
        <w:rPr>
          <w:spacing w:val="-19"/>
        </w:rPr>
        <w:t> </w:t>
      </w:r>
      <w:r>
        <w:rPr/>
        <w:t>face</w:t>
      </w:r>
      <w:r>
        <w:rPr>
          <w:spacing w:val="-19"/>
        </w:rPr>
        <w:t> </w:t>
      </w:r>
      <w:r>
        <w:rPr/>
        <w:t>similar</w:t>
      </w:r>
      <w:r>
        <w:rPr>
          <w:spacing w:val="-19"/>
        </w:rPr>
        <w:t> </w:t>
      </w:r>
      <w:r>
        <w:rPr/>
        <w:t>challenges to</w:t>
      </w:r>
      <w:r>
        <w:rPr>
          <w:spacing w:val="-21"/>
        </w:rPr>
        <w:t> </w:t>
      </w:r>
      <w:r>
        <w:rPr/>
        <w:t>the</w:t>
      </w:r>
      <w:r>
        <w:rPr>
          <w:spacing w:val="-21"/>
        </w:rPr>
        <w:t> </w:t>
      </w:r>
      <w:r>
        <w:rPr/>
        <w:t>Australian</w:t>
      </w:r>
      <w:r>
        <w:rPr>
          <w:spacing w:val="-21"/>
        </w:rPr>
        <w:t> </w:t>
      </w:r>
      <w:r>
        <w:rPr/>
        <w:t>healthcare</w:t>
      </w:r>
      <w:r>
        <w:rPr>
          <w:spacing w:val="-21"/>
        </w:rPr>
        <w:t> </w:t>
      </w:r>
      <w:r>
        <w:rPr/>
        <w:t>system.</w:t>
      </w:r>
    </w:p>
    <w:p>
      <w:pPr>
        <w:pStyle w:val="BodyText"/>
        <w:rPr>
          <w:sz w:val="14"/>
        </w:rPr>
      </w:pPr>
    </w:p>
    <w:p>
      <w:pPr>
        <w:pStyle w:val="BodyText"/>
        <w:spacing w:line="249" w:lineRule="auto"/>
        <w:ind w:left="107" w:right="40"/>
      </w:pPr>
      <w:r>
        <w:rPr/>
        <w:t>A</w:t>
      </w:r>
      <w:r>
        <w:rPr>
          <w:spacing w:val="-13"/>
        </w:rPr>
        <w:t> </w:t>
      </w:r>
      <w:r>
        <w:rPr/>
        <w:t>number</w:t>
      </w:r>
      <w:r>
        <w:rPr>
          <w:spacing w:val="-13"/>
        </w:rPr>
        <w:t> </w:t>
      </w:r>
      <w:r>
        <w:rPr/>
        <w:t>of</w:t>
      </w:r>
      <w:r>
        <w:rPr>
          <w:spacing w:val="-13"/>
        </w:rPr>
        <w:t> </w:t>
      </w:r>
      <w:r>
        <w:rPr/>
        <w:t>new</w:t>
      </w:r>
      <w:r>
        <w:rPr>
          <w:spacing w:val="-13"/>
        </w:rPr>
        <w:t> </w:t>
      </w:r>
      <w:r>
        <w:rPr/>
        <w:t>and</w:t>
      </w:r>
      <w:r>
        <w:rPr>
          <w:spacing w:val="-13"/>
        </w:rPr>
        <w:t> </w:t>
      </w:r>
      <w:r>
        <w:rPr/>
        <w:t>reaccredited</w:t>
      </w:r>
      <w:r>
        <w:rPr>
          <w:spacing w:val="-13"/>
        </w:rPr>
        <w:t> </w:t>
      </w:r>
      <w:r>
        <w:rPr/>
        <w:t>Australian Qualifications Framework (AQF) compliant </w:t>
      </w:r>
      <w:r>
        <w:rPr>
          <w:spacing w:val="1"/>
          <w:w w:val="97"/>
        </w:rPr>
        <w:t>courses</w:t>
      </w:r>
      <w:r>
        <w:rPr>
          <w:w w:val="97"/>
        </w:rPr>
        <w:t> </w:t>
      </w:r>
      <w:r>
        <w:rPr>
          <w:w w:val="97"/>
        </w:rPr>
        <w:t>were </w:t>
      </w:r>
      <w:r>
        <w:rPr>
          <w:w w:val="98"/>
        </w:rPr>
        <w:t>offered </w:t>
      </w:r>
      <w:r>
        <w:rPr>
          <w:w w:val="95"/>
        </w:rPr>
        <w:t>in </w:t>
      </w:r>
      <w:r>
        <w:rPr>
          <w:spacing w:val="1"/>
          <w:w w:val="84"/>
        </w:rPr>
        <w:t>2015.</w:t>
      </w:r>
      <w:r>
        <w:rPr>
          <w:w w:val="84"/>
        </w:rPr>
        <w:t> </w:t>
      </w:r>
      <w:r>
        <w:rPr>
          <w:spacing w:val="1"/>
          <w:w w:val="94"/>
        </w:rPr>
        <w:t>These</w:t>
      </w:r>
      <w:r>
        <w:rPr>
          <w:w w:val="94"/>
        </w:rPr>
        <w:t> </w:t>
      </w:r>
      <w:r>
        <w:rPr>
          <w:spacing w:val="1"/>
          <w:w w:val="97"/>
        </w:rPr>
        <w:t>include</w:t>
      </w:r>
      <w:r>
        <w:rPr>
          <w:w w:val="97"/>
        </w:rPr>
        <w:t> </w:t>
      </w:r>
      <w:r>
        <w:rPr/>
        <w:t>the</w:t>
      </w:r>
      <w:r>
        <w:rPr>
          <w:spacing w:val="-16"/>
        </w:rPr>
        <w:t> </w:t>
      </w:r>
      <w:r>
        <w:rPr/>
        <w:t>newly</w:t>
      </w:r>
      <w:r>
        <w:rPr>
          <w:spacing w:val="-16"/>
        </w:rPr>
        <w:t> </w:t>
      </w:r>
      <w:r>
        <w:rPr/>
        <w:t>accredited</w:t>
      </w:r>
      <w:r>
        <w:rPr>
          <w:spacing w:val="-16"/>
        </w:rPr>
        <w:t> </w:t>
      </w:r>
      <w:r>
        <w:rPr/>
        <w:t>Graduate</w:t>
      </w:r>
      <w:r>
        <w:rPr>
          <w:spacing w:val="-16"/>
        </w:rPr>
        <w:t> </w:t>
      </w:r>
      <w:r>
        <w:rPr/>
        <w:t>Diploma</w:t>
      </w:r>
    </w:p>
    <w:p>
      <w:pPr>
        <w:pStyle w:val="BodyText"/>
        <w:spacing w:line="249" w:lineRule="auto"/>
        <w:ind w:left="107" w:right="13"/>
      </w:pPr>
      <w:r>
        <w:rPr/>
        <w:t>of Midwifery, and a new course targeting onshore</w:t>
      </w:r>
      <w:r>
        <w:rPr>
          <w:spacing w:val="-19"/>
        </w:rPr>
        <w:t> </w:t>
      </w:r>
      <w:r>
        <w:rPr/>
        <w:t>international</w:t>
      </w:r>
      <w:r>
        <w:rPr>
          <w:spacing w:val="-19"/>
        </w:rPr>
        <w:t> </w:t>
      </w:r>
      <w:r>
        <w:rPr/>
        <w:t>students,</w:t>
      </w:r>
      <w:r>
        <w:rPr>
          <w:spacing w:val="-19"/>
        </w:rPr>
        <w:t> </w:t>
      </w:r>
      <w:r>
        <w:rPr/>
        <w:t>the</w:t>
      </w:r>
      <w:r>
        <w:rPr>
          <w:spacing w:val="-19"/>
        </w:rPr>
        <w:t> </w:t>
      </w:r>
      <w:r>
        <w:rPr/>
        <w:t>Master</w:t>
      </w:r>
      <w:r>
        <w:rPr>
          <w:spacing w:val="-19"/>
        </w:rPr>
        <w:t> </w:t>
      </w:r>
      <w:r>
        <w:rPr/>
        <w:t>of Nursing</w:t>
      </w:r>
      <w:r>
        <w:rPr>
          <w:spacing w:val="-24"/>
        </w:rPr>
        <w:t> </w:t>
      </w:r>
      <w:r>
        <w:rPr/>
        <w:t>(Professional</w:t>
      </w:r>
      <w:r>
        <w:rPr>
          <w:spacing w:val="-24"/>
        </w:rPr>
        <w:t> </w:t>
      </w:r>
      <w:r>
        <w:rPr/>
        <w:t>Studies)</w:t>
      </w:r>
      <w:r>
        <w:rPr>
          <w:spacing w:val="-24"/>
        </w:rPr>
        <w:t> </w:t>
      </w:r>
      <w:r>
        <w:rPr>
          <w:spacing w:val="2"/>
        </w:rPr>
        <w:t>(MN[PS]).</w:t>
      </w:r>
      <w:r>
        <w:rPr>
          <w:spacing w:val="-24"/>
        </w:rPr>
        <w:t> </w:t>
      </w:r>
      <w:r>
        <w:rPr/>
        <w:t>This two-year</w:t>
      </w:r>
      <w:r>
        <w:rPr>
          <w:spacing w:val="-14"/>
        </w:rPr>
        <w:t> </w:t>
      </w:r>
      <w:r>
        <w:rPr/>
        <w:t>program</w:t>
      </w:r>
      <w:r>
        <w:rPr>
          <w:spacing w:val="-14"/>
        </w:rPr>
        <w:t> </w:t>
      </w:r>
      <w:r>
        <w:rPr/>
        <w:t>will</w:t>
      </w:r>
      <w:r>
        <w:rPr>
          <w:spacing w:val="-14"/>
        </w:rPr>
        <w:t> </w:t>
      </w:r>
      <w:r>
        <w:rPr/>
        <w:t>assist</w:t>
      </w:r>
      <w:r>
        <w:rPr>
          <w:spacing w:val="-14"/>
        </w:rPr>
        <w:t> </w:t>
      </w:r>
      <w:r>
        <w:rPr/>
        <w:t>newly</w:t>
      </w:r>
      <w:r>
        <w:rPr>
          <w:spacing w:val="-14"/>
        </w:rPr>
        <w:t> </w:t>
      </w:r>
      <w:r>
        <w:rPr/>
        <w:t>graduated international Registered Nurses to be work- ready</w:t>
      </w:r>
      <w:r>
        <w:rPr>
          <w:spacing w:val="-20"/>
        </w:rPr>
        <w:t> </w:t>
      </w:r>
      <w:r>
        <w:rPr/>
        <w:t>for</w:t>
      </w:r>
      <w:r>
        <w:rPr>
          <w:spacing w:val="-20"/>
        </w:rPr>
        <w:t> </w:t>
      </w:r>
      <w:r>
        <w:rPr/>
        <w:t>the</w:t>
      </w:r>
      <w:r>
        <w:rPr>
          <w:spacing w:val="-20"/>
        </w:rPr>
        <w:t> </w:t>
      </w:r>
      <w:r>
        <w:rPr/>
        <w:t>Australian</w:t>
      </w:r>
      <w:r>
        <w:rPr>
          <w:spacing w:val="-20"/>
        </w:rPr>
        <w:t> </w:t>
      </w:r>
      <w:r>
        <w:rPr/>
        <w:t>healthcare</w:t>
      </w:r>
      <w:r>
        <w:rPr>
          <w:spacing w:val="-20"/>
        </w:rPr>
        <w:t> </w:t>
      </w:r>
      <w:r>
        <w:rPr/>
        <w:t>system.</w:t>
      </w:r>
      <w:r>
        <w:rPr>
          <w:spacing w:val="-20"/>
        </w:rPr>
        <w:t> </w:t>
      </w:r>
      <w:r>
        <w:rPr/>
        <w:t>In addition,</w:t>
      </w:r>
      <w:r>
        <w:rPr>
          <w:spacing w:val="-18"/>
        </w:rPr>
        <w:t> </w:t>
      </w:r>
      <w:r>
        <w:rPr/>
        <w:t>the</w:t>
      </w:r>
      <w:r>
        <w:rPr>
          <w:spacing w:val="-18"/>
        </w:rPr>
        <w:t> </w:t>
      </w:r>
      <w:r>
        <w:rPr/>
        <w:t>Master</w:t>
      </w:r>
      <w:r>
        <w:rPr>
          <w:spacing w:val="-18"/>
        </w:rPr>
        <w:t> </w:t>
      </w:r>
      <w:r>
        <w:rPr/>
        <w:t>of</w:t>
      </w:r>
      <w:r>
        <w:rPr>
          <w:spacing w:val="-18"/>
        </w:rPr>
        <w:t> </w:t>
      </w:r>
      <w:r>
        <w:rPr/>
        <w:t>Mental</w:t>
      </w:r>
      <w:r>
        <w:rPr>
          <w:spacing w:val="-18"/>
        </w:rPr>
        <w:t> </w:t>
      </w:r>
      <w:r>
        <w:rPr/>
        <w:t>Health</w:t>
      </w:r>
      <w:r>
        <w:rPr>
          <w:spacing w:val="-18"/>
        </w:rPr>
        <w:t> </w:t>
      </w:r>
      <w:r>
        <w:rPr/>
        <w:t>Nursing and two new specialisations (Aged Care and Primary Health Care) within the Master of Nursing (MN) were offered for the first time </w:t>
      </w:r>
      <w:r>
        <w:rPr>
          <w:w w:val="95"/>
        </w:rPr>
        <w:t>in</w:t>
      </w:r>
      <w:r>
        <w:rPr>
          <w:spacing w:val="1"/>
          <w:w w:val="95"/>
        </w:rPr>
        <w:t> </w:t>
      </w:r>
      <w:r>
        <w:rPr>
          <w:spacing w:val="1"/>
          <w:w w:val="84"/>
        </w:rPr>
        <w:t>2015.</w:t>
      </w:r>
    </w:p>
    <w:p>
      <w:pPr>
        <w:pStyle w:val="BodyText"/>
        <w:rPr>
          <w:sz w:val="14"/>
        </w:rPr>
      </w:pPr>
    </w:p>
    <w:p>
      <w:pPr>
        <w:pStyle w:val="BodyText"/>
        <w:spacing w:line="249" w:lineRule="auto"/>
        <w:ind w:left="107" w:right="132"/>
      </w:pPr>
      <w:r>
        <w:rPr/>
        <w:t>These</w:t>
      </w:r>
      <w:r>
        <w:rPr>
          <w:spacing w:val="-17"/>
        </w:rPr>
        <w:t> </w:t>
      </w:r>
      <w:r>
        <w:rPr/>
        <w:t>courses</w:t>
      </w:r>
      <w:r>
        <w:rPr>
          <w:spacing w:val="-17"/>
        </w:rPr>
        <w:t> </w:t>
      </w:r>
      <w:r>
        <w:rPr/>
        <w:t>add</w:t>
      </w:r>
      <w:r>
        <w:rPr>
          <w:spacing w:val="-17"/>
        </w:rPr>
        <w:t> </w:t>
      </w:r>
      <w:r>
        <w:rPr/>
        <w:t>a</w:t>
      </w:r>
      <w:r>
        <w:rPr>
          <w:spacing w:val="-17"/>
        </w:rPr>
        <w:t> </w:t>
      </w:r>
      <w:r>
        <w:rPr/>
        <w:t>number</w:t>
      </w:r>
      <w:r>
        <w:rPr>
          <w:spacing w:val="-17"/>
        </w:rPr>
        <w:t> </w:t>
      </w:r>
      <w:r>
        <w:rPr/>
        <w:t>of</w:t>
      </w:r>
      <w:r>
        <w:rPr>
          <w:spacing w:val="-17"/>
        </w:rPr>
        <w:t> </w:t>
      </w:r>
      <w:r>
        <w:rPr/>
        <w:t>professional pathways</w:t>
      </w:r>
      <w:r>
        <w:rPr>
          <w:spacing w:val="-16"/>
        </w:rPr>
        <w:t> </w:t>
      </w:r>
      <w:r>
        <w:rPr/>
        <w:t>to</w:t>
      </w:r>
      <w:r>
        <w:rPr>
          <w:spacing w:val="-16"/>
        </w:rPr>
        <w:t> </w:t>
      </w:r>
      <w:r>
        <w:rPr/>
        <w:t>meet</w:t>
      </w:r>
      <w:r>
        <w:rPr>
          <w:spacing w:val="-16"/>
        </w:rPr>
        <w:t> </w:t>
      </w:r>
      <w:r>
        <w:rPr/>
        <w:t>the</w:t>
      </w:r>
      <w:r>
        <w:rPr>
          <w:spacing w:val="-16"/>
        </w:rPr>
        <w:t> </w:t>
      </w:r>
      <w:r>
        <w:rPr/>
        <w:t>educational</w:t>
      </w:r>
      <w:r>
        <w:rPr>
          <w:spacing w:val="-16"/>
        </w:rPr>
        <w:t> </w:t>
      </w:r>
      <w:r>
        <w:rPr/>
        <w:t>needs</w:t>
      </w:r>
    </w:p>
    <w:p>
      <w:pPr>
        <w:pStyle w:val="BodyText"/>
        <w:spacing w:line="249" w:lineRule="auto"/>
        <w:ind w:left="107" w:right="222"/>
        <w:jc w:val="both"/>
      </w:pPr>
      <w:r>
        <w:rPr/>
        <w:t>of</w:t>
      </w:r>
      <w:r>
        <w:rPr>
          <w:spacing w:val="-17"/>
        </w:rPr>
        <w:t> </w:t>
      </w:r>
      <w:r>
        <w:rPr/>
        <w:t>Nurses</w:t>
      </w:r>
      <w:r>
        <w:rPr>
          <w:spacing w:val="-17"/>
        </w:rPr>
        <w:t> </w:t>
      </w:r>
      <w:r>
        <w:rPr/>
        <w:t>in</w:t>
      </w:r>
      <w:r>
        <w:rPr>
          <w:spacing w:val="-17"/>
        </w:rPr>
        <w:t> </w:t>
      </w:r>
      <w:r>
        <w:rPr/>
        <w:t>Western</w:t>
      </w:r>
      <w:r>
        <w:rPr>
          <w:spacing w:val="-17"/>
        </w:rPr>
        <w:t> </w:t>
      </w:r>
      <w:r>
        <w:rPr/>
        <w:t>Sydney.</w:t>
      </w:r>
      <w:r>
        <w:rPr>
          <w:spacing w:val="-17"/>
        </w:rPr>
        <w:t> </w:t>
      </w:r>
      <w:r>
        <w:rPr/>
        <w:t>Both</w:t>
      </w:r>
      <w:r>
        <w:rPr>
          <w:spacing w:val="-17"/>
        </w:rPr>
        <w:t> </w:t>
      </w:r>
      <w:r>
        <w:rPr/>
        <w:t>the</w:t>
      </w:r>
      <w:r>
        <w:rPr>
          <w:spacing w:val="-17"/>
        </w:rPr>
        <w:t> </w:t>
      </w:r>
      <w:r>
        <w:rPr/>
        <w:t>MN and</w:t>
      </w:r>
      <w:r>
        <w:rPr>
          <w:spacing w:val="-16"/>
        </w:rPr>
        <w:t> </w:t>
      </w:r>
      <w:r>
        <w:rPr/>
        <w:t>the</w:t>
      </w:r>
      <w:r>
        <w:rPr>
          <w:spacing w:val="-16"/>
        </w:rPr>
        <w:t> </w:t>
      </w:r>
      <w:r>
        <w:rPr>
          <w:spacing w:val="2"/>
        </w:rPr>
        <w:t>MN(PS)</w:t>
      </w:r>
      <w:r>
        <w:rPr>
          <w:spacing w:val="-16"/>
        </w:rPr>
        <w:t> </w:t>
      </w:r>
      <w:r>
        <w:rPr/>
        <w:t>feature</w:t>
      </w:r>
      <w:r>
        <w:rPr>
          <w:spacing w:val="-16"/>
        </w:rPr>
        <w:t> </w:t>
      </w:r>
      <w:r>
        <w:rPr/>
        <w:t>either</w:t>
      </w:r>
      <w:r>
        <w:rPr>
          <w:spacing w:val="-16"/>
        </w:rPr>
        <w:t> </w:t>
      </w:r>
      <w:r>
        <w:rPr/>
        <w:t>a</w:t>
      </w:r>
      <w:r>
        <w:rPr>
          <w:spacing w:val="-16"/>
        </w:rPr>
        <w:t> </w:t>
      </w:r>
      <w:r>
        <w:rPr/>
        <w:t>capstone experience</w:t>
      </w:r>
      <w:r>
        <w:rPr>
          <w:spacing w:val="-18"/>
        </w:rPr>
        <w:t> </w:t>
      </w:r>
      <w:r>
        <w:rPr/>
        <w:t>or</w:t>
      </w:r>
      <w:r>
        <w:rPr>
          <w:spacing w:val="-18"/>
        </w:rPr>
        <w:t> </w:t>
      </w:r>
      <w:r>
        <w:rPr/>
        <w:t>research</w:t>
      </w:r>
      <w:r>
        <w:rPr>
          <w:spacing w:val="-18"/>
        </w:rPr>
        <w:t> </w:t>
      </w:r>
      <w:r>
        <w:rPr/>
        <w:t>project</w:t>
      </w:r>
      <w:r>
        <w:rPr>
          <w:spacing w:val="-18"/>
        </w:rPr>
        <w:t> </w:t>
      </w:r>
      <w:r>
        <w:rPr/>
        <w:t>in</w:t>
      </w:r>
      <w:r>
        <w:rPr>
          <w:spacing w:val="-18"/>
        </w:rPr>
        <w:t> </w:t>
      </w:r>
      <w:r>
        <w:rPr/>
        <w:t>their</w:t>
      </w:r>
      <w:r>
        <w:rPr>
          <w:spacing w:val="-18"/>
        </w:rPr>
        <w:t> </w:t>
      </w:r>
      <w:r>
        <w:rPr/>
        <w:t>final sessions</w:t>
      </w:r>
      <w:r>
        <w:rPr>
          <w:spacing w:val="-16"/>
        </w:rPr>
        <w:t> </w:t>
      </w:r>
      <w:r>
        <w:rPr/>
        <w:t>to</w:t>
      </w:r>
      <w:r>
        <w:rPr>
          <w:spacing w:val="-16"/>
        </w:rPr>
        <w:t> </w:t>
      </w:r>
      <w:r>
        <w:rPr/>
        <w:t>synthesise</w:t>
      </w:r>
      <w:r>
        <w:rPr>
          <w:spacing w:val="-16"/>
        </w:rPr>
        <w:t> </w:t>
      </w:r>
      <w:r>
        <w:rPr/>
        <w:t>and</w:t>
      </w:r>
      <w:r>
        <w:rPr>
          <w:spacing w:val="-16"/>
        </w:rPr>
        <w:t> </w:t>
      </w:r>
      <w:r>
        <w:rPr/>
        <w:t>apply</w:t>
      </w:r>
      <w:r>
        <w:rPr>
          <w:spacing w:val="-16"/>
        </w:rPr>
        <w:t> </w:t>
      </w:r>
      <w:r>
        <w:rPr/>
        <w:t>advanced nursing</w:t>
      </w:r>
      <w:r>
        <w:rPr>
          <w:spacing w:val="-26"/>
        </w:rPr>
        <w:t> </w:t>
      </w:r>
      <w:r>
        <w:rPr/>
        <w:t>concepts.</w:t>
      </w:r>
    </w:p>
    <w:p>
      <w:pPr>
        <w:pStyle w:val="BodyText"/>
        <w:rPr>
          <w:sz w:val="14"/>
        </w:rPr>
      </w:pPr>
    </w:p>
    <w:p>
      <w:pPr>
        <w:pStyle w:val="BodyText"/>
        <w:spacing w:line="249" w:lineRule="auto"/>
        <w:ind w:left="107" w:right="390"/>
      </w:pPr>
      <w:r>
        <w:rPr/>
        <w:t>Building on the success of the Student </w:t>
      </w:r>
      <w:r>
        <w:rPr>
          <w:w w:val="99"/>
        </w:rPr>
        <w:t>Literacy </w:t>
      </w:r>
      <w:r>
        <w:rPr>
          <w:w w:val="99"/>
        </w:rPr>
        <w:t>Support </w:t>
      </w:r>
      <w:r>
        <w:rPr>
          <w:w w:val="98"/>
        </w:rPr>
        <w:t>(SLS) </w:t>
      </w:r>
      <w:r>
        <w:rPr>
          <w:w w:val="98"/>
        </w:rPr>
        <w:t>program </w:t>
      </w:r>
      <w:r>
        <w:rPr>
          <w:w w:val="95"/>
        </w:rPr>
        <w:t>in </w:t>
      </w:r>
      <w:r>
        <w:rPr>
          <w:w w:val="86"/>
        </w:rPr>
        <w:t>2014,</w:t>
      </w:r>
    </w:p>
    <w:p>
      <w:pPr>
        <w:pStyle w:val="BodyText"/>
        <w:spacing w:before="10"/>
      </w:pPr>
      <w:r>
        <w:rPr/>
        <w:br w:type="column"/>
      </w:r>
      <w:r>
        <w:rPr/>
      </w:r>
    </w:p>
    <w:p>
      <w:pPr>
        <w:pStyle w:val="BodyText"/>
        <w:spacing w:line="249" w:lineRule="auto"/>
        <w:ind w:left="107" w:right="104"/>
      </w:pPr>
      <w:r>
        <w:rPr/>
        <w:t>SoNM continues to offer dedicated and targeted literacy support to students through Professional Communication and Academic Literacy (PCAL) staff members. The School has hired PCAL staff to ensure this successful support program continues. These TESOL qualified staff members play a pivotal role</w:t>
      </w:r>
    </w:p>
    <w:p>
      <w:pPr>
        <w:pStyle w:val="BodyText"/>
        <w:spacing w:line="249" w:lineRule="auto"/>
        <w:ind w:left="107" w:right="86"/>
      </w:pPr>
      <w:r>
        <w:rPr/>
        <w:t>in student support, offering face to face, individual, group, workshop and online literacy support across all SoNM campuses. Student use of support continues to grow, with 6,742 support visits between January </w:t>
      </w:r>
      <w:r>
        <w:rPr>
          <w:w w:val="97"/>
        </w:rPr>
        <w:t>and </w:t>
      </w:r>
      <w:r>
        <w:rPr>
          <w:w w:val="100"/>
        </w:rPr>
        <w:t>August </w:t>
      </w:r>
      <w:r>
        <w:rPr>
          <w:w w:val="88"/>
        </w:rPr>
        <w:t>2015 </w:t>
      </w:r>
      <w:r>
        <w:rPr>
          <w:w w:val="91"/>
        </w:rPr>
        <w:t>alone. </w:t>
      </w:r>
      <w:r>
        <w:rPr>
          <w:w w:val="98"/>
        </w:rPr>
        <w:t>Statistical </w:t>
      </w:r>
      <w:r>
        <w:rPr>
          <w:w w:val="96"/>
        </w:rPr>
        <w:t>analysis </w:t>
      </w:r>
      <w:r>
        <w:rPr/>
        <w:t>highlights the link between PCAL support and increased GPA across all Post Entry Language Assessment (PELA) groupings, which is supported by a 94.5 per cent satisfaction rate among students who attend PCAL sessions.</w:t>
      </w:r>
    </w:p>
    <w:p>
      <w:pPr>
        <w:pStyle w:val="BodyText"/>
        <w:rPr>
          <w:sz w:val="14"/>
        </w:rPr>
      </w:pPr>
    </w:p>
    <w:p>
      <w:pPr>
        <w:pStyle w:val="BodyText"/>
        <w:spacing w:line="249" w:lineRule="auto"/>
        <w:ind w:left="107" w:right="191"/>
      </w:pPr>
      <w:r>
        <w:rPr>
          <w:spacing w:val="1"/>
          <w:w w:val="80"/>
        </w:rPr>
        <w:t>In</w:t>
      </w:r>
      <w:r>
        <w:rPr>
          <w:w w:val="80"/>
        </w:rPr>
        <w:t> </w:t>
      </w:r>
      <w:r>
        <w:rPr>
          <w:spacing w:val="1"/>
          <w:w w:val="84"/>
        </w:rPr>
        <w:t>2015,</w:t>
      </w:r>
      <w:r>
        <w:rPr>
          <w:w w:val="84"/>
        </w:rPr>
        <w:t> </w:t>
      </w:r>
      <w:r>
        <w:rPr>
          <w:w w:val="97"/>
        </w:rPr>
        <w:t>the </w:t>
      </w:r>
      <w:r>
        <w:rPr>
          <w:spacing w:val="1"/>
          <w:w w:val="98"/>
        </w:rPr>
        <w:t>School</w:t>
      </w:r>
      <w:r>
        <w:rPr>
          <w:w w:val="98"/>
        </w:rPr>
        <w:t> </w:t>
      </w:r>
      <w:r>
        <w:rPr>
          <w:spacing w:val="1"/>
          <w:w w:val="96"/>
        </w:rPr>
        <w:t>also</w:t>
      </w:r>
      <w:r>
        <w:rPr>
          <w:w w:val="96"/>
        </w:rPr>
        <w:t> </w:t>
      </w:r>
      <w:r>
        <w:rPr>
          <w:spacing w:val="1"/>
          <w:w w:val="95"/>
        </w:rPr>
        <w:t>ran</w:t>
      </w:r>
      <w:r>
        <w:rPr>
          <w:w w:val="95"/>
        </w:rPr>
        <w:t> </w:t>
      </w:r>
      <w:r>
        <w:rPr>
          <w:w w:val="94"/>
        </w:rPr>
        <w:t>a </w:t>
      </w:r>
      <w:r>
        <w:rPr>
          <w:spacing w:val="1"/>
          <w:w w:val="101"/>
        </w:rPr>
        <w:t>WSU</w:t>
      </w:r>
      <w:r>
        <w:rPr>
          <w:w w:val="101"/>
        </w:rPr>
        <w:t> </w:t>
      </w:r>
      <w:r>
        <w:rPr>
          <w:spacing w:val="2"/>
          <w:w w:val="98"/>
        </w:rPr>
        <w:t>Seed</w:t>
      </w:r>
      <w:r>
        <w:rPr>
          <w:w w:val="98"/>
        </w:rPr>
        <w:t> </w:t>
      </w:r>
      <w:r>
        <w:rPr/>
        <w:t>Grant project, Validation of an academic literacy and language skills (VALUES) model for undergraduate nursing students, which </w:t>
      </w:r>
      <w:r>
        <w:rPr>
          <w:w w:val="96"/>
        </w:rPr>
        <w:t>was </w:t>
      </w:r>
      <w:r>
        <w:rPr>
          <w:spacing w:val="1"/>
          <w:w w:val="98"/>
        </w:rPr>
        <w:t>included</w:t>
      </w:r>
      <w:r>
        <w:rPr>
          <w:w w:val="98"/>
        </w:rPr>
        <w:t> </w:t>
      </w:r>
      <w:r>
        <w:rPr>
          <w:w w:val="95"/>
        </w:rPr>
        <w:t>in </w:t>
      </w:r>
      <w:r>
        <w:rPr>
          <w:w w:val="97"/>
        </w:rPr>
        <w:t>the </w:t>
      </w:r>
      <w:r>
        <w:rPr>
          <w:spacing w:val="1"/>
          <w:w w:val="88"/>
        </w:rPr>
        <w:t>2015</w:t>
      </w:r>
      <w:r>
        <w:rPr>
          <w:w w:val="88"/>
        </w:rPr>
        <w:t> </w:t>
      </w:r>
      <w:r>
        <w:rPr>
          <w:w w:val="98"/>
        </w:rPr>
        <w:t>Student </w:t>
      </w:r>
      <w:r>
        <w:rPr>
          <w:w w:val="93"/>
        </w:rPr>
        <w:t>Transition, </w:t>
      </w:r>
      <w:r>
        <w:rPr/>
        <w:t>Retention</w:t>
      </w:r>
      <w:r>
        <w:rPr>
          <w:spacing w:val="-21"/>
        </w:rPr>
        <w:t> </w:t>
      </w:r>
      <w:r>
        <w:rPr/>
        <w:t>and</w:t>
      </w:r>
      <w:r>
        <w:rPr>
          <w:spacing w:val="-21"/>
        </w:rPr>
        <w:t> </w:t>
      </w:r>
      <w:r>
        <w:rPr/>
        <w:t>Success</w:t>
      </w:r>
      <w:r>
        <w:rPr>
          <w:spacing w:val="-21"/>
        </w:rPr>
        <w:t> </w:t>
      </w:r>
      <w:r>
        <w:rPr/>
        <w:t>(STaRS)</w:t>
      </w:r>
      <w:r>
        <w:rPr>
          <w:spacing w:val="-21"/>
        </w:rPr>
        <w:t> </w:t>
      </w:r>
      <w:r>
        <w:rPr/>
        <w:t>conference</w:t>
      </w:r>
      <w:r>
        <w:rPr>
          <w:spacing w:val="-21"/>
        </w:rPr>
        <w:t> </w:t>
      </w:r>
      <w:r>
        <w:rPr/>
        <w:t>in Melbourne</w:t>
      </w:r>
      <w:r>
        <w:rPr>
          <w:spacing w:val="-17"/>
        </w:rPr>
        <w:t> </w:t>
      </w:r>
      <w:r>
        <w:rPr/>
        <w:t>in</w:t>
      </w:r>
      <w:r>
        <w:rPr>
          <w:spacing w:val="-17"/>
        </w:rPr>
        <w:t> </w:t>
      </w:r>
      <w:r>
        <w:rPr/>
        <w:t>July.</w:t>
      </w:r>
      <w:r>
        <w:rPr>
          <w:spacing w:val="-17"/>
        </w:rPr>
        <w:t> </w:t>
      </w:r>
      <w:r>
        <w:rPr/>
        <w:t>The</w:t>
      </w:r>
      <w:r>
        <w:rPr>
          <w:spacing w:val="-17"/>
        </w:rPr>
        <w:t> </w:t>
      </w:r>
      <w:r>
        <w:rPr/>
        <w:t>data</w:t>
      </w:r>
      <w:r>
        <w:rPr>
          <w:spacing w:val="-17"/>
        </w:rPr>
        <w:t> </w:t>
      </w:r>
      <w:r>
        <w:rPr/>
        <w:t>from</w:t>
      </w:r>
      <w:r>
        <w:rPr>
          <w:spacing w:val="-17"/>
        </w:rPr>
        <w:t> </w:t>
      </w:r>
      <w:r>
        <w:rPr/>
        <w:t>the</w:t>
      </w:r>
      <w:r>
        <w:rPr>
          <w:spacing w:val="-17"/>
        </w:rPr>
        <w:t> </w:t>
      </w:r>
      <w:r>
        <w:rPr/>
        <w:t>project is being collated for further analysis and </w:t>
      </w:r>
      <w:r>
        <w:rPr>
          <w:spacing w:val="1"/>
          <w:w w:val="97"/>
        </w:rPr>
        <w:t>dissemination</w:t>
      </w:r>
      <w:r>
        <w:rPr>
          <w:w w:val="97"/>
        </w:rPr>
        <w:t> </w:t>
      </w:r>
      <w:r>
        <w:rPr>
          <w:w w:val="95"/>
        </w:rPr>
        <w:t>in</w:t>
      </w:r>
      <w:r>
        <w:rPr>
          <w:spacing w:val="-8"/>
          <w:w w:val="95"/>
        </w:rPr>
        <w:t> </w:t>
      </w:r>
      <w:r>
        <w:rPr>
          <w:spacing w:val="2"/>
          <w:w w:val="85"/>
        </w:rPr>
        <w:t>2016.</w:t>
      </w:r>
    </w:p>
    <w:p>
      <w:pPr>
        <w:pStyle w:val="BodyText"/>
        <w:rPr>
          <w:sz w:val="14"/>
        </w:rPr>
      </w:pPr>
    </w:p>
    <w:p>
      <w:pPr>
        <w:pStyle w:val="BodyText"/>
        <w:spacing w:line="249" w:lineRule="auto"/>
        <w:ind w:left="107" w:right="168"/>
      </w:pPr>
      <w:r>
        <w:rPr>
          <w:spacing w:val="2"/>
        </w:rPr>
        <w:t>SoNM </w:t>
      </w:r>
      <w:r>
        <w:rPr/>
        <w:t>continues to focus on clinical placements,</w:t>
      </w:r>
      <w:r>
        <w:rPr>
          <w:spacing w:val="-20"/>
        </w:rPr>
        <w:t> </w:t>
      </w:r>
      <w:r>
        <w:rPr/>
        <w:t>with</w:t>
      </w:r>
      <w:r>
        <w:rPr>
          <w:spacing w:val="-20"/>
        </w:rPr>
        <w:t> </w:t>
      </w:r>
      <w:r>
        <w:rPr/>
        <w:t>significantly</w:t>
      </w:r>
      <w:r>
        <w:rPr>
          <w:spacing w:val="-20"/>
        </w:rPr>
        <w:t> </w:t>
      </w:r>
      <w:r>
        <w:rPr/>
        <w:t>fewer</w:t>
      </w:r>
      <w:r>
        <w:rPr>
          <w:spacing w:val="-20"/>
        </w:rPr>
        <w:t> </w:t>
      </w:r>
      <w:r>
        <w:rPr/>
        <w:t>available </w:t>
      </w:r>
      <w:r>
        <w:rPr>
          <w:spacing w:val="1"/>
          <w:w w:val="97"/>
        </w:rPr>
        <w:t>than</w:t>
      </w:r>
      <w:r>
        <w:rPr>
          <w:w w:val="97"/>
        </w:rPr>
        <w:t> </w:t>
      </w:r>
      <w:r>
        <w:rPr>
          <w:w w:val="95"/>
        </w:rPr>
        <w:t>in </w:t>
      </w:r>
      <w:r>
        <w:rPr>
          <w:spacing w:val="1"/>
          <w:w w:val="86"/>
        </w:rPr>
        <w:t>2014,</w:t>
      </w:r>
      <w:r>
        <w:rPr>
          <w:w w:val="86"/>
        </w:rPr>
        <w:t> </w:t>
      </w:r>
      <w:r>
        <w:rPr>
          <w:w w:val="98"/>
        </w:rPr>
        <w:t>despite </w:t>
      </w:r>
      <w:r>
        <w:rPr>
          <w:spacing w:val="1"/>
          <w:w w:val="98"/>
        </w:rPr>
        <w:t>continued</w:t>
      </w:r>
      <w:r>
        <w:rPr>
          <w:w w:val="98"/>
        </w:rPr>
        <w:t> </w:t>
      </w:r>
      <w:r>
        <w:rPr>
          <w:spacing w:val="1"/>
          <w:w w:val="97"/>
        </w:rPr>
        <w:t>high</w:t>
      </w:r>
      <w:r>
        <w:rPr>
          <w:w w:val="97"/>
        </w:rPr>
        <w:t> </w:t>
      </w:r>
      <w:r>
        <w:rPr/>
        <w:t>enrolments in both the BN and </w:t>
      </w:r>
      <w:r>
        <w:rPr>
          <w:spacing w:val="3"/>
        </w:rPr>
        <w:t>BM. </w:t>
      </w:r>
      <w:r>
        <w:rPr/>
        <w:t>Health Workforce</w:t>
      </w:r>
      <w:r>
        <w:rPr>
          <w:spacing w:val="-12"/>
        </w:rPr>
        <w:t> </w:t>
      </w:r>
      <w:r>
        <w:rPr/>
        <w:t>Australia</w:t>
      </w:r>
      <w:r>
        <w:rPr>
          <w:spacing w:val="-12"/>
        </w:rPr>
        <w:t> </w:t>
      </w:r>
      <w:r>
        <w:rPr/>
        <w:t>(HWA)</w:t>
      </w:r>
      <w:r>
        <w:rPr>
          <w:spacing w:val="-12"/>
        </w:rPr>
        <w:t> </w:t>
      </w:r>
      <w:r>
        <w:rPr/>
        <w:t>funding</w:t>
      </w:r>
      <w:r>
        <w:rPr>
          <w:spacing w:val="-12"/>
        </w:rPr>
        <w:t> </w:t>
      </w:r>
      <w:r>
        <w:rPr/>
        <w:t>has</w:t>
      </w:r>
      <w:r>
        <w:rPr>
          <w:spacing w:val="-12"/>
        </w:rPr>
        <w:t> </w:t>
      </w:r>
      <w:r>
        <w:rPr/>
        <w:t>been used</w:t>
      </w:r>
      <w:r>
        <w:rPr>
          <w:spacing w:val="-14"/>
        </w:rPr>
        <w:t> </w:t>
      </w:r>
      <w:r>
        <w:rPr/>
        <w:t>to</w:t>
      </w:r>
      <w:r>
        <w:rPr>
          <w:spacing w:val="-14"/>
        </w:rPr>
        <w:t> </w:t>
      </w:r>
      <w:r>
        <w:rPr/>
        <w:t>find</w:t>
      </w:r>
      <w:r>
        <w:rPr>
          <w:spacing w:val="-14"/>
        </w:rPr>
        <w:t> </w:t>
      </w:r>
      <w:r>
        <w:rPr/>
        <w:t>new</w:t>
      </w:r>
      <w:r>
        <w:rPr>
          <w:spacing w:val="-14"/>
        </w:rPr>
        <w:t> </w:t>
      </w:r>
      <w:r>
        <w:rPr/>
        <w:t>clinical</w:t>
      </w:r>
      <w:r>
        <w:rPr>
          <w:spacing w:val="-14"/>
        </w:rPr>
        <w:t> </w:t>
      </w:r>
      <w:r>
        <w:rPr/>
        <w:t>placement</w:t>
      </w:r>
      <w:r>
        <w:rPr>
          <w:spacing w:val="-14"/>
        </w:rPr>
        <w:t> </w:t>
      </w:r>
      <w:r>
        <w:rPr/>
        <w:t>providers in</w:t>
      </w:r>
      <w:r>
        <w:rPr>
          <w:spacing w:val="-17"/>
        </w:rPr>
        <w:t> </w:t>
      </w:r>
      <w:r>
        <w:rPr/>
        <w:t>both</w:t>
      </w:r>
      <w:r>
        <w:rPr>
          <w:spacing w:val="-17"/>
        </w:rPr>
        <w:t> </w:t>
      </w:r>
      <w:r>
        <w:rPr/>
        <w:t>the</w:t>
      </w:r>
      <w:r>
        <w:rPr>
          <w:spacing w:val="-17"/>
        </w:rPr>
        <w:t> </w:t>
      </w:r>
      <w:r>
        <w:rPr/>
        <w:t>private</w:t>
      </w:r>
      <w:r>
        <w:rPr>
          <w:spacing w:val="-17"/>
        </w:rPr>
        <w:t> </w:t>
      </w:r>
      <w:r>
        <w:rPr/>
        <w:t>and</w:t>
      </w:r>
      <w:r>
        <w:rPr>
          <w:spacing w:val="-17"/>
        </w:rPr>
        <w:t> </w:t>
      </w:r>
      <w:r>
        <w:rPr/>
        <w:t>public</w:t>
      </w:r>
      <w:r>
        <w:rPr>
          <w:spacing w:val="-17"/>
        </w:rPr>
        <w:t> </w:t>
      </w:r>
      <w:r>
        <w:rPr/>
        <w:t>health</w:t>
      </w:r>
      <w:r>
        <w:rPr>
          <w:spacing w:val="-17"/>
        </w:rPr>
        <w:t> </w:t>
      </w:r>
      <w:r>
        <w:rPr/>
        <w:t>systems, however, the shortfall is growing and the School</w:t>
      </w:r>
      <w:r>
        <w:rPr>
          <w:spacing w:val="-15"/>
        </w:rPr>
        <w:t> </w:t>
      </w:r>
      <w:r>
        <w:rPr/>
        <w:t>is</w:t>
      </w:r>
      <w:r>
        <w:rPr>
          <w:spacing w:val="-15"/>
        </w:rPr>
        <w:t> </w:t>
      </w:r>
      <w:r>
        <w:rPr/>
        <w:t>exploring</w:t>
      </w:r>
      <w:r>
        <w:rPr>
          <w:spacing w:val="-15"/>
        </w:rPr>
        <w:t> </w:t>
      </w:r>
      <w:r>
        <w:rPr/>
        <w:t>other</w:t>
      </w:r>
      <w:r>
        <w:rPr>
          <w:spacing w:val="-15"/>
        </w:rPr>
        <w:t> </w:t>
      </w:r>
      <w:r>
        <w:rPr/>
        <w:t>placement</w:t>
      </w:r>
      <w:r>
        <w:rPr>
          <w:spacing w:val="-15"/>
        </w:rPr>
        <w:t> </w:t>
      </w:r>
      <w:r>
        <w:rPr/>
        <w:t>options.</w:t>
      </w:r>
    </w:p>
    <w:p>
      <w:pPr>
        <w:pStyle w:val="BodyText"/>
        <w:rPr>
          <w:sz w:val="14"/>
        </w:rPr>
      </w:pPr>
    </w:p>
    <w:p>
      <w:pPr>
        <w:pStyle w:val="BodyText"/>
        <w:spacing w:line="247" w:lineRule="auto"/>
        <w:ind w:left="107" w:right="292"/>
      </w:pPr>
      <w:r>
        <w:rPr>
          <w:spacing w:val="1"/>
          <w:w w:val="80"/>
        </w:rPr>
        <w:t>In</w:t>
      </w:r>
      <w:r>
        <w:rPr>
          <w:w w:val="80"/>
        </w:rPr>
        <w:t> </w:t>
      </w:r>
      <w:r>
        <w:rPr>
          <w:spacing w:val="1"/>
          <w:w w:val="84"/>
        </w:rPr>
        <w:t>2015,</w:t>
      </w:r>
      <w:r>
        <w:rPr>
          <w:w w:val="84"/>
        </w:rPr>
        <w:t> </w:t>
      </w:r>
      <w:r>
        <w:rPr>
          <w:spacing w:val="2"/>
          <w:w w:val="99"/>
        </w:rPr>
        <w:t>SoNM</w:t>
      </w:r>
      <w:r>
        <w:rPr>
          <w:w w:val="99"/>
        </w:rPr>
        <w:t> </w:t>
      </w:r>
      <w:r>
        <w:rPr>
          <w:w w:val="96"/>
        </w:rPr>
        <w:t>was </w:t>
      </w:r>
      <w:r>
        <w:rPr>
          <w:w w:val="97"/>
        </w:rPr>
        <w:t>the </w:t>
      </w:r>
      <w:r>
        <w:rPr>
          <w:w w:val="99"/>
        </w:rPr>
        <w:t>pilot </w:t>
      </w:r>
      <w:r>
        <w:rPr>
          <w:spacing w:val="1"/>
          <w:w w:val="98"/>
        </w:rPr>
        <w:t>school</w:t>
      </w:r>
      <w:r>
        <w:rPr>
          <w:w w:val="98"/>
        </w:rPr>
        <w:t> </w:t>
      </w:r>
      <w:r>
        <w:rPr>
          <w:w w:val="98"/>
        </w:rPr>
        <w:t>for </w:t>
      </w:r>
      <w:r>
        <w:rPr>
          <w:w w:val="97"/>
        </w:rPr>
        <w:t>the </w:t>
      </w:r>
      <w:r>
        <w:rPr/>
        <w:t>new student placement system </w:t>
      </w:r>
      <w:r>
        <w:rPr>
          <w:rFonts w:ascii="Century Gothic" w:hAnsi="Century Gothic"/>
          <w:i/>
        </w:rPr>
        <w:t>InPlace</w:t>
      </w:r>
      <w:r>
        <w:rPr/>
        <w:t>, which</w:t>
      </w:r>
      <w:r>
        <w:rPr>
          <w:spacing w:val="-16"/>
        </w:rPr>
        <w:t> </w:t>
      </w:r>
      <w:r>
        <w:rPr/>
        <w:t>has</w:t>
      </w:r>
      <w:r>
        <w:rPr>
          <w:spacing w:val="-16"/>
        </w:rPr>
        <w:t> </w:t>
      </w:r>
      <w:r>
        <w:rPr/>
        <w:t>significantly</w:t>
      </w:r>
      <w:r>
        <w:rPr>
          <w:spacing w:val="-16"/>
        </w:rPr>
        <w:t> </w:t>
      </w:r>
      <w:r>
        <w:rPr/>
        <w:t>improved</w:t>
      </w:r>
      <w:r>
        <w:rPr>
          <w:spacing w:val="-16"/>
        </w:rPr>
        <w:t> </w:t>
      </w:r>
      <w:r>
        <w:rPr/>
        <w:t>placement opportunities.</w:t>
      </w:r>
      <w:r>
        <w:rPr>
          <w:spacing w:val="-34"/>
        </w:rPr>
        <w:t> </w:t>
      </w:r>
      <w:r>
        <w:rPr>
          <w:rFonts w:ascii="Century Gothic" w:hAnsi="Century Gothic"/>
          <w:i/>
        </w:rPr>
        <w:t>InPlace</w:t>
      </w:r>
      <w:r>
        <w:rPr>
          <w:rFonts w:ascii="Century Gothic" w:hAnsi="Century Gothic"/>
          <w:i/>
          <w:spacing w:val="-28"/>
        </w:rPr>
        <w:t> </w:t>
      </w:r>
      <w:r>
        <w:rPr/>
        <w:t>allows</w:t>
      </w:r>
      <w:r>
        <w:rPr>
          <w:spacing w:val="-34"/>
        </w:rPr>
        <w:t> </w:t>
      </w:r>
      <w:r>
        <w:rPr/>
        <w:t>staff</w:t>
      </w:r>
      <w:r>
        <w:rPr>
          <w:spacing w:val="-34"/>
        </w:rPr>
        <w:t> </w:t>
      </w:r>
      <w:r>
        <w:rPr/>
        <w:t>members to view a student’s placement history and identifies</w:t>
      </w:r>
      <w:r>
        <w:rPr>
          <w:spacing w:val="-21"/>
        </w:rPr>
        <w:t> </w:t>
      </w:r>
      <w:r>
        <w:rPr/>
        <w:t>issues</w:t>
      </w:r>
      <w:r>
        <w:rPr>
          <w:spacing w:val="-21"/>
        </w:rPr>
        <w:t> </w:t>
      </w:r>
      <w:r>
        <w:rPr/>
        <w:t>preventing</w:t>
      </w:r>
      <w:r>
        <w:rPr>
          <w:spacing w:val="-21"/>
        </w:rPr>
        <w:t> </w:t>
      </w:r>
      <w:r>
        <w:rPr/>
        <w:t>allocation</w:t>
      </w:r>
    </w:p>
    <w:p>
      <w:pPr>
        <w:pStyle w:val="BodyText"/>
        <w:spacing w:line="249" w:lineRule="auto" w:before="1"/>
        <w:ind w:left="107" w:right="265"/>
      </w:pPr>
      <w:r>
        <w:rPr/>
        <w:t>of placements. The system’s reporting module</w:t>
      </w:r>
      <w:r>
        <w:rPr>
          <w:spacing w:val="-16"/>
        </w:rPr>
        <w:t> </w:t>
      </w:r>
      <w:r>
        <w:rPr/>
        <w:t>gives</w:t>
      </w:r>
      <w:r>
        <w:rPr>
          <w:spacing w:val="-16"/>
        </w:rPr>
        <w:t> </w:t>
      </w:r>
      <w:r>
        <w:rPr/>
        <w:t>an</w:t>
      </w:r>
      <w:r>
        <w:rPr>
          <w:spacing w:val="-16"/>
        </w:rPr>
        <w:t> </w:t>
      </w:r>
      <w:r>
        <w:rPr/>
        <w:t>instant</w:t>
      </w:r>
      <w:r>
        <w:rPr>
          <w:spacing w:val="-16"/>
        </w:rPr>
        <w:t> </w:t>
      </w:r>
      <w:r>
        <w:rPr/>
        <w:t>snapshot</w:t>
      </w:r>
      <w:r>
        <w:rPr>
          <w:spacing w:val="-16"/>
        </w:rPr>
        <w:t> </w:t>
      </w:r>
      <w:r>
        <w:rPr/>
        <w:t>of</w:t>
      </w:r>
      <w:r>
        <w:rPr>
          <w:spacing w:val="-16"/>
        </w:rPr>
        <w:t> </w:t>
      </w:r>
      <w:r>
        <w:rPr/>
        <w:t>overall placements</w:t>
      </w:r>
      <w:r>
        <w:rPr>
          <w:spacing w:val="-18"/>
        </w:rPr>
        <w:t> </w:t>
      </w:r>
      <w:r>
        <w:rPr/>
        <w:t>within</w:t>
      </w:r>
      <w:r>
        <w:rPr>
          <w:spacing w:val="-18"/>
        </w:rPr>
        <w:t> </w:t>
      </w:r>
      <w:r>
        <w:rPr/>
        <w:t>the</w:t>
      </w:r>
      <w:r>
        <w:rPr>
          <w:spacing w:val="-18"/>
        </w:rPr>
        <w:t> </w:t>
      </w:r>
      <w:r>
        <w:rPr/>
        <w:t>School.</w:t>
      </w:r>
      <w:r>
        <w:rPr>
          <w:spacing w:val="-18"/>
        </w:rPr>
        <w:t> </w:t>
      </w:r>
      <w:r>
        <w:rPr/>
        <w:t>The</w:t>
      </w:r>
      <w:r>
        <w:rPr>
          <w:spacing w:val="-18"/>
        </w:rPr>
        <w:t> </w:t>
      </w:r>
      <w:r>
        <w:rPr/>
        <w:t>system</w:t>
      </w:r>
      <w:r>
        <w:rPr>
          <w:spacing w:val="-18"/>
        </w:rPr>
        <w:t> </w:t>
      </w:r>
      <w:r>
        <w:rPr/>
        <w:t>is more</w:t>
      </w:r>
      <w:r>
        <w:rPr>
          <w:spacing w:val="-15"/>
        </w:rPr>
        <w:t> </w:t>
      </w:r>
      <w:r>
        <w:rPr/>
        <w:t>equitable</w:t>
      </w:r>
      <w:r>
        <w:rPr>
          <w:spacing w:val="-15"/>
        </w:rPr>
        <w:t> </w:t>
      </w:r>
      <w:r>
        <w:rPr/>
        <w:t>for</w:t>
      </w:r>
      <w:r>
        <w:rPr>
          <w:spacing w:val="-15"/>
        </w:rPr>
        <w:t> </w:t>
      </w:r>
      <w:r>
        <w:rPr/>
        <w:t>students,</w:t>
      </w:r>
      <w:r>
        <w:rPr>
          <w:spacing w:val="-15"/>
        </w:rPr>
        <w:t> </w:t>
      </w:r>
      <w:r>
        <w:rPr/>
        <w:t>as</w:t>
      </w:r>
      <w:r>
        <w:rPr>
          <w:spacing w:val="-15"/>
        </w:rPr>
        <w:t> </w:t>
      </w:r>
      <w:r>
        <w:rPr/>
        <w:t>it</w:t>
      </w:r>
      <w:r>
        <w:rPr>
          <w:spacing w:val="-15"/>
        </w:rPr>
        <w:t> </w:t>
      </w:r>
      <w:r>
        <w:rPr/>
        <w:t>promotes student progression by allowing online access to information, preference selection and</w:t>
      </w:r>
      <w:r>
        <w:rPr>
          <w:spacing w:val="-17"/>
        </w:rPr>
        <w:t> </w:t>
      </w:r>
      <w:r>
        <w:rPr/>
        <w:t>earlier</w:t>
      </w:r>
      <w:r>
        <w:rPr>
          <w:spacing w:val="-17"/>
        </w:rPr>
        <w:t> </w:t>
      </w:r>
      <w:r>
        <w:rPr/>
        <w:t>notification</w:t>
      </w:r>
      <w:r>
        <w:rPr>
          <w:spacing w:val="-17"/>
        </w:rPr>
        <w:t> </w:t>
      </w:r>
      <w:r>
        <w:rPr/>
        <w:t>of</w:t>
      </w:r>
      <w:r>
        <w:rPr>
          <w:spacing w:val="-17"/>
        </w:rPr>
        <w:t> </w:t>
      </w:r>
      <w:r>
        <w:rPr/>
        <w:t>placement,</w:t>
      </w:r>
      <w:r>
        <w:rPr>
          <w:spacing w:val="-17"/>
        </w:rPr>
        <w:t> </w:t>
      </w:r>
      <w:r>
        <w:rPr/>
        <w:t>which increases</w:t>
      </w:r>
      <w:r>
        <w:rPr>
          <w:spacing w:val="-27"/>
        </w:rPr>
        <w:t> </w:t>
      </w:r>
      <w:r>
        <w:rPr/>
        <w:t>rates</w:t>
      </w:r>
      <w:r>
        <w:rPr>
          <w:spacing w:val="-27"/>
        </w:rPr>
        <w:t> </w:t>
      </w:r>
      <w:r>
        <w:rPr/>
        <w:t>of</w:t>
      </w:r>
      <w:r>
        <w:rPr>
          <w:spacing w:val="-27"/>
        </w:rPr>
        <w:t> </w:t>
      </w:r>
      <w:r>
        <w:rPr/>
        <w:t>uptake.</w:t>
      </w:r>
    </w:p>
    <w:p>
      <w:pPr>
        <w:spacing w:after="0" w:line="249" w:lineRule="auto"/>
        <w:sectPr>
          <w:type w:val="continuous"/>
          <w:pgSz w:w="11910" w:h="16840"/>
          <w:pgMar w:top="1580" w:bottom="280" w:left="800" w:right="800"/>
          <w:cols w:num="3" w:equalWidth="0">
            <w:col w:w="3315" w:space="124"/>
            <w:col w:w="3285" w:space="154"/>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9"/>
        <w:rPr>
          <w:sz w:val="20"/>
        </w:rPr>
      </w:pPr>
    </w:p>
    <w:p>
      <w:pPr>
        <w:pStyle w:val="Heading8"/>
        <w:ind w:right="-2"/>
      </w:pPr>
      <w:r>
        <w:rPr/>
        <w:t>ENGAGEMENT</w:t>
      </w:r>
    </w:p>
    <w:p>
      <w:pPr>
        <w:pStyle w:val="BodyText"/>
        <w:spacing w:line="249" w:lineRule="auto" w:before="86"/>
        <w:ind w:left="107" w:right="29"/>
      </w:pPr>
      <w:r>
        <w:rPr>
          <w:spacing w:val="2"/>
          <w:w w:val="99"/>
        </w:rPr>
        <w:t>SoNM</w:t>
      </w:r>
      <w:r>
        <w:rPr>
          <w:w w:val="99"/>
        </w:rPr>
        <w:t> </w:t>
      </w:r>
      <w:r>
        <w:rPr>
          <w:spacing w:val="1"/>
          <w:w w:val="97"/>
        </w:rPr>
        <w:t>had</w:t>
      </w:r>
      <w:r>
        <w:rPr>
          <w:w w:val="97"/>
        </w:rPr>
        <w:t> </w:t>
      </w:r>
      <w:r>
        <w:rPr>
          <w:w w:val="94"/>
        </w:rPr>
        <w:t>a </w:t>
      </w:r>
      <w:r>
        <w:rPr>
          <w:spacing w:val="1"/>
          <w:w w:val="98"/>
        </w:rPr>
        <w:t>very</w:t>
      </w:r>
      <w:r>
        <w:rPr>
          <w:w w:val="98"/>
        </w:rPr>
        <w:t> </w:t>
      </w:r>
      <w:r>
        <w:rPr>
          <w:spacing w:val="1"/>
          <w:w w:val="98"/>
        </w:rPr>
        <w:t>busy</w:t>
      </w:r>
      <w:r>
        <w:rPr>
          <w:w w:val="98"/>
        </w:rPr>
        <w:t> </w:t>
      </w:r>
      <w:r>
        <w:rPr>
          <w:spacing w:val="1"/>
          <w:w w:val="84"/>
        </w:rPr>
        <w:t>2015,</w:t>
      </w:r>
      <w:r>
        <w:rPr>
          <w:w w:val="84"/>
        </w:rPr>
        <w:t> </w:t>
      </w:r>
      <w:r>
        <w:rPr>
          <w:w w:val="98"/>
        </w:rPr>
        <w:t>with </w:t>
      </w:r>
      <w:r>
        <w:rPr>
          <w:w w:val="99"/>
        </w:rPr>
        <w:t>45 </w:t>
      </w:r>
      <w:r>
        <w:rPr>
          <w:w w:val="97"/>
        </w:rPr>
        <w:t>events </w:t>
      </w:r>
      <w:r>
        <w:rPr/>
        <w:t>involving students, staff, prospective students, the community, industry and other external </w:t>
      </w:r>
      <w:r>
        <w:rPr>
          <w:spacing w:val="2"/>
        </w:rPr>
        <w:t>parties. </w:t>
      </w:r>
      <w:r>
        <w:rPr/>
        <w:t>These ranged from School engagement and student activities to events targeting</w:t>
      </w:r>
      <w:r>
        <w:rPr>
          <w:spacing w:val="-20"/>
        </w:rPr>
        <w:t> </w:t>
      </w:r>
      <w:r>
        <w:rPr/>
        <w:t>Indigenous</w:t>
      </w:r>
      <w:r>
        <w:rPr>
          <w:spacing w:val="-20"/>
        </w:rPr>
        <w:t> </w:t>
      </w:r>
      <w:r>
        <w:rPr/>
        <w:t>people</w:t>
      </w:r>
      <w:r>
        <w:rPr>
          <w:spacing w:val="-20"/>
        </w:rPr>
        <w:t> </w:t>
      </w:r>
      <w:r>
        <w:rPr/>
        <w:t>and</w:t>
      </w:r>
      <w:r>
        <w:rPr>
          <w:spacing w:val="-20"/>
        </w:rPr>
        <w:t> </w:t>
      </w:r>
      <w:r>
        <w:rPr/>
        <w:t>international markets, all aimed at increasing the profile, participation, education and</w:t>
      </w:r>
      <w:r>
        <w:rPr>
          <w:spacing w:val="-36"/>
        </w:rPr>
        <w:t> </w:t>
      </w:r>
      <w:r>
        <w:rPr/>
        <w:t>opportunities</w:t>
      </w:r>
    </w:p>
    <w:p>
      <w:pPr>
        <w:pStyle w:val="BodyText"/>
        <w:spacing w:line="249" w:lineRule="auto"/>
        <w:ind w:left="107" w:right="-2"/>
      </w:pPr>
      <w:r>
        <w:rPr/>
        <w:t>for students and prospective students from </w:t>
      </w:r>
      <w:r>
        <w:rPr>
          <w:w w:val="95"/>
        </w:rPr>
        <w:t>Western Sydney.</w:t>
      </w:r>
    </w:p>
    <w:p>
      <w:pPr>
        <w:pStyle w:val="BodyText"/>
        <w:rPr>
          <w:sz w:val="14"/>
        </w:rPr>
      </w:pPr>
    </w:p>
    <w:p>
      <w:pPr>
        <w:pStyle w:val="BodyText"/>
        <w:spacing w:line="249" w:lineRule="auto"/>
        <w:ind w:left="107" w:right="-2"/>
      </w:pPr>
      <w:r>
        <w:rPr/>
        <w:t>The</w:t>
      </w:r>
      <w:r>
        <w:rPr>
          <w:spacing w:val="-28"/>
        </w:rPr>
        <w:t> </w:t>
      </w:r>
      <w:r>
        <w:rPr/>
        <w:t>School</w:t>
      </w:r>
      <w:r>
        <w:rPr>
          <w:spacing w:val="-28"/>
        </w:rPr>
        <w:t> </w:t>
      </w:r>
      <w:r>
        <w:rPr/>
        <w:t>is</w:t>
      </w:r>
      <w:r>
        <w:rPr>
          <w:spacing w:val="-28"/>
        </w:rPr>
        <w:t> </w:t>
      </w:r>
      <w:r>
        <w:rPr/>
        <w:t>focusing</w:t>
      </w:r>
      <w:r>
        <w:rPr>
          <w:spacing w:val="-28"/>
        </w:rPr>
        <w:t> </w:t>
      </w:r>
      <w:r>
        <w:rPr/>
        <w:t>on</w:t>
      </w:r>
      <w:r>
        <w:rPr>
          <w:spacing w:val="-28"/>
        </w:rPr>
        <w:t> </w:t>
      </w:r>
      <w:r>
        <w:rPr/>
        <w:t>winning</w:t>
      </w:r>
      <w:r>
        <w:rPr>
          <w:spacing w:val="-28"/>
        </w:rPr>
        <w:t> </w:t>
      </w:r>
      <w:r>
        <w:rPr/>
        <w:t>market</w:t>
      </w:r>
      <w:r>
        <w:rPr>
          <w:spacing w:val="-28"/>
        </w:rPr>
        <w:t> </w:t>
      </w:r>
      <w:r>
        <w:rPr/>
        <w:t>share in</w:t>
      </w:r>
      <w:r>
        <w:rPr>
          <w:spacing w:val="-28"/>
        </w:rPr>
        <w:t> </w:t>
      </w:r>
      <w:r>
        <w:rPr/>
        <w:t>the</w:t>
      </w:r>
      <w:r>
        <w:rPr>
          <w:spacing w:val="-28"/>
        </w:rPr>
        <w:t> </w:t>
      </w:r>
      <w:r>
        <w:rPr/>
        <w:t>competitive</w:t>
      </w:r>
      <w:r>
        <w:rPr>
          <w:spacing w:val="-28"/>
        </w:rPr>
        <w:t> </w:t>
      </w:r>
      <w:r>
        <w:rPr/>
        <w:t>higher</w:t>
      </w:r>
      <w:r>
        <w:rPr>
          <w:spacing w:val="-28"/>
        </w:rPr>
        <w:t> </w:t>
      </w:r>
      <w:r>
        <w:rPr/>
        <w:t>education</w:t>
      </w:r>
      <w:r>
        <w:rPr>
          <w:spacing w:val="-28"/>
        </w:rPr>
        <w:t> </w:t>
      </w:r>
      <w:r>
        <w:rPr/>
        <w:t>market</w:t>
      </w:r>
      <w:r>
        <w:rPr>
          <w:spacing w:val="-28"/>
        </w:rPr>
        <w:t> </w:t>
      </w:r>
      <w:r>
        <w:rPr/>
        <w:t>and </w:t>
      </w:r>
      <w:r>
        <w:rPr>
          <w:w w:val="97"/>
        </w:rPr>
        <w:t>held </w:t>
      </w:r>
      <w:r>
        <w:rPr>
          <w:spacing w:val="-1"/>
          <w:w w:val="98"/>
        </w:rPr>
        <w:t>targeted</w:t>
      </w:r>
      <w:r>
        <w:rPr>
          <w:w w:val="98"/>
        </w:rPr>
        <w:t> </w:t>
      </w:r>
      <w:r>
        <w:rPr>
          <w:spacing w:val="-1"/>
          <w:w w:val="97"/>
        </w:rPr>
        <w:t>events</w:t>
      </w:r>
      <w:r>
        <w:rPr>
          <w:w w:val="97"/>
        </w:rPr>
        <w:t> </w:t>
      </w:r>
      <w:r>
        <w:rPr>
          <w:spacing w:val="-1"/>
          <w:w w:val="95"/>
        </w:rPr>
        <w:t>in</w:t>
      </w:r>
      <w:r>
        <w:rPr>
          <w:w w:val="95"/>
        </w:rPr>
        <w:t> </w:t>
      </w:r>
      <w:r>
        <w:rPr>
          <w:w w:val="84"/>
        </w:rPr>
        <w:t>2015. </w:t>
      </w:r>
      <w:r>
        <w:rPr>
          <w:spacing w:val="-1"/>
          <w:w w:val="100"/>
        </w:rPr>
        <w:t>Attracting</w:t>
      </w:r>
      <w:r>
        <w:rPr>
          <w:w w:val="100"/>
        </w:rPr>
        <w:t> </w:t>
      </w:r>
      <w:r>
        <w:rPr>
          <w:w w:val="96"/>
        </w:rPr>
        <w:t>higher </w:t>
      </w:r>
      <w:r>
        <w:rPr/>
        <w:t>numbers of school leavers is a key goal, and </w:t>
      </w:r>
      <w:r>
        <w:rPr>
          <w:spacing w:val="1"/>
          <w:w w:val="99"/>
        </w:rPr>
        <w:t>SoNM</w:t>
      </w:r>
      <w:r>
        <w:rPr>
          <w:spacing w:val="-14"/>
          <w:w w:val="99"/>
        </w:rPr>
        <w:t> </w:t>
      </w:r>
      <w:r>
        <w:rPr>
          <w:spacing w:val="-1"/>
          <w:w w:val="98"/>
        </w:rPr>
        <w:t>hosted</w:t>
      </w:r>
      <w:r>
        <w:rPr>
          <w:spacing w:val="-13"/>
          <w:w w:val="98"/>
        </w:rPr>
        <w:t> </w:t>
      </w:r>
      <w:r>
        <w:rPr>
          <w:spacing w:val="-1"/>
          <w:w w:val="97"/>
        </w:rPr>
        <w:t>more</w:t>
      </w:r>
      <w:r>
        <w:rPr>
          <w:spacing w:val="-13"/>
          <w:w w:val="97"/>
        </w:rPr>
        <w:t> </w:t>
      </w:r>
      <w:r>
        <w:rPr>
          <w:spacing w:val="-1"/>
          <w:w w:val="97"/>
        </w:rPr>
        <w:t>than</w:t>
      </w:r>
      <w:r>
        <w:rPr>
          <w:spacing w:val="-12"/>
          <w:w w:val="97"/>
        </w:rPr>
        <w:t> </w:t>
      </w:r>
      <w:r>
        <w:rPr>
          <w:spacing w:val="1"/>
          <w:w w:val="92"/>
        </w:rPr>
        <w:t>100</w:t>
      </w:r>
      <w:r>
        <w:rPr>
          <w:spacing w:val="-10"/>
          <w:w w:val="92"/>
        </w:rPr>
        <w:t> </w:t>
      </w:r>
      <w:r>
        <w:rPr>
          <w:spacing w:val="-1"/>
          <w:w w:val="97"/>
        </w:rPr>
        <w:t>high</w:t>
      </w:r>
      <w:r>
        <w:rPr>
          <w:spacing w:val="-13"/>
          <w:w w:val="97"/>
        </w:rPr>
        <w:t> </w:t>
      </w:r>
      <w:r>
        <w:rPr>
          <w:w w:val="98"/>
        </w:rPr>
        <w:t>school</w:t>
      </w:r>
      <w:r>
        <w:rPr>
          <w:spacing w:val="-13"/>
          <w:w w:val="98"/>
        </w:rPr>
        <w:t> </w:t>
      </w:r>
      <w:r>
        <w:rPr>
          <w:w w:val="96"/>
        </w:rPr>
        <w:t>career </w:t>
      </w:r>
      <w:r>
        <w:rPr/>
        <w:t>advisers</w:t>
      </w:r>
      <w:r>
        <w:rPr>
          <w:spacing w:val="-33"/>
        </w:rPr>
        <w:t> </w:t>
      </w:r>
      <w:r>
        <w:rPr/>
        <w:t>at</w:t>
      </w:r>
      <w:r>
        <w:rPr>
          <w:spacing w:val="-33"/>
        </w:rPr>
        <w:t> </w:t>
      </w:r>
      <w:r>
        <w:rPr/>
        <w:t>Hawkesbury</w:t>
      </w:r>
      <w:r>
        <w:rPr>
          <w:spacing w:val="-33"/>
        </w:rPr>
        <w:t> </w:t>
      </w:r>
      <w:r>
        <w:rPr/>
        <w:t>CPU,</w:t>
      </w:r>
      <w:r>
        <w:rPr>
          <w:spacing w:val="-33"/>
        </w:rPr>
        <w:t> </w:t>
      </w:r>
      <w:r>
        <w:rPr/>
        <w:t>advertising</w:t>
      </w:r>
    </w:p>
    <w:p>
      <w:pPr>
        <w:pStyle w:val="BodyText"/>
        <w:spacing w:line="249" w:lineRule="auto"/>
        <w:ind w:left="107" w:right="80"/>
      </w:pPr>
      <w:r>
        <w:rPr/>
        <w:t>the School’s facilities and courses as part of </w:t>
      </w:r>
      <w:r>
        <w:rPr>
          <w:w w:val="97"/>
        </w:rPr>
        <w:t>the </w:t>
      </w:r>
      <w:r>
        <w:rPr>
          <w:w w:val="97"/>
        </w:rPr>
        <w:t>successful </w:t>
      </w:r>
      <w:r>
        <w:rPr>
          <w:w w:val="96"/>
        </w:rPr>
        <w:t>Career </w:t>
      </w:r>
      <w:r>
        <w:rPr>
          <w:spacing w:val="-1"/>
          <w:w w:val="99"/>
        </w:rPr>
        <w:t>Advisers’</w:t>
      </w:r>
      <w:r>
        <w:rPr>
          <w:w w:val="99"/>
        </w:rPr>
        <w:t> </w:t>
      </w:r>
      <w:r>
        <w:rPr>
          <w:spacing w:val="-1"/>
          <w:w w:val="98"/>
        </w:rPr>
        <w:t>Day</w:t>
      </w:r>
      <w:r>
        <w:rPr>
          <w:w w:val="98"/>
        </w:rPr>
        <w:t> </w:t>
      </w:r>
      <w:r>
        <w:rPr>
          <w:w w:val="84"/>
        </w:rPr>
        <w:t>2015. </w:t>
      </w:r>
      <w:r>
        <w:rPr>
          <w:w w:val="96"/>
        </w:rPr>
        <w:t>Dr </w:t>
      </w:r>
      <w:r>
        <w:rPr/>
        <w:t>Rebecca</w:t>
      </w:r>
      <w:r>
        <w:rPr>
          <w:spacing w:val="-29"/>
        </w:rPr>
        <w:t> </w:t>
      </w:r>
      <w:r>
        <w:rPr/>
        <w:t>O’Reilly</w:t>
      </w:r>
      <w:r>
        <w:rPr>
          <w:spacing w:val="-29"/>
        </w:rPr>
        <w:t> </w:t>
      </w:r>
      <w:r>
        <w:rPr/>
        <w:t>presented</w:t>
      </w:r>
      <w:r>
        <w:rPr>
          <w:spacing w:val="-29"/>
        </w:rPr>
        <w:t> </w:t>
      </w:r>
      <w:r>
        <w:rPr/>
        <w:t>information</w:t>
      </w:r>
      <w:r>
        <w:rPr>
          <w:spacing w:val="-29"/>
        </w:rPr>
        <w:t> </w:t>
      </w:r>
      <w:r>
        <w:rPr/>
        <w:t>about the</w:t>
      </w:r>
      <w:r>
        <w:rPr>
          <w:spacing w:val="-21"/>
        </w:rPr>
        <w:t> </w:t>
      </w:r>
      <w:r>
        <w:rPr/>
        <w:t>direct</w:t>
      </w:r>
      <w:r>
        <w:rPr>
          <w:spacing w:val="-21"/>
        </w:rPr>
        <w:t> </w:t>
      </w:r>
      <w:r>
        <w:rPr/>
        <w:t>entry</w:t>
      </w:r>
      <w:r>
        <w:rPr>
          <w:spacing w:val="-21"/>
        </w:rPr>
        <w:t> </w:t>
      </w:r>
      <w:r>
        <w:rPr/>
        <w:t>pathway</w:t>
      </w:r>
      <w:r>
        <w:rPr>
          <w:spacing w:val="-21"/>
        </w:rPr>
        <w:t> </w:t>
      </w:r>
      <w:r>
        <w:rPr/>
        <w:t>into</w:t>
      </w:r>
      <w:r>
        <w:rPr>
          <w:spacing w:val="-21"/>
        </w:rPr>
        <w:t> </w:t>
      </w:r>
      <w:r>
        <w:rPr/>
        <w:t>the</w:t>
      </w:r>
      <w:r>
        <w:rPr>
          <w:spacing w:val="-21"/>
        </w:rPr>
        <w:t> </w:t>
      </w:r>
      <w:r>
        <w:rPr/>
        <w:t>Bachelor</w:t>
      </w:r>
      <w:r>
        <w:rPr>
          <w:spacing w:val="-21"/>
        </w:rPr>
        <w:t> </w:t>
      </w:r>
      <w:r>
        <w:rPr/>
        <w:t>of Nursing to 25 student-enrolled nurses from </w:t>
      </w:r>
      <w:r>
        <w:rPr>
          <w:w w:val="95"/>
        </w:rPr>
        <w:t>Concord</w:t>
      </w:r>
      <w:r>
        <w:rPr>
          <w:spacing w:val="16"/>
          <w:w w:val="95"/>
        </w:rPr>
        <w:t> </w:t>
      </w:r>
      <w:r>
        <w:rPr>
          <w:w w:val="95"/>
        </w:rPr>
        <w:t>Hospital.</w:t>
      </w:r>
    </w:p>
    <w:p>
      <w:pPr>
        <w:pStyle w:val="BodyText"/>
        <w:rPr>
          <w:sz w:val="14"/>
        </w:rPr>
      </w:pPr>
    </w:p>
    <w:p>
      <w:pPr>
        <w:pStyle w:val="BodyText"/>
        <w:spacing w:line="249" w:lineRule="auto"/>
        <w:ind w:left="107" w:right="103"/>
      </w:pPr>
      <w:r>
        <w:rPr/>
        <w:t>The School is committed to the University’s strategic</w:t>
      </w:r>
      <w:r>
        <w:rPr>
          <w:spacing w:val="-29"/>
        </w:rPr>
        <w:t> </w:t>
      </w:r>
      <w:r>
        <w:rPr/>
        <w:t>goals</w:t>
      </w:r>
      <w:r>
        <w:rPr>
          <w:spacing w:val="-29"/>
        </w:rPr>
        <w:t> </w:t>
      </w:r>
      <w:r>
        <w:rPr/>
        <w:t>and</w:t>
      </w:r>
      <w:r>
        <w:rPr>
          <w:spacing w:val="-29"/>
        </w:rPr>
        <w:t> </w:t>
      </w:r>
      <w:r>
        <w:rPr/>
        <w:t>has</w:t>
      </w:r>
      <w:r>
        <w:rPr>
          <w:spacing w:val="-29"/>
        </w:rPr>
        <w:t> </w:t>
      </w:r>
      <w:r>
        <w:rPr/>
        <w:t>worked</w:t>
      </w:r>
      <w:r>
        <w:rPr>
          <w:spacing w:val="-29"/>
        </w:rPr>
        <w:t> </w:t>
      </w:r>
      <w:r>
        <w:rPr/>
        <w:t>on</w:t>
      </w:r>
      <w:r>
        <w:rPr>
          <w:spacing w:val="-29"/>
        </w:rPr>
        <w:t> </w:t>
      </w:r>
      <w:r>
        <w:rPr/>
        <w:t>Indigenous </w:t>
      </w:r>
      <w:r>
        <w:rPr>
          <w:w w:val="95"/>
        </w:rPr>
        <w:t>engagement, undertaking eight</w:t>
      </w:r>
      <w:r>
        <w:rPr>
          <w:spacing w:val="16"/>
          <w:w w:val="95"/>
        </w:rPr>
        <w:t> </w:t>
      </w:r>
      <w:r>
        <w:rPr>
          <w:w w:val="95"/>
        </w:rPr>
        <w:t>activities.</w:t>
      </w:r>
    </w:p>
    <w:p>
      <w:pPr>
        <w:pStyle w:val="BodyText"/>
        <w:spacing w:line="249" w:lineRule="auto"/>
        <w:ind w:left="107" w:right="5"/>
      </w:pPr>
      <w:r>
        <w:rPr/>
        <w:t>These</w:t>
      </w:r>
      <w:r>
        <w:rPr>
          <w:spacing w:val="-31"/>
        </w:rPr>
        <w:t> </w:t>
      </w:r>
      <w:r>
        <w:rPr/>
        <w:t>included</w:t>
      </w:r>
      <w:r>
        <w:rPr>
          <w:spacing w:val="-31"/>
        </w:rPr>
        <w:t> </w:t>
      </w:r>
      <w:r>
        <w:rPr/>
        <w:t>the</w:t>
      </w:r>
      <w:r>
        <w:rPr>
          <w:spacing w:val="-31"/>
        </w:rPr>
        <w:t> </w:t>
      </w:r>
      <w:r>
        <w:rPr/>
        <w:t>NRL</w:t>
      </w:r>
      <w:r>
        <w:rPr>
          <w:spacing w:val="-31"/>
        </w:rPr>
        <w:t> </w:t>
      </w:r>
      <w:r>
        <w:rPr/>
        <w:t>Indigenous</w:t>
      </w:r>
      <w:r>
        <w:rPr>
          <w:spacing w:val="-31"/>
        </w:rPr>
        <w:t> </w:t>
      </w:r>
      <w:r>
        <w:rPr/>
        <w:t>player</w:t>
      </w:r>
      <w:r>
        <w:rPr>
          <w:spacing w:val="-31"/>
        </w:rPr>
        <w:t> </w:t>
      </w:r>
      <w:r>
        <w:rPr/>
        <w:t>visit, Heartbeat and the Koori Education Carnival, which took place on all three campuses. All these</w:t>
      </w:r>
      <w:r>
        <w:rPr>
          <w:spacing w:val="-27"/>
        </w:rPr>
        <w:t> </w:t>
      </w:r>
      <w:r>
        <w:rPr/>
        <w:t>events</w:t>
      </w:r>
      <w:r>
        <w:rPr>
          <w:spacing w:val="-27"/>
        </w:rPr>
        <w:t> </w:t>
      </w:r>
      <w:r>
        <w:rPr/>
        <w:t>involved</w:t>
      </w:r>
      <w:r>
        <w:rPr>
          <w:spacing w:val="-27"/>
        </w:rPr>
        <w:t> </w:t>
      </w:r>
      <w:r>
        <w:rPr/>
        <w:t>career-oriented</w:t>
      </w:r>
      <w:r>
        <w:rPr>
          <w:spacing w:val="-27"/>
        </w:rPr>
        <w:t> </w:t>
      </w:r>
      <w:r>
        <w:rPr/>
        <w:t>talks</w:t>
      </w:r>
      <w:r>
        <w:rPr>
          <w:spacing w:val="-27"/>
        </w:rPr>
        <w:t> </w:t>
      </w:r>
      <w:r>
        <w:rPr/>
        <w:t>by staff</w:t>
      </w:r>
      <w:r>
        <w:rPr>
          <w:spacing w:val="-24"/>
        </w:rPr>
        <w:t> </w:t>
      </w:r>
      <w:r>
        <w:rPr/>
        <w:t>members</w:t>
      </w:r>
      <w:r>
        <w:rPr>
          <w:spacing w:val="-24"/>
        </w:rPr>
        <w:t> </w:t>
      </w:r>
      <w:r>
        <w:rPr/>
        <w:t>and</w:t>
      </w:r>
      <w:r>
        <w:rPr>
          <w:spacing w:val="-24"/>
        </w:rPr>
        <w:t> </w:t>
      </w:r>
      <w:r>
        <w:rPr/>
        <w:t>interactive</w:t>
      </w:r>
      <w:r>
        <w:rPr>
          <w:spacing w:val="-24"/>
        </w:rPr>
        <w:t> </w:t>
      </w:r>
      <w:r>
        <w:rPr/>
        <w:t>activities</w:t>
      </w:r>
      <w:r>
        <w:rPr>
          <w:spacing w:val="-24"/>
        </w:rPr>
        <w:t> </w:t>
      </w:r>
      <w:r>
        <w:rPr/>
        <w:t>in</w:t>
      </w:r>
      <w:r>
        <w:rPr>
          <w:spacing w:val="-24"/>
        </w:rPr>
        <w:t> </w:t>
      </w:r>
      <w:r>
        <w:rPr/>
        <w:t>the Clinical</w:t>
      </w:r>
      <w:r>
        <w:rPr>
          <w:spacing w:val="-35"/>
        </w:rPr>
        <w:t> </w:t>
      </w:r>
      <w:r>
        <w:rPr/>
        <w:t>Practice</w:t>
      </w:r>
      <w:r>
        <w:rPr>
          <w:spacing w:val="-35"/>
        </w:rPr>
        <w:t> </w:t>
      </w:r>
      <w:r>
        <w:rPr/>
        <w:t>Units.</w:t>
      </w:r>
    </w:p>
    <w:p>
      <w:pPr>
        <w:pStyle w:val="BodyText"/>
        <w:rPr>
          <w:sz w:val="14"/>
        </w:rPr>
      </w:pPr>
    </w:p>
    <w:p>
      <w:pPr>
        <w:pStyle w:val="BodyText"/>
        <w:spacing w:line="249" w:lineRule="auto"/>
        <w:ind w:left="107" w:right="-8"/>
      </w:pPr>
      <w:r>
        <w:rPr>
          <w:spacing w:val="2"/>
        </w:rPr>
        <w:t>SoNM </w:t>
      </w:r>
      <w:r>
        <w:rPr/>
        <w:t>appointed Dr Stacy Blythe as liaison officer</w:t>
      </w:r>
      <w:r>
        <w:rPr>
          <w:spacing w:val="-19"/>
        </w:rPr>
        <w:t> </w:t>
      </w:r>
      <w:r>
        <w:rPr/>
        <w:t>for</w:t>
      </w:r>
      <w:r>
        <w:rPr>
          <w:spacing w:val="-19"/>
        </w:rPr>
        <w:t> </w:t>
      </w:r>
      <w:r>
        <w:rPr/>
        <w:t>Aboriginal</w:t>
      </w:r>
      <w:r>
        <w:rPr>
          <w:spacing w:val="-19"/>
        </w:rPr>
        <w:t> </w:t>
      </w:r>
      <w:r>
        <w:rPr/>
        <w:t>and</w:t>
      </w:r>
      <w:r>
        <w:rPr>
          <w:spacing w:val="-19"/>
        </w:rPr>
        <w:t> </w:t>
      </w:r>
      <w:r>
        <w:rPr/>
        <w:t>Torres</w:t>
      </w:r>
      <w:r>
        <w:rPr>
          <w:spacing w:val="-19"/>
        </w:rPr>
        <w:t> </w:t>
      </w:r>
      <w:r>
        <w:rPr/>
        <w:t>Strait</w:t>
      </w:r>
      <w:r>
        <w:rPr>
          <w:spacing w:val="-19"/>
        </w:rPr>
        <w:t> </w:t>
      </w:r>
      <w:r>
        <w:rPr/>
        <w:t>Islander students. Dr Blythe attended the Congress of Aboriginal and Torres Strait Islander Nurses </w:t>
      </w:r>
      <w:r>
        <w:rPr>
          <w:spacing w:val="1"/>
          <w:w w:val="97"/>
        </w:rPr>
        <w:t>and</w:t>
      </w:r>
      <w:r>
        <w:rPr>
          <w:w w:val="97"/>
        </w:rPr>
        <w:t> </w:t>
      </w:r>
      <w:r>
        <w:rPr>
          <w:w w:val="98"/>
        </w:rPr>
        <w:t>Midwives </w:t>
      </w:r>
      <w:r>
        <w:rPr>
          <w:w w:val="95"/>
        </w:rPr>
        <w:t>(CATSINaM) </w:t>
      </w:r>
      <w:r>
        <w:rPr>
          <w:spacing w:val="1"/>
          <w:w w:val="88"/>
        </w:rPr>
        <w:t>2015</w:t>
      </w:r>
      <w:r>
        <w:rPr>
          <w:w w:val="88"/>
        </w:rPr>
        <w:t> </w:t>
      </w:r>
      <w:r>
        <w:rPr>
          <w:w w:val="95"/>
        </w:rPr>
        <w:t>conference, </w:t>
      </w:r>
      <w:r>
        <w:rPr/>
        <w:t>which brought together experienced nurses and midwives, clinicians, educators, policy makers and administrators from across the nation. The School has engaged with the Badanami Centre for Indigenous Education and Indigenous students, encouraging students</w:t>
      </w:r>
      <w:r>
        <w:rPr>
          <w:spacing w:val="-14"/>
        </w:rPr>
        <w:t> </w:t>
      </w:r>
      <w:r>
        <w:rPr/>
        <w:t>to</w:t>
      </w:r>
      <w:r>
        <w:rPr>
          <w:spacing w:val="-14"/>
        </w:rPr>
        <w:t> </w:t>
      </w:r>
      <w:r>
        <w:rPr/>
        <w:t>participate</w:t>
      </w:r>
      <w:r>
        <w:rPr>
          <w:spacing w:val="-14"/>
        </w:rPr>
        <w:t> </w:t>
      </w:r>
      <w:r>
        <w:rPr/>
        <w:t>in</w:t>
      </w:r>
      <w:r>
        <w:rPr>
          <w:spacing w:val="-14"/>
        </w:rPr>
        <w:t> </w:t>
      </w:r>
      <w:r>
        <w:rPr/>
        <w:t>peer</w:t>
      </w:r>
      <w:r>
        <w:rPr>
          <w:spacing w:val="-14"/>
        </w:rPr>
        <w:t> </w:t>
      </w:r>
      <w:r>
        <w:rPr/>
        <w:t>mentoring</w:t>
      </w:r>
      <w:r>
        <w:rPr>
          <w:spacing w:val="-14"/>
        </w:rPr>
        <w:t> </w:t>
      </w:r>
      <w:r>
        <w:rPr/>
        <w:t>and to</w:t>
      </w:r>
      <w:r>
        <w:rPr>
          <w:spacing w:val="-15"/>
        </w:rPr>
        <w:t> </w:t>
      </w:r>
      <w:r>
        <w:rPr/>
        <w:t>apply</w:t>
      </w:r>
      <w:r>
        <w:rPr>
          <w:spacing w:val="-15"/>
        </w:rPr>
        <w:t> </w:t>
      </w:r>
      <w:r>
        <w:rPr/>
        <w:t>for</w:t>
      </w:r>
      <w:r>
        <w:rPr>
          <w:spacing w:val="-15"/>
        </w:rPr>
        <w:t> </w:t>
      </w:r>
      <w:r>
        <w:rPr/>
        <w:t>cadetships</w:t>
      </w:r>
      <w:r>
        <w:rPr>
          <w:spacing w:val="-15"/>
        </w:rPr>
        <w:t> </w:t>
      </w:r>
      <w:r>
        <w:rPr/>
        <w:t>and</w:t>
      </w:r>
      <w:r>
        <w:rPr>
          <w:spacing w:val="-15"/>
        </w:rPr>
        <w:t> </w:t>
      </w:r>
      <w:r>
        <w:rPr/>
        <w:t>scholarships.</w:t>
      </w:r>
    </w:p>
    <w:p>
      <w:pPr>
        <w:pStyle w:val="BodyText"/>
        <w:rPr>
          <w:sz w:val="14"/>
        </w:rPr>
      </w:pPr>
    </w:p>
    <w:p>
      <w:pPr>
        <w:pStyle w:val="BodyText"/>
        <w:spacing w:line="249" w:lineRule="auto"/>
        <w:ind w:left="107" w:right="163"/>
      </w:pPr>
      <w:r>
        <w:rPr/>
        <w:t>Internationally, the School continues its long-term relationship with Hong Kong Baptist</w:t>
      </w:r>
      <w:r>
        <w:rPr>
          <w:spacing w:val="-12"/>
        </w:rPr>
        <w:t> </w:t>
      </w:r>
      <w:r>
        <w:rPr/>
        <w:t>University</w:t>
      </w:r>
      <w:r>
        <w:rPr>
          <w:spacing w:val="-12"/>
        </w:rPr>
        <w:t> </w:t>
      </w:r>
      <w:r>
        <w:rPr/>
        <w:t>and</w:t>
      </w:r>
      <w:r>
        <w:rPr>
          <w:spacing w:val="-12"/>
        </w:rPr>
        <w:t> </w:t>
      </w:r>
      <w:r>
        <w:rPr/>
        <w:t>Huazhong</w:t>
      </w:r>
      <w:r>
        <w:rPr>
          <w:spacing w:val="-12"/>
        </w:rPr>
        <w:t> </w:t>
      </w:r>
      <w:r>
        <w:rPr/>
        <w:t>University of</w:t>
      </w:r>
      <w:r>
        <w:rPr>
          <w:spacing w:val="-20"/>
        </w:rPr>
        <w:t> </w:t>
      </w:r>
      <w:r>
        <w:rPr/>
        <w:t>Science</w:t>
      </w:r>
      <w:r>
        <w:rPr>
          <w:spacing w:val="-20"/>
        </w:rPr>
        <w:t> </w:t>
      </w:r>
      <w:r>
        <w:rPr/>
        <w:t>and</w:t>
      </w:r>
      <w:r>
        <w:rPr>
          <w:spacing w:val="-20"/>
        </w:rPr>
        <w:t> </w:t>
      </w:r>
      <w:r>
        <w:rPr/>
        <w:t>Technology</w:t>
      </w:r>
      <w:r>
        <w:rPr>
          <w:spacing w:val="-20"/>
        </w:rPr>
        <w:t> </w:t>
      </w:r>
      <w:r>
        <w:rPr>
          <w:spacing w:val="3"/>
        </w:rPr>
        <w:t>(HUST)</w:t>
      </w:r>
      <w:r>
        <w:rPr>
          <w:spacing w:val="-20"/>
        </w:rPr>
        <w:t> </w:t>
      </w:r>
      <w:r>
        <w:rPr/>
        <w:t>in</w:t>
      </w:r>
      <w:r>
        <w:rPr>
          <w:spacing w:val="-20"/>
        </w:rPr>
        <w:t> </w:t>
      </w:r>
      <w:r>
        <w:rPr/>
        <w:t>China, and</w:t>
      </w:r>
      <w:r>
        <w:rPr>
          <w:spacing w:val="-20"/>
        </w:rPr>
        <w:t> </w:t>
      </w:r>
      <w:r>
        <w:rPr/>
        <w:t>has</w:t>
      </w:r>
      <w:r>
        <w:rPr>
          <w:spacing w:val="-20"/>
        </w:rPr>
        <w:t> </w:t>
      </w:r>
      <w:r>
        <w:rPr/>
        <w:t>established</w:t>
      </w:r>
      <w:r>
        <w:rPr>
          <w:spacing w:val="-20"/>
        </w:rPr>
        <w:t> </w:t>
      </w:r>
      <w:r>
        <w:rPr/>
        <w:t>new</w:t>
      </w:r>
      <w:r>
        <w:rPr>
          <w:spacing w:val="-20"/>
        </w:rPr>
        <w:t> </w:t>
      </w:r>
      <w:r>
        <w:rPr/>
        <w:t>relationships</w:t>
      </w:r>
      <w:r>
        <w:rPr>
          <w:spacing w:val="-20"/>
        </w:rPr>
        <w:t> </w:t>
      </w:r>
      <w:r>
        <w:rPr/>
        <w:t>in</w:t>
      </w:r>
    </w:p>
    <w:p>
      <w:pPr>
        <w:pStyle w:val="BodyText"/>
        <w:spacing w:before="2"/>
        <w:rPr>
          <w:sz w:val="20"/>
        </w:rPr>
      </w:pPr>
      <w:r>
        <w:rPr/>
        <w:br w:type="column"/>
      </w:r>
      <w:r>
        <w:rPr>
          <w:sz w:val="20"/>
        </w:rPr>
      </w:r>
    </w:p>
    <w:p>
      <w:pPr>
        <w:pStyle w:val="BodyText"/>
        <w:spacing w:line="249" w:lineRule="auto"/>
        <w:ind w:left="107" w:right="-5"/>
      </w:pPr>
      <w:r>
        <w:rPr/>
        <w:t>both Singapore and </w:t>
      </w:r>
      <w:r>
        <w:rPr>
          <w:spacing w:val="2"/>
        </w:rPr>
        <w:t>Macau. </w:t>
      </w:r>
      <w:r>
        <w:rPr/>
        <w:t>The School has strengthened and expanded its international reach,</w:t>
      </w:r>
      <w:r>
        <w:rPr>
          <w:spacing w:val="-16"/>
        </w:rPr>
        <w:t> </w:t>
      </w:r>
      <w:r>
        <w:rPr/>
        <w:t>hosting</w:t>
      </w:r>
      <w:r>
        <w:rPr>
          <w:spacing w:val="-16"/>
        </w:rPr>
        <w:t> </w:t>
      </w:r>
      <w:r>
        <w:rPr/>
        <w:t>a</w:t>
      </w:r>
      <w:r>
        <w:rPr>
          <w:spacing w:val="-16"/>
        </w:rPr>
        <w:t> </w:t>
      </w:r>
      <w:r>
        <w:rPr/>
        <w:t>number</w:t>
      </w:r>
      <w:r>
        <w:rPr>
          <w:spacing w:val="-16"/>
        </w:rPr>
        <w:t> </w:t>
      </w:r>
      <w:r>
        <w:rPr/>
        <w:t>of</w:t>
      </w:r>
      <w:r>
        <w:rPr>
          <w:spacing w:val="-16"/>
        </w:rPr>
        <w:t> </w:t>
      </w:r>
      <w:r>
        <w:rPr/>
        <w:t>visiting</w:t>
      </w:r>
      <w:r>
        <w:rPr>
          <w:spacing w:val="-16"/>
        </w:rPr>
        <w:t> </w:t>
      </w:r>
      <w:r>
        <w:rPr/>
        <w:t>academics from</w:t>
      </w:r>
      <w:r>
        <w:rPr>
          <w:spacing w:val="-33"/>
        </w:rPr>
        <w:t> </w:t>
      </w:r>
      <w:r>
        <w:rPr/>
        <w:t>the</w:t>
      </w:r>
      <w:r>
        <w:rPr>
          <w:spacing w:val="-33"/>
        </w:rPr>
        <w:t> </w:t>
      </w:r>
      <w:r>
        <w:rPr>
          <w:spacing w:val="3"/>
        </w:rPr>
        <w:t>UK,</w:t>
      </w:r>
      <w:r>
        <w:rPr>
          <w:spacing w:val="-33"/>
        </w:rPr>
        <w:t> </w:t>
      </w:r>
      <w:r>
        <w:rPr/>
        <w:t>China,</w:t>
      </w:r>
      <w:r>
        <w:rPr>
          <w:spacing w:val="-33"/>
        </w:rPr>
        <w:t> </w:t>
      </w:r>
      <w:r>
        <w:rPr/>
        <w:t>Slovenia,</w:t>
      </w:r>
      <w:r>
        <w:rPr>
          <w:spacing w:val="-33"/>
        </w:rPr>
        <w:t> </w:t>
      </w:r>
      <w:r>
        <w:rPr/>
        <w:t>Taiwan,</w:t>
      </w:r>
      <w:r>
        <w:rPr>
          <w:spacing w:val="-33"/>
        </w:rPr>
        <w:t> </w:t>
      </w:r>
      <w:r>
        <w:rPr/>
        <w:t>Thailand, Saudi Arabia and Jordan. The Philippines Consul</w:t>
      </w:r>
      <w:r>
        <w:rPr>
          <w:spacing w:val="-14"/>
        </w:rPr>
        <w:t> </w:t>
      </w:r>
      <w:r>
        <w:rPr/>
        <w:t>General</w:t>
      </w:r>
      <w:r>
        <w:rPr>
          <w:spacing w:val="-14"/>
        </w:rPr>
        <w:t> </w:t>
      </w:r>
      <w:r>
        <w:rPr/>
        <w:t>addressed</w:t>
      </w:r>
      <w:r>
        <w:rPr>
          <w:spacing w:val="-14"/>
        </w:rPr>
        <w:t> </w:t>
      </w:r>
      <w:r>
        <w:rPr/>
        <w:t>Filipino</w:t>
      </w:r>
      <w:r>
        <w:rPr>
          <w:spacing w:val="-14"/>
        </w:rPr>
        <w:t> </w:t>
      </w:r>
      <w:r>
        <w:rPr/>
        <w:t>students</w:t>
      </w:r>
    </w:p>
    <w:p>
      <w:pPr>
        <w:pStyle w:val="BodyText"/>
        <w:spacing w:line="247" w:lineRule="auto"/>
        <w:ind w:left="107"/>
      </w:pPr>
      <w:r>
        <w:rPr/>
        <w:t>as</w:t>
      </w:r>
      <w:r>
        <w:rPr>
          <w:spacing w:val="-27"/>
        </w:rPr>
        <w:t> </w:t>
      </w:r>
      <w:r>
        <w:rPr>
          <w:spacing w:val="2"/>
        </w:rPr>
        <w:t>part</w:t>
      </w:r>
      <w:r>
        <w:rPr>
          <w:spacing w:val="-27"/>
        </w:rPr>
        <w:t> </w:t>
      </w:r>
      <w:r>
        <w:rPr/>
        <w:t>of</w:t>
      </w:r>
      <w:r>
        <w:rPr>
          <w:spacing w:val="-27"/>
        </w:rPr>
        <w:t> </w:t>
      </w:r>
      <w:r>
        <w:rPr/>
        <w:t>the</w:t>
      </w:r>
      <w:r>
        <w:rPr>
          <w:spacing w:val="-27"/>
        </w:rPr>
        <w:t> </w:t>
      </w:r>
      <w:r>
        <w:rPr>
          <w:rFonts w:ascii="Century Gothic" w:hAnsi="Century Gothic"/>
          <w:i/>
        </w:rPr>
        <w:t>Reach</w:t>
      </w:r>
      <w:r>
        <w:rPr>
          <w:rFonts w:ascii="Century Gothic" w:hAnsi="Century Gothic"/>
          <w:i/>
          <w:spacing w:val="-22"/>
        </w:rPr>
        <w:t> </w:t>
      </w:r>
      <w:r>
        <w:rPr>
          <w:rFonts w:ascii="Century Gothic" w:hAnsi="Century Gothic"/>
          <w:i/>
        </w:rPr>
        <w:t>Out</w:t>
      </w:r>
      <w:r>
        <w:rPr>
          <w:rFonts w:ascii="Century Gothic" w:hAnsi="Century Gothic"/>
          <w:i/>
          <w:spacing w:val="-22"/>
        </w:rPr>
        <w:t> </w:t>
      </w:r>
      <w:r>
        <w:rPr/>
        <w:t>program,</w:t>
      </w:r>
      <w:r>
        <w:rPr>
          <w:spacing w:val="-27"/>
        </w:rPr>
        <w:t> </w:t>
      </w:r>
      <w:r>
        <w:rPr/>
        <w:t>discussing consular</w:t>
      </w:r>
      <w:r>
        <w:rPr>
          <w:spacing w:val="-17"/>
        </w:rPr>
        <w:t> </w:t>
      </w:r>
      <w:r>
        <w:rPr/>
        <w:t>issues</w:t>
      </w:r>
      <w:r>
        <w:rPr>
          <w:spacing w:val="-17"/>
        </w:rPr>
        <w:t> </w:t>
      </w:r>
      <w:r>
        <w:rPr/>
        <w:t>and</w:t>
      </w:r>
      <w:r>
        <w:rPr>
          <w:spacing w:val="-17"/>
        </w:rPr>
        <w:t> </w:t>
      </w:r>
      <w:r>
        <w:rPr/>
        <w:t>support</w:t>
      </w:r>
      <w:r>
        <w:rPr>
          <w:spacing w:val="-17"/>
        </w:rPr>
        <w:t> </w:t>
      </w:r>
      <w:r>
        <w:rPr/>
        <w:t>available</w:t>
      </w:r>
      <w:r>
        <w:rPr>
          <w:spacing w:val="-17"/>
        </w:rPr>
        <w:t> </w:t>
      </w:r>
      <w:r>
        <w:rPr/>
        <w:t>from</w:t>
      </w:r>
      <w:r>
        <w:rPr>
          <w:spacing w:val="-17"/>
        </w:rPr>
        <w:t> </w:t>
      </w:r>
      <w:r>
        <w:rPr/>
        <w:t>the Filipino students’</w:t>
      </w:r>
      <w:r>
        <w:rPr>
          <w:spacing w:val="-37"/>
        </w:rPr>
        <w:t> </w:t>
      </w:r>
      <w:r>
        <w:rPr/>
        <w:t>association.</w:t>
      </w:r>
    </w:p>
    <w:p>
      <w:pPr>
        <w:pStyle w:val="BodyText"/>
        <w:spacing w:before="1"/>
        <w:rPr>
          <w:sz w:val="14"/>
        </w:rPr>
      </w:pPr>
    </w:p>
    <w:p>
      <w:pPr>
        <w:spacing w:line="244" w:lineRule="auto" w:before="0"/>
        <w:ind w:left="107" w:right="23" w:firstLine="0"/>
        <w:jc w:val="left"/>
        <w:rPr>
          <w:sz w:val="16"/>
        </w:rPr>
      </w:pPr>
      <w:r>
        <w:rPr>
          <w:sz w:val="16"/>
        </w:rPr>
        <w:t>The</w:t>
      </w:r>
      <w:r>
        <w:rPr>
          <w:spacing w:val="-37"/>
          <w:sz w:val="16"/>
        </w:rPr>
        <w:t> </w:t>
      </w:r>
      <w:r>
        <w:rPr>
          <w:sz w:val="16"/>
        </w:rPr>
        <w:t>annual</w:t>
      </w:r>
      <w:r>
        <w:rPr>
          <w:spacing w:val="-37"/>
          <w:sz w:val="16"/>
        </w:rPr>
        <w:t> </w:t>
      </w:r>
      <w:r>
        <w:rPr>
          <w:rFonts w:ascii="Century Gothic"/>
          <w:i/>
          <w:sz w:val="16"/>
        </w:rPr>
        <w:t>Making</w:t>
      </w:r>
      <w:r>
        <w:rPr>
          <w:rFonts w:ascii="Century Gothic"/>
          <w:i/>
          <w:spacing w:val="-32"/>
          <w:sz w:val="16"/>
        </w:rPr>
        <w:t> </w:t>
      </w:r>
      <w:r>
        <w:rPr>
          <w:rFonts w:ascii="Century Gothic"/>
          <w:i/>
          <w:sz w:val="16"/>
        </w:rPr>
        <w:t>the</w:t>
      </w:r>
      <w:r>
        <w:rPr>
          <w:rFonts w:ascii="Century Gothic"/>
          <w:i/>
          <w:spacing w:val="-32"/>
          <w:sz w:val="16"/>
        </w:rPr>
        <w:t> </w:t>
      </w:r>
      <w:r>
        <w:rPr>
          <w:rFonts w:ascii="Century Gothic"/>
          <w:i/>
          <w:sz w:val="16"/>
        </w:rPr>
        <w:t>Difference</w:t>
      </w:r>
      <w:r>
        <w:rPr>
          <w:rFonts w:ascii="Century Gothic"/>
          <w:i/>
          <w:spacing w:val="-32"/>
          <w:sz w:val="16"/>
        </w:rPr>
        <w:t> </w:t>
      </w:r>
      <w:r>
        <w:rPr>
          <w:rFonts w:ascii="Century Gothic"/>
          <w:i/>
          <w:sz w:val="16"/>
        </w:rPr>
        <w:t>in</w:t>
      </w:r>
      <w:r>
        <w:rPr>
          <w:rFonts w:ascii="Century Gothic"/>
          <w:i/>
          <w:spacing w:val="-32"/>
          <w:sz w:val="16"/>
        </w:rPr>
        <w:t> </w:t>
      </w:r>
      <w:r>
        <w:rPr>
          <w:rFonts w:ascii="Century Gothic"/>
          <w:i/>
          <w:sz w:val="16"/>
        </w:rPr>
        <w:t>Health </w:t>
      </w:r>
      <w:r>
        <w:rPr>
          <w:rFonts w:ascii="Century Gothic"/>
          <w:i/>
          <w:sz w:val="16"/>
        </w:rPr>
        <w:t>Care</w:t>
      </w:r>
      <w:r>
        <w:rPr>
          <w:rFonts w:ascii="Century Gothic"/>
          <w:i/>
          <w:spacing w:val="-20"/>
          <w:sz w:val="16"/>
        </w:rPr>
        <w:t> </w:t>
      </w:r>
      <w:r>
        <w:rPr>
          <w:sz w:val="16"/>
        </w:rPr>
        <w:t>forum,</w:t>
      </w:r>
      <w:r>
        <w:rPr>
          <w:spacing w:val="-26"/>
          <w:sz w:val="16"/>
        </w:rPr>
        <w:t> </w:t>
      </w:r>
      <w:r>
        <w:rPr>
          <w:sz w:val="16"/>
        </w:rPr>
        <w:t>held</w:t>
      </w:r>
      <w:r>
        <w:rPr>
          <w:spacing w:val="-26"/>
          <w:sz w:val="16"/>
        </w:rPr>
        <w:t> </w:t>
      </w:r>
      <w:r>
        <w:rPr>
          <w:sz w:val="16"/>
        </w:rPr>
        <w:t>in</w:t>
      </w:r>
      <w:r>
        <w:rPr>
          <w:spacing w:val="-26"/>
          <w:sz w:val="16"/>
        </w:rPr>
        <w:t> </w:t>
      </w:r>
      <w:r>
        <w:rPr>
          <w:sz w:val="16"/>
        </w:rPr>
        <w:t>the</w:t>
      </w:r>
      <w:r>
        <w:rPr>
          <w:spacing w:val="-26"/>
          <w:sz w:val="16"/>
        </w:rPr>
        <w:t> </w:t>
      </w:r>
      <w:r>
        <w:rPr>
          <w:sz w:val="16"/>
        </w:rPr>
        <w:t>Female</w:t>
      </w:r>
      <w:r>
        <w:rPr>
          <w:spacing w:val="-26"/>
          <w:sz w:val="16"/>
        </w:rPr>
        <w:t> </w:t>
      </w:r>
      <w:r>
        <w:rPr>
          <w:sz w:val="16"/>
        </w:rPr>
        <w:t>Orphan</w:t>
      </w:r>
      <w:r>
        <w:rPr>
          <w:spacing w:val="-26"/>
          <w:sz w:val="16"/>
        </w:rPr>
        <w:t> </w:t>
      </w:r>
      <w:r>
        <w:rPr>
          <w:sz w:val="16"/>
        </w:rPr>
        <w:t>School at</w:t>
      </w:r>
      <w:r>
        <w:rPr>
          <w:spacing w:val="-18"/>
          <w:sz w:val="16"/>
        </w:rPr>
        <w:t> </w:t>
      </w:r>
      <w:r>
        <w:rPr>
          <w:sz w:val="16"/>
        </w:rPr>
        <w:t>Parramatta,</w:t>
      </w:r>
      <w:r>
        <w:rPr>
          <w:spacing w:val="-18"/>
          <w:sz w:val="16"/>
        </w:rPr>
        <w:t> </w:t>
      </w:r>
      <w:r>
        <w:rPr>
          <w:sz w:val="16"/>
        </w:rPr>
        <w:t>attracted</w:t>
      </w:r>
      <w:r>
        <w:rPr>
          <w:spacing w:val="-18"/>
          <w:sz w:val="16"/>
        </w:rPr>
        <w:t> </w:t>
      </w:r>
      <w:r>
        <w:rPr>
          <w:sz w:val="16"/>
        </w:rPr>
        <w:t>senior</w:t>
      </w:r>
      <w:r>
        <w:rPr>
          <w:spacing w:val="-18"/>
          <w:sz w:val="16"/>
        </w:rPr>
        <w:t> </w:t>
      </w:r>
      <w:r>
        <w:rPr>
          <w:sz w:val="16"/>
        </w:rPr>
        <w:t>clinicians</w:t>
      </w:r>
    </w:p>
    <w:p>
      <w:pPr>
        <w:pStyle w:val="BodyText"/>
        <w:spacing w:line="249" w:lineRule="auto" w:before="3"/>
        <w:ind w:left="107" w:right="223"/>
      </w:pPr>
      <w:r>
        <w:rPr/>
        <w:t>and</w:t>
      </w:r>
      <w:r>
        <w:rPr>
          <w:spacing w:val="-15"/>
        </w:rPr>
        <w:t> </w:t>
      </w:r>
      <w:r>
        <w:rPr/>
        <w:t>administrators</w:t>
      </w:r>
      <w:r>
        <w:rPr>
          <w:spacing w:val="-15"/>
        </w:rPr>
        <w:t> </w:t>
      </w:r>
      <w:r>
        <w:rPr/>
        <w:t>from</w:t>
      </w:r>
      <w:r>
        <w:rPr>
          <w:spacing w:val="-15"/>
        </w:rPr>
        <w:t> </w:t>
      </w:r>
      <w:r>
        <w:rPr/>
        <w:t>public</w:t>
      </w:r>
      <w:r>
        <w:rPr>
          <w:spacing w:val="-15"/>
        </w:rPr>
        <w:t> </w:t>
      </w:r>
      <w:r>
        <w:rPr/>
        <w:t>and</w:t>
      </w:r>
      <w:r>
        <w:rPr>
          <w:spacing w:val="-15"/>
        </w:rPr>
        <w:t> </w:t>
      </w:r>
      <w:r>
        <w:rPr/>
        <w:t>private health facilities. </w:t>
      </w:r>
      <w:r>
        <w:rPr>
          <w:spacing w:val="2"/>
        </w:rPr>
        <w:t>Guest </w:t>
      </w:r>
      <w:r>
        <w:rPr/>
        <w:t>speaker Professor Debora</w:t>
      </w:r>
      <w:r>
        <w:rPr>
          <w:spacing w:val="-16"/>
        </w:rPr>
        <w:t> </w:t>
      </w:r>
      <w:r>
        <w:rPr/>
        <w:t>Picone,</w:t>
      </w:r>
      <w:r>
        <w:rPr>
          <w:spacing w:val="-16"/>
        </w:rPr>
        <w:t> </w:t>
      </w:r>
      <w:r>
        <w:rPr>
          <w:spacing w:val="2"/>
        </w:rPr>
        <w:t>AM,</w:t>
      </w:r>
      <w:r>
        <w:rPr>
          <w:spacing w:val="-16"/>
        </w:rPr>
        <w:t> </w:t>
      </w:r>
      <w:r>
        <w:rPr/>
        <w:t>Chief</w:t>
      </w:r>
      <w:r>
        <w:rPr>
          <w:spacing w:val="-16"/>
        </w:rPr>
        <w:t> </w:t>
      </w:r>
      <w:r>
        <w:rPr/>
        <w:t>Executive</w:t>
      </w:r>
      <w:r>
        <w:rPr>
          <w:spacing w:val="-16"/>
        </w:rPr>
        <w:t> </w:t>
      </w:r>
      <w:r>
        <w:rPr/>
        <w:t>Officer (CEO) of the Australian Commission on Safety and Quality in Health Care, spoke on the importance of leadership for safety and quality in health care. The event also showcased the strength of the School’s current</w:t>
      </w:r>
      <w:r>
        <w:rPr>
          <w:spacing w:val="-18"/>
        </w:rPr>
        <w:t> </w:t>
      </w:r>
      <w:r>
        <w:rPr/>
        <w:t>research</w:t>
      </w:r>
      <w:r>
        <w:rPr>
          <w:spacing w:val="-18"/>
        </w:rPr>
        <w:t> </w:t>
      </w:r>
      <w:r>
        <w:rPr/>
        <w:t>and</w:t>
      </w:r>
      <w:r>
        <w:rPr>
          <w:spacing w:val="-18"/>
        </w:rPr>
        <w:t> </w:t>
      </w:r>
      <w:r>
        <w:rPr/>
        <w:t>facilitated</w:t>
      </w:r>
      <w:r>
        <w:rPr>
          <w:spacing w:val="-18"/>
        </w:rPr>
        <w:t> </w:t>
      </w:r>
      <w:r>
        <w:rPr/>
        <w:t>networking across</w:t>
      </w:r>
      <w:r>
        <w:rPr>
          <w:spacing w:val="-29"/>
        </w:rPr>
        <w:t> </w:t>
      </w:r>
      <w:r>
        <w:rPr/>
        <w:t>health</w:t>
      </w:r>
      <w:r>
        <w:rPr>
          <w:spacing w:val="-29"/>
        </w:rPr>
        <w:t> </w:t>
      </w:r>
      <w:r>
        <w:rPr/>
        <w:t>facilities.</w:t>
      </w:r>
    </w:p>
    <w:p>
      <w:pPr>
        <w:pStyle w:val="BodyText"/>
        <w:rPr>
          <w:sz w:val="14"/>
        </w:rPr>
      </w:pPr>
    </w:p>
    <w:p>
      <w:pPr>
        <w:pStyle w:val="BodyText"/>
        <w:spacing w:line="249" w:lineRule="auto"/>
        <w:ind w:left="107"/>
      </w:pPr>
      <w:r>
        <w:rPr/>
        <w:t>SoNM’s one-day conference, Leadership for </w:t>
      </w:r>
      <w:r>
        <w:rPr>
          <w:spacing w:val="1"/>
          <w:w w:val="97"/>
        </w:rPr>
        <w:t>Nursing</w:t>
      </w:r>
      <w:r>
        <w:rPr>
          <w:w w:val="97"/>
        </w:rPr>
        <w:t> </w:t>
      </w:r>
      <w:r>
        <w:rPr>
          <w:spacing w:val="1"/>
          <w:w w:val="97"/>
        </w:rPr>
        <w:t>and</w:t>
      </w:r>
      <w:r>
        <w:rPr>
          <w:w w:val="97"/>
        </w:rPr>
        <w:t> </w:t>
      </w:r>
      <w:r>
        <w:rPr>
          <w:spacing w:val="1"/>
          <w:w w:val="98"/>
        </w:rPr>
        <w:t>Midwifery</w:t>
      </w:r>
      <w:r>
        <w:rPr>
          <w:w w:val="98"/>
        </w:rPr>
        <w:t> </w:t>
      </w:r>
      <w:r>
        <w:rPr>
          <w:w w:val="94"/>
        </w:rPr>
        <w:t>Excellence: </w:t>
      </w:r>
      <w:r>
        <w:rPr>
          <w:spacing w:val="1"/>
          <w:w w:val="88"/>
        </w:rPr>
        <w:t>2015</w:t>
      </w:r>
      <w:r>
        <w:rPr>
          <w:w w:val="88"/>
        </w:rPr>
        <w:t> </w:t>
      </w:r>
      <w:r>
        <w:rPr>
          <w:spacing w:val="1"/>
          <w:w w:val="97"/>
        </w:rPr>
        <w:t>and</w:t>
      </w:r>
      <w:r>
        <w:rPr>
          <w:w w:val="97"/>
        </w:rPr>
        <w:t> </w:t>
      </w:r>
      <w:r>
        <w:rPr>
          <w:spacing w:val="1"/>
          <w:w w:val="95"/>
        </w:rPr>
        <w:t>beyond,</w:t>
      </w:r>
      <w:r>
        <w:rPr>
          <w:w w:val="95"/>
        </w:rPr>
        <w:t> </w:t>
      </w:r>
      <w:r>
        <w:rPr>
          <w:spacing w:val="1"/>
          <w:w w:val="99"/>
        </w:rPr>
        <w:t>attracted</w:t>
      </w:r>
      <w:r>
        <w:rPr>
          <w:w w:val="99"/>
        </w:rPr>
        <w:t> </w:t>
      </w:r>
      <w:r>
        <w:rPr>
          <w:spacing w:val="1"/>
          <w:w w:val="86"/>
        </w:rPr>
        <w:t>150</w:t>
      </w:r>
      <w:r>
        <w:rPr>
          <w:w w:val="86"/>
        </w:rPr>
        <w:t> </w:t>
      </w:r>
      <w:r>
        <w:rPr>
          <w:spacing w:val="1"/>
          <w:w w:val="96"/>
        </w:rPr>
        <w:t>nursing</w:t>
      </w:r>
      <w:r>
        <w:rPr>
          <w:w w:val="96"/>
        </w:rPr>
        <w:t> </w:t>
      </w:r>
      <w:r>
        <w:rPr>
          <w:spacing w:val="1"/>
          <w:w w:val="94"/>
        </w:rPr>
        <w:t>professionals.</w:t>
      </w:r>
      <w:r>
        <w:rPr>
          <w:w w:val="94"/>
        </w:rPr>
        <w:t> </w:t>
      </w:r>
      <w:r>
        <w:rPr/>
        <w:t>Eight highly respected national and international</w:t>
      </w:r>
      <w:r>
        <w:rPr>
          <w:spacing w:val="-26"/>
        </w:rPr>
        <w:t> </w:t>
      </w:r>
      <w:r>
        <w:rPr/>
        <w:t>leaders</w:t>
      </w:r>
      <w:r>
        <w:rPr>
          <w:spacing w:val="-26"/>
        </w:rPr>
        <w:t> </w:t>
      </w:r>
      <w:r>
        <w:rPr/>
        <w:t>gave</w:t>
      </w:r>
      <w:r>
        <w:rPr>
          <w:spacing w:val="-26"/>
        </w:rPr>
        <w:t> </w:t>
      </w:r>
      <w:r>
        <w:rPr/>
        <w:t>keynote</w:t>
      </w:r>
      <w:r>
        <w:rPr>
          <w:spacing w:val="-26"/>
        </w:rPr>
        <w:t> </w:t>
      </w:r>
      <w:r>
        <w:rPr/>
        <w:t>addresses.</w:t>
      </w:r>
    </w:p>
    <w:p>
      <w:pPr>
        <w:pStyle w:val="BodyText"/>
        <w:spacing w:before="11"/>
        <w:rPr>
          <w:sz w:val="13"/>
        </w:rPr>
      </w:pPr>
    </w:p>
    <w:p>
      <w:pPr>
        <w:pStyle w:val="BodyText"/>
        <w:spacing w:line="247" w:lineRule="auto"/>
        <w:ind w:left="333" w:hanging="227"/>
      </w:pPr>
      <w:r>
        <w:rPr>
          <w:rFonts w:ascii="Century Gothic" w:hAnsi="Century Gothic"/>
          <w:b/>
          <w:w w:val="115"/>
        </w:rPr>
        <w:t>≥ </w:t>
      </w:r>
      <w:r>
        <w:rPr/>
        <w:t>Professor Jo </w:t>
      </w:r>
      <w:r>
        <w:rPr>
          <w:spacing w:val="-3"/>
        </w:rPr>
        <w:t>Walton </w:t>
      </w:r>
      <w:r>
        <w:rPr/>
        <w:t>from the Graduate School of Nursing, Midwifery and Health, Victoria</w:t>
      </w:r>
      <w:r>
        <w:rPr>
          <w:spacing w:val="-38"/>
        </w:rPr>
        <w:t> </w:t>
      </w:r>
      <w:r>
        <w:rPr>
          <w:spacing w:val="-3"/>
        </w:rPr>
        <w:t>University,</w:t>
      </w:r>
      <w:r>
        <w:rPr>
          <w:spacing w:val="-38"/>
        </w:rPr>
        <w:t> </w:t>
      </w:r>
      <w:r>
        <w:rPr>
          <w:spacing w:val="-3"/>
        </w:rPr>
        <w:t>Wellington,</w:t>
      </w:r>
      <w:r>
        <w:rPr>
          <w:spacing w:val="-38"/>
        </w:rPr>
        <w:t> </w:t>
      </w:r>
      <w:r>
        <w:rPr/>
        <w:t>New</w:t>
      </w:r>
      <w:r>
        <w:rPr>
          <w:spacing w:val="-38"/>
        </w:rPr>
        <w:t> </w:t>
      </w:r>
      <w:r>
        <w:rPr/>
        <w:t>Zealand</w:t>
      </w:r>
    </w:p>
    <w:p>
      <w:pPr>
        <w:pStyle w:val="BodyText"/>
        <w:spacing w:line="244" w:lineRule="auto" w:before="57"/>
        <w:ind w:left="333" w:right="346" w:hanging="227"/>
      </w:pPr>
      <w:r>
        <w:rPr>
          <w:rFonts w:ascii="Century Gothic" w:hAnsi="Century Gothic"/>
          <w:b/>
          <w:w w:val="115"/>
        </w:rPr>
        <w:t>≥</w:t>
      </w:r>
      <w:r>
        <w:rPr>
          <w:rFonts w:ascii="Century Gothic" w:hAnsi="Century Gothic"/>
          <w:b/>
          <w:spacing w:val="13"/>
          <w:w w:val="115"/>
        </w:rPr>
        <w:t> </w:t>
      </w:r>
      <w:r>
        <w:rPr>
          <w:w w:val="105"/>
        </w:rPr>
        <w:t>Ms</w:t>
      </w:r>
      <w:r>
        <w:rPr>
          <w:spacing w:val="-28"/>
          <w:w w:val="105"/>
        </w:rPr>
        <w:t> </w:t>
      </w:r>
      <w:r>
        <w:rPr>
          <w:w w:val="105"/>
        </w:rPr>
        <w:t>Ann</w:t>
      </w:r>
      <w:r>
        <w:rPr>
          <w:spacing w:val="-28"/>
          <w:w w:val="105"/>
        </w:rPr>
        <w:t> </w:t>
      </w:r>
      <w:r>
        <w:rPr>
          <w:w w:val="105"/>
        </w:rPr>
        <w:t>Kinnear,</w:t>
      </w:r>
      <w:r>
        <w:rPr>
          <w:spacing w:val="-28"/>
          <w:w w:val="105"/>
        </w:rPr>
        <w:t> </w:t>
      </w:r>
      <w:r>
        <w:rPr>
          <w:w w:val="105"/>
        </w:rPr>
        <w:t>CEO</w:t>
      </w:r>
      <w:r>
        <w:rPr>
          <w:spacing w:val="-28"/>
          <w:w w:val="105"/>
        </w:rPr>
        <w:t> </w:t>
      </w:r>
      <w:r>
        <w:rPr>
          <w:w w:val="105"/>
        </w:rPr>
        <w:t>of</w:t>
      </w:r>
      <w:r>
        <w:rPr>
          <w:spacing w:val="-28"/>
          <w:w w:val="105"/>
        </w:rPr>
        <w:t> </w:t>
      </w:r>
      <w:r>
        <w:rPr>
          <w:w w:val="105"/>
        </w:rPr>
        <w:t>the</w:t>
      </w:r>
      <w:r>
        <w:rPr>
          <w:spacing w:val="-28"/>
          <w:w w:val="105"/>
        </w:rPr>
        <w:t> </w:t>
      </w:r>
      <w:r>
        <w:rPr>
          <w:w w:val="105"/>
        </w:rPr>
        <w:t>Australian </w:t>
      </w:r>
      <w:r>
        <w:rPr/>
        <w:t>College of</w:t>
      </w:r>
      <w:r>
        <w:rPr>
          <w:spacing w:val="-22"/>
        </w:rPr>
        <w:t> </w:t>
      </w:r>
      <w:r>
        <w:rPr/>
        <w:t>Midwives</w:t>
      </w:r>
    </w:p>
    <w:p>
      <w:pPr>
        <w:pStyle w:val="BodyText"/>
        <w:spacing w:line="244" w:lineRule="auto" w:before="58"/>
        <w:ind w:left="333" w:right="190" w:hanging="227"/>
      </w:pPr>
      <w:r>
        <w:rPr>
          <w:rFonts w:ascii="Century Gothic" w:hAnsi="Century Gothic"/>
          <w:b/>
          <w:w w:val="115"/>
        </w:rPr>
        <w:t>≥  </w:t>
      </w:r>
      <w:r>
        <w:rPr/>
        <w:t>Professor Catherine Hungerford, Head of School of Nursing and Midwifery and</w:t>
      </w:r>
    </w:p>
    <w:p>
      <w:pPr>
        <w:pStyle w:val="BodyText"/>
        <w:spacing w:before="3"/>
        <w:ind w:left="333"/>
      </w:pPr>
      <w:r>
        <w:rPr/>
        <w:t>Indigenous</w:t>
      </w:r>
      <w:r>
        <w:rPr>
          <w:spacing w:val="-24"/>
        </w:rPr>
        <w:t> </w:t>
      </w:r>
      <w:r>
        <w:rPr/>
        <w:t>Health,</w:t>
      </w:r>
      <w:r>
        <w:rPr>
          <w:spacing w:val="-24"/>
        </w:rPr>
        <w:t> </w:t>
      </w:r>
      <w:r>
        <w:rPr/>
        <w:t>Charles</w:t>
      </w:r>
      <w:r>
        <w:rPr>
          <w:spacing w:val="-24"/>
        </w:rPr>
        <w:t> </w:t>
      </w:r>
      <w:r>
        <w:rPr/>
        <w:t>Sturt</w:t>
      </w:r>
      <w:r>
        <w:rPr>
          <w:spacing w:val="-24"/>
        </w:rPr>
        <w:t> </w:t>
      </w:r>
      <w:r>
        <w:rPr/>
        <w:t>University</w:t>
      </w:r>
    </w:p>
    <w:p>
      <w:pPr>
        <w:pStyle w:val="BodyText"/>
        <w:spacing w:line="247" w:lineRule="auto" w:before="62"/>
        <w:ind w:left="333" w:right="-17" w:hanging="227"/>
      </w:pPr>
      <w:r>
        <w:rPr>
          <w:rFonts w:ascii="Century Gothic" w:hAnsi="Century Gothic"/>
          <w:b/>
          <w:w w:val="115"/>
        </w:rPr>
        <w:t>≥ </w:t>
      </w:r>
      <w:r>
        <w:rPr/>
        <w:t>Professor Margaret Fry, Director of Research and Practice Development, Nursing and Midwifery Directorate Northern Sydney Local Health District, Faculty of Health University of Technology</w:t>
      </w:r>
    </w:p>
    <w:p>
      <w:pPr>
        <w:pStyle w:val="BodyText"/>
        <w:spacing w:line="247" w:lineRule="auto" w:before="57"/>
        <w:ind w:left="333" w:right="51" w:hanging="227"/>
      </w:pPr>
      <w:r>
        <w:rPr>
          <w:rFonts w:ascii="Century Gothic" w:hAnsi="Century Gothic"/>
          <w:b/>
          <w:w w:val="115"/>
        </w:rPr>
        <w:t>≥ </w:t>
      </w:r>
      <w:r>
        <w:rPr/>
        <w:t>Professor Lynn Kemp, Professor Deborah Parker, Ms Judy Mannix and Professor Hannah Dahlen, all from Western Sydney University, spoke on:</w:t>
      </w:r>
    </w:p>
    <w:p>
      <w:pPr>
        <w:pStyle w:val="BodyText"/>
        <w:spacing w:line="247" w:lineRule="auto" w:before="57"/>
        <w:ind w:left="560" w:right="89" w:hanging="227"/>
      </w:pPr>
      <w:r>
        <w:rPr>
          <w:rFonts w:ascii="Century Gothic" w:hAnsi="Century Gothic"/>
          <w:b/>
          <w:w w:val="115"/>
        </w:rPr>
        <w:t>≥ </w:t>
      </w:r>
      <w:r>
        <w:rPr/>
        <w:t>Characteristics of leaders: recognising, developing and using your leadership qualities and skills</w:t>
      </w:r>
    </w:p>
    <w:p>
      <w:pPr>
        <w:pStyle w:val="BodyText"/>
        <w:spacing w:line="247" w:lineRule="auto" w:before="57"/>
        <w:ind w:left="560" w:right="149" w:hanging="227"/>
      </w:pPr>
      <w:r>
        <w:rPr>
          <w:rFonts w:ascii="Century Gothic" w:hAnsi="Century Gothic"/>
          <w:b/>
          <w:w w:val="115"/>
        </w:rPr>
        <w:t>≥ </w:t>
      </w:r>
      <w:r>
        <w:rPr/>
        <w:t>Curiosity in practice and education: asking ‘What if?’ to inspire change in practice and education</w:t>
      </w:r>
    </w:p>
    <w:p>
      <w:pPr>
        <w:pStyle w:val="BodyText"/>
        <w:spacing w:before="1"/>
        <w:rPr>
          <w:sz w:val="20"/>
        </w:rPr>
      </w:pPr>
      <w:r>
        <w:rPr/>
        <w:br w:type="column"/>
      </w:r>
      <w:r>
        <w:rPr>
          <w:sz w:val="20"/>
        </w:rPr>
      </w:r>
    </w:p>
    <w:p>
      <w:pPr>
        <w:pStyle w:val="BodyText"/>
        <w:spacing w:line="247" w:lineRule="auto"/>
        <w:ind w:left="560" w:right="112" w:hanging="227"/>
      </w:pPr>
      <w:r>
        <w:rPr>
          <w:rFonts w:ascii="Century Gothic" w:hAnsi="Century Gothic"/>
          <w:b/>
          <w:w w:val="115"/>
        </w:rPr>
        <w:t>≥ </w:t>
      </w:r>
      <w:r>
        <w:rPr/>
        <w:t>Building and leading effective clinical and academic partnerships in practice, education and research</w:t>
      </w:r>
    </w:p>
    <w:p>
      <w:pPr>
        <w:pStyle w:val="BodyText"/>
        <w:spacing w:line="247" w:lineRule="auto" w:before="57"/>
        <w:ind w:left="560" w:right="274" w:hanging="227"/>
      </w:pPr>
      <w:r>
        <w:rPr>
          <w:rFonts w:ascii="Century Gothic" w:hAnsi="Century Gothic"/>
          <w:b/>
          <w:w w:val="115"/>
        </w:rPr>
        <w:t>≥ </w:t>
      </w:r>
      <w:r>
        <w:rPr/>
        <w:t>Increasing the uptake of evidence in practice and preparing nursing and </w:t>
      </w:r>
      <w:r>
        <w:rPr>
          <w:w w:val="98"/>
        </w:rPr>
        <w:t>midwifery </w:t>
      </w:r>
      <w:r>
        <w:rPr>
          <w:w w:val="96"/>
        </w:rPr>
        <w:t>leaders </w:t>
      </w:r>
      <w:r>
        <w:rPr>
          <w:w w:val="98"/>
        </w:rPr>
        <w:t>for </w:t>
      </w:r>
      <w:r>
        <w:rPr>
          <w:w w:val="99"/>
        </w:rPr>
        <w:t>practice </w:t>
      </w:r>
      <w:r>
        <w:rPr>
          <w:w w:val="95"/>
        </w:rPr>
        <w:t>in </w:t>
      </w:r>
      <w:r>
        <w:rPr>
          <w:w w:val="88"/>
        </w:rPr>
        <w:t>2015 </w:t>
      </w:r>
      <w:r>
        <w:rPr/>
        <w:t>and beyond.</w:t>
      </w:r>
    </w:p>
    <w:p>
      <w:pPr>
        <w:pStyle w:val="BodyText"/>
        <w:spacing w:before="2"/>
        <w:rPr>
          <w:sz w:val="14"/>
        </w:rPr>
      </w:pPr>
    </w:p>
    <w:p>
      <w:pPr>
        <w:pStyle w:val="BodyText"/>
        <w:spacing w:line="249" w:lineRule="auto"/>
        <w:ind w:left="107" w:right="234"/>
      </w:pPr>
      <w:r>
        <w:rPr/>
        <w:t>The School is involved in the UWS Summer Scholarship program and has eight projects for the Research Scholarship program for </w:t>
      </w:r>
      <w:r>
        <w:rPr>
          <w:w w:val="82"/>
        </w:rPr>
        <w:t>2015–16:</w:t>
      </w:r>
    </w:p>
    <w:p>
      <w:pPr>
        <w:pStyle w:val="BodyText"/>
        <w:spacing w:before="11"/>
        <w:rPr>
          <w:sz w:val="13"/>
        </w:rPr>
      </w:pPr>
    </w:p>
    <w:p>
      <w:pPr>
        <w:pStyle w:val="BodyText"/>
        <w:spacing w:line="247" w:lineRule="auto"/>
        <w:ind w:left="333" w:right="479" w:hanging="227"/>
      </w:pPr>
      <w:r>
        <w:rPr>
          <w:rFonts w:ascii="Century Gothic" w:hAnsi="Century Gothic"/>
          <w:b/>
          <w:w w:val="115"/>
        </w:rPr>
        <w:t>≥ </w:t>
      </w:r>
      <w:r>
        <w:rPr/>
        <w:t>Dr Olayide Ogunsiji: Intimate partner violence among migrant and refugee population: a literature review of interventions</w:t>
      </w:r>
    </w:p>
    <w:p>
      <w:pPr>
        <w:pStyle w:val="BodyText"/>
        <w:spacing w:line="244" w:lineRule="auto" w:before="57"/>
        <w:ind w:left="333" w:right="247" w:hanging="227"/>
      </w:pPr>
      <w:r>
        <w:rPr>
          <w:rFonts w:ascii="Century Gothic" w:hAnsi="Century Gothic"/>
          <w:b/>
          <w:w w:val="115"/>
        </w:rPr>
        <w:t>≥</w:t>
      </w:r>
      <w:r>
        <w:rPr>
          <w:rFonts w:ascii="Century Gothic" w:hAnsi="Century Gothic"/>
          <w:b/>
          <w:spacing w:val="3"/>
          <w:w w:val="115"/>
        </w:rPr>
        <w:t> </w:t>
      </w:r>
      <w:r>
        <w:rPr>
          <w:w w:val="105"/>
        </w:rPr>
        <w:t>Dr</w:t>
      </w:r>
      <w:r>
        <w:rPr>
          <w:spacing w:val="-32"/>
          <w:w w:val="105"/>
        </w:rPr>
        <w:t> </w:t>
      </w:r>
      <w:r>
        <w:rPr>
          <w:w w:val="105"/>
        </w:rPr>
        <w:t>Paul</w:t>
      </w:r>
      <w:r>
        <w:rPr>
          <w:spacing w:val="-32"/>
          <w:w w:val="105"/>
        </w:rPr>
        <w:t> </w:t>
      </w:r>
      <w:r>
        <w:rPr>
          <w:w w:val="105"/>
        </w:rPr>
        <w:t>Glew:</w:t>
      </w:r>
      <w:r>
        <w:rPr>
          <w:spacing w:val="-32"/>
          <w:w w:val="105"/>
        </w:rPr>
        <w:t> </w:t>
      </w:r>
      <w:r>
        <w:rPr>
          <w:w w:val="105"/>
        </w:rPr>
        <w:t>Student</w:t>
      </w:r>
      <w:r>
        <w:rPr>
          <w:spacing w:val="-32"/>
          <w:w w:val="105"/>
        </w:rPr>
        <w:t> </w:t>
      </w:r>
      <w:r>
        <w:rPr>
          <w:w w:val="105"/>
        </w:rPr>
        <w:t>Literacy</w:t>
      </w:r>
      <w:r>
        <w:rPr>
          <w:spacing w:val="-32"/>
          <w:w w:val="105"/>
        </w:rPr>
        <w:t> </w:t>
      </w:r>
      <w:r>
        <w:rPr>
          <w:w w:val="105"/>
        </w:rPr>
        <w:t>Strategies Project</w:t>
      </w:r>
    </w:p>
    <w:p>
      <w:pPr>
        <w:pStyle w:val="BodyText"/>
        <w:spacing w:line="244" w:lineRule="auto" w:before="58"/>
        <w:ind w:left="333" w:right="412" w:hanging="227"/>
      </w:pPr>
      <w:r>
        <w:rPr>
          <w:rFonts w:ascii="Century Gothic" w:hAnsi="Century Gothic"/>
          <w:b/>
          <w:w w:val="115"/>
        </w:rPr>
        <w:t>≥ </w:t>
      </w:r>
      <w:r>
        <w:rPr/>
        <w:t>Professor Lesley Wilkes: Hand Hygiene among patients: a pilot study</w:t>
      </w:r>
    </w:p>
    <w:p>
      <w:pPr>
        <w:pStyle w:val="BodyText"/>
        <w:spacing w:line="247" w:lineRule="auto" w:before="58"/>
        <w:ind w:left="333" w:right="199" w:hanging="227"/>
      </w:pPr>
      <w:r>
        <w:rPr>
          <w:rFonts w:ascii="Century Gothic" w:hAnsi="Century Gothic"/>
          <w:b/>
          <w:w w:val="115"/>
        </w:rPr>
        <w:t>≥ </w:t>
      </w:r>
      <w:r>
        <w:rPr/>
        <w:t>Associate Professor Yenna Salamonson: Examining antecedents of plagiarism, and evaluating the effectiveness of support strategies to prevent and reduce plagiarism in higher education</w:t>
      </w:r>
    </w:p>
    <w:p>
      <w:pPr>
        <w:pStyle w:val="BodyText"/>
        <w:spacing w:line="247" w:lineRule="auto" w:before="57"/>
        <w:ind w:left="333" w:right="415" w:hanging="227"/>
        <w:jc w:val="both"/>
      </w:pPr>
      <w:r>
        <w:rPr>
          <w:rFonts w:ascii="Century Gothic" w:hAnsi="Century Gothic"/>
          <w:b/>
          <w:w w:val="115"/>
        </w:rPr>
        <w:t>≥ </w:t>
      </w:r>
      <w:r>
        <w:rPr/>
        <w:t>Dr Rakime Elmir: A meta-ethnographic study</w:t>
      </w:r>
      <w:r>
        <w:rPr>
          <w:spacing w:val="-15"/>
        </w:rPr>
        <w:t> </w:t>
      </w:r>
      <w:r>
        <w:rPr/>
        <w:t>of</w:t>
      </w:r>
      <w:r>
        <w:rPr>
          <w:spacing w:val="-15"/>
        </w:rPr>
        <w:t> </w:t>
      </w:r>
      <w:r>
        <w:rPr/>
        <w:t>migrant</w:t>
      </w:r>
      <w:r>
        <w:rPr>
          <w:spacing w:val="-15"/>
        </w:rPr>
        <w:t> </w:t>
      </w:r>
      <w:r>
        <w:rPr/>
        <w:t>men’s</w:t>
      </w:r>
      <w:r>
        <w:rPr>
          <w:spacing w:val="-15"/>
        </w:rPr>
        <w:t> </w:t>
      </w:r>
      <w:r>
        <w:rPr/>
        <w:t>experiences</w:t>
      </w:r>
      <w:r>
        <w:rPr>
          <w:spacing w:val="-15"/>
        </w:rPr>
        <w:t> </w:t>
      </w:r>
      <w:r>
        <w:rPr/>
        <w:t>of becoming</w:t>
      </w:r>
      <w:r>
        <w:rPr>
          <w:spacing w:val="-15"/>
        </w:rPr>
        <w:t> </w:t>
      </w:r>
      <w:r>
        <w:rPr/>
        <w:t>a</w:t>
      </w:r>
      <w:r>
        <w:rPr>
          <w:spacing w:val="-15"/>
        </w:rPr>
        <w:t> </w:t>
      </w:r>
      <w:r>
        <w:rPr/>
        <w:t>father</w:t>
      </w:r>
      <w:r>
        <w:rPr>
          <w:spacing w:val="-15"/>
        </w:rPr>
        <w:t> </w:t>
      </w:r>
      <w:r>
        <w:rPr/>
        <w:t>in</w:t>
      </w:r>
      <w:r>
        <w:rPr>
          <w:spacing w:val="-15"/>
        </w:rPr>
        <w:t> </w:t>
      </w:r>
      <w:r>
        <w:rPr/>
        <w:t>a</w:t>
      </w:r>
      <w:r>
        <w:rPr>
          <w:spacing w:val="-15"/>
        </w:rPr>
        <w:t> </w:t>
      </w:r>
      <w:r>
        <w:rPr/>
        <w:t>new</w:t>
      </w:r>
      <w:r>
        <w:rPr>
          <w:spacing w:val="-15"/>
        </w:rPr>
        <w:t> </w:t>
      </w:r>
      <w:r>
        <w:rPr/>
        <w:t>country</w:t>
      </w:r>
    </w:p>
    <w:p>
      <w:pPr>
        <w:pStyle w:val="BodyText"/>
        <w:spacing w:line="247" w:lineRule="auto" w:before="57"/>
        <w:ind w:left="333" w:right="251" w:hanging="227"/>
        <w:jc w:val="both"/>
      </w:pPr>
      <w:r>
        <w:rPr>
          <w:rFonts w:ascii="Century Gothic" w:hAnsi="Century Gothic"/>
          <w:b/>
          <w:w w:val="115"/>
        </w:rPr>
        <w:t>≥ </w:t>
      </w:r>
      <w:r>
        <w:rPr/>
        <w:t>Associate Professor Bronwyn Everett:</w:t>
      </w:r>
      <w:r>
        <w:rPr>
          <w:spacing w:val="-27"/>
        </w:rPr>
        <w:t> </w:t>
      </w:r>
      <w:r>
        <w:rPr/>
        <w:t>An analysis</w:t>
      </w:r>
      <w:r>
        <w:rPr>
          <w:spacing w:val="-16"/>
        </w:rPr>
        <w:t> </w:t>
      </w:r>
      <w:r>
        <w:rPr/>
        <w:t>of</w:t>
      </w:r>
      <w:r>
        <w:rPr>
          <w:spacing w:val="-16"/>
        </w:rPr>
        <w:t> </w:t>
      </w:r>
      <w:r>
        <w:rPr/>
        <w:t>unsolicited</w:t>
      </w:r>
      <w:r>
        <w:rPr>
          <w:spacing w:val="-16"/>
        </w:rPr>
        <w:t> </w:t>
      </w:r>
      <w:r>
        <w:rPr/>
        <w:t>patient</w:t>
      </w:r>
      <w:r>
        <w:rPr>
          <w:spacing w:val="-16"/>
        </w:rPr>
        <w:t> </w:t>
      </w:r>
      <w:r>
        <w:rPr/>
        <w:t>complaints reported</w:t>
      </w:r>
      <w:r>
        <w:rPr>
          <w:spacing w:val="-13"/>
        </w:rPr>
        <w:t> </w:t>
      </w:r>
      <w:r>
        <w:rPr/>
        <w:t>to</w:t>
      </w:r>
      <w:r>
        <w:rPr>
          <w:spacing w:val="-13"/>
        </w:rPr>
        <w:t> </w:t>
      </w:r>
      <w:r>
        <w:rPr/>
        <w:t>a</w:t>
      </w:r>
      <w:r>
        <w:rPr>
          <w:spacing w:val="-13"/>
        </w:rPr>
        <w:t> </w:t>
      </w:r>
      <w:r>
        <w:rPr/>
        <w:t>tertiary</w:t>
      </w:r>
      <w:r>
        <w:rPr>
          <w:spacing w:val="-13"/>
        </w:rPr>
        <w:t> </w:t>
      </w:r>
      <w:r>
        <w:rPr/>
        <w:t>care</w:t>
      </w:r>
      <w:r>
        <w:rPr>
          <w:spacing w:val="-13"/>
        </w:rPr>
        <w:t> </w:t>
      </w:r>
      <w:r>
        <w:rPr/>
        <w:t>hospital</w:t>
      </w:r>
    </w:p>
    <w:p>
      <w:pPr>
        <w:pStyle w:val="BodyText"/>
        <w:spacing w:line="247" w:lineRule="auto" w:before="57"/>
        <w:ind w:left="333" w:right="108" w:hanging="227"/>
      </w:pPr>
      <w:r>
        <w:rPr>
          <w:rFonts w:ascii="Century Gothic" w:hAnsi="Century Gothic"/>
          <w:b/>
          <w:w w:val="115"/>
        </w:rPr>
        <w:t>≥ </w:t>
      </w:r>
      <w:r>
        <w:rPr/>
        <w:t>Dr Ajesh George: Process Evaluation of the Midwifery Initiated Oral Health Program for Pregnant Women in Greater Western Sydney</w:t>
      </w:r>
    </w:p>
    <w:p>
      <w:pPr>
        <w:pStyle w:val="BodyText"/>
        <w:spacing w:line="247" w:lineRule="auto" w:before="57"/>
        <w:ind w:left="333" w:right="57" w:hanging="227"/>
      </w:pPr>
      <w:r>
        <w:rPr>
          <w:rFonts w:ascii="Century Gothic" w:hAnsi="Century Gothic"/>
          <w:b/>
          <w:w w:val="115"/>
        </w:rPr>
        <w:t>≥ </w:t>
      </w:r>
      <w:r>
        <w:rPr/>
        <w:t>Dr Peter Lewis and Dr Nathan Wilson: Registered nurses’ experiences of caring for people with disabilities in an acute-care setting.</w:t>
      </w:r>
    </w:p>
    <w:p>
      <w:pPr>
        <w:pStyle w:val="BodyText"/>
        <w:spacing w:before="2"/>
        <w:rPr>
          <w:sz w:val="14"/>
        </w:rPr>
      </w:pPr>
    </w:p>
    <w:p>
      <w:pPr>
        <w:pStyle w:val="BodyText"/>
        <w:spacing w:line="249" w:lineRule="auto"/>
        <w:ind w:left="107" w:right="112"/>
      </w:pPr>
      <w:r>
        <w:rPr>
          <w:spacing w:val="-3"/>
        </w:rPr>
        <w:t>Ten </w:t>
      </w:r>
      <w:r>
        <w:rPr/>
        <w:t>representatives of </w:t>
      </w:r>
      <w:r>
        <w:rPr>
          <w:spacing w:val="2"/>
        </w:rPr>
        <w:t>SoNM </w:t>
      </w:r>
      <w:r>
        <w:rPr/>
        <w:t>(past and present staff members and students) attended the annual Hawkesbury Alumni Chapter (Inc) (HAC) luncheon at NSW Parliament House to raise funds for the Hawkesbury Scholarship Appeal, which includes a Hawkesbury Nursing Scholarship. The</w:t>
      </w:r>
      <w:r>
        <w:rPr>
          <w:spacing w:val="-16"/>
        </w:rPr>
        <w:t> </w:t>
      </w:r>
      <w:r>
        <w:rPr/>
        <w:t>event</w:t>
      </w:r>
      <w:r>
        <w:rPr>
          <w:spacing w:val="-16"/>
        </w:rPr>
        <w:t> </w:t>
      </w:r>
      <w:r>
        <w:rPr/>
        <w:t>was</w:t>
      </w:r>
      <w:r>
        <w:rPr>
          <w:spacing w:val="-16"/>
        </w:rPr>
        <w:t> </w:t>
      </w:r>
      <w:r>
        <w:rPr/>
        <w:t>hosted</w:t>
      </w:r>
      <w:r>
        <w:rPr>
          <w:spacing w:val="-16"/>
        </w:rPr>
        <w:t> </w:t>
      </w:r>
      <w:r>
        <w:rPr/>
        <w:t>by</w:t>
      </w:r>
      <w:r>
        <w:rPr>
          <w:spacing w:val="-16"/>
        </w:rPr>
        <w:t> </w:t>
      </w:r>
      <w:r>
        <w:rPr/>
        <w:t>the</w:t>
      </w:r>
      <w:r>
        <w:rPr>
          <w:spacing w:val="-16"/>
        </w:rPr>
        <w:t> </w:t>
      </w:r>
      <w:r>
        <w:rPr/>
        <w:t>NSW</w:t>
      </w:r>
      <w:r>
        <w:rPr>
          <w:spacing w:val="-16"/>
        </w:rPr>
        <w:t> </w:t>
      </w:r>
      <w:r>
        <w:rPr/>
        <w:t>Minister</w:t>
      </w:r>
      <w:r>
        <w:rPr>
          <w:spacing w:val="-16"/>
        </w:rPr>
        <w:t> </w:t>
      </w:r>
      <w:r>
        <w:rPr/>
        <w:t>for Primary</w:t>
      </w:r>
      <w:r>
        <w:rPr>
          <w:spacing w:val="-17"/>
        </w:rPr>
        <w:t> </w:t>
      </w:r>
      <w:r>
        <w:rPr/>
        <w:t>Industries</w:t>
      </w:r>
      <w:r>
        <w:rPr>
          <w:spacing w:val="-17"/>
        </w:rPr>
        <w:t> </w:t>
      </w:r>
      <w:r>
        <w:rPr/>
        <w:t>and</w:t>
      </w:r>
      <w:r>
        <w:rPr>
          <w:spacing w:val="-17"/>
        </w:rPr>
        <w:t> </w:t>
      </w:r>
      <w:r>
        <w:rPr/>
        <w:t>Minister</w:t>
      </w:r>
      <w:r>
        <w:rPr>
          <w:spacing w:val="-17"/>
        </w:rPr>
        <w:t> </w:t>
      </w:r>
      <w:r>
        <w:rPr/>
        <w:t>for</w:t>
      </w:r>
      <w:r>
        <w:rPr>
          <w:spacing w:val="-17"/>
        </w:rPr>
        <w:t> </w:t>
      </w:r>
      <w:r>
        <w:rPr/>
        <w:t>Lands</w:t>
      </w:r>
      <w:r>
        <w:rPr>
          <w:spacing w:val="-17"/>
        </w:rPr>
        <w:t> </w:t>
      </w:r>
      <w:r>
        <w:rPr/>
        <w:t>and Water, Mr Niall Blair, and the Parliamentary Secretary</w:t>
      </w:r>
      <w:r>
        <w:rPr>
          <w:spacing w:val="-15"/>
        </w:rPr>
        <w:t> </w:t>
      </w:r>
      <w:r>
        <w:rPr/>
        <w:t>for</w:t>
      </w:r>
      <w:r>
        <w:rPr>
          <w:spacing w:val="-15"/>
        </w:rPr>
        <w:t> </w:t>
      </w:r>
      <w:r>
        <w:rPr/>
        <w:t>Natural</w:t>
      </w:r>
      <w:r>
        <w:rPr>
          <w:spacing w:val="-15"/>
        </w:rPr>
        <w:t> </w:t>
      </w:r>
      <w:r>
        <w:rPr/>
        <w:t>Resources</w:t>
      </w:r>
      <w:r>
        <w:rPr>
          <w:spacing w:val="-15"/>
        </w:rPr>
        <w:t> </w:t>
      </w:r>
      <w:r>
        <w:rPr/>
        <w:t>and</w:t>
      </w:r>
      <w:r>
        <w:rPr>
          <w:spacing w:val="-15"/>
        </w:rPr>
        <w:t> </w:t>
      </w:r>
      <w:r>
        <w:rPr/>
        <w:t>Regional</w:t>
      </w:r>
    </w:p>
    <w:p>
      <w:pPr>
        <w:spacing w:after="0" w:line="249" w:lineRule="auto"/>
        <w:sectPr>
          <w:type w:val="continuous"/>
          <w:pgSz w:w="11910" w:h="16840"/>
          <w:pgMar w:top="1580" w:bottom="280" w:left="800" w:right="800"/>
          <w:cols w:num="3" w:equalWidth="0">
            <w:col w:w="3308" w:space="132"/>
            <w:col w:w="3320" w:space="119"/>
            <w:col w:w="3431"/>
          </w:cols>
        </w:sectPr>
      </w:pPr>
    </w:p>
    <w:p>
      <w:pPr>
        <w:pStyle w:val="BodyText"/>
        <w:spacing w:before="10"/>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9" w:lineRule="auto"/>
        <w:ind w:left="107" w:right="60"/>
      </w:pPr>
      <w:r>
        <w:rPr/>
        <w:t>Planning,</w:t>
      </w:r>
      <w:r>
        <w:rPr>
          <w:spacing w:val="-20"/>
        </w:rPr>
        <w:t> </w:t>
      </w:r>
      <w:r>
        <w:rPr/>
        <w:t>Mr</w:t>
      </w:r>
      <w:r>
        <w:rPr>
          <w:spacing w:val="-20"/>
        </w:rPr>
        <w:t> </w:t>
      </w:r>
      <w:r>
        <w:rPr/>
        <w:t>Rick</w:t>
      </w:r>
      <w:r>
        <w:rPr>
          <w:spacing w:val="-20"/>
        </w:rPr>
        <w:t> </w:t>
      </w:r>
      <w:r>
        <w:rPr/>
        <w:t>Colless.</w:t>
      </w:r>
      <w:r>
        <w:rPr>
          <w:spacing w:val="-20"/>
        </w:rPr>
        <w:t> </w:t>
      </w:r>
      <w:r>
        <w:rPr/>
        <w:t>Hawkesbury</w:t>
      </w:r>
      <w:r>
        <w:rPr>
          <w:spacing w:val="-20"/>
        </w:rPr>
        <w:t> </w:t>
      </w:r>
      <w:r>
        <w:rPr/>
        <w:t>alumni including Acting Deputy </w:t>
      </w:r>
      <w:r>
        <w:rPr>
          <w:spacing w:val="2"/>
        </w:rPr>
        <w:t>Dean, </w:t>
      </w:r>
      <w:r>
        <w:rPr/>
        <w:t>Dr Deborah Hatcher,</w:t>
      </w:r>
      <w:r>
        <w:rPr>
          <w:spacing w:val="-19"/>
        </w:rPr>
        <w:t> </w:t>
      </w:r>
      <w:r>
        <w:rPr/>
        <w:t>shared</w:t>
      </w:r>
      <w:r>
        <w:rPr>
          <w:spacing w:val="-19"/>
        </w:rPr>
        <w:t> </w:t>
      </w:r>
      <w:r>
        <w:rPr/>
        <w:t>recollections</w:t>
      </w:r>
      <w:r>
        <w:rPr>
          <w:spacing w:val="-19"/>
        </w:rPr>
        <w:t> </w:t>
      </w:r>
      <w:r>
        <w:rPr/>
        <w:t>of</w:t>
      </w:r>
      <w:r>
        <w:rPr>
          <w:spacing w:val="-19"/>
        </w:rPr>
        <w:t> </w:t>
      </w:r>
      <w:r>
        <w:rPr/>
        <w:t>their</w:t>
      </w:r>
      <w:r>
        <w:rPr>
          <w:spacing w:val="-19"/>
        </w:rPr>
        <w:t> </w:t>
      </w:r>
      <w:r>
        <w:rPr/>
        <w:t>student experiences</w:t>
      </w:r>
      <w:r>
        <w:rPr>
          <w:spacing w:val="-31"/>
        </w:rPr>
        <w:t> </w:t>
      </w:r>
      <w:r>
        <w:rPr/>
        <w:t>at</w:t>
      </w:r>
      <w:r>
        <w:rPr>
          <w:spacing w:val="-31"/>
        </w:rPr>
        <w:t> </w:t>
      </w:r>
      <w:r>
        <w:rPr/>
        <w:t>Hawkesbury.</w:t>
      </w:r>
    </w:p>
    <w:p>
      <w:pPr>
        <w:pStyle w:val="BodyText"/>
        <w:rPr>
          <w:sz w:val="14"/>
        </w:rPr>
      </w:pPr>
    </w:p>
    <w:p>
      <w:pPr>
        <w:pStyle w:val="BodyText"/>
        <w:spacing w:line="249" w:lineRule="auto"/>
        <w:ind w:left="107" w:right="263"/>
      </w:pPr>
      <w:r>
        <w:rPr/>
        <w:t>In</w:t>
      </w:r>
      <w:r>
        <w:rPr>
          <w:spacing w:val="-27"/>
        </w:rPr>
        <w:t> </w:t>
      </w:r>
      <w:r>
        <w:rPr/>
        <w:t>collaboration</w:t>
      </w:r>
      <w:r>
        <w:rPr>
          <w:spacing w:val="-27"/>
        </w:rPr>
        <w:t> </w:t>
      </w:r>
      <w:r>
        <w:rPr/>
        <w:t>with</w:t>
      </w:r>
      <w:r>
        <w:rPr>
          <w:spacing w:val="-27"/>
        </w:rPr>
        <w:t> </w:t>
      </w:r>
      <w:r>
        <w:rPr/>
        <w:t>the</w:t>
      </w:r>
      <w:r>
        <w:rPr>
          <w:spacing w:val="-27"/>
        </w:rPr>
        <w:t> </w:t>
      </w:r>
      <w:r>
        <w:rPr/>
        <w:t>School</w:t>
      </w:r>
      <w:r>
        <w:rPr>
          <w:spacing w:val="-27"/>
        </w:rPr>
        <w:t> </w:t>
      </w:r>
      <w:r>
        <w:rPr/>
        <w:t>of</w:t>
      </w:r>
      <w:r>
        <w:rPr>
          <w:spacing w:val="-27"/>
        </w:rPr>
        <w:t> </w:t>
      </w:r>
      <w:r>
        <w:rPr/>
        <w:t>Medicine and Sydney Metro, SoNM participated in the</w:t>
      </w:r>
      <w:r>
        <w:rPr>
          <w:spacing w:val="-27"/>
        </w:rPr>
        <w:t> </w:t>
      </w:r>
      <w:r>
        <w:rPr/>
        <w:t>Rail</w:t>
      </w:r>
      <w:r>
        <w:rPr>
          <w:spacing w:val="-27"/>
        </w:rPr>
        <w:t> </w:t>
      </w:r>
      <w:r>
        <w:rPr/>
        <w:t>Safety</w:t>
      </w:r>
      <w:r>
        <w:rPr>
          <w:spacing w:val="-27"/>
        </w:rPr>
        <w:t> </w:t>
      </w:r>
      <w:r>
        <w:rPr/>
        <w:t>Week</w:t>
      </w:r>
      <w:r>
        <w:rPr>
          <w:spacing w:val="-27"/>
        </w:rPr>
        <w:t> </w:t>
      </w:r>
      <w:r>
        <w:rPr/>
        <w:t>initiative</w:t>
      </w:r>
      <w:r>
        <w:rPr>
          <w:spacing w:val="-27"/>
        </w:rPr>
        <w:t> </w:t>
      </w:r>
      <w:r>
        <w:rPr/>
        <w:t>in</w:t>
      </w:r>
      <w:r>
        <w:rPr>
          <w:spacing w:val="-27"/>
        </w:rPr>
        <w:t> </w:t>
      </w:r>
      <w:r>
        <w:rPr/>
        <w:t>which</w:t>
      </w:r>
      <w:r>
        <w:rPr>
          <w:spacing w:val="-27"/>
        </w:rPr>
        <w:t> </w:t>
      </w:r>
      <w:r>
        <w:rPr/>
        <w:t>216 rail</w:t>
      </w:r>
      <w:r>
        <w:rPr>
          <w:spacing w:val="-29"/>
        </w:rPr>
        <w:t> </w:t>
      </w:r>
      <w:r>
        <w:rPr/>
        <w:t>workers</w:t>
      </w:r>
      <w:r>
        <w:rPr>
          <w:spacing w:val="-29"/>
        </w:rPr>
        <w:t> </w:t>
      </w:r>
      <w:r>
        <w:rPr/>
        <w:t>at</w:t>
      </w:r>
      <w:r>
        <w:rPr>
          <w:spacing w:val="-29"/>
        </w:rPr>
        <w:t> </w:t>
      </w:r>
      <w:r>
        <w:rPr/>
        <w:t>four</w:t>
      </w:r>
      <w:r>
        <w:rPr>
          <w:spacing w:val="-29"/>
        </w:rPr>
        <w:t> </w:t>
      </w:r>
      <w:r>
        <w:rPr/>
        <w:t>sites</w:t>
      </w:r>
      <w:r>
        <w:rPr>
          <w:spacing w:val="-29"/>
        </w:rPr>
        <w:t> </w:t>
      </w:r>
      <w:r>
        <w:rPr/>
        <w:t>received</w:t>
      </w:r>
      <w:r>
        <w:rPr>
          <w:spacing w:val="-29"/>
        </w:rPr>
        <w:t> </w:t>
      </w:r>
      <w:r>
        <w:rPr/>
        <w:t>basic</w:t>
      </w:r>
    </w:p>
    <w:p>
      <w:pPr>
        <w:pStyle w:val="BodyText"/>
        <w:spacing w:line="249" w:lineRule="auto"/>
        <w:ind w:left="107" w:right="1"/>
      </w:pPr>
      <w:r>
        <w:rPr/>
        <w:t>health checks. This was an excellent primary healthcare</w:t>
      </w:r>
      <w:r>
        <w:rPr>
          <w:spacing w:val="-34"/>
        </w:rPr>
        <w:t> </w:t>
      </w:r>
      <w:r>
        <w:rPr/>
        <w:t>learning</w:t>
      </w:r>
      <w:r>
        <w:rPr>
          <w:spacing w:val="-34"/>
        </w:rPr>
        <w:t> </w:t>
      </w:r>
      <w:r>
        <w:rPr/>
        <w:t>experience</w:t>
      </w:r>
      <w:r>
        <w:rPr>
          <w:spacing w:val="-34"/>
        </w:rPr>
        <w:t> </w:t>
      </w:r>
      <w:r>
        <w:rPr/>
        <w:t>and</w:t>
      </w:r>
      <w:r>
        <w:rPr>
          <w:spacing w:val="-34"/>
        </w:rPr>
        <w:t> </w:t>
      </w:r>
      <w:r>
        <w:rPr/>
        <w:t>contributed to</w:t>
      </w:r>
      <w:r>
        <w:rPr>
          <w:spacing w:val="-33"/>
        </w:rPr>
        <w:t> </w:t>
      </w:r>
      <w:r>
        <w:rPr/>
        <w:t>students’</w:t>
      </w:r>
      <w:r>
        <w:rPr>
          <w:spacing w:val="-33"/>
        </w:rPr>
        <w:t> </w:t>
      </w:r>
      <w:r>
        <w:rPr/>
        <w:t>clinical</w:t>
      </w:r>
      <w:r>
        <w:rPr>
          <w:spacing w:val="-33"/>
        </w:rPr>
        <w:t> </w:t>
      </w:r>
      <w:r>
        <w:rPr/>
        <w:t>placement</w:t>
      </w:r>
      <w:r>
        <w:rPr>
          <w:spacing w:val="-33"/>
        </w:rPr>
        <w:t> </w:t>
      </w:r>
      <w:r>
        <w:rPr/>
        <w:t>hours.</w:t>
      </w:r>
    </w:p>
    <w:p>
      <w:pPr>
        <w:pStyle w:val="BodyText"/>
        <w:rPr>
          <w:sz w:val="14"/>
        </w:rPr>
      </w:pPr>
    </w:p>
    <w:p>
      <w:pPr>
        <w:pStyle w:val="BodyText"/>
        <w:spacing w:line="247" w:lineRule="auto"/>
        <w:ind w:left="107" w:right="118"/>
      </w:pPr>
      <w:r>
        <w:rPr/>
        <w:t>SoNM’s</w:t>
      </w:r>
      <w:r>
        <w:rPr>
          <w:spacing w:val="-12"/>
        </w:rPr>
        <w:t> </w:t>
      </w:r>
      <w:r>
        <w:rPr/>
        <w:t>Centre</w:t>
      </w:r>
      <w:r>
        <w:rPr>
          <w:spacing w:val="-12"/>
        </w:rPr>
        <w:t> </w:t>
      </w:r>
      <w:r>
        <w:rPr/>
        <w:t>for</w:t>
      </w:r>
      <w:r>
        <w:rPr>
          <w:spacing w:val="-12"/>
        </w:rPr>
        <w:t> </w:t>
      </w:r>
      <w:r>
        <w:rPr/>
        <w:t>Applied</w:t>
      </w:r>
      <w:r>
        <w:rPr>
          <w:spacing w:val="-12"/>
        </w:rPr>
        <w:t> </w:t>
      </w:r>
      <w:r>
        <w:rPr/>
        <w:t>Nursing</w:t>
      </w:r>
      <w:r>
        <w:rPr>
          <w:spacing w:val="-12"/>
        </w:rPr>
        <w:t> </w:t>
      </w:r>
      <w:r>
        <w:rPr/>
        <w:t>Research (CANR) collaborated with District Oral Health</w:t>
      </w:r>
      <w:r>
        <w:rPr>
          <w:spacing w:val="-15"/>
        </w:rPr>
        <w:t> </w:t>
      </w:r>
      <w:r>
        <w:rPr/>
        <w:t>Services</w:t>
      </w:r>
      <w:r>
        <w:rPr>
          <w:spacing w:val="-15"/>
        </w:rPr>
        <w:t> </w:t>
      </w:r>
      <w:r>
        <w:rPr/>
        <w:t>to</w:t>
      </w:r>
      <w:r>
        <w:rPr>
          <w:spacing w:val="-15"/>
        </w:rPr>
        <w:t> </w:t>
      </w:r>
      <w:r>
        <w:rPr/>
        <w:t>produce</w:t>
      </w:r>
      <w:r>
        <w:rPr>
          <w:spacing w:val="-15"/>
        </w:rPr>
        <w:t> </w:t>
      </w:r>
      <w:r>
        <w:rPr/>
        <w:t>a</w:t>
      </w:r>
      <w:r>
        <w:rPr>
          <w:spacing w:val="-15"/>
        </w:rPr>
        <w:t> </w:t>
      </w:r>
      <w:r>
        <w:rPr/>
        <w:t>video,</w:t>
      </w:r>
      <w:r>
        <w:rPr>
          <w:spacing w:val="-15"/>
        </w:rPr>
        <w:t> </w:t>
      </w:r>
      <w:r>
        <w:rPr/>
        <w:t>advising on maintaining good dental health during pregnancy. </w:t>
      </w:r>
      <w:r>
        <w:rPr>
          <w:rFonts w:ascii="Century Gothic" w:hAnsi="Century Gothic"/>
          <w:i/>
        </w:rPr>
        <w:t>Keep Smiling While You are </w:t>
      </w:r>
      <w:r>
        <w:rPr>
          <w:rFonts w:ascii="Century Gothic" w:hAnsi="Century Gothic"/>
          <w:i/>
        </w:rPr>
        <w:t>Pregnant</w:t>
      </w:r>
      <w:r>
        <w:rPr>
          <w:rFonts w:ascii="Century Gothic" w:hAnsi="Century Gothic"/>
          <w:i/>
          <w:spacing w:val="-21"/>
        </w:rPr>
        <w:t> </w:t>
      </w:r>
      <w:r>
        <w:rPr/>
        <w:t>was</w:t>
      </w:r>
      <w:r>
        <w:rPr>
          <w:spacing w:val="-26"/>
        </w:rPr>
        <w:t> </w:t>
      </w:r>
      <w:r>
        <w:rPr/>
        <w:t>funded</w:t>
      </w:r>
      <w:r>
        <w:rPr>
          <w:spacing w:val="-26"/>
        </w:rPr>
        <w:t> </w:t>
      </w:r>
      <w:r>
        <w:rPr/>
        <w:t>by</w:t>
      </w:r>
      <w:r>
        <w:rPr>
          <w:spacing w:val="-26"/>
        </w:rPr>
        <w:t> </w:t>
      </w:r>
      <w:r>
        <w:rPr/>
        <w:t>a</w:t>
      </w:r>
      <w:r>
        <w:rPr>
          <w:spacing w:val="-26"/>
        </w:rPr>
        <w:t> </w:t>
      </w:r>
      <w:r>
        <w:rPr/>
        <w:t>grant</w:t>
      </w:r>
      <w:r>
        <w:rPr>
          <w:spacing w:val="-26"/>
        </w:rPr>
        <w:t> </w:t>
      </w:r>
      <w:r>
        <w:rPr/>
        <w:t>of</w:t>
      </w:r>
      <w:r>
        <w:rPr>
          <w:spacing w:val="-26"/>
        </w:rPr>
        <w:t> </w:t>
      </w:r>
      <w:r>
        <w:rPr/>
        <w:t>almost</w:t>
      </w:r>
    </w:p>
    <w:p>
      <w:pPr>
        <w:pStyle w:val="BodyText"/>
        <w:spacing w:line="249" w:lineRule="auto"/>
        <w:ind w:left="107" w:right="-12"/>
      </w:pPr>
      <w:r>
        <w:rPr/>
        <w:t>$33,000 from NSW Kids and Families. It is an initiative of the South Western Sydney Local Health District (SWSLHD) Midwifery Initiated Oral Health Dental Service, which has had very positive feedback from midwives around the country.</w:t>
      </w:r>
    </w:p>
    <w:p>
      <w:pPr>
        <w:pStyle w:val="BodyText"/>
        <w:rPr>
          <w:sz w:val="14"/>
        </w:rPr>
      </w:pPr>
    </w:p>
    <w:p>
      <w:pPr>
        <w:pStyle w:val="BodyText"/>
        <w:spacing w:line="249" w:lineRule="auto"/>
        <w:ind w:left="107" w:right="31"/>
      </w:pPr>
      <w:r>
        <w:rPr/>
        <w:t>Professor</w:t>
      </w:r>
      <w:r>
        <w:rPr>
          <w:spacing w:val="-17"/>
        </w:rPr>
        <w:t> </w:t>
      </w:r>
      <w:r>
        <w:rPr/>
        <w:t>Dahlen</w:t>
      </w:r>
      <w:r>
        <w:rPr>
          <w:spacing w:val="-17"/>
        </w:rPr>
        <w:t> </w:t>
      </w:r>
      <w:r>
        <w:rPr/>
        <w:t>continues</w:t>
      </w:r>
      <w:r>
        <w:rPr>
          <w:spacing w:val="-17"/>
        </w:rPr>
        <w:t> </w:t>
      </w:r>
      <w:r>
        <w:rPr/>
        <w:t>to</w:t>
      </w:r>
      <w:r>
        <w:rPr>
          <w:spacing w:val="-17"/>
        </w:rPr>
        <w:t> </w:t>
      </w:r>
      <w:r>
        <w:rPr/>
        <w:t>raise</w:t>
      </w:r>
      <w:r>
        <w:rPr>
          <w:spacing w:val="-17"/>
        </w:rPr>
        <w:t> </w:t>
      </w:r>
      <w:r>
        <w:rPr/>
        <w:t>the</w:t>
      </w:r>
      <w:r>
        <w:rPr>
          <w:spacing w:val="-17"/>
        </w:rPr>
        <w:t> </w:t>
      </w:r>
      <w:r>
        <w:rPr/>
        <w:t>profile of the School’s Midwifery discipline, with a series</w:t>
      </w:r>
      <w:r>
        <w:rPr>
          <w:spacing w:val="-21"/>
        </w:rPr>
        <w:t> </w:t>
      </w:r>
      <w:r>
        <w:rPr/>
        <w:t>of</w:t>
      </w:r>
      <w:r>
        <w:rPr>
          <w:spacing w:val="-21"/>
        </w:rPr>
        <w:t> </w:t>
      </w:r>
      <w:r>
        <w:rPr/>
        <w:t>articles</w:t>
      </w:r>
      <w:r>
        <w:rPr>
          <w:spacing w:val="-21"/>
        </w:rPr>
        <w:t> </w:t>
      </w:r>
      <w:r>
        <w:rPr/>
        <w:t>in</w:t>
      </w:r>
      <w:r>
        <w:rPr>
          <w:spacing w:val="-21"/>
        </w:rPr>
        <w:t> </w:t>
      </w:r>
      <w:r>
        <w:rPr/>
        <w:t>mainstream</w:t>
      </w:r>
      <w:r>
        <w:rPr>
          <w:spacing w:val="-21"/>
        </w:rPr>
        <w:t> </w:t>
      </w:r>
      <w:r>
        <w:rPr/>
        <w:t>media.</w:t>
      </w:r>
    </w:p>
    <w:p>
      <w:pPr>
        <w:pStyle w:val="BodyText"/>
        <w:spacing w:before="7"/>
        <w:rPr>
          <w:sz w:val="21"/>
        </w:rPr>
      </w:pPr>
    </w:p>
    <w:p>
      <w:pPr>
        <w:pStyle w:val="Heading8"/>
      </w:pPr>
      <w:r>
        <w:rPr/>
        <w:t>RESEARCH</w:t>
      </w:r>
    </w:p>
    <w:p>
      <w:pPr>
        <w:pStyle w:val="BodyText"/>
        <w:spacing w:line="247" w:lineRule="auto" w:before="85"/>
        <w:ind w:left="107" w:right="388"/>
      </w:pPr>
      <w:r>
        <w:rPr>
          <w:spacing w:val="2"/>
        </w:rPr>
        <w:t>SoNM</w:t>
      </w:r>
      <w:r>
        <w:rPr>
          <w:spacing w:val="-32"/>
        </w:rPr>
        <w:t> </w:t>
      </w:r>
      <w:r>
        <w:rPr>
          <w:spacing w:val="2"/>
        </w:rPr>
        <w:t>supports</w:t>
      </w:r>
      <w:r>
        <w:rPr>
          <w:spacing w:val="-32"/>
        </w:rPr>
        <w:t> </w:t>
      </w:r>
      <w:r>
        <w:rPr/>
        <w:t>the</w:t>
      </w:r>
      <w:r>
        <w:rPr>
          <w:spacing w:val="-32"/>
        </w:rPr>
        <w:t> </w:t>
      </w:r>
      <w:r>
        <w:rPr/>
        <w:t>University’s</w:t>
      </w:r>
      <w:r>
        <w:rPr>
          <w:spacing w:val="-32"/>
        </w:rPr>
        <w:t> </w:t>
      </w:r>
      <w:r>
        <w:rPr>
          <w:rFonts w:ascii="Century Gothic" w:hAnsi="Century Gothic"/>
          <w:i/>
        </w:rPr>
        <w:t>Securing </w:t>
      </w:r>
      <w:r>
        <w:rPr>
          <w:rFonts w:ascii="Century Gothic" w:hAnsi="Century Gothic"/>
          <w:i/>
        </w:rPr>
        <w:t>Success</w:t>
      </w:r>
      <w:r>
        <w:rPr>
          <w:rFonts w:ascii="Century Gothic" w:hAnsi="Century Gothic"/>
          <w:i/>
          <w:spacing w:val="-22"/>
        </w:rPr>
        <w:t> </w:t>
      </w:r>
      <w:r>
        <w:rPr/>
        <w:t>plan</w:t>
      </w:r>
      <w:r>
        <w:rPr>
          <w:spacing w:val="-27"/>
        </w:rPr>
        <w:t> </w:t>
      </w:r>
      <w:r>
        <w:rPr/>
        <w:t>and</w:t>
      </w:r>
      <w:r>
        <w:rPr>
          <w:spacing w:val="-27"/>
        </w:rPr>
        <w:t> </w:t>
      </w:r>
      <w:r>
        <w:rPr/>
        <w:t>has</w:t>
      </w:r>
      <w:r>
        <w:rPr>
          <w:spacing w:val="-27"/>
        </w:rPr>
        <w:t> </w:t>
      </w:r>
      <w:r>
        <w:rPr/>
        <w:t>links</w:t>
      </w:r>
      <w:r>
        <w:rPr>
          <w:spacing w:val="-27"/>
        </w:rPr>
        <w:t> </w:t>
      </w:r>
      <w:r>
        <w:rPr/>
        <w:t>with</w:t>
      </w:r>
      <w:r>
        <w:rPr>
          <w:spacing w:val="-27"/>
        </w:rPr>
        <w:t> </w:t>
      </w:r>
      <w:r>
        <w:rPr/>
        <w:t>industry, business, government and community partners</w:t>
      </w:r>
      <w:r>
        <w:rPr>
          <w:spacing w:val="-16"/>
        </w:rPr>
        <w:t> </w:t>
      </w:r>
      <w:r>
        <w:rPr/>
        <w:t>in</w:t>
      </w:r>
      <w:r>
        <w:rPr>
          <w:spacing w:val="-16"/>
        </w:rPr>
        <w:t> </w:t>
      </w:r>
      <w:r>
        <w:rPr/>
        <w:t>the</w:t>
      </w:r>
      <w:r>
        <w:rPr>
          <w:spacing w:val="-16"/>
        </w:rPr>
        <w:t> </w:t>
      </w:r>
      <w:r>
        <w:rPr/>
        <w:t>pursuit</w:t>
      </w:r>
      <w:r>
        <w:rPr>
          <w:spacing w:val="-16"/>
        </w:rPr>
        <w:t> </w:t>
      </w:r>
      <w:r>
        <w:rPr/>
        <w:t>and</w:t>
      </w:r>
      <w:r>
        <w:rPr>
          <w:spacing w:val="-16"/>
        </w:rPr>
        <w:t> </w:t>
      </w:r>
      <w:r>
        <w:rPr/>
        <w:t>expansion</w:t>
      </w:r>
      <w:r>
        <w:rPr>
          <w:spacing w:val="-16"/>
        </w:rPr>
        <w:t> </w:t>
      </w:r>
      <w:r>
        <w:rPr/>
        <w:t>of research in the School. This is reflected </w:t>
      </w:r>
      <w:r>
        <w:rPr>
          <w:w w:val="95"/>
        </w:rPr>
        <w:t>in</w:t>
      </w:r>
      <w:r>
        <w:rPr>
          <w:spacing w:val="-7"/>
          <w:w w:val="95"/>
        </w:rPr>
        <w:t> </w:t>
      </w:r>
      <w:r>
        <w:rPr>
          <w:w w:val="97"/>
        </w:rPr>
        <w:t>the</w:t>
      </w:r>
      <w:r>
        <w:rPr>
          <w:spacing w:val="-8"/>
          <w:w w:val="97"/>
        </w:rPr>
        <w:t> </w:t>
      </w:r>
      <w:r>
        <w:rPr>
          <w:spacing w:val="1"/>
          <w:w w:val="88"/>
        </w:rPr>
        <w:t>2015</w:t>
      </w:r>
      <w:r>
        <w:rPr>
          <w:spacing w:val="-4"/>
          <w:w w:val="88"/>
        </w:rPr>
        <w:t> </w:t>
      </w:r>
      <w:r>
        <w:rPr>
          <w:w w:val="98"/>
        </w:rPr>
        <w:t>Excellence</w:t>
      </w:r>
      <w:r>
        <w:rPr>
          <w:spacing w:val="-8"/>
          <w:w w:val="98"/>
        </w:rPr>
        <w:t> </w:t>
      </w:r>
      <w:r>
        <w:rPr>
          <w:w w:val="95"/>
        </w:rPr>
        <w:t>in</w:t>
      </w:r>
      <w:r>
        <w:rPr>
          <w:spacing w:val="-7"/>
          <w:w w:val="95"/>
        </w:rPr>
        <w:t> </w:t>
      </w:r>
      <w:r>
        <w:rPr>
          <w:spacing w:val="1"/>
          <w:w w:val="96"/>
        </w:rPr>
        <w:t>Research</w:t>
      </w:r>
      <w:r>
        <w:rPr>
          <w:spacing w:val="-8"/>
          <w:w w:val="96"/>
        </w:rPr>
        <w:t> </w:t>
      </w:r>
      <w:r>
        <w:rPr>
          <w:w w:val="98"/>
        </w:rPr>
        <w:t>for</w:t>
      </w:r>
    </w:p>
    <w:p>
      <w:pPr>
        <w:pStyle w:val="BodyText"/>
        <w:spacing w:line="249" w:lineRule="auto" w:before="1"/>
        <w:ind w:left="107"/>
      </w:pPr>
      <w:r>
        <w:rPr/>
        <w:t>Australia</w:t>
      </w:r>
      <w:r>
        <w:rPr>
          <w:spacing w:val="-15"/>
        </w:rPr>
        <w:t> </w:t>
      </w:r>
      <w:r>
        <w:rPr/>
        <w:t>(ERA)</w:t>
      </w:r>
      <w:r>
        <w:rPr>
          <w:spacing w:val="-15"/>
        </w:rPr>
        <w:t> </w:t>
      </w:r>
      <w:r>
        <w:rPr/>
        <w:t>rating</w:t>
      </w:r>
      <w:r>
        <w:rPr>
          <w:spacing w:val="-15"/>
        </w:rPr>
        <w:t> </w:t>
      </w:r>
      <w:r>
        <w:rPr/>
        <w:t>of</w:t>
      </w:r>
      <w:r>
        <w:rPr>
          <w:spacing w:val="-15"/>
        </w:rPr>
        <w:t> </w:t>
      </w:r>
      <w:r>
        <w:rPr/>
        <w:t>4,</w:t>
      </w:r>
      <w:r>
        <w:rPr>
          <w:spacing w:val="-15"/>
        </w:rPr>
        <w:t> </w:t>
      </w:r>
      <w:r>
        <w:rPr/>
        <w:t>an</w:t>
      </w:r>
      <w:r>
        <w:rPr>
          <w:spacing w:val="-15"/>
        </w:rPr>
        <w:t> </w:t>
      </w:r>
      <w:r>
        <w:rPr/>
        <w:t>increase</w:t>
      </w:r>
      <w:r>
        <w:rPr>
          <w:spacing w:val="-15"/>
        </w:rPr>
        <w:t> </w:t>
      </w:r>
      <w:r>
        <w:rPr/>
        <w:t>from previous </w:t>
      </w:r>
      <w:r>
        <w:rPr>
          <w:spacing w:val="2"/>
        </w:rPr>
        <w:t>ERA</w:t>
      </w:r>
      <w:r>
        <w:rPr>
          <w:spacing w:val="-23"/>
        </w:rPr>
        <w:t> </w:t>
      </w:r>
      <w:r>
        <w:rPr/>
        <w:t>cycles.</w:t>
      </w:r>
    </w:p>
    <w:p>
      <w:pPr>
        <w:pStyle w:val="BodyText"/>
        <w:rPr>
          <w:sz w:val="14"/>
        </w:rPr>
      </w:pPr>
    </w:p>
    <w:p>
      <w:pPr>
        <w:pStyle w:val="BodyText"/>
        <w:spacing w:line="249" w:lineRule="auto"/>
        <w:ind w:left="107" w:right="-2"/>
      </w:pPr>
      <w:r>
        <w:rPr/>
        <w:t>The School also continues to host the New South</w:t>
      </w:r>
      <w:r>
        <w:rPr>
          <w:spacing w:val="-18"/>
        </w:rPr>
        <w:t> </w:t>
      </w:r>
      <w:r>
        <w:rPr/>
        <w:t>Wales</w:t>
      </w:r>
      <w:r>
        <w:rPr>
          <w:spacing w:val="-18"/>
        </w:rPr>
        <w:t> </w:t>
      </w:r>
      <w:r>
        <w:rPr/>
        <w:t>Centre</w:t>
      </w:r>
      <w:r>
        <w:rPr>
          <w:spacing w:val="-18"/>
        </w:rPr>
        <w:t> </w:t>
      </w:r>
      <w:r>
        <w:rPr/>
        <w:t>for</w:t>
      </w:r>
      <w:r>
        <w:rPr>
          <w:spacing w:val="-18"/>
        </w:rPr>
        <w:t> </w:t>
      </w:r>
      <w:r>
        <w:rPr/>
        <w:t>Evidence</w:t>
      </w:r>
      <w:r>
        <w:rPr>
          <w:spacing w:val="-18"/>
        </w:rPr>
        <w:t> </w:t>
      </w:r>
      <w:r>
        <w:rPr>
          <w:spacing w:val="2"/>
        </w:rPr>
        <w:t>Based</w:t>
      </w:r>
      <w:r>
        <w:rPr>
          <w:spacing w:val="-18"/>
        </w:rPr>
        <w:t> </w:t>
      </w:r>
      <w:r>
        <w:rPr/>
        <w:t>Health Care, which is the NSW Collaborating Centre for the Joanna Briggs Institute. The institute has</w:t>
      </w:r>
      <w:r>
        <w:rPr>
          <w:spacing w:val="-17"/>
        </w:rPr>
        <w:t> </w:t>
      </w:r>
      <w:r>
        <w:rPr/>
        <w:t>collaborating</w:t>
      </w:r>
      <w:r>
        <w:rPr>
          <w:spacing w:val="-17"/>
        </w:rPr>
        <w:t> </w:t>
      </w:r>
      <w:r>
        <w:rPr/>
        <w:t>centres</w:t>
      </w:r>
      <w:r>
        <w:rPr>
          <w:spacing w:val="-17"/>
        </w:rPr>
        <w:t> </w:t>
      </w:r>
      <w:r>
        <w:rPr/>
        <w:t>in</w:t>
      </w:r>
      <w:r>
        <w:rPr>
          <w:spacing w:val="-17"/>
        </w:rPr>
        <w:t> </w:t>
      </w:r>
      <w:r>
        <w:rPr/>
        <w:t>65</w:t>
      </w:r>
      <w:r>
        <w:rPr>
          <w:spacing w:val="-17"/>
        </w:rPr>
        <w:t> </w:t>
      </w:r>
      <w:r>
        <w:rPr/>
        <w:t>countries,</w:t>
      </w:r>
      <w:r>
        <w:rPr>
          <w:spacing w:val="-17"/>
        </w:rPr>
        <w:t> </w:t>
      </w:r>
      <w:r>
        <w:rPr/>
        <w:t>and the</w:t>
      </w:r>
      <w:r>
        <w:rPr>
          <w:spacing w:val="-18"/>
        </w:rPr>
        <w:t> </w:t>
      </w:r>
      <w:r>
        <w:rPr/>
        <w:t>number</w:t>
      </w:r>
      <w:r>
        <w:rPr>
          <w:spacing w:val="-18"/>
        </w:rPr>
        <w:t> </w:t>
      </w:r>
      <w:r>
        <w:rPr/>
        <w:t>of</w:t>
      </w:r>
      <w:r>
        <w:rPr>
          <w:spacing w:val="-18"/>
        </w:rPr>
        <w:t> </w:t>
      </w:r>
      <w:r>
        <w:rPr/>
        <w:t>centres</w:t>
      </w:r>
      <w:r>
        <w:rPr>
          <w:spacing w:val="-18"/>
        </w:rPr>
        <w:t> </w:t>
      </w:r>
      <w:r>
        <w:rPr/>
        <w:t>is</w:t>
      </w:r>
      <w:r>
        <w:rPr>
          <w:spacing w:val="-18"/>
        </w:rPr>
        <w:t> </w:t>
      </w:r>
      <w:r>
        <w:rPr/>
        <w:t>increasing,</w:t>
      </w:r>
      <w:r>
        <w:rPr>
          <w:spacing w:val="-18"/>
        </w:rPr>
        <w:t> </w:t>
      </w:r>
      <w:r>
        <w:rPr/>
        <w:t>providing opportunities for international research collaborations. Collectively, these research concentrations, which align with health and research national priorities, contribute to </w:t>
      </w:r>
      <w:r>
        <w:rPr>
          <w:w w:val="95"/>
        </w:rPr>
        <w:t>healthcare</w:t>
      </w:r>
      <w:r>
        <w:rPr>
          <w:spacing w:val="36"/>
          <w:w w:val="95"/>
        </w:rPr>
        <w:t> </w:t>
      </w:r>
      <w:r>
        <w:rPr>
          <w:w w:val="95"/>
        </w:rPr>
        <w:t>innovations.</w:t>
      </w:r>
    </w:p>
    <w:p>
      <w:pPr>
        <w:pStyle w:val="BodyText"/>
        <w:rPr>
          <w:sz w:val="14"/>
        </w:rPr>
      </w:pPr>
    </w:p>
    <w:p>
      <w:pPr>
        <w:pStyle w:val="BodyText"/>
        <w:spacing w:line="249" w:lineRule="auto"/>
        <w:ind w:left="107" w:right="58"/>
      </w:pPr>
      <w:r>
        <w:rPr>
          <w:w w:val="80"/>
        </w:rPr>
        <w:t>In </w:t>
      </w:r>
      <w:r>
        <w:rPr>
          <w:w w:val="84"/>
        </w:rPr>
        <w:t>2015, </w:t>
      </w:r>
      <w:r>
        <w:rPr>
          <w:w w:val="101"/>
        </w:rPr>
        <w:t>two </w:t>
      </w:r>
      <w:r>
        <w:rPr>
          <w:w w:val="97"/>
        </w:rPr>
        <w:t>new </w:t>
      </w:r>
      <w:r>
        <w:rPr>
          <w:w w:val="97"/>
        </w:rPr>
        <w:t>professors </w:t>
      </w:r>
      <w:r>
        <w:rPr>
          <w:w w:val="97"/>
        </w:rPr>
        <w:t>were </w:t>
      </w:r>
      <w:r>
        <w:rPr>
          <w:w w:val="96"/>
        </w:rPr>
        <w:t>appointed. </w:t>
      </w:r>
      <w:r>
        <w:rPr/>
        <w:t>Dr Deborah Parker was appointed Professor</w:t>
      </w:r>
    </w:p>
    <w:p>
      <w:pPr>
        <w:pStyle w:val="BodyText"/>
        <w:spacing w:before="9"/>
      </w:pPr>
      <w:r>
        <w:rPr/>
        <w:br w:type="column"/>
      </w:r>
      <w:r>
        <w:rPr/>
      </w:r>
    </w:p>
    <w:p>
      <w:pPr>
        <w:pStyle w:val="BodyText"/>
        <w:spacing w:line="249" w:lineRule="auto" w:before="1"/>
        <w:ind w:left="107" w:right="134"/>
      </w:pPr>
      <w:r>
        <w:rPr/>
        <w:t>of Nursing, Director </w:t>
      </w:r>
      <w:r>
        <w:rPr>
          <w:spacing w:val="3"/>
        </w:rPr>
        <w:t>CANR, </w:t>
      </w:r>
      <w:r>
        <w:rPr/>
        <w:t>in collaboration with SWSLHD. Professor Lynn Kemp was appointed Professor of Nursing, Director Translational</w:t>
      </w:r>
      <w:r>
        <w:rPr>
          <w:spacing w:val="-28"/>
        </w:rPr>
        <w:t> </w:t>
      </w:r>
      <w:r>
        <w:rPr/>
        <w:t>Research</w:t>
      </w:r>
      <w:r>
        <w:rPr>
          <w:spacing w:val="-28"/>
        </w:rPr>
        <w:t> </w:t>
      </w:r>
      <w:r>
        <w:rPr/>
        <w:t>and</w:t>
      </w:r>
      <w:r>
        <w:rPr>
          <w:spacing w:val="-28"/>
        </w:rPr>
        <w:t> </w:t>
      </w:r>
      <w:r>
        <w:rPr/>
        <w:t>Social</w:t>
      </w:r>
      <w:r>
        <w:rPr>
          <w:spacing w:val="-28"/>
        </w:rPr>
        <w:t> </w:t>
      </w:r>
      <w:r>
        <w:rPr/>
        <w:t>Innovation (TReSI).</w:t>
      </w:r>
      <w:r>
        <w:rPr>
          <w:spacing w:val="-23"/>
        </w:rPr>
        <w:t> </w:t>
      </w:r>
      <w:r>
        <w:rPr/>
        <w:t>A</w:t>
      </w:r>
      <w:r>
        <w:rPr>
          <w:spacing w:val="-23"/>
        </w:rPr>
        <w:t> </w:t>
      </w:r>
      <w:r>
        <w:rPr/>
        <w:t>Professor</w:t>
      </w:r>
      <w:r>
        <w:rPr>
          <w:spacing w:val="-23"/>
        </w:rPr>
        <w:t> </w:t>
      </w:r>
      <w:r>
        <w:rPr/>
        <w:t>of</w:t>
      </w:r>
      <w:r>
        <w:rPr>
          <w:spacing w:val="-23"/>
        </w:rPr>
        <w:t> </w:t>
      </w:r>
      <w:r>
        <w:rPr/>
        <w:t>Mental</w:t>
      </w:r>
      <w:r>
        <w:rPr>
          <w:spacing w:val="-23"/>
        </w:rPr>
        <w:t> </w:t>
      </w:r>
      <w:r>
        <w:rPr/>
        <w:t>Health,</w:t>
      </w:r>
    </w:p>
    <w:p>
      <w:pPr>
        <w:pStyle w:val="BodyText"/>
        <w:spacing w:line="249" w:lineRule="auto"/>
        <w:ind w:left="107"/>
      </w:pPr>
      <w:r>
        <w:rPr/>
        <w:t>also with joint SWSLHD funding, has been </w:t>
      </w:r>
      <w:r>
        <w:rPr>
          <w:w w:val="99"/>
        </w:rPr>
        <w:t>appointed </w:t>
      </w:r>
      <w:r>
        <w:rPr>
          <w:w w:val="97"/>
        </w:rPr>
        <w:t>and </w:t>
      </w:r>
      <w:r>
        <w:rPr>
          <w:w w:val="97"/>
        </w:rPr>
        <w:t>will </w:t>
      </w:r>
      <w:r>
        <w:rPr>
          <w:w w:val="98"/>
        </w:rPr>
        <w:t>begin </w:t>
      </w:r>
      <w:r>
        <w:rPr>
          <w:w w:val="98"/>
        </w:rPr>
        <w:t>work </w:t>
      </w:r>
      <w:r>
        <w:rPr>
          <w:w w:val="95"/>
        </w:rPr>
        <w:t>in </w:t>
      </w:r>
      <w:r>
        <w:rPr>
          <w:w w:val="96"/>
        </w:rPr>
        <w:t>early </w:t>
      </w:r>
      <w:r>
        <w:rPr>
          <w:w w:val="85"/>
        </w:rPr>
        <w:t>2016.</w:t>
      </w:r>
    </w:p>
    <w:p>
      <w:pPr>
        <w:pStyle w:val="BodyText"/>
        <w:rPr>
          <w:sz w:val="14"/>
        </w:rPr>
      </w:pPr>
    </w:p>
    <w:p>
      <w:pPr>
        <w:pStyle w:val="BodyText"/>
        <w:spacing w:line="249" w:lineRule="auto"/>
        <w:ind w:left="107" w:right="35"/>
      </w:pPr>
      <w:r>
        <w:rPr>
          <w:spacing w:val="2"/>
        </w:rPr>
        <w:t>CANR </w:t>
      </w:r>
      <w:r>
        <w:rPr/>
        <w:t>continues to achieve outstanding research results under Professor Parker. Located in the Ingham Institute at the Liverpool Hospital, staff members are </w:t>
      </w:r>
      <w:r>
        <w:rPr>
          <w:spacing w:val="2"/>
        </w:rPr>
        <w:t>embedded </w:t>
      </w:r>
      <w:r>
        <w:rPr/>
        <w:t>in one of the region’s fastest growing local health districts, creating a collaborative</w:t>
      </w:r>
      <w:r>
        <w:rPr>
          <w:spacing w:val="-21"/>
        </w:rPr>
        <w:t> </w:t>
      </w:r>
      <w:r>
        <w:rPr/>
        <w:t>research</w:t>
      </w:r>
      <w:r>
        <w:rPr>
          <w:spacing w:val="-21"/>
        </w:rPr>
        <w:t> </w:t>
      </w:r>
      <w:r>
        <w:rPr/>
        <w:t>hub</w:t>
      </w:r>
      <w:r>
        <w:rPr>
          <w:spacing w:val="-21"/>
        </w:rPr>
        <w:t> </w:t>
      </w:r>
      <w:r>
        <w:rPr/>
        <w:t>with</w:t>
      </w:r>
      <w:r>
        <w:rPr>
          <w:spacing w:val="-21"/>
        </w:rPr>
        <w:t> </w:t>
      </w:r>
      <w:r>
        <w:rPr/>
        <w:t>clinicians.</w:t>
      </w:r>
      <w:r>
        <w:rPr>
          <w:spacing w:val="-21"/>
        </w:rPr>
        <w:t> </w:t>
      </w:r>
      <w:r>
        <w:rPr/>
        <w:t>The major areas of research are patient safety, women and children, cross-cultural health, and health literacy. Dr George’s project, the online</w:t>
      </w:r>
      <w:r>
        <w:rPr>
          <w:spacing w:val="-24"/>
        </w:rPr>
        <w:t> </w:t>
      </w:r>
      <w:r>
        <w:rPr/>
        <w:t>Midwifery-Initiated</w:t>
      </w:r>
      <w:r>
        <w:rPr>
          <w:spacing w:val="-24"/>
        </w:rPr>
        <w:t> </w:t>
      </w:r>
      <w:r>
        <w:rPr/>
        <w:t>Oral</w:t>
      </w:r>
      <w:r>
        <w:rPr>
          <w:spacing w:val="-24"/>
        </w:rPr>
        <w:t> </w:t>
      </w:r>
      <w:r>
        <w:rPr/>
        <w:t>Health</w:t>
      </w:r>
      <w:r>
        <w:rPr>
          <w:spacing w:val="-24"/>
        </w:rPr>
        <w:t> </w:t>
      </w:r>
      <w:r>
        <w:rPr>
          <w:spacing w:val="2"/>
        </w:rPr>
        <w:t>(MIOH) </w:t>
      </w:r>
      <w:r>
        <w:rPr/>
        <w:t>program,</w:t>
      </w:r>
      <w:r>
        <w:rPr>
          <w:spacing w:val="-18"/>
        </w:rPr>
        <w:t> </w:t>
      </w:r>
      <w:r>
        <w:rPr/>
        <w:t>is</w:t>
      </w:r>
      <w:r>
        <w:rPr>
          <w:spacing w:val="-18"/>
        </w:rPr>
        <w:t> </w:t>
      </w:r>
      <w:r>
        <w:rPr/>
        <w:t>being</w:t>
      </w:r>
      <w:r>
        <w:rPr>
          <w:spacing w:val="-18"/>
        </w:rPr>
        <w:t> </w:t>
      </w:r>
      <w:r>
        <w:rPr/>
        <w:t>implemented</w:t>
      </w:r>
      <w:r>
        <w:rPr>
          <w:spacing w:val="-18"/>
        </w:rPr>
        <w:t> </w:t>
      </w:r>
      <w:r>
        <w:rPr/>
        <w:t>across</w:t>
      </w:r>
      <w:r>
        <w:rPr>
          <w:spacing w:val="-18"/>
        </w:rPr>
        <w:t> </w:t>
      </w:r>
      <w:r>
        <w:rPr/>
        <w:t>several states</w:t>
      </w:r>
      <w:r>
        <w:rPr>
          <w:spacing w:val="-14"/>
        </w:rPr>
        <w:t> </w:t>
      </w:r>
      <w:r>
        <w:rPr/>
        <w:t>and</w:t>
      </w:r>
      <w:r>
        <w:rPr>
          <w:spacing w:val="-14"/>
        </w:rPr>
        <w:t> </w:t>
      </w:r>
      <w:r>
        <w:rPr/>
        <w:t>the</w:t>
      </w:r>
      <w:r>
        <w:rPr>
          <w:spacing w:val="-14"/>
        </w:rPr>
        <w:t> </w:t>
      </w:r>
      <w:r>
        <w:rPr/>
        <w:t>Australian</w:t>
      </w:r>
      <w:r>
        <w:rPr>
          <w:spacing w:val="-14"/>
        </w:rPr>
        <w:t> </w:t>
      </w:r>
      <w:r>
        <w:rPr/>
        <w:t>College</w:t>
      </w:r>
      <w:r>
        <w:rPr>
          <w:spacing w:val="-14"/>
        </w:rPr>
        <w:t> </w:t>
      </w:r>
      <w:r>
        <w:rPr/>
        <w:t>of</w:t>
      </w:r>
      <w:r>
        <w:rPr>
          <w:spacing w:val="-14"/>
        </w:rPr>
        <w:t> </w:t>
      </w:r>
      <w:r>
        <w:rPr/>
        <w:t>Midwives has endorsed it as a continuing professional development (CPD) activity. It is currently being used for CPD across several health districts. A </w:t>
      </w:r>
      <w:r>
        <w:rPr>
          <w:spacing w:val="2"/>
        </w:rPr>
        <w:t>CANR </w:t>
      </w:r>
      <w:r>
        <w:rPr/>
        <w:t>project, Implementation of a Safety Huddle for Falls and Near Miss Falls in a Rehabilitation Unit, beat more than 50 submissions in its category to be awarded Highly Commended in the Australian Council </w:t>
      </w:r>
      <w:r>
        <w:rPr>
          <w:spacing w:val="1"/>
          <w:w w:val="98"/>
        </w:rPr>
        <w:t>on</w:t>
      </w:r>
      <w:r>
        <w:rPr>
          <w:w w:val="98"/>
        </w:rPr>
        <w:t> </w:t>
      </w:r>
      <w:r>
        <w:rPr>
          <w:spacing w:val="1"/>
          <w:w w:val="96"/>
        </w:rPr>
        <w:t>Healthcare</w:t>
      </w:r>
      <w:r>
        <w:rPr>
          <w:w w:val="96"/>
        </w:rPr>
        <w:t> </w:t>
      </w:r>
      <w:r>
        <w:rPr>
          <w:spacing w:val="1"/>
          <w:w w:val="97"/>
        </w:rPr>
        <w:t>Standards</w:t>
      </w:r>
      <w:r>
        <w:rPr>
          <w:w w:val="97"/>
        </w:rPr>
        <w:t> </w:t>
      </w:r>
      <w:r>
        <w:rPr>
          <w:spacing w:val="1"/>
          <w:w w:val="88"/>
        </w:rPr>
        <w:t>2015</w:t>
      </w:r>
      <w:r>
        <w:rPr>
          <w:w w:val="88"/>
        </w:rPr>
        <w:t> </w:t>
      </w:r>
      <w:r>
        <w:rPr>
          <w:spacing w:val="1"/>
          <w:w w:val="98"/>
        </w:rPr>
        <w:t>Annual</w:t>
      </w:r>
      <w:r>
        <w:rPr>
          <w:w w:val="98"/>
        </w:rPr>
        <w:t> </w:t>
      </w:r>
      <w:r>
        <w:rPr>
          <w:spacing w:val="1"/>
          <w:w w:val="98"/>
        </w:rPr>
        <w:t>Quality</w:t>
      </w:r>
      <w:r>
        <w:rPr>
          <w:w w:val="98"/>
        </w:rPr>
        <w:t> </w:t>
      </w:r>
      <w:r>
        <w:rPr>
          <w:w w:val="95"/>
        </w:rPr>
        <w:t>Improvement</w:t>
      </w:r>
      <w:r>
        <w:rPr>
          <w:spacing w:val="34"/>
          <w:w w:val="95"/>
        </w:rPr>
        <w:t> </w:t>
      </w:r>
      <w:r>
        <w:rPr>
          <w:w w:val="95"/>
        </w:rPr>
        <w:t>Awards.</w:t>
      </w:r>
    </w:p>
    <w:p>
      <w:pPr>
        <w:pStyle w:val="BodyText"/>
        <w:rPr>
          <w:sz w:val="14"/>
        </w:rPr>
      </w:pPr>
    </w:p>
    <w:p>
      <w:pPr>
        <w:pStyle w:val="BodyText"/>
        <w:spacing w:line="249" w:lineRule="auto"/>
        <w:ind w:left="107" w:right="77"/>
      </w:pPr>
      <w:r>
        <w:rPr/>
        <w:t>The Centre for Nursing Research and Practice Development (CNRPD) located at Nepean Hospital, a joint venture between the University and Nepean Blue Mountains Local Health District (NBMLHD), encourages collaborative research by seconding clinical nurse consultants and through education</w:t>
      </w:r>
    </w:p>
    <w:p>
      <w:pPr>
        <w:pStyle w:val="BodyText"/>
        <w:spacing w:line="192" w:lineRule="exact"/>
        <w:ind w:left="107"/>
      </w:pPr>
      <w:r>
        <w:rPr/>
        <w:t>sessions</w:t>
      </w:r>
      <w:r>
        <w:rPr>
          <w:spacing w:val="-20"/>
        </w:rPr>
        <w:t> </w:t>
      </w:r>
      <w:r>
        <w:rPr/>
        <w:t>with</w:t>
      </w:r>
      <w:r>
        <w:rPr>
          <w:spacing w:val="-20"/>
        </w:rPr>
        <w:t> </w:t>
      </w:r>
      <w:r>
        <w:rPr/>
        <w:t>nurses</w:t>
      </w:r>
      <w:r>
        <w:rPr>
          <w:spacing w:val="-20"/>
        </w:rPr>
        <w:t> </w:t>
      </w:r>
      <w:r>
        <w:rPr/>
        <w:t>in</w:t>
      </w:r>
      <w:r>
        <w:rPr>
          <w:spacing w:val="-20"/>
        </w:rPr>
        <w:t> </w:t>
      </w:r>
      <w:r>
        <w:rPr/>
        <w:t>the</w:t>
      </w:r>
      <w:r>
        <w:rPr>
          <w:spacing w:val="-20"/>
        </w:rPr>
        <w:t> </w:t>
      </w:r>
      <w:r>
        <w:rPr/>
        <w:t>local</w:t>
      </w:r>
      <w:r>
        <w:rPr>
          <w:spacing w:val="-20"/>
        </w:rPr>
        <w:t> </w:t>
      </w:r>
      <w:r>
        <w:rPr/>
        <w:t>health</w:t>
      </w:r>
      <w:r>
        <w:rPr>
          <w:spacing w:val="-20"/>
        </w:rPr>
        <w:t> </w:t>
      </w:r>
      <w:r>
        <w:rPr/>
        <w:t>district.</w:t>
      </w:r>
    </w:p>
    <w:p>
      <w:pPr>
        <w:pStyle w:val="BodyText"/>
        <w:spacing w:before="7"/>
        <w:rPr>
          <w:sz w:val="14"/>
        </w:rPr>
      </w:pPr>
    </w:p>
    <w:p>
      <w:pPr>
        <w:pStyle w:val="BodyText"/>
        <w:spacing w:line="249" w:lineRule="auto" w:before="1"/>
        <w:ind w:left="107" w:right="108"/>
      </w:pPr>
      <w:r>
        <w:rPr>
          <w:w w:val="80"/>
        </w:rPr>
        <w:t>In </w:t>
      </w:r>
      <w:r>
        <w:rPr>
          <w:w w:val="84"/>
        </w:rPr>
        <w:t>2015, </w:t>
      </w:r>
      <w:r>
        <w:rPr>
          <w:w w:val="97"/>
        </w:rPr>
        <w:t>the </w:t>
      </w:r>
      <w:r>
        <w:rPr>
          <w:w w:val="97"/>
        </w:rPr>
        <w:t>centre’s </w:t>
      </w:r>
      <w:r>
        <w:rPr>
          <w:w w:val="96"/>
        </w:rPr>
        <w:t>research </w:t>
      </w:r>
      <w:r>
        <w:rPr>
          <w:w w:val="95"/>
        </w:rPr>
        <w:t>areas </w:t>
      </w:r>
      <w:r>
        <w:rPr>
          <w:w w:val="98"/>
        </w:rPr>
        <w:t>included </w:t>
      </w:r>
      <w:r>
        <w:rPr/>
        <w:t>Nurse Roles and Workforce, Essentials of Care, Migrant Health and Clinical Practice Standards. CNRPD also facilitates writing retreats for staff members and students, encouraging and supporting research and enabling interaction and collaboration between early career researchers and experienced researchers. This increases the School’s research capacity.</w:t>
      </w:r>
    </w:p>
    <w:p>
      <w:pPr>
        <w:pStyle w:val="BodyText"/>
        <w:rPr>
          <w:sz w:val="14"/>
        </w:rPr>
      </w:pPr>
    </w:p>
    <w:p>
      <w:pPr>
        <w:pStyle w:val="BodyText"/>
        <w:spacing w:line="249" w:lineRule="auto"/>
        <w:ind w:left="107" w:right="37"/>
      </w:pPr>
      <w:r>
        <w:rPr>
          <w:spacing w:val="-4"/>
        </w:rPr>
        <w:t>Two </w:t>
      </w:r>
      <w:r>
        <w:rPr/>
        <w:t>new research groups have been established:</w:t>
      </w:r>
      <w:r>
        <w:rPr>
          <w:spacing w:val="-26"/>
        </w:rPr>
        <w:t> </w:t>
      </w:r>
      <w:r>
        <w:rPr/>
        <w:t>Translational</w:t>
      </w:r>
      <w:r>
        <w:rPr>
          <w:spacing w:val="-26"/>
        </w:rPr>
        <w:t> </w:t>
      </w:r>
      <w:r>
        <w:rPr/>
        <w:t>Research</w:t>
      </w:r>
      <w:r>
        <w:rPr>
          <w:spacing w:val="-26"/>
        </w:rPr>
        <w:t> </w:t>
      </w:r>
      <w:r>
        <w:rPr/>
        <w:t>and</w:t>
      </w:r>
      <w:r>
        <w:rPr>
          <w:spacing w:val="-26"/>
        </w:rPr>
        <w:t> </w:t>
      </w:r>
      <w:r>
        <w:rPr/>
        <w:t>Social Innovation</w:t>
      </w:r>
      <w:r>
        <w:rPr>
          <w:spacing w:val="-23"/>
        </w:rPr>
        <w:t> </w:t>
      </w:r>
      <w:r>
        <w:rPr/>
        <w:t>(TReSI)</w:t>
      </w:r>
      <w:r>
        <w:rPr>
          <w:spacing w:val="-23"/>
        </w:rPr>
        <w:t> </w:t>
      </w:r>
      <w:r>
        <w:rPr/>
        <w:t>and</w:t>
      </w:r>
      <w:r>
        <w:rPr>
          <w:spacing w:val="-23"/>
        </w:rPr>
        <w:t> </w:t>
      </w:r>
      <w:r>
        <w:rPr/>
        <w:t>Collaboration</w:t>
      </w:r>
      <w:r>
        <w:rPr>
          <w:spacing w:val="-23"/>
        </w:rPr>
        <w:t> </w:t>
      </w:r>
      <w:r>
        <w:rPr/>
        <w:t>for</w:t>
      </w:r>
      <w:r>
        <w:rPr>
          <w:spacing w:val="-23"/>
        </w:rPr>
        <w:t> </w:t>
      </w:r>
      <w:r>
        <w:rPr/>
        <w:t>Oral</w:t>
      </w:r>
    </w:p>
    <w:p>
      <w:pPr>
        <w:pStyle w:val="BodyText"/>
        <w:spacing w:before="9"/>
      </w:pPr>
      <w:r>
        <w:rPr/>
        <w:br w:type="column"/>
      </w:r>
      <w:r>
        <w:rPr/>
      </w:r>
    </w:p>
    <w:p>
      <w:pPr>
        <w:pStyle w:val="BodyText"/>
        <w:spacing w:line="249" w:lineRule="auto" w:before="1"/>
        <w:ind w:left="107" w:right="157"/>
      </w:pPr>
      <w:r>
        <w:rPr/>
        <w:t>Health Outcomes, Research, Translation and Evaluation</w:t>
      </w:r>
      <w:r>
        <w:rPr>
          <w:spacing w:val="-18"/>
        </w:rPr>
        <w:t> </w:t>
      </w:r>
      <w:r>
        <w:rPr/>
        <w:t>(COHORTE).</w:t>
      </w:r>
      <w:r>
        <w:rPr>
          <w:spacing w:val="-18"/>
        </w:rPr>
        <w:t> </w:t>
      </w:r>
      <w:r>
        <w:rPr/>
        <w:t>Both</w:t>
      </w:r>
      <w:r>
        <w:rPr>
          <w:spacing w:val="-18"/>
        </w:rPr>
        <w:t> </w:t>
      </w:r>
      <w:r>
        <w:rPr/>
        <w:t>are</w:t>
      </w:r>
      <w:r>
        <w:rPr>
          <w:spacing w:val="-18"/>
        </w:rPr>
        <w:t> </w:t>
      </w:r>
      <w:r>
        <w:rPr/>
        <w:t>based</w:t>
      </w:r>
      <w:r>
        <w:rPr>
          <w:spacing w:val="-18"/>
        </w:rPr>
        <w:t> </w:t>
      </w:r>
      <w:r>
        <w:rPr/>
        <w:t>at</w:t>
      </w:r>
      <w:r>
        <w:rPr>
          <w:spacing w:val="-18"/>
        </w:rPr>
        <w:t> </w:t>
      </w:r>
      <w:r>
        <w:rPr/>
        <w:t>the Ingham</w:t>
      </w:r>
      <w:r>
        <w:rPr>
          <w:spacing w:val="-18"/>
        </w:rPr>
        <w:t> </w:t>
      </w:r>
      <w:r>
        <w:rPr/>
        <w:t>Institute</w:t>
      </w:r>
      <w:r>
        <w:rPr>
          <w:spacing w:val="-18"/>
        </w:rPr>
        <w:t> </w:t>
      </w:r>
      <w:r>
        <w:rPr/>
        <w:t>of</w:t>
      </w:r>
      <w:r>
        <w:rPr>
          <w:spacing w:val="-18"/>
        </w:rPr>
        <w:t> </w:t>
      </w:r>
      <w:r>
        <w:rPr/>
        <w:t>Applied</w:t>
      </w:r>
      <w:r>
        <w:rPr>
          <w:spacing w:val="-18"/>
        </w:rPr>
        <w:t> </w:t>
      </w:r>
      <w:r>
        <w:rPr/>
        <w:t>Medical</w:t>
      </w:r>
      <w:r>
        <w:rPr>
          <w:spacing w:val="-18"/>
        </w:rPr>
        <w:t> </w:t>
      </w:r>
      <w:r>
        <w:rPr/>
        <w:t>Research at</w:t>
      </w:r>
      <w:r>
        <w:rPr>
          <w:spacing w:val="-20"/>
        </w:rPr>
        <w:t> </w:t>
      </w:r>
      <w:r>
        <w:rPr/>
        <w:t>SWSLHD.</w:t>
      </w:r>
    </w:p>
    <w:p>
      <w:pPr>
        <w:pStyle w:val="BodyText"/>
        <w:rPr>
          <w:sz w:val="14"/>
        </w:rPr>
      </w:pPr>
    </w:p>
    <w:p>
      <w:pPr>
        <w:pStyle w:val="BodyText"/>
        <w:spacing w:line="249" w:lineRule="auto"/>
        <w:ind w:left="107" w:right="95"/>
      </w:pPr>
      <w:r>
        <w:rPr>
          <w:spacing w:val="2"/>
        </w:rPr>
        <w:t>TReSI,</w:t>
      </w:r>
      <w:r>
        <w:rPr>
          <w:spacing w:val="-20"/>
        </w:rPr>
        <w:t> </w:t>
      </w:r>
      <w:r>
        <w:rPr/>
        <w:t>led</w:t>
      </w:r>
      <w:r>
        <w:rPr>
          <w:spacing w:val="-20"/>
        </w:rPr>
        <w:t> </w:t>
      </w:r>
      <w:r>
        <w:rPr/>
        <w:t>by</w:t>
      </w:r>
      <w:r>
        <w:rPr>
          <w:spacing w:val="-20"/>
        </w:rPr>
        <w:t> </w:t>
      </w:r>
      <w:r>
        <w:rPr/>
        <w:t>Professor</w:t>
      </w:r>
      <w:r>
        <w:rPr>
          <w:spacing w:val="-20"/>
        </w:rPr>
        <w:t> </w:t>
      </w:r>
      <w:r>
        <w:rPr/>
        <w:t>Lynn</w:t>
      </w:r>
      <w:r>
        <w:rPr>
          <w:spacing w:val="-20"/>
        </w:rPr>
        <w:t> </w:t>
      </w:r>
      <w:r>
        <w:rPr/>
        <w:t>Kemp,</w:t>
      </w:r>
      <w:r>
        <w:rPr>
          <w:spacing w:val="-20"/>
        </w:rPr>
        <w:t> </w:t>
      </w:r>
      <w:r>
        <w:rPr/>
        <w:t>is</w:t>
      </w:r>
      <w:r>
        <w:rPr>
          <w:spacing w:val="-20"/>
        </w:rPr>
        <w:t> </w:t>
      </w:r>
      <w:r>
        <w:rPr/>
        <w:t>located at the Ingham Institute and researches the processes for community-based delivery to whole</w:t>
      </w:r>
      <w:r>
        <w:rPr>
          <w:spacing w:val="-22"/>
        </w:rPr>
        <w:t> </w:t>
      </w:r>
      <w:r>
        <w:rPr/>
        <w:t>populations</w:t>
      </w:r>
      <w:r>
        <w:rPr>
          <w:spacing w:val="-22"/>
        </w:rPr>
        <w:t> </w:t>
      </w:r>
      <w:r>
        <w:rPr/>
        <w:t>at</w:t>
      </w:r>
      <w:r>
        <w:rPr>
          <w:spacing w:val="-22"/>
        </w:rPr>
        <w:t> </w:t>
      </w:r>
      <w:r>
        <w:rPr/>
        <w:t>scale.</w:t>
      </w:r>
      <w:r>
        <w:rPr>
          <w:spacing w:val="-22"/>
        </w:rPr>
        <w:t> </w:t>
      </w:r>
      <w:r>
        <w:rPr/>
        <w:t>Currently,</w:t>
      </w:r>
      <w:r>
        <w:rPr>
          <w:spacing w:val="-22"/>
        </w:rPr>
        <w:t> </w:t>
      </w:r>
      <w:r>
        <w:rPr/>
        <w:t>TReSI’s work focuses on early childhood services and developing</w:t>
      </w:r>
      <w:r>
        <w:rPr>
          <w:spacing w:val="-17"/>
        </w:rPr>
        <w:t> </w:t>
      </w:r>
      <w:r>
        <w:rPr/>
        <w:t>research</w:t>
      </w:r>
      <w:r>
        <w:rPr>
          <w:spacing w:val="-17"/>
        </w:rPr>
        <w:t> </w:t>
      </w:r>
      <w:r>
        <w:rPr/>
        <w:t>methods</w:t>
      </w:r>
      <w:r>
        <w:rPr>
          <w:spacing w:val="-17"/>
        </w:rPr>
        <w:t> </w:t>
      </w:r>
      <w:r>
        <w:rPr/>
        <w:t>and</w:t>
      </w:r>
      <w:r>
        <w:rPr>
          <w:spacing w:val="-17"/>
        </w:rPr>
        <w:t> </w:t>
      </w:r>
      <w:r>
        <w:rPr/>
        <w:t>frameworks for</w:t>
      </w:r>
      <w:r>
        <w:rPr>
          <w:spacing w:val="-25"/>
        </w:rPr>
        <w:t> </w:t>
      </w:r>
      <w:r>
        <w:rPr/>
        <w:t>translational</w:t>
      </w:r>
      <w:r>
        <w:rPr>
          <w:spacing w:val="-25"/>
        </w:rPr>
        <w:t> </w:t>
      </w:r>
      <w:r>
        <w:rPr/>
        <w:t>research.</w:t>
      </w:r>
      <w:r>
        <w:rPr>
          <w:spacing w:val="-25"/>
        </w:rPr>
        <w:t> </w:t>
      </w:r>
      <w:r>
        <w:rPr/>
        <w:t>These</w:t>
      </w:r>
      <w:r>
        <w:rPr>
          <w:spacing w:val="-25"/>
        </w:rPr>
        <w:t> </w:t>
      </w:r>
      <w:r>
        <w:rPr/>
        <w:t>methods</w:t>
      </w:r>
      <w:r>
        <w:rPr>
          <w:spacing w:val="-18"/>
        </w:rPr>
        <w:t> </w:t>
      </w:r>
      <w:r>
        <w:rPr/>
        <w:t>have wide application and are being explored for issues ranging from cancer treatments to health</w:t>
      </w:r>
      <w:r>
        <w:rPr>
          <w:spacing w:val="-20"/>
        </w:rPr>
        <w:t> </w:t>
      </w:r>
      <w:r>
        <w:rPr/>
        <w:t>policy</w:t>
      </w:r>
      <w:r>
        <w:rPr>
          <w:spacing w:val="-20"/>
        </w:rPr>
        <w:t> </w:t>
      </w:r>
      <w:r>
        <w:rPr/>
        <w:t>implementation.</w:t>
      </w:r>
      <w:r>
        <w:rPr>
          <w:spacing w:val="-20"/>
        </w:rPr>
        <w:t> </w:t>
      </w:r>
      <w:r>
        <w:rPr/>
        <w:t>It</w:t>
      </w:r>
      <w:r>
        <w:rPr>
          <w:spacing w:val="-20"/>
        </w:rPr>
        <w:t> </w:t>
      </w:r>
      <w:r>
        <w:rPr/>
        <w:t>has</w:t>
      </w:r>
      <w:r>
        <w:rPr>
          <w:spacing w:val="-20"/>
        </w:rPr>
        <w:t> </w:t>
      </w:r>
      <w:r>
        <w:rPr/>
        <w:t>two</w:t>
      </w:r>
      <w:r>
        <w:rPr>
          <w:spacing w:val="-20"/>
        </w:rPr>
        <w:t> </w:t>
      </w:r>
      <w:r>
        <w:rPr/>
        <w:t>major ongoing</w:t>
      </w:r>
      <w:r>
        <w:rPr>
          <w:spacing w:val="-27"/>
        </w:rPr>
        <w:t> </w:t>
      </w:r>
      <w:r>
        <w:rPr/>
        <w:t>projects</w:t>
      </w:r>
      <w:r>
        <w:rPr>
          <w:spacing w:val="-27"/>
        </w:rPr>
        <w:t> </w:t>
      </w:r>
      <w:r>
        <w:rPr/>
        <w:t>in</w:t>
      </w:r>
      <w:r>
        <w:rPr>
          <w:spacing w:val="-27"/>
        </w:rPr>
        <w:t> </w:t>
      </w:r>
      <w:r>
        <w:rPr/>
        <w:t>2015.</w:t>
      </w:r>
    </w:p>
    <w:p>
      <w:pPr>
        <w:pStyle w:val="BodyText"/>
        <w:spacing w:before="11"/>
        <w:rPr>
          <w:sz w:val="13"/>
        </w:rPr>
      </w:pPr>
    </w:p>
    <w:p>
      <w:pPr>
        <w:pStyle w:val="BodyText"/>
        <w:spacing w:line="247" w:lineRule="auto"/>
        <w:ind w:left="333" w:right="148" w:hanging="227"/>
      </w:pPr>
      <w:r>
        <w:rPr>
          <w:rFonts w:ascii="Century Gothic" w:hAnsi="Century Gothic"/>
          <w:b/>
          <w:w w:val="115"/>
        </w:rPr>
        <w:t>≥ </w:t>
      </w:r>
      <w:r>
        <w:rPr/>
        <w:t>The Maternal Early Childhood Sustained Home-visiting (MECSH) program is a complex intervention, which is embedded in the universal health visiting service</w:t>
      </w:r>
    </w:p>
    <w:p>
      <w:pPr>
        <w:pStyle w:val="BodyText"/>
        <w:spacing w:line="249" w:lineRule="auto" w:before="1"/>
        <w:ind w:left="333" w:right="270"/>
      </w:pPr>
      <w:r>
        <w:rPr/>
        <w:t>for the range of families (20–25 per cent of the population) who are at risk of poorer maternal and child health and</w:t>
      </w:r>
    </w:p>
    <w:p>
      <w:pPr>
        <w:pStyle w:val="BodyText"/>
        <w:spacing w:line="249" w:lineRule="auto"/>
        <w:ind w:left="333" w:right="193"/>
      </w:pPr>
      <w:r>
        <w:rPr/>
        <w:t>development outcomes. A MECSH trial in south-western Sydney demonstrated its effectiveness, and MECSH is now being implemented in Australia, the UK, South Korea and the US.</w:t>
      </w:r>
    </w:p>
    <w:p>
      <w:pPr>
        <w:pStyle w:val="BodyText"/>
        <w:spacing w:line="247" w:lineRule="auto" w:before="55"/>
        <w:ind w:left="333" w:right="31" w:hanging="227"/>
      </w:pPr>
      <w:r>
        <w:rPr>
          <w:rFonts w:ascii="Century Gothic" w:hAnsi="Century Gothic"/>
          <w:b/>
          <w:w w:val="115"/>
        </w:rPr>
        <w:t>≥ </w:t>
      </w:r>
      <w:r>
        <w:rPr/>
        <w:t>Volunteer Family Connect (VFC) is a program for volunteer home visiting for vulnerable and isolated families with young children. The TReSI group is collaborating with service providers (The Benevolent Society, Good Beginnings Australia and Karitane) to develop and trial the VFC program.</w:t>
      </w:r>
    </w:p>
    <w:p>
      <w:pPr>
        <w:pStyle w:val="BodyText"/>
        <w:spacing w:before="2"/>
        <w:rPr>
          <w:sz w:val="14"/>
        </w:rPr>
      </w:pPr>
    </w:p>
    <w:p>
      <w:pPr>
        <w:pStyle w:val="BodyText"/>
        <w:spacing w:line="249" w:lineRule="auto"/>
        <w:ind w:left="107" w:right="137"/>
      </w:pPr>
      <w:r>
        <w:rPr/>
        <w:t>The COHORTE research group is a dedicated translational oral health research group</w:t>
      </w:r>
    </w:p>
    <w:p>
      <w:pPr>
        <w:pStyle w:val="BodyText"/>
        <w:spacing w:line="249" w:lineRule="auto"/>
        <w:ind w:left="107" w:right="182"/>
      </w:pPr>
      <w:r>
        <w:rPr/>
        <w:t>led by Dr George. It is a joint collaboration between SoNM and SWSLHD Oral Health Services. COHORTE is affiliated with CANR and its primary role is to build the capacity of nurses and midwives to provide oral health education, assessment and referrals in various clinical services in the SWSLHD. These services include antenatal, paediatric, cardiovascular, diabetes, aged care, drug health and Aboriginal health. The group currently has two higher degree research students who are investigating the link between oral health and cardiovascular diseases/diabetes and the potential role of</w:t>
      </w:r>
    </w:p>
    <w:p>
      <w:pPr>
        <w:spacing w:after="0" w:line="249" w:lineRule="auto"/>
        <w:sectPr>
          <w:type w:val="continuous"/>
          <w:pgSz w:w="11910" w:h="16840"/>
          <w:pgMar w:top="1580" w:bottom="280" w:left="800" w:right="800"/>
          <w:cols w:num="3" w:equalWidth="0">
            <w:col w:w="3320" w:space="119"/>
            <w:col w:w="3320" w:space="120"/>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262"/>
      </w:pPr>
      <w:r>
        <w:rPr/>
        <w:t>cardiac rehabilitation nurses and diabetes nurse educators in this area.</w:t>
      </w:r>
    </w:p>
    <w:p>
      <w:pPr>
        <w:pStyle w:val="BodyText"/>
        <w:rPr>
          <w:sz w:val="14"/>
        </w:rPr>
      </w:pPr>
    </w:p>
    <w:p>
      <w:pPr>
        <w:pStyle w:val="BodyText"/>
        <w:spacing w:line="249" w:lineRule="auto"/>
        <w:ind w:left="107" w:right="13"/>
      </w:pPr>
      <w:r>
        <w:rPr/>
        <w:t>The</w:t>
      </w:r>
      <w:r>
        <w:rPr>
          <w:spacing w:val="-23"/>
        </w:rPr>
        <w:t> </w:t>
      </w:r>
      <w:r>
        <w:rPr/>
        <w:t>Mother</w:t>
      </w:r>
      <w:r>
        <w:rPr>
          <w:spacing w:val="-23"/>
        </w:rPr>
        <w:t> </w:t>
      </w:r>
      <w:r>
        <w:rPr/>
        <w:t>Infant</w:t>
      </w:r>
      <w:r>
        <w:rPr>
          <w:spacing w:val="-23"/>
        </w:rPr>
        <w:t> </w:t>
      </w:r>
      <w:r>
        <w:rPr/>
        <w:t>and</w:t>
      </w:r>
      <w:r>
        <w:rPr>
          <w:spacing w:val="-23"/>
        </w:rPr>
        <w:t> </w:t>
      </w:r>
      <w:r>
        <w:rPr/>
        <w:t>Family</w:t>
      </w:r>
      <w:r>
        <w:rPr>
          <w:spacing w:val="-23"/>
        </w:rPr>
        <w:t> </w:t>
      </w:r>
      <w:r>
        <w:rPr/>
        <w:t>Health</w:t>
      </w:r>
      <w:r>
        <w:rPr>
          <w:spacing w:val="-23"/>
        </w:rPr>
        <w:t> </w:t>
      </w:r>
      <w:r>
        <w:rPr/>
        <w:t>Research Network (MIFam), led by Professor Virginia Schmied and Professor Dahlen, has a strong presence in Sydney’s west, working with women, families, health and community groups, as well as with national and international</w:t>
      </w:r>
      <w:r>
        <w:rPr>
          <w:spacing w:val="-26"/>
        </w:rPr>
        <w:t> </w:t>
      </w:r>
      <w:r>
        <w:rPr/>
        <w:t>researchers.</w:t>
      </w:r>
      <w:r>
        <w:rPr>
          <w:spacing w:val="-26"/>
        </w:rPr>
        <w:t> </w:t>
      </w:r>
      <w:r>
        <w:rPr/>
        <w:t>The</w:t>
      </w:r>
      <w:r>
        <w:rPr>
          <w:spacing w:val="-26"/>
        </w:rPr>
        <w:t> </w:t>
      </w:r>
      <w:r>
        <w:rPr/>
        <w:t>program,</w:t>
      </w:r>
      <w:r>
        <w:rPr>
          <w:spacing w:val="-26"/>
        </w:rPr>
        <w:t> </w:t>
      </w:r>
      <w:r>
        <w:rPr/>
        <w:t>which is funded by the Australian Research Council in partnership with Karitane and Tresillian Family Care Centres, embraces the diversity of</w:t>
      </w:r>
      <w:r>
        <w:rPr>
          <w:spacing w:val="-17"/>
        </w:rPr>
        <w:t> </w:t>
      </w:r>
      <w:r>
        <w:rPr/>
        <w:t>cultures</w:t>
      </w:r>
      <w:r>
        <w:rPr>
          <w:spacing w:val="-17"/>
        </w:rPr>
        <w:t> </w:t>
      </w:r>
      <w:r>
        <w:rPr/>
        <w:t>and</w:t>
      </w:r>
      <w:r>
        <w:rPr>
          <w:spacing w:val="-17"/>
        </w:rPr>
        <w:t> </w:t>
      </w:r>
      <w:r>
        <w:rPr/>
        <w:t>groups</w:t>
      </w:r>
      <w:r>
        <w:rPr>
          <w:spacing w:val="-17"/>
        </w:rPr>
        <w:t> </w:t>
      </w:r>
      <w:r>
        <w:rPr/>
        <w:t>and</w:t>
      </w:r>
      <w:r>
        <w:rPr>
          <w:spacing w:val="-17"/>
        </w:rPr>
        <w:t> </w:t>
      </w:r>
      <w:r>
        <w:rPr/>
        <w:t>their</w:t>
      </w:r>
      <w:r>
        <w:rPr>
          <w:spacing w:val="-17"/>
        </w:rPr>
        <w:t> </w:t>
      </w:r>
      <w:r>
        <w:rPr/>
        <w:t>experiences. </w:t>
      </w:r>
      <w:r>
        <w:rPr>
          <w:spacing w:val="1"/>
          <w:w w:val="80"/>
        </w:rPr>
        <w:t>In</w:t>
      </w:r>
      <w:r>
        <w:rPr>
          <w:w w:val="80"/>
        </w:rPr>
        <w:t> </w:t>
      </w:r>
      <w:r>
        <w:rPr>
          <w:spacing w:val="1"/>
          <w:w w:val="84"/>
        </w:rPr>
        <w:t>2015,</w:t>
      </w:r>
      <w:r>
        <w:rPr>
          <w:w w:val="84"/>
        </w:rPr>
        <w:t> </w:t>
      </w:r>
      <w:r>
        <w:rPr>
          <w:w w:val="97"/>
        </w:rPr>
        <w:t>the </w:t>
      </w:r>
      <w:r>
        <w:rPr>
          <w:spacing w:val="1"/>
          <w:w w:val="98"/>
        </w:rPr>
        <w:t>program</w:t>
      </w:r>
      <w:r>
        <w:rPr>
          <w:w w:val="98"/>
        </w:rPr>
        <w:t> </w:t>
      </w:r>
      <w:r>
        <w:rPr>
          <w:spacing w:val="1"/>
          <w:w w:val="97"/>
        </w:rPr>
        <w:t>had</w:t>
      </w:r>
      <w:r>
        <w:rPr>
          <w:w w:val="97"/>
        </w:rPr>
        <w:t> </w:t>
      </w:r>
      <w:r>
        <w:rPr>
          <w:w w:val="101"/>
        </w:rPr>
        <w:t>two </w:t>
      </w:r>
      <w:r>
        <w:rPr>
          <w:spacing w:val="-1"/>
          <w:w w:val="98"/>
        </w:rPr>
        <w:t>key</w:t>
      </w:r>
      <w:r>
        <w:rPr>
          <w:w w:val="98"/>
        </w:rPr>
        <w:t> </w:t>
      </w:r>
      <w:r>
        <w:rPr>
          <w:spacing w:val="1"/>
          <w:w w:val="96"/>
        </w:rPr>
        <w:t>research</w:t>
      </w:r>
      <w:r>
        <w:rPr>
          <w:w w:val="96"/>
        </w:rPr>
        <w:t> </w:t>
      </w:r>
      <w:r>
        <w:rPr/>
        <w:t>projects:</w:t>
      </w:r>
    </w:p>
    <w:p>
      <w:pPr>
        <w:pStyle w:val="BodyText"/>
        <w:spacing w:before="11"/>
        <w:rPr>
          <w:sz w:val="13"/>
        </w:rPr>
      </w:pPr>
    </w:p>
    <w:p>
      <w:pPr>
        <w:pStyle w:val="BodyText"/>
        <w:spacing w:line="247" w:lineRule="auto"/>
        <w:ind w:left="333" w:right="94" w:hanging="227"/>
      </w:pPr>
      <w:r>
        <w:rPr>
          <w:rFonts w:ascii="Century Gothic" w:hAnsi="Century Gothic"/>
          <w:b/>
          <w:w w:val="115"/>
        </w:rPr>
        <w:t>≥  </w:t>
      </w:r>
      <w:r>
        <w:rPr/>
        <w:t>Characteristics, trends, co-admissions and service needs of women admitted to residential parenting services in the year following birth in NSW</w:t>
      </w:r>
    </w:p>
    <w:p>
      <w:pPr>
        <w:pStyle w:val="BodyText"/>
        <w:spacing w:line="247" w:lineRule="auto" w:before="57"/>
        <w:ind w:left="333" w:hanging="227"/>
      </w:pPr>
      <w:r>
        <w:rPr>
          <w:rFonts w:ascii="Century Gothic" w:hAnsi="Century Gothic"/>
          <w:b/>
          <w:w w:val="115"/>
        </w:rPr>
        <w:t>≥ </w:t>
      </w:r>
      <w:r>
        <w:rPr/>
        <w:t>POstnatal Processes and PathwaYs (POPPY): A study investigating postnatal pathways and care for women and their babies in NSW.</w:t>
      </w:r>
    </w:p>
    <w:p>
      <w:pPr>
        <w:pStyle w:val="BodyText"/>
        <w:spacing w:before="2"/>
        <w:rPr>
          <w:sz w:val="14"/>
        </w:rPr>
      </w:pPr>
    </w:p>
    <w:p>
      <w:pPr>
        <w:pStyle w:val="BodyText"/>
        <w:spacing w:line="249" w:lineRule="auto"/>
        <w:ind w:left="107" w:right="172"/>
      </w:pPr>
      <w:r>
        <w:rPr/>
        <w:t>Dr</w:t>
      </w:r>
      <w:r>
        <w:rPr>
          <w:spacing w:val="-19"/>
        </w:rPr>
        <w:t> </w:t>
      </w:r>
      <w:r>
        <w:rPr/>
        <w:t>Evan</w:t>
      </w:r>
      <w:r>
        <w:rPr>
          <w:spacing w:val="-19"/>
        </w:rPr>
        <w:t> </w:t>
      </w:r>
      <w:r>
        <w:rPr/>
        <w:t>Alexandrou’s</w:t>
      </w:r>
      <w:r>
        <w:rPr>
          <w:spacing w:val="-19"/>
        </w:rPr>
        <w:t> </w:t>
      </w:r>
      <w:r>
        <w:rPr/>
        <w:t>research</w:t>
      </w:r>
      <w:r>
        <w:rPr>
          <w:spacing w:val="-19"/>
        </w:rPr>
        <w:t> </w:t>
      </w:r>
      <w:r>
        <w:rPr/>
        <w:t>project,</w:t>
      </w:r>
      <w:r>
        <w:rPr>
          <w:spacing w:val="-19"/>
        </w:rPr>
        <w:t> </w:t>
      </w:r>
      <w:r>
        <w:rPr/>
        <w:t>‘One Million</w:t>
      </w:r>
      <w:r>
        <w:rPr>
          <w:spacing w:val="-22"/>
        </w:rPr>
        <w:t> </w:t>
      </w:r>
      <w:r>
        <w:rPr/>
        <w:t>Global</w:t>
      </w:r>
      <w:r>
        <w:rPr>
          <w:spacing w:val="-22"/>
        </w:rPr>
        <w:t> </w:t>
      </w:r>
      <w:r>
        <w:rPr/>
        <w:t>(OMG)</w:t>
      </w:r>
      <w:r>
        <w:rPr>
          <w:spacing w:val="-22"/>
        </w:rPr>
        <w:t> </w:t>
      </w:r>
      <w:r>
        <w:rPr/>
        <w:t>Peripheral</w:t>
      </w:r>
      <w:r>
        <w:rPr>
          <w:spacing w:val="-22"/>
        </w:rPr>
        <w:t> </w:t>
      </w:r>
      <w:r>
        <w:rPr/>
        <w:t>Intravenous Catheters’ Study into the impact of these catheters (PIVCs), is the first of its kind. It will</w:t>
      </w:r>
      <w:r>
        <w:rPr>
          <w:spacing w:val="-17"/>
        </w:rPr>
        <w:t> </w:t>
      </w:r>
      <w:r>
        <w:rPr/>
        <w:t>provide</w:t>
      </w:r>
      <w:r>
        <w:rPr>
          <w:spacing w:val="-17"/>
        </w:rPr>
        <w:t> </w:t>
      </w:r>
      <w:r>
        <w:rPr/>
        <w:t>a</w:t>
      </w:r>
      <w:r>
        <w:rPr>
          <w:spacing w:val="-17"/>
        </w:rPr>
        <w:t> </w:t>
      </w:r>
      <w:r>
        <w:rPr/>
        <w:t>snapshot</w:t>
      </w:r>
      <w:r>
        <w:rPr>
          <w:spacing w:val="-17"/>
        </w:rPr>
        <w:t> </w:t>
      </w:r>
      <w:r>
        <w:rPr/>
        <w:t>of</w:t>
      </w:r>
      <w:r>
        <w:rPr>
          <w:spacing w:val="-17"/>
        </w:rPr>
        <w:t> </w:t>
      </w:r>
      <w:r>
        <w:rPr/>
        <w:t>the</w:t>
      </w:r>
      <w:r>
        <w:rPr>
          <w:spacing w:val="-17"/>
        </w:rPr>
        <w:t> </w:t>
      </w:r>
      <w:r>
        <w:rPr/>
        <w:t>prevalence</w:t>
      </w:r>
    </w:p>
    <w:p>
      <w:pPr>
        <w:pStyle w:val="BodyText"/>
        <w:spacing w:line="249" w:lineRule="auto"/>
        <w:ind w:left="107" w:right="385"/>
      </w:pPr>
      <w:r>
        <w:rPr/>
        <w:t>of catheter use and complications, such as patient discomfort and delays in vital</w:t>
      </w:r>
    </w:p>
    <w:p>
      <w:pPr>
        <w:pStyle w:val="BodyText"/>
        <w:spacing w:line="249" w:lineRule="auto"/>
        <w:ind w:left="107" w:right="201"/>
      </w:pPr>
      <w:r>
        <w:rPr/>
        <w:t>treatment.</w:t>
      </w:r>
      <w:r>
        <w:rPr>
          <w:spacing w:val="-19"/>
        </w:rPr>
        <w:t> </w:t>
      </w:r>
      <w:r>
        <w:rPr/>
        <w:t>Most</w:t>
      </w:r>
      <w:r>
        <w:rPr>
          <w:spacing w:val="-19"/>
        </w:rPr>
        <w:t> </w:t>
      </w:r>
      <w:r>
        <w:rPr/>
        <w:t>research</w:t>
      </w:r>
      <w:r>
        <w:rPr>
          <w:spacing w:val="-19"/>
        </w:rPr>
        <w:t> </w:t>
      </w:r>
      <w:r>
        <w:rPr/>
        <w:t>relating</w:t>
      </w:r>
      <w:r>
        <w:rPr>
          <w:spacing w:val="-19"/>
        </w:rPr>
        <w:t> </w:t>
      </w:r>
      <w:r>
        <w:rPr/>
        <w:t>to</w:t>
      </w:r>
      <w:r>
        <w:rPr>
          <w:spacing w:val="-19"/>
        </w:rPr>
        <w:t> </w:t>
      </w:r>
      <w:r>
        <w:rPr/>
        <w:t>PIVCs is conducted and reported in economically developed nations, with their use and management in developing nations largely unknown.</w:t>
      </w:r>
      <w:r>
        <w:rPr>
          <w:spacing w:val="-21"/>
        </w:rPr>
        <w:t> </w:t>
      </w:r>
      <w:r>
        <w:rPr/>
        <w:t>Project</w:t>
      </w:r>
      <w:r>
        <w:rPr>
          <w:spacing w:val="-21"/>
        </w:rPr>
        <w:t> </w:t>
      </w:r>
      <w:r>
        <w:rPr/>
        <w:t>teams</w:t>
      </w:r>
      <w:r>
        <w:rPr>
          <w:spacing w:val="-21"/>
        </w:rPr>
        <w:t> </w:t>
      </w:r>
      <w:r>
        <w:rPr/>
        <w:t>at</w:t>
      </w:r>
      <w:r>
        <w:rPr>
          <w:spacing w:val="-21"/>
        </w:rPr>
        <w:t> </w:t>
      </w:r>
      <w:r>
        <w:rPr/>
        <w:t>Western</w:t>
      </w:r>
      <w:r>
        <w:rPr>
          <w:spacing w:val="-21"/>
        </w:rPr>
        <w:t> </w:t>
      </w:r>
      <w:r>
        <w:rPr/>
        <w:t>Sydney</w:t>
      </w:r>
    </w:p>
    <w:p>
      <w:pPr>
        <w:pStyle w:val="BodyText"/>
        <w:spacing w:line="249" w:lineRule="auto"/>
        <w:ind w:left="107"/>
      </w:pPr>
      <w:r>
        <w:rPr/>
        <w:t>University</w:t>
      </w:r>
      <w:r>
        <w:rPr>
          <w:spacing w:val="-18"/>
        </w:rPr>
        <w:t> </w:t>
      </w:r>
      <w:r>
        <w:rPr/>
        <w:t>and</w:t>
      </w:r>
      <w:r>
        <w:rPr>
          <w:spacing w:val="-18"/>
        </w:rPr>
        <w:t> </w:t>
      </w:r>
      <w:r>
        <w:rPr/>
        <w:t>Griffith</w:t>
      </w:r>
      <w:r>
        <w:rPr>
          <w:spacing w:val="-18"/>
        </w:rPr>
        <w:t> </w:t>
      </w:r>
      <w:r>
        <w:rPr/>
        <w:t>University</w:t>
      </w:r>
      <w:r>
        <w:rPr>
          <w:spacing w:val="-18"/>
        </w:rPr>
        <w:t> </w:t>
      </w:r>
      <w:r>
        <w:rPr/>
        <w:t>are</w:t>
      </w:r>
      <w:r>
        <w:rPr>
          <w:spacing w:val="-18"/>
        </w:rPr>
        <w:t> </w:t>
      </w:r>
      <w:r>
        <w:rPr/>
        <w:t>surveying the research, and results are expected later this</w:t>
      </w:r>
      <w:r>
        <w:rPr>
          <w:spacing w:val="-19"/>
        </w:rPr>
        <w:t> </w:t>
      </w:r>
      <w:r>
        <w:rPr/>
        <w:t>year.</w:t>
      </w:r>
      <w:r>
        <w:rPr>
          <w:spacing w:val="-19"/>
        </w:rPr>
        <w:t> </w:t>
      </w:r>
      <w:r>
        <w:rPr/>
        <w:t>This</w:t>
      </w:r>
      <w:r>
        <w:rPr>
          <w:spacing w:val="-19"/>
        </w:rPr>
        <w:t> </w:t>
      </w:r>
      <w:r>
        <w:rPr/>
        <w:t>unfunded</w:t>
      </w:r>
      <w:r>
        <w:rPr>
          <w:spacing w:val="-19"/>
        </w:rPr>
        <w:t> </w:t>
      </w:r>
      <w:r>
        <w:rPr/>
        <w:t>study</w:t>
      </w:r>
      <w:r>
        <w:rPr>
          <w:spacing w:val="-19"/>
        </w:rPr>
        <w:t> </w:t>
      </w:r>
      <w:r>
        <w:rPr/>
        <w:t>has</w:t>
      </w:r>
      <w:r>
        <w:rPr>
          <w:spacing w:val="-19"/>
        </w:rPr>
        <w:t> </w:t>
      </w:r>
      <w:r>
        <w:rPr/>
        <w:t>gone</w:t>
      </w:r>
      <w:r>
        <w:rPr>
          <w:spacing w:val="-19"/>
        </w:rPr>
        <w:t> </w:t>
      </w:r>
      <w:r>
        <w:rPr/>
        <w:t>global (more</w:t>
      </w:r>
      <w:r>
        <w:rPr>
          <w:spacing w:val="-14"/>
        </w:rPr>
        <w:t> </w:t>
      </w:r>
      <w:r>
        <w:rPr/>
        <w:t>than</w:t>
      </w:r>
      <w:r>
        <w:rPr>
          <w:spacing w:val="-14"/>
        </w:rPr>
        <w:t> </w:t>
      </w:r>
      <w:r>
        <w:rPr>
          <w:spacing w:val="2"/>
        </w:rPr>
        <w:t>400</w:t>
      </w:r>
      <w:r>
        <w:rPr>
          <w:spacing w:val="-14"/>
        </w:rPr>
        <w:t> </w:t>
      </w:r>
      <w:r>
        <w:rPr/>
        <w:t>hospitals</w:t>
      </w:r>
      <w:r>
        <w:rPr>
          <w:spacing w:val="-14"/>
        </w:rPr>
        <w:t> </w:t>
      </w:r>
      <w:r>
        <w:rPr/>
        <w:t>in</w:t>
      </w:r>
      <w:r>
        <w:rPr>
          <w:spacing w:val="-14"/>
        </w:rPr>
        <w:t> </w:t>
      </w:r>
      <w:r>
        <w:rPr/>
        <w:t>65</w:t>
      </w:r>
      <w:r>
        <w:rPr>
          <w:spacing w:val="-14"/>
        </w:rPr>
        <w:t> </w:t>
      </w:r>
      <w:r>
        <w:rPr/>
        <w:t>countries</w:t>
      </w:r>
    </w:p>
    <w:p>
      <w:pPr>
        <w:pStyle w:val="BodyText"/>
        <w:spacing w:line="249" w:lineRule="auto"/>
        <w:ind w:left="107" w:right="71"/>
      </w:pPr>
      <w:r>
        <w:rPr/>
        <w:t>are participating), resonating with clinicians, particularly nurses, worldwide.</w:t>
      </w:r>
    </w:p>
    <w:p>
      <w:pPr>
        <w:pStyle w:val="BodyText"/>
        <w:spacing w:before="7"/>
        <w:rPr>
          <w:sz w:val="21"/>
        </w:rPr>
      </w:pPr>
    </w:p>
    <w:p>
      <w:pPr>
        <w:pStyle w:val="Heading8"/>
      </w:pPr>
      <w:r>
        <w:rPr/>
        <w:t>GRANTS</w:t>
      </w:r>
    </w:p>
    <w:p>
      <w:pPr>
        <w:pStyle w:val="BodyText"/>
        <w:spacing w:line="249" w:lineRule="auto" w:before="86"/>
        <w:ind w:left="107" w:right="142"/>
      </w:pPr>
      <w:r>
        <w:rPr/>
        <w:t>Professor</w:t>
      </w:r>
      <w:r>
        <w:rPr>
          <w:spacing w:val="-14"/>
        </w:rPr>
        <w:t> </w:t>
      </w:r>
      <w:r>
        <w:rPr/>
        <w:t>Esther</w:t>
      </w:r>
      <w:r>
        <w:rPr>
          <w:spacing w:val="-14"/>
        </w:rPr>
        <w:t> </w:t>
      </w:r>
      <w:r>
        <w:rPr/>
        <w:t>Chang</w:t>
      </w:r>
      <w:r>
        <w:rPr>
          <w:spacing w:val="-14"/>
        </w:rPr>
        <w:t> </w:t>
      </w:r>
      <w:r>
        <w:rPr/>
        <w:t>is</w:t>
      </w:r>
      <w:r>
        <w:rPr>
          <w:spacing w:val="-14"/>
        </w:rPr>
        <w:t> </w:t>
      </w:r>
      <w:r>
        <w:rPr/>
        <w:t>a</w:t>
      </w:r>
      <w:r>
        <w:rPr>
          <w:spacing w:val="-14"/>
        </w:rPr>
        <w:t> </w:t>
      </w:r>
      <w:r>
        <w:rPr/>
        <w:t>collaborator</w:t>
      </w:r>
      <w:r>
        <w:rPr>
          <w:spacing w:val="-14"/>
        </w:rPr>
        <w:t> </w:t>
      </w:r>
      <w:r>
        <w:rPr/>
        <w:t>and mentor</w:t>
      </w:r>
      <w:r>
        <w:rPr>
          <w:spacing w:val="-16"/>
        </w:rPr>
        <w:t> </w:t>
      </w:r>
      <w:r>
        <w:rPr/>
        <w:t>on</w:t>
      </w:r>
      <w:r>
        <w:rPr>
          <w:spacing w:val="-16"/>
        </w:rPr>
        <w:t> </w:t>
      </w:r>
      <w:r>
        <w:rPr/>
        <w:t>a</w:t>
      </w:r>
      <w:r>
        <w:rPr>
          <w:spacing w:val="-16"/>
        </w:rPr>
        <w:t> </w:t>
      </w:r>
      <w:r>
        <w:rPr/>
        <w:t>successful</w:t>
      </w:r>
      <w:r>
        <w:rPr>
          <w:spacing w:val="-16"/>
        </w:rPr>
        <w:t> </w:t>
      </w:r>
      <w:r>
        <w:rPr/>
        <w:t>National</w:t>
      </w:r>
      <w:r>
        <w:rPr>
          <w:spacing w:val="-16"/>
        </w:rPr>
        <w:t> </w:t>
      </w:r>
      <w:r>
        <w:rPr/>
        <w:t>Health</w:t>
      </w:r>
      <w:r>
        <w:rPr>
          <w:spacing w:val="-16"/>
        </w:rPr>
        <w:t> </w:t>
      </w:r>
      <w:r>
        <w:rPr/>
        <w:t>and Medical Research Council </w:t>
      </w:r>
      <w:r>
        <w:rPr>
          <w:spacing w:val="2"/>
        </w:rPr>
        <w:t>(NHMRC) </w:t>
      </w:r>
      <w:r>
        <w:rPr/>
        <w:t>post- doctoral</w:t>
      </w:r>
      <w:r>
        <w:rPr>
          <w:spacing w:val="-13"/>
        </w:rPr>
        <w:t> </w:t>
      </w:r>
      <w:r>
        <w:rPr/>
        <w:t>fellowship</w:t>
      </w:r>
      <w:r>
        <w:rPr>
          <w:spacing w:val="-13"/>
        </w:rPr>
        <w:t> </w:t>
      </w:r>
      <w:r>
        <w:rPr/>
        <w:t>led</w:t>
      </w:r>
      <w:r>
        <w:rPr>
          <w:spacing w:val="-13"/>
        </w:rPr>
        <w:t> </w:t>
      </w:r>
      <w:r>
        <w:rPr/>
        <w:t>by</w:t>
      </w:r>
      <w:r>
        <w:rPr>
          <w:spacing w:val="-13"/>
        </w:rPr>
        <w:t> </w:t>
      </w:r>
      <w:r>
        <w:rPr/>
        <w:t>Dr</w:t>
      </w:r>
      <w:r>
        <w:rPr>
          <w:spacing w:val="-13"/>
        </w:rPr>
        <w:t> </w:t>
      </w:r>
      <w:r>
        <w:rPr/>
        <w:t>Sandra</w:t>
      </w:r>
      <w:r>
        <w:rPr>
          <w:spacing w:val="-13"/>
        </w:rPr>
        <w:t> </w:t>
      </w:r>
      <w:r>
        <w:rPr/>
        <w:t>Garrido through the </w:t>
      </w:r>
      <w:r>
        <w:rPr>
          <w:spacing w:val="2"/>
        </w:rPr>
        <w:t>NHMRC </w:t>
      </w:r>
      <w:r>
        <w:rPr/>
        <w:t>dementia framework. </w:t>
      </w:r>
      <w:r>
        <w:rPr>
          <w:spacing w:val="1"/>
          <w:w w:val="94"/>
        </w:rPr>
        <w:t>The</w:t>
      </w:r>
      <w:r>
        <w:rPr>
          <w:w w:val="94"/>
        </w:rPr>
        <w:t> </w:t>
      </w:r>
      <w:r>
        <w:rPr>
          <w:w w:val="97"/>
        </w:rPr>
        <w:t>fellowship </w:t>
      </w:r>
      <w:r>
        <w:rPr>
          <w:w w:val="97"/>
        </w:rPr>
        <w:t>will </w:t>
      </w:r>
      <w:r>
        <w:rPr>
          <w:spacing w:val="1"/>
          <w:w w:val="98"/>
        </w:rPr>
        <w:t>begin</w:t>
      </w:r>
      <w:r>
        <w:rPr>
          <w:w w:val="98"/>
        </w:rPr>
        <w:t> </w:t>
      </w:r>
      <w:r>
        <w:rPr>
          <w:w w:val="95"/>
        </w:rPr>
        <w:t>in </w:t>
      </w:r>
      <w:r>
        <w:rPr>
          <w:spacing w:val="2"/>
          <w:w w:val="98"/>
        </w:rPr>
        <w:t>January</w:t>
      </w:r>
      <w:r>
        <w:rPr>
          <w:w w:val="98"/>
        </w:rPr>
        <w:t> </w:t>
      </w:r>
      <w:r>
        <w:rPr>
          <w:spacing w:val="1"/>
          <w:w w:val="90"/>
        </w:rPr>
        <w:t>2016</w:t>
      </w:r>
      <w:r>
        <w:rPr>
          <w:w w:val="90"/>
        </w:rPr>
        <w:t> </w:t>
      </w:r>
      <w:r>
        <w:rPr>
          <w:spacing w:val="1"/>
          <w:w w:val="97"/>
        </w:rPr>
        <w:t>and</w:t>
      </w:r>
      <w:r>
        <w:rPr>
          <w:w w:val="97"/>
        </w:rPr>
        <w:t> </w:t>
      </w:r>
      <w:r>
        <w:rPr>
          <w:w w:val="98"/>
        </w:rPr>
        <w:t>provides </w:t>
      </w:r>
      <w:r>
        <w:rPr>
          <w:spacing w:val="2"/>
          <w:w w:val="96"/>
        </w:rPr>
        <w:t>$601,000</w:t>
      </w:r>
      <w:r>
        <w:rPr>
          <w:w w:val="96"/>
        </w:rPr>
        <w:t> </w:t>
      </w:r>
      <w:r>
        <w:rPr>
          <w:w w:val="99"/>
        </w:rPr>
        <w:t>of </w:t>
      </w:r>
      <w:r>
        <w:rPr>
          <w:spacing w:val="1"/>
          <w:w w:val="97"/>
        </w:rPr>
        <w:t>funding</w:t>
      </w:r>
      <w:r>
        <w:rPr>
          <w:w w:val="97"/>
        </w:rPr>
        <w:t> </w:t>
      </w:r>
      <w:r>
        <w:rPr>
          <w:w w:val="98"/>
        </w:rPr>
        <w:t>over </w:t>
      </w:r>
      <w:r>
        <w:rPr>
          <w:w w:val="97"/>
        </w:rPr>
        <w:t>four </w:t>
      </w:r>
      <w:r>
        <w:rPr/>
        <w:t>years.</w:t>
      </w:r>
      <w:r>
        <w:rPr>
          <w:spacing w:val="-20"/>
        </w:rPr>
        <w:t> </w:t>
      </w:r>
      <w:r>
        <w:rPr/>
        <w:t>Fellow</w:t>
      </w:r>
      <w:r>
        <w:rPr>
          <w:spacing w:val="-20"/>
        </w:rPr>
        <w:t> </w:t>
      </w:r>
      <w:r>
        <w:rPr/>
        <w:t>collaborators</w:t>
      </w:r>
      <w:r>
        <w:rPr>
          <w:spacing w:val="-20"/>
        </w:rPr>
        <w:t> </w:t>
      </w:r>
      <w:r>
        <w:rPr/>
        <w:t>and</w:t>
      </w:r>
      <w:r>
        <w:rPr>
          <w:spacing w:val="-20"/>
        </w:rPr>
        <w:t> </w:t>
      </w:r>
      <w:r>
        <w:rPr/>
        <w:t>mentors</w:t>
      </w:r>
      <w:r>
        <w:rPr>
          <w:spacing w:val="-20"/>
        </w:rPr>
        <w:t> </w:t>
      </w:r>
      <w:r>
        <w:rPr/>
        <w:t>are</w:t>
      </w:r>
    </w:p>
    <w:p>
      <w:pPr>
        <w:pStyle w:val="BodyText"/>
        <w:spacing w:before="2"/>
        <w:rPr>
          <w:sz w:val="20"/>
        </w:rPr>
      </w:pPr>
      <w:r>
        <w:rPr/>
        <w:br w:type="column"/>
      </w:r>
      <w:r>
        <w:rPr>
          <w:sz w:val="20"/>
        </w:rPr>
      </w:r>
    </w:p>
    <w:p>
      <w:pPr>
        <w:pStyle w:val="BodyText"/>
        <w:spacing w:line="249" w:lineRule="auto"/>
        <w:ind w:left="107" w:right="9"/>
      </w:pPr>
      <w:r>
        <w:rPr/>
        <w:t>Professor</w:t>
      </w:r>
      <w:r>
        <w:rPr>
          <w:spacing w:val="-18"/>
        </w:rPr>
        <w:t> </w:t>
      </w:r>
      <w:r>
        <w:rPr/>
        <w:t>Kate</w:t>
      </w:r>
      <w:r>
        <w:rPr>
          <w:spacing w:val="-18"/>
        </w:rPr>
        <w:t> </w:t>
      </w:r>
      <w:r>
        <w:rPr/>
        <w:t>Stevens</w:t>
      </w:r>
      <w:r>
        <w:rPr>
          <w:spacing w:val="-18"/>
        </w:rPr>
        <w:t> </w:t>
      </w:r>
      <w:r>
        <w:rPr/>
        <w:t>of</w:t>
      </w:r>
      <w:r>
        <w:rPr>
          <w:spacing w:val="-18"/>
        </w:rPr>
        <w:t> </w:t>
      </w:r>
      <w:r>
        <w:rPr/>
        <w:t>the</w:t>
      </w:r>
      <w:r>
        <w:rPr>
          <w:spacing w:val="-18"/>
        </w:rPr>
        <w:t> </w:t>
      </w:r>
      <w:r>
        <w:rPr>
          <w:spacing w:val="2"/>
        </w:rPr>
        <w:t>MARCS</w:t>
      </w:r>
      <w:r>
        <w:rPr>
          <w:spacing w:val="-18"/>
        </w:rPr>
        <w:t> </w:t>
      </w:r>
      <w:r>
        <w:rPr/>
        <w:t>Institute for Brain, Behaviour and Development, Professor Jane Ussher and Professor Janette Perz, both from the Centre for Health Research,</w:t>
      </w:r>
      <w:r>
        <w:rPr>
          <w:spacing w:val="-22"/>
        </w:rPr>
        <w:t> </w:t>
      </w:r>
      <w:r>
        <w:rPr/>
        <w:t>School</w:t>
      </w:r>
      <w:r>
        <w:rPr>
          <w:spacing w:val="-22"/>
        </w:rPr>
        <w:t> </w:t>
      </w:r>
      <w:r>
        <w:rPr/>
        <w:t>of</w:t>
      </w:r>
      <w:r>
        <w:rPr>
          <w:spacing w:val="-22"/>
        </w:rPr>
        <w:t> </w:t>
      </w:r>
      <w:r>
        <w:rPr/>
        <w:t>Medicine.</w:t>
      </w:r>
    </w:p>
    <w:p>
      <w:pPr>
        <w:pStyle w:val="BodyText"/>
        <w:rPr>
          <w:sz w:val="14"/>
        </w:rPr>
      </w:pPr>
    </w:p>
    <w:p>
      <w:pPr>
        <w:pStyle w:val="BodyText"/>
        <w:spacing w:line="249" w:lineRule="auto"/>
        <w:ind w:left="107" w:right="154"/>
      </w:pPr>
      <w:r>
        <w:rPr/>
        <w:t>Professor Chang, School of Nursing and Midwifery,</w:t>
      </w:r>
      <w:r>
        <w:rPr>
          <w:spacing w:val="-36"/>
        </w:rPr>
        <w:t> </w:t>
      </w:r>
      <w:r>
        <w:rPr/>
        <w:t>Professor</w:t>
      </w:r>
      <w:r>
        <w:rPr>
          <w:spacing w:val="-36"/>
        </w:rPr>
        <w:t> </w:t>
      </w:r>
      <w:r>
        <w:rPr/>
        <w:t>Caroline</w:t>
      </w:r>
      <w:r>
        <w:rPr>
          <w:spacing w:val="-36"/>
        </w:rPr>
        <w:t> </w:t>
      </w:r>
      <w:r>
        <w:rPr/>
        <w:t>Smith,</w:t>
      </w:r>
      <w:r>
        <w:rPr>
          <w:spacing w:val="-36"/>
        </w:rPr>
        <w:t> </w:t>
      </w:r>
      <w:r>
        <w:rPr/>
        <w:t>National Institute</w:t>
      </w:r>
      <w:r>
        <w:rPr>
          <w:spacing w:val="-27"/>
        </w:rPr>
        <w:t> </w:t>
      </w:r>
      <w:r>
        <w:rPr/>
        <w:t>of</w:t>
      </w:r>
      <w:r>
        <w:rPr>
          <w:spacing w:val="-27"/>
        </w:rPr>
        <w:t> </w:t>
      </w:r>
      <w:r>
        <w:rPr/>
        <w:t>Complementary</w:t>
      </w:r>
      <w:r>
        <w:rPr>
          <w:spacing w:val="-27"/>
        </w:rPr>
        <w:t> </w:t>
      </w:r>
      <w:r>
        <w:rPr/>
        <w:t>Medicine</w:t>
      </w:r>
      <w:r>
        <w:rPr>
          <w:spacing w:val="-27"/>
        </w:rPr>
        <w:t> </w:t>
      </w:r>
      <w:r>
        <w:rPr/>
        <w:t>and</w:t>
      </w:r>
      <w:r>
        <w:rPr>
          <w:spacing w:val="-27"/>
        </w:rPr>
        <w:t> </w:t>
      </w:r>
      <w:r>
        <w:rPr/>
        <w:t>Dr Gisselle Gallego, Adjunct Fellow, School of Medicine</w:t>
      </w:r>
      <w:r>
        <w:rPr>
          <w:spacing w:val="-35"/>
        </w:rPr>
        <w:t> </w:t>
      </w:r>
      <w:r>
        <w:rPr/>
        <w:t>won</w:t>
      </w:r>
      <w:r>
        <w:rPr>
          <w:spacing w:val="-35"/>
        </w:rPr>
        <w:t> </w:t>
      </w:r>
      <w:r>
        <w:rPr/>
        <w:t>a</w:t>
      </w:r>
      <w:r>
        <w:rPr>
          <w:spacing w:val="-35"/>
        </w:rPr>
        <w:t> </w:t>
      </w:r>
      <w:r>
        <w:rPr/>
        <w:t>$77,800</w:t>
      </w:r>
      <w:r>
        <w:rPr>
          <w:spacing w:val="-35"/>
        </w:rPr>
        <w:t> </w:t>
      </w:r>
      <w:r>
        <w:rPr/>
        <w:t>Illawarra</w:t>
      </w:r>
      <w:r>
        <w:rPr>
          <w:spacing w:val="-35"/>
        </w:rPr>
        <w:t> </w:t>
      </w:r>
      <w:r>
        <w:rPr/>
        <w:t>Retirement Trust (IRT) Foundation Research Grant for their</w:t>
      </w:r>
      <w:r>
        <w:rPr>
          <w:spacing w:val="-26"/>
        </w:rPr>
        <w:t> </w:t>
      </w:r>
      <w:r>
        <w:rPr/>
        <w:t>project.</w:t>
      </w:r>
      <w:r>
        <w:rPr>
          <w:spacing w:val="-26"/>
        </w:rPr>
        <w:t> </w:t>
      </w:r>
      <w:r>
        <w:rPr>
          <w:spacing w:val="-4"/>
        </w:rPr>
        <w:t>‘An</w:t>
      </w:r>
      <w:r>
        <w:rPr>
          <w:spacing w:val="-26"/>
        </w:rPr>
        <w:t> </w:t>
      </w:r>
      <w:r>
        <w:rPr/>
        <w:t>educational</w:t>
      </w:r>
      <w:r>
        <w:rPr>
          <w:spacing w:val="-26"/>
        </w:rPr>
        <w:t> </w:t>
      </w:r>
      <w:r>
        <w:rPr/>
        <w:t>intervention</w:t>
      </w:r>
      <w:r>
        <w:rPr>
          <w:spacing w:val="-26"/>
        </w:rPr>
        <w:t> </w:t>
      </w:r>
      <w:r>
        <w:rPr/>
        <w:t>to improve</w:t>
      </w:r>
      <w:r>
        <w:rPr>
          <w:spacing w:val="-26"/>
        </w:rPr>
        <w:t> </w:t>
      </w:r>
      <w:r>
        <w:rPr/>
        <w:t>health</w:t>
      </w:r>
      <w:r>
        <w:rPr>
          <w:spacing w:val="-26"/>
        </w:rPr>
        <w:t> </w:t>
      </w:r>
      <w:r>
        <w:rPr/>
        <w:t>literacy</w:t>
      </w:r>
      <w:r>
        <w:rPr>
          <w:spacing w:val="-26"/>
        </w:rPr>
        <w:t> </w:t>
      </w:r>
      <w:r>
        <w:rPr/>
        <w:t>and</w:t>
      </w:r>
      <w:r>
        <w:rPr>
          <w:spacing w:val="-26"/>
        </w:rPr>
        <w:t> </w:t>
      </w:r>
      <w:r>
        <w:rPr/>
        <w:t>decision</w:t>
      </w:r>
      <w:r>
        <w:rPr>
          <w:spacing w:val="-26"/>
        </w:rPr>
        <w:t> </w:t>
      </w:r>
      <w:r>
        <w:rPr/>
        <w:t>making about</w:t>
      </w:r>
      <w:r>
        <w:rPr>
          <w:spacing w:val="-30"/>
        </w:rPr>
        <w:t> </w:t>
      </w:r>
      <w:r>
        <w:rPr/>
        <w:t>supporting</w:t>
      </w:r>
      <w:r>
        <w:rPr>
          <w:spacing w:val="-30"/>
        </w:rPr>
        <w:t> </w:t>
      </w:r>
      <w:r>
        <w:rPr/>
        <w:t>self-advice</w:t>
      </w:r>
      <w:r>
        <w:rPr>
          <w:spacing w:val="-30"/>
        </w:rPr>
        <w:t> </w:t>
      </w:r>
      <w:r>
        <w:rPr/>
        <w:t>and</w:t>
      </w:r>
      <w:r>
        <w:rPr>
          <w:spacing w:val="-30"/>
        </w:rPr>
        <w:t> </w:t>
      </w:r>
      <w:r>
        <w:rPr/>
        <w:t>decision</w:t>
      </w:r>
    </w:p>
    <w:p>
      <w:pPr>
        <w:pStyle w:val="BodyText"/>
        <w:spacing w:line="249" w:lineRule="auto"/>
        <w:ind w:left="107" w:right="-5"/>
      </w:pPr>
      <w:r>
        <w:rPr/>
        <w:t>making</w:t>
      </w:r>
      <w:r>
        <w:rPr>
          <w:spacing w:val="-29"/>
        </w:rPr>
        <w:t> </w:t>
      </w:r>
      <w:r>
        <w:rPr/>
        <w:t>among</w:t>
      </w:r>
      <w:r>
        <w:rPr>
          <w:spacing w:val="-29"/>
        </w:rPr>
        <w:t> </w:t>
      </w:r>
      <w:r>
        <w:rPr/>
        <w:t>older</w:t>
      </w:r>
      <w:r>
        <w:rPr>
          <w:spacing w:val="-29"/>
        </w:rPr>
        <w:t> </w:t>
      </w:r>
      <w:r>
        <w:rPr/>
        <w:t>Australians:</w:t>
      </w:r>
      <w:r>
        <w:rPr>
          <w:spacing w:val="-29"/>
        </w:rPr>
        <w:t> </w:t>
      </w:r>
      <w:r>
        <w:rPr/>
        <w:t>A</w:t>
      </w:r>
      <w:r>
        <w:rPr>
          <w:spacing w:val="-29"/>
        </w:rPr>
        <w:t> </w:t>
      </w:r>
      <w:r>
        <w:rPr/>
        <w:t>randomised controlled trial.’ The IRT Foundation funded only</w:t>
      </w:r>
      <w:r>
        <w:rPr>
          <w:spacing w:val="-26"/>
        </w:rPr>
        <w:t> </w:t>
      </w:r>
      <w:r>
        <w:rPr/>
        <w:t>two</w:t>
      </w:r>
      <w:r>
        <w:rPr>
          <w:spacing w:val="-26"/>
        </w:rPr>
        <w:t> </w:t>
      </w:r>
      <w:r>
        <w:rPr/>
        <w:t>of</w:t>
      </w:r>
      <w:r>
        <w:rPr>
          <w:spacing w:val="-26"/>
        </w:rPr>
        <w:t> </w:t>
      </w:r>
      <w:r>
        <w:rPr/>
        <w:t>65</w:t>
      </w:r>
      <w:r>
        <w:rPr>
          <w:spacing w:val="-26"/>
        </w:rPr>
        <w:t> </w:t>
      </w:r>
      <w:r>
        <w:rPr/>
        <w:t>applications.</w:t>
      </w:r>
    </w:p>
    <w:p>
      <w:pPr>
        <w:pStyle w:val="BodyText"/>
        <w:rPr>
          <w:sz w:val="14"/>
        </w:rPr>
      </w:pPr>
    </w:p>
    <w:p>
      <w:pPr>
        <w:pStyle w:val="BodyText"/>
        <w:ind w:left="107"/>
      </w:pPr>
      <w:r>
        <w:rPr/>
        <w:t>Dr Cathy Dickson and Dr George won a</w:t>
      </w:r>
    </w:p>
    <w:p>
      <w:pPr>
        <w:pStyle w:val="BodyText"/>
        <w:spacing w:line="249" w:lineRule="auto" w:before="7"/>
        <w:ind w:left="107"/>
      </w:pPr>
      <w:r>
        <w:rPr>
          <w:spacing w:val="3"/>
        </w:rPr>
        <w:t>$28,580</w:t>
      </w:r>
      <w:r>
        <w:rPr>
          <w:spacing w:val="-18"/>
        </w:rPr>
        <w:t> </w:t>
      </w:r>
      <w:r>
        <w:rPr/>
        <w:t>grant</w:t>
      </w:r>
      <w:r>
        <w:rPr>
          <w:spacing w:val="-18"/>
        </w:rPr>
        <w:t> </w:t>
      </w:r>
      <w:r>
        <w:rPr/>
        <w:t>from</w:t>
      </w:r>
      <w:r>
        <w:rPr>
          <w:spacing w:val="-18"/>
        </w:rPr>
        <w:t> </w:t>
      </w:r>
      <w:r>
        <w:rPr/>
        <w:t>the</w:t>
      </w:r>
      <w:r>
        <w:rPr>
          <w:spacing w:val="-18"/>
        </w:rPr>
        <w:t> </w:t>
      </w:r>
      <w:r>
        <w:rPr/>
        <w:t>Director</w:t>
      </w:r>
      <w:r>
        <w:rPr>
          <w:spacing w:val="-18"/>
        </w:rPr>
        <w:t> </w:t>
      </w:r>
      <w:r>
        <w:rPr/>
        <w:t>of</w:t>
      </w:r>
      <w:r>
        <w:rPr>
          <w:spacing w:val="-18"/>
        </w:rPr>
        <w:t> </w:t>
      </w:r>
      <w:r>
        <w:rPr/>
        <w:t>The</w:t>
      </w:r>
      <w:r>
        <w:rPr>
          <w:spacing w:val="-18"/>
        </w:rPr>
        <w:t> </w:t>
      </w:r>
      <w:r>
        <w:rPr/>
        <w:t>Centre for Oral Health Strategy to support their project, ‘Early Childhood Oral Health Online Module Development for Child and Family </w:t>
      </w:r>
      <w:r>
        <w:rPr>
          <w:w w:val="95"/>
        </w:rPr>
        <w:t>Health</w:t>
      </w:r>
      <w:r>
        <w:rPr>
          <w:spacing w:val="15"/>
          <w:w w:val="95"/>
        </w:rPr>
        <w:t> </w:t>
      </w:r>
      <w:r>
        <w:rPr>
          <w:w w:val="95"/>
        </w:rPr>
        <w:t>Students’.</w:t>
      </w:r>
    </w:p>
    <w:p>
      <w:pPr>
        <w:pStyle w:val="BodyText"/>
        <w:rPr>
          <w:sz w:val="14"/>
        </w:rPr>
      </w:pPr>
    </w:p>
    <w:p>
      <w:pPr>
        <w:pStyle w:val="BodyText"/>
        <w:spacing w:line="249" w:lineRule="auto"/>
        <w:ind w:left="107" w:right="97"/>
      </w:pPr>
      <w:r>
        <w:rPr/>
        <w:t>Seven</w:t>
      </w:r>
      <w:r>
        <w:rPr>
          <w:spacing w:val="-20"/>
        </w:rPr>
        <w:t> </w:t>
      </w:r>
      <w:r>
        <w:rPr>
          <w:spacing w:val="2"/>
        </w:rPr>
        <w:t>SoNM</w:t>
      </w:r>
      <w:r>
        <w:rPr>
          <w:spacing w:val="-20"/>
        </w:rPr>
        <w:t> </w:t>
      </w:r>
      <w:r>
        <w:rPr/>
        <w:t>staff</w:t>
      </w:r>
      <w:r>
        <w:rPr>
          <w:spacing w:val="-20"/>
        </w:rPr>
        <w:t> </w:t>
      </w:r>
      <w:r>
        <w:rPr/>
        <w:t>members</w:t>
      </w:r>
      <w:r>
        <w:rPr>
          <w:spacing w:val="-20"/>
        </w:rPr>
        <w:t> </w:t>
      </w:r>
      <w:r>
        <w:rPr/>
        <w:t>(Dr</w:t>
      </w:r>
      <w:r>
        <w:rPr>
          <w:spacing w:val="-20"/>
        </w:rPr>
        <w:t> </w:t>
      </w:r>
      <w:r>
        <w:rPr/>
        <w:t>Elaine</w:t>
      </w:r>
      <w:r>
        <w:rPr>
          <w:spacing w:val="-20"/>
        </w:rPr>
        <w:t> </w:t>
      </w:r>
      <w:r>
        <w:rPr>
          <w:spacing w:val="2"/>
        </w:rPr>
        <w:t>Burns, </w:t>
      </w:r>
      <w:r>
        <w:rPr/>
        <w:t>Dr Elmir, Dr Diana Jefferies, Dr O’Reilly, Dr Holly Priddis, Dr Lucie Ramjan and Dr Peter </w:t>
      </w:r>
      <w:r>
        <w:rPr>
          <w:spacing w:val="-2"/>
          <w:w w:val="98"/>
        </w:rPr>
        <w:t>Lewis)</w:t>
      </w:r>
      <w:r>
        <w:rPr>
          <w:w w:val="98"/>
        </w:rPr>
        <w:t> </w:t>
      </w:r>
      <w:r>
        <w:rPr>
          <w:w w:val="99"/>
        </w:rPr>
        <w:t>won </w:t>
      </w:r>
      <w:r>
        <w:rPr>
          <w:spacing w:val="1"/>
          <w:w w:val="97"/>
        </w:rPr>
        <w:t>grants</w:t>
      </w:r>
      <w:r>
        <w:rPr>
          <w:w w:val="97"/>
        </w:rPr>
        <w:t> </w:t>
      </w:r>
      <w:r>
        <w:rPr>
          <w:w w:val="98"/>
        </w:rPr>
        <w:t>totalling</w:t>
      </w:r>
      <w:r>
        <w:rPr>
          <w:spacing w:val="-3"/>
          <w:w w:val="98"/>
        </w:rPr>
        <w:t> </w:t>
      </w:r>
      <w:r>
        <w:rPr>
          <w:spacing w:val="2"/>
          <w:w w:val="88"/>
        </w:rPr>
        <w:t>$133,093.25</w:t>
      </w:r>
    </w:p>
    <w:p>
      <w:pPr>
        <w:pStyle w:val="BodyText"/>
        <w:spacing w:line="249" w:lineRule="auto"/>
        <w:ind w:left="107" w:right="140"/>
      </w:pPr>
      <w:r>
        <w:rPr/>
        <w:t>from the Office of the DVC (Research and Development) for Researcher Development Strategic Initiative Funding – Women’s Fellowship Scheme and the ECR Research Support Scheme.</w:t>
      </w:r>
    </w:p>
    <w:p>
      <w:pPr>
        <w:pStyle w:val="BodyText"/>
        <w:rPr>
          <w:sz w:val="14"/>
        </w:rPr>
      </w:pPr>
    </w:p>
    <w:p>
      <w:pPr>
        <w:pStyle w:val="BodyText"/>
        <w:spacing w:line="249" w:lineRule="auto"/>
        <w:ind w:left="107"/>
      </w:pPr>
      <w:r>
        <w:rPr/>
        <w:t>Dr Evan Alexandrou is CI 6 on a research </w:t>
      </w:r>
      <w:r>
        <w:rPr>
          <w:w w:val="96"/>
        </w:rPr>
        <w:t>project </w:t>
      </w:r>
      <w:r>
        <w:rPr>
          <w:w w:val="98"/>
        </w:rPr>
        <w:t>funded </w:t>
      </w:r>
      <w:r>
        <w:rPr>
          <w:w w:val="98"/>
        </w:rPr>
        <w:t>with </w:t>
      </w:r>
      <w:r>
        <w:rPr>
          <w:w w:val="77"/>
        </w:rPr>
        <w:t>$1,101,717.35 </w:t>
      </w:r>
      <w:r>
        <w:rPr>
          <w:w w:val="98"/>
        </w:rPr>
        <w:t>from </w:t>
      </w:r>
      <w:r>
        <w:rPr>
          <w:w w:val="94"/>
        </w:rPr>
        <w:t>NHMRC. </w:t>
      </w:r>
      <w:r>
        <w:rPr/>
        <w:t>Professor Claire Rickard, Dr Li Zhang and Dr Samantha Keogh from the Centre for Health Practice Innovation at Griffith University are leading this research. Less than 14 per cent</w:t>
      </w:r>
    </w:p>
    <w:p>
      <w:pPr>
        <w:pStyle w:val="BodyText"/>
        <w:spacing w:line="249" w:lineRule="auto"/>
        <w:ind w:left="107" w:right="329"/>
      </w:pPr>
      <w:r>
        <w:rPr/>
        <w:t>of applications were funded, making this an</w:t>
      </w:r>
      <w:r>
        <w:rPr>
          <w:spacing w:val="-24"/>
        </w:rPr>
        <w:t> </w:t>
      </w:r>
      <w:r>
        <w:rPr/>
        <w:t>outstanding</w:t>
      </w:r>
      <w:r>
        <w:rPr>
          <w:spacing w:val="-24"/>
        </w:rPr>
        <w:t> </w:t>
      </w:r>
      <w:r>
        <w:rPr/>
        <w:t>achievement.</w:t>
      </w:r>
      <w:r>
        <w:rPr>
          <w:spacing w:val="-24"/>
        </w:rPr>
        <w:t> </w:t>
      </w:r>
      <w:r>
        <w:rPr/>
        <w:t>The</w:t>
      </w:r>
      <w:r>
        <w:rPr>
          <w:spacing w:val="-24"/>
        </w:rPr>
        <w:t> </w:t>
      </w:r>
      <w:r>
        <w:rPr/>
        <w:t>project, ‘Peripherally</w:t>
      </w:r>
      <w:r>
        <w:rPr>
          <w:spacing w:val="-20"/>
        </w:rPr>
        <w:t> </w:t>
      </w:r>
      <w:r>
        <w:rPr/>
        <w:t>InSerted</w:t>
      </w:r>
      <w:r>
        <w:rPr>
          <w:spacing w:val="-20"/>
        </w:rPr>
        <w:t> </w:t>
      </w:r>
      <w:r>
        <w:rPr/>
        <w:t>CEntral</w:t>
      </w:r>
      <w:r>
        <w:rPr>
          <w:spacing w:val="-20"/>
        </w:rPr>
        <w:t> </w:t>
      </w:r>
      <w:r>
        <w:rPr/>
        <w:t>catheter</w:t>
      </w:r>
    </w:p>
    <w:p>
      <w:pPr>
        <w:pStyle w:val="BodyText"/>
        <w:spacing w:line="249" w:lineRule="auto"/>
        <w:ind w:left="107"/>
      </w:pPr>
      <w:r>
        <w:rPr/>
        <w:t>Securement:</w:t>
      </w:r>
      <w:r>
        <w:rPr>
          <w:spacing w:val="-25"/>
        </w:rPr>
        <w:t> </w:t>
      </w:r>
      <w:r>
        <w:rPr/>
        <w:t>the</w:t>
      </w:r>
      <w:r>
        <w:rPr>
          <w:spacing w:val="-25"/>
        </w:rPr>
        <w:t> </w:t>
      </w:r>
      <w:r>
        <w:rPr>
          <w:spacing w:val="2"/>
        </w:rPr>
        <w:t>PISCES</w:t>
      </w:r>
      <w:r>
        <w:rPr>
          <w:spacing w:val="-25"/>
        </w:rPr>
        <w:t> </w:t>
      </w:r>
      <w:r>
        <w:rPr/>
        <w:t>Trial’,</w:t>
      </w:r>
      <w:r>
        <w:rPr>
          <w:spacing w:val="-25"/>
        </w:rPr>
        <w:t> </w:t>
      </w:r>
      <w:r>
        <w:rPr/>
        <w:t>is</w:t>
      </w:r>
      <w:r>
        <w:rPr>
          <w:spacing w:val="-25"/>
        </w:rPr>
        <w:t> </w:t>
      </w:r>
      <w:r>
        <w:rPr/>
        <w:t>a</w:t>
      </w:r>
      <w:r>
        <w:rPr>
          <w:spacing w:val="-25"/>
        </w:rPr>
        <w:t> </w:t>
      </w:r>
      <w:r>
        <w:rPr/>
        <w:t>multi-site trial.</w:t>
      </w:r>
      <w:r>
        <w:rPr>
          <w:spacing w:val="-16"/>
        </w:rPr>
        <w:t> </w:t>
      </w:r>
      <w:r>
        <w:rPr/>
        <w:t>Dr</w:t>
      </w:r>
      <w:r>
        <w:rPr>
          <w:spacing w:val="-16"/>
        </w:rPr>
        <w:t> </w:t>
      </w:r>
      <w:r>
        <w:rPr/>
        <w:t>Alexandrou</w:t>
      </w:r>
      <w:r>
        <w:rPr>
          <w:spacing w:val="-16"/>
        </w:rPr>
        <w:t> </w:t>
      </w:r>
      <w:r>
        <w:rPr/>
        <w:t>is</w:t>
      </w:r>
      <w:r>
        <w:rPr>
          <w:spacing w:val="-16"/>
        </w:rPr>
        <w:t> </w:t>
      </w:r>
      <w:r>
        <w:rPr/>
        <w:t>the</w:t>
      </w:r>
      <w:r>
        <w:rPr>
          <w:spacing w:val="-16"/>
        </w:rPr>
        <w:t> </w:t>
      </w:r>
      <w:r>
        <w:rPr/>
        <w:t>content</w:t>
      </w:r>
      <w:r>
        <w:rPr>
          <w:spacing w:val="-16"/>
        </w:rPr>
        <w:t> </w:t>
      </w:r>
      <w:r>
        <w:rPr/>
        <w:t>expert</w:t>
      </w:r>
      <w:r>
        <w:rPr>
          <w:spacing w:val="-16"/>
        </w:rPr>
        <w:t> </w:t>
      </w:r>
      <w:r>
        <w:rPr/>
        <w:t>and lead</w:t>
      </w:r>
      <w:r>
        <w:rPr>
          <w:spacing w:val="-18"/>
        </w:rPr>
        <w:t> </w:t>
      </w:r>
      <w:r>
        <w:rPr/>
        <w:t>researcher</w:t>
      </w:r>
      <w:r>
        <w:rPr>
          <w:spacing w:val="-18"/>
        </w:rPr>
        <w:t> </w:t>
      </w:r>
      <w:r>
        <w:rPr/>
        <w:t>at</w:t>
      </w:r>
      <w:r>
        <w:rPr>
          <w:spacing w:val="-18"/>
        </w:rPr>
        <w:t> </w:t>
      </w:r>
      <w:r>
        <w:rPr/>
        <w:t>Liverpool</w:t>
      </w:r>
      <w:r>
        <w:rPr>
          <w:spacing w:val="-18"/>
        </w:rPr>
        <w:t> </w:t>
      </w:r>
      <w:r>
        <w:rPr/>
        <w:t>Hospital.</w:t>
      </w:r>
    </w:p>
    <w:p>
      <w:pPr>
        <w:pStyle w:val="BodyText"/>
        <w:rPr>
          <w:sz w:val="14"/>
        </w:rPr>
      </w:pPr>
    </w:p>
    <w:p>
      <w:pPr>
        <w:pStyle w:val="BodyText"/>
        <w:spacing w:line="249" w:lineRule="auto"/>
        <w:ind w:left="107" w:right="70"/>
      </w:pPr>
      <w:r>
        <w:rPr/>
        <w:t>CANR has been involved in winning three grants through the NSW Health Nursing and Midwifery Office Strategic Funds.</w:t>
      </w:r>
    </w:p>
    <w:p>
      <w:pPr>
        <w:pStyle w:val="BodyText"/>
        <w:spacing w:before="11"/>
        <w:rPr>
          <w:sz w:val="13"/>
        </w:rPr>
      </w:pPr>
    </w:p>
    <w:p>
      <w:pPr>
        <w:pStyle w:val="BodyText"/>
        <w:spacing w:line="244" w:lineRule="auto"/>
        <w:ind w:left="333" w:hanging="227"/>
      </w:pPr>
      <w:r>
        <w:rPr>
          <w:rFonts w:ascii="Century Gothic" w:hAnsi="Century Gothic"/>
          <w:b/>
          <w:w w:val="115"/>
        </w:rPr>
        <w:t>≥ </w:t>
      </w:r>
      <w:r>
        <w:rPr/>
        <w:t>Ioannou </w:t>
      </w:r>
      <w:r>
        <w:rPr>
          <w:spacing w:val="2"/>
        </w:rPr>
        <w:t>S, </w:t>
      </w:r>
      <w:r>
        <w:rPr/>
        <w:t>Holter </w:t>
      </w:r>
      <w:r>
        <w:rPr>
          <w:spacing w:val="2"/>
        </w:rPr>
        <w:t>G, </w:t>
      </w:r>
      <w:r>
        <w:rPr/>
        <w:t>Thomas </w:t>
      </w:r>
      <w:r>
        <w:rPr>
          <w:spacing w:val="-4"/>
        </w:rPr>
        <w:t>V, </w:t>
      </w:r>
      <w:r>
        <w:rPr/>
        <w:t>Seremetkoska</w:t>
      </w:r>
      <w:r>
        <w:rPr>
          <w:spacing w:val="-26"/>
        </w:rPr>
        <w:t> </w:t>
      </w:r>
      <w:r>
        <w:rPr>
          <w:spacing w:val="2"/>
        </w:rPr>
        <w:t>M,</w:t>
      </w:r>
      <w:r>
        <w:rPr>
          <w:spacing w:val="-26"/>
        </w:rPr>
        <w:t> </w:t>
      </w:r>
      <w:r>
        <w:rPr/>
        <w:t>Oakley</w:t>
      </w:r>
      <w:r>
        <w:rPr>
          <w:spacing w:val="-26"/>
        </w:rPr>
        <w:t> </w:t>
      </w:r>
      <w:r>
        <w:rPr>
          <w:spacing w:val="2"/>
        </w:rPr>
        <w:t>N,</w:t>
      </w:r>
      <w:r>
        <w:rPr>
          <w:spacing w:val="-26"/>
        </w:rPr>
        <w:t> </w:t>
      </w:r>
      <w:r>
        <w:rPr/>
        <w:t>Morris</w:t>
      </w:r>
      <w:r>
        <w:rPr>
          <w:spacing w:val="-26"/>
        </w:rPr>
        <w:t> </w:t>
      </w:r>
      <w:r>
        <w:rPr/>
        <w:t>J,</w:t>
      </w:r>
    </w:p>
    <w:p>
      <w:pPr>
        <w:pStyle w:val="BodyText"/>
        <w:spacing w:before="2"/>
        <w:rPr>
          <w:sz w:val="20"/>
        </w:rPr>
      </w:pPr>
      <w:r>
        <w:rPr/>
        <w:br w:type="column"/>
      </w:r>
      <w:r>
        <w:rPr>
          <w:sz w:val="20"/>
        </w:rPr>
      </w:r>
    </w:p>
    <w:p>
      <w:pPr>
        <w:pStyle w:val="BodyText"/>
        <w:spacing w:line="249" w:lineRule="auto"/>
        <w:ind w:left="333" w:right="226"/>
      </w:pPr>
      <w:r>
        <w:rPr/>
        <w:t>Everett B. Bridging language barriers for </w:t>
      </w:r>
      <w:r>
        <w:rPr>
          <w:w w:val="95"/>
        </w:rPr>
        <w:t>CALD patients. $21,927.</w:t>
      </w:r>
    </w:p>
    <w:p>
      <w:pPr>
        <w:pStyle w:val="BodyText"/>
        <w:spacing w:line="247" w:lineRule="auto" w:before="55"/>
        <w:ind w:left="333" w:right="85" w:hanging="227"/>
      </w:pPr>
      <w:r>
        <w:rPr>
          <w:rFonts w:ascii="Century Gothic" w:hAnsi="Century Gothic"/>
          <w:b/>
          <w:w w:val="115"/>
        </w:rPr>
        <w:t>≥ </w:t>
      </w:r>
      <w:r>
        <w:rPr/>
        <w:t>Everett B, Schofield K, Glavan M, Berry D, Perey A, Womsley K, Smith L, Parker D. PEEP – End of life care presentations to the emergency department for community </w:t>
      </w:r>
      <w:r>
        <w:rPr>
          <w:w w:val="95"/>
        </w:rPr>
        <w:t>palliative care patients. $13,626.</w:t>
      </w:r>
    </w:p>
    <w:p>
      <w:pPr>
        <w:pStyle w:val="BodyText"/>
        <w:spacing w:line="247" w:lineRule="auto" w:before="57"/>
        <w:ind w:left="333" w:right="111" w:hanging="227"/>
      </w:pPr>
      <w:r>
        <w:rPr>
          <w:rFonts w:ascii="Century Gothic" w:hAnsi="Century Gothic"/>
          <w:b/>
          <w:w w:val="115"/>
        </w:rPr>
        <w:t>≥ </w:t>
      </w:r>
      <w:r>
        <w:rPr/>
        <w:t>Everett B, Astorga C, Yogendran D and Maneze D. Promoting self-management in patients with diabetes in South Western </w:t>
      </w:r>
      <w:r>
        <w:rPr>
          <w:w w:val="95"/>
        </w:rPr>
        <w:t>Sydney: The ACCLAIM Study. $17,472.</w:t>
      </w:r>
    </w:p>
    <w:p>
      <w:pPr>
        <w:pStyle w:val="BodyText"/>
        <w:spacing w:before="9"/>
        <w:rPr>
          <w:sz w:val="21"/>
        </w:rPr>
      </w:pPr>
    </w:p>
    <w:p>
      <w:pPr>
        <w:pStyle w:val="Heading8"/>
        <w:ind w:right="287"/>
      </w:pPr>
      <w:r>
        <w:rPr>
          <w:w w:val="95"/>
        </w:rPr>
        <w:t>AWARDS AND ACHIEVEMENTS</w:t>
      </w:r>
    </w:p>
    <w:p>
      <w:pPr>
        <w:pStyle w:val="BodyText"/>
        <w:spacing w:line="249" w:lineRule="auto" w:before="86"/>
        <w:ind w:left="107" w:right="505"/>
      </w:pPr>
      <w:r>
        <w:rPr/>
        <w:t>The School’s academic and professional staff were recognised for a number of </w:t>
      </w:r>
      <w:r>
        <w:rPr>
          <w:w w:val="97"/>
        </w:rPr>
        <w:t>achievements </w:t>
      </w:r>
      <w:r>
        <w:rPr>
          <w:w w:val="95"/>
        </w:rPr>
        <w:t>in </w:t>
      </w:r>
      <w:r>
        <w:rPr>
          <w:w w:val="84"/>
        </w:rPr>
        <w:t>2015.</w:t>
      </w:r>
    </w:p>
    <w:p>
      <w:pPr>
        <w:pStyle w:val="BodyText"/>
        <w:spacing w:before="11"/>
        <w:rPr>
          <w:sz w:val="13"/>
        </w:rPr>
      </w:pPr>
    </w:p>
    <w:p>
      <w:pPr>
        <w:pStyle w:val="BodyText"/>
        <w:spacing w:line="247" w:lineRule="auto"/>
        <w:ind w:left="333" w:right="34" w:hanging="227"/>
      </w:pPr>
      <w:r>
        <w:rPr>
          <w:rFonts w:ascii="Century Gothic" w:hAnsi="Century Gothic"/>
          <w:b/>
          <w:w w:val="115"/>
        </w:rPr>
        <w:t>≥ </w:t>
      </w:r>
      <w:r>
        <w:rPr/>
        <w:t>Dr Alexandrou won the inaugural Western Sydney University Research </w:t>
      </w:r>
      <w:r>
        <w:rPr>
          <w:spacing w:val="2"/>
        </w:rPr>
        <w:t>Impact </w:t>
      </w:r>
      <w:r>
        <w:rPr/>
        <w:t>Competition from a pool of 13 other finalists.</w:t>
      </w:r>
      <w:r>
        <w:rPr>
          <w:spacing w:val="-21"/>
        </w:rPr>
        <w:t> </w:t>
      </w:r>
      <w:r>
        <w:rPr/>
        <w:t>The</w:t>
      </w:r>
      <w:r>
        <w:rPr>
          <w:spacing w:val="-21"/>
        </w:rPr>
        <w:t> </w:t>
      </w:r>
      <w:r>
        <w:rPr/>
        <w:t>competition</w:t>
      </w:r>
      <w:r>
        <w:rPr>
          <w:spacing w:val="-21"/>
        </w:rPr>
        <w:t> </w:t>
      </w:r>
      <w:r>
        <w:rPr/>
        <w:t>aims</w:t>
      </w:r>
      <w:r>
        <w:rPr>
          <w:spacing w:val="-21"/>
        </w:rPr>
        <w:t> </w:t>
      </w:r>
      <w:r>
        <w:rPr/>
        <w:t>to</w:t>
      </w:r>
      <w:r>
        <w:rPr>
          <w:spacing w:val="-21"/>
        </w:rPr>
        <w:t> </w:t>
      </w:r>
      <w:r>
        <w:rPr/>
        <w:t>illuminate and celebrate sites of realised and/or potential impact through the University’s research. Dr Alexandrou’s winning presentation</w:t>
      </w:r>
      <w:r>
        <w:rPr>
          <w:spacing w:val="-17"/>
        </w:rPr>
        <w:t> </w:t>
      </w:r>
      <w:r>
        <w:rPr/>
        <w:t>was</w:t>
      </w:r>
      <w:r>
        <w:rPr>
          <w:spacing w:val="-17"/>
        </w:rPr>
        <w:t> </w:t>
      </w:r>
      <w:r>
        <w:rPr/>
        <w:t>his</w:t>
      </w:r>
      <w:r>
        <w:rPr>
          <w:spacing w:val="-17"/>
        </w:rPr>
        <w:t> </w:t>
      </w:r>
      <w:r>
        <w:rPr/>
        <w:t>ongoing</w:t>
      </w:r>
      <w:r>
        <w:rPr>
          <w:spacing w:val="-17"/>
        </w:rPr>
        <w:t> </w:t>
      </w:r>
      <w:r>
        <w:rPr/>
        <w:t>multi-</w:t>
      </w:r>
    </w:p>
    <w:p>
      <w:pPr>
        <w:pStyle w:val="BodyText"/>
        <w:spacing w:line="249" w:lineRule="auto" w:before="1"/>
        <w:ind w:left="333" w:right="287"/>
      </w:pPr>
      <w:r>
        <w:rPr/>
        <w:t>centre</w:t>
      </w:r>
      <w:r>
        <w:rPr>
          <w:spacing w:val="-20"/>
        </w:rPr>
        <w:t> </w:t>
      </w:r>
      <w:r>
        <w:rPr/>
        <w:t>trial</w:t>
      </w:r>
      <w:r>
        <w:rPr>
          <w:spacing w:val="-20"/>
        </w:rPr>
        <w:t> </w:t>
      </w:r>
      <w:r>
        <w:rPr/>
        <w:t>in</w:t>
      </w:r>
      <w:r>
        <w:rPr>
          <w:spacing w:val="-20"/>
        </w:rPr>
        <w:t> </w:t>
      </w:r>
      <w:r>
        <w:rPr/>
        <w:t>IV</w:t>
      </w:r>
      <w:r>
        <w:rPr>
          <w:spacing w:val="-20"/>
        </w:rPr>
        <w:t> </w:t>
      </w:r>
      <w:r>
        <w:rPr/>
        <w:t>lines,</w:t>
      </w:r>
      <w:r>
        <w:rPr>
          <w:spacing w:val="-20"/>
        </w:rPr>
        <w:t> </w:t>
      </w:r>
      <w:r>
        <w:rPr/>
        <w:t>One</w:t>
      </w:r>
      <w:r>
        <w:rPr>
          <w:spacing w:val="-20"/>
        </w:rPr>
        <w:t> </w:t>
      </w:r>
      <w:r>
        <w:rPr/>
        <w:t>Million</w:t>
      </w:r>
      <w:r>
        <w:rPr>
          <w:spacing w:val="-20"/>
        </w:rPr>
        <w:t> </w:t>
      </w:r>
      <w:r>
        <w:rPr/>
        <w:t>Global Catheters</w:t>
      </w:r>
      <w:r>
        <w:rPr>
          <w:spacing w:val="-21"/>
        </w:rPr>
        <w:t> </w:t>
      </w:r>
      <w:r>
        <w:rPr/>
        <w:t>Worldwide</w:t>
      </w:r>
      <w:r>
        <w:rPr>
          <w:spacing w:val="-21"/>
        </w:rPr>
        <w:t> </w:t>
      </w:r>
      <w:r>
        <w:rPr/>
        <w:t>Prevalence</w:t>
      </w:r>
      <w:r>
        <w:rPr>
          <w:spacing w:val="-21"/>
        </w:rPr>
        <w:t> </w:t>
      </w:r>
      <w:r>
        <w:rPr/>
        <w:t>Study.</w:t>
      </w:r>
    </w:p>
    <w:p>
      <w:pPr>
        <w:pStyle w:val="BodyText"/>
        <w:spacing w:line="247" w:lineRule="auto" w:before="55"/>
        <w:ind w:left="333" w:right="15" w:hanging="227"/>
      </w:pPr>
      <w:r>
        <w:rPr>
          <w:rFonts w:ascii="Century Gothic" w:hAnsi="Century Gothic"/>
          <w:b/>
          <w:w w:val="115"/>
        </w:rPr>
        <w:t>≥ </w:t>
      </w:r>
      <w:r>
        <w:rPr/>
        <w:t>The newly formed collaborative research group between SoNM/CANR and SWSLHD Oral Health Services – COHORTE, has been </w:t>
      </w:r>
      <w:r>
        <w:rPr>
          <w:w w:val="98"/>
        </w:rPr>
        <w:t>recognised </w:t>
      </w:r>
      <w:r>
        <w:rPr>
          <w:w w:val="95"/>
        </w:rPr>
        <w:t>in </w:t>
      </w:r>
      <w:r>
        <w:rPr>
          <w:w w:val="97"/>
        </w:rPr>
        <w:t>the </w:t>
      </w:r>
      <w:r>
        <w:rPr>
          <w:w w:val="88"/>
        </w:rPr>
        <w:t>2015 </w:t>
      </w:r>
      <w:r>
        <w:rPr>
          <w:w w:val="100"/>
        </w:rPr>
        <w:t>SWSLHD </w:t>
      </w:r>
      <w:r>
        <w:rPr>
          <w:w w:val="98"/>
        </w:rPr>
        <w:t>Quality </w:t>
      </w:r>
      <w:r>
        <w:rPr/>
        <w:t>Awards. The submission, ‘</w:t>
      </w:r>
      <w:r>
        <w:rPr>
          <w:rFonts w:ascii="Century Gothic" w:hAnsi="Century Gothic"/>
          <w:i/>
        </w:rPr>
        <w:t>Partnering to </w:t>
      </w:r>
      <w:r>
        <w:rPr>
          <w:rFonts w:ascii="Century Gothic" w:hAnsi="Century Gothic"/>
          <w:i/>
          <w:w w:val="90"/>
        </w:rPr>
        <w:t>improve oral health of Aboriginal children</w:t>
      </w:r>
      <w:r>
        <w:rPr>
          <w:w w:val="90"/>
        </w:rPr>
        <w:t>’, </w:t>
      </w:r>
      <w:r>
        <w:rPr/>
        <w:t>won the Quality Award under the category Excellence in Provision of Care and Service to Aboriginal Clients. The project was also selected for submission to the NSW Health </w:t>
      </w:r>
      <w:r>
        <w:rPr>
          <w:w w:val="100"/>
        </w:rPr>
        <w:t>Awards </w:t>
      </w:r>
      <w:r>
        <w:rPr>
          <w:w w:val="88"/>
        </w:rPr>
        <w:t>2015 </w:t>
      </w:r>
      <w:r>
        <w:rPr>
          <w:w w:val="97"/>
        </w:rPr>
        <w:t>under </w:t>
      </w:r>
      <w:r>
        <w:rPr>
          <w:w w:val="97"/>
        </w:rPr>
        <w:t>the </w:t>
      </w:r>
      <w:r>
        <w:rPr>
          <w:w w:val="98"/>
        </w:rPr>
        <w:t>Preventative </w:t>
      </w:r>
      <w:r>
        <w:rPr>
          <w:w w:val="96"/>
        </w:rPr>
        <w:t>Health </w:t>
      </w:r>
      <w:r>
        <w:rPr/>
        <w:t>category.</w:t>
      </w:r>
    </w:p>
    <w:p>
      <w:pPr>
        <w:pStyle w:val="BodyText"/>
        <w:spacing w:line="244" w:lineRule="auto" w:before="57"/>
        <w:ind w:left="333" w:right="287" w:hanging="227"/>
      </w:pPr>
      <w:r>
        <w:rPr>
          <w:rFonts w:ascii="Century Gothic" w:hAnsi="Century Gothic"/>
          <w:b/>
          <w:w w:val="115"/>
        </w:rPr>
        <w:t>≥ </w:t>
      </w:r>
      <w:r>
        <w:rPr>
          <w:w w:val="105"/>
        </w:rPr>
        <w:t>A CANR-supported project to reduce </w:t>
      </w:r>
      <w:r>
        <w:rPr/>
        <w:t>falls risk has been awarded Highly</w:t>
      </w:r>
    </w:p>
    <w:p>
      <w:pPr>
        <w:pStyle w:val="BodyText"/>
        <w:spacing w:line="249" w:lineRule="auto" w:before="3"/>
        <w:ind w:left="333" w:right="107"/>
      </w:pPr>
      <w:r>
        <w:rPr/>
        <w:t>Commended in the Clinical Excellence and Patient Safety category in the Australian </w:t>
      </w:r>
      <w:r>
        <w:rPr>
          <w:w w:val="98"/>
        </w:rPr>
        <w:t>Council </w:t>
      </w:r>
      <w:r>
        <w:rPr>
          <w:w w:val="98"/>
        </w:rPr>
        <w:t>on </w:t>
      </w:r>
      <w:r>
        <w:rPr>
          <w:w w:val="97"/>
        </w:rPr>
        <w:t>Healthcare </w:t>
      </w:r>
      <w:r>
        <w:rPr>
          <w:w w:val="97"/>
        </w:rPr>
        <w:t>Standards </w:t>
      </w:r>
      <w:r>
        <w:rPr>
          <w:w w:val="88"/>
        </w:rPr>
        <w:t>2015 </w:t>
      </w:r>
      <w:r>
        <w:rPr/>
        <w:t>Annual Quality Improvement Awards.</w:t>
      </w:r>
    </w:p>
    <w:p>
      <w:pPr>
        <w:pStyle w:val="BodyText"/>
        <w:spacing w:line="249" w:lineRule="auto"/>
        <w:ind w:left="333" w:right="40"/>
      </w:pPr>
      <w:r>
        <w:rPr/>
        <w:t>Associate Professor Everett, Deputy Director of CANR, has been working with Mr Brian Lane, Nurse Unit Manager from the Camden Rehabilitation Unit in South Western Sydney Local Health District, evaluating the project and developing an educational resource for patients and staff.</w:t>
      </w:r>
    </w:p>
    <w:p>
      <w:pPr>
        <w:spacing w:after="0" w:line="249" w:lineRule="auto"/>
        <w:sectPr>
          <w:type w:val="continuous"/>
          <w:pgSz w:w="11910" w:h="16840"/>
          <w:pgMar w:top="1580" w:bottom="280" w:left="800" w:right="800"/>
          <w:cols w:num="3" w:equalWidth="0">
            <w:col w:w="3320" w:space="119"/>
            <w:col w:w="3320" w:space="119"/>
            <w:col w:w="3432"/>
          </w:cols>
        </w:sectPr>
      </w:pPr>
    </w:p>
    <w:p>
      <w:pPr>
        <w:pStyle w:val="BodyText"/>
        <w:spacing w:before="10"/>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0"/>
        <w:rPr>
          <w:rFonts w:ascii="Chronicle Text G1"/>
          <w:b w:val="0"/>
        </w:rPr>
      </w:pPr>
    </w:p>
    <w:p>
      <w:pPr>
        <w:pStyle w:val="BodyText"/>
        <w:spacing w:line="247" w:lineRule="auto"/>
        <w:ind w:left="333" w:right="95" w:hanging="227"/>
      </w:pPr>
      <w:r>
        <w:rPr>
          <w:rFonts w:ascii="Century Gothic" w:hAnsi="Century Gothic"/>
          <w:b/>
          <w:w w:val="145"/>
        </w:rPr>
        <w:t>≥ </w:t>
      </w:r>
      <w:r>
        <w:rPr>
          <w:w w:val="97"/>
        </w:rPr>
        <w:t>Professor </w:t>
      </w:r>
      <w:r>
        <w:rPr>
          <w:w w:val="100"/>
        </w:rPr>
        <w:t>Kemp </w:t>
      </w:r>
      <w:r>
        <w:rPr>
          <w:w w:val="96"/>
        </w:rPr>
        <w:t>was </w:t>
      </w:r>
      <w:r>
        <w:rPr>
          <w:w w:val="94"/>
        </w:rPr>
        <w:t>a </w:t>
      </w:r>
      <w:r>
        <w:rPr>
          <w:w w:val="96"/>
        </w:rPr>
        <w:t>finalist </w:t>
      </w:r>
      <w:r>
        <w:rPr>
          <w:w w:val="98"/>
        </w:rPr>
        <w:t>for </w:t>
      </w:r>
      <w:r>
        <w:rPr>
          <w:w w:val="97"/>
        </w:rPr>
        <w:t>the </w:t>
      </w:r>
      <w:r>
        <w:rPr>
          <w:w w:val="88"/>
        </w:rPr>
        <w:t>2015 </w:t>
      </w:r>
      <w:r>
        <w:rPr/>
        <w:t>NSW Woman of the Year Award, which recognises the outstanding contribution women across NSW make to industry, community and society, and celebrates their significant achievements.</w:t>
      </w:r>
    </w:p>
    <w:p>
      <w:pPr>
        <w:pStyle w:val="BodyText"/>
        <w:spacing w:line="247" w:lineRule="auto" w:before="57"/>
        <w:ind w:left="333" w:right="43" w:hanging="227"/>
      </w:pPr>
      <w:r>
        <w:rPr>
          <w:rFonts w:ascii="Century Gothic" w:hAnsi="Century Gothic"/>
          <w:b/>
          <w:w w:val="115"/>
        </w:rPr>
        <w:t>≥ </w:t>
      </w:r>
      <w:r>
        <w:rPr/>
        <w:t>Mr Athanasiou, SoNM’s Blended Learning Designer, was recognised as an Apple Distinguished Educator at an awards ceremony in Singapore. Only two Fellows were selected from higher education in Australia.</w:t>
      </w:r>
    </w:p>
    <w:p>
      <w:pPr>
        <w:pStyle w:val="BodyText"/>
        <w:spacing w:line="244" w:lineRule="auto" w:before="57"/>
        <w:ind w:left="333" w:right="405" w:hanging="227"/>
      </w:pPr>
      <w:r>
        <w:rPr>
          <w:rFonts w:ascii="Century Gothic" w:hAnsi="Century Gothic"/>
          <w:b/>
          <w:w w:val="115"/>
        </w:rPr>
        <w:t>≥  </w:t>
      </w:r>
      <w:r>
        <w:rPr>
          <w:spacing w:val="2"/>
        </w:rPr>
        <w:t>SoNM </w:t>
      </w:r>
      <w:r>
        <w:rPr/>
        <w:t>Blended Learning Designer, Mr</w:t>
      </w:r>
      <w:r>
        <w:rPr>
          <w:spacing w:val="-18"/>
        </w:rPr>
        <w:t> </w:t>
      </w:r>
      <w:r>
        <w:rPr/>
        <w:t>Athanasiou,</w:t>
      </w:r>
      <w:r>
        <w:rPr>
          <w:spacing w:val="-18"/>
        </w:rPr>
        <w:t> </w:t>
      </w:r>
      <w:r>
        <w:rPr/>
        <w:t>entered</w:t>
      </w:r>
      <w:r>
        <w:rPr>
          <w:spacing w:val="-18"/>
        </w:rPr>
        <w:t> </w:t>
      </w:r>
      <w:r>
        <w:rPr/>
        <w:t>a</w:t>
      </w:r>
      <w:r>
        <w:rPr>
          <w:spacing w:val="-18"/>
        </w:rPr>
        <w:t> </w:t>
      </w:r>
      <w:r>
        <w:rPr/>
        <w:t>video</w:t>
      </w:r>
      <w:r>
        <w:rPr>
          <w:spacing w:val="-18"/>
        </w:rPr>
        <w:t> </w:t>
      </w:r>
      <w:r>
        <w:rPr/>
        <w:t>in</w:t>
      </w:r>
      <w:r>
        <w:rPr>
          <w:spacing w:val="-18"/>
        </w:rPr>
        <w:t> </w:t>
      </w:r>
      <w:r>
        <w:rPr/>
        <w:t>the</w:t>
      </w:r>
    </w:p>
    <w:p>
      <w:pPr>
        <w:pStyle w:val="BodyText"/>
        <w:spacing w:line="249" w:lineRule="auto" w:before="3"/>
        <w:ind w:left="333" w:right="10"/>
      </w:pPr>
      <w:r>
        <w:rPr/>
        <w:t>Learning Impact Awards, which recognise the most powerful and influential uses</w:t>
      </w:r>
    </w:p>
    <w:p>
      <w:pPr>
        <w:pStyle w:val="BodyText"/>
        <w:spacing w:line="249" w:lineRule="auto"/>
        <w:ind w:left="333" w:right="-1"/>
      </w:pPr>
      <w:r>
        <w:rPr/>
        <w:t>of technology in support of learning worldwide.</w:t>
      </w:r>
      <w:r>
        <w:rPr>
          <w:spacing w:val="-17"/>
        </w:rPr>
        <w:t> </w:t>
      </w:r>
      <w:r>
        <w:rPr/>
        <w:t>This</w:t>
      </w:r>
      <w:r>
        <w:rPr>
          <w:spacing w:val="-17"/>
        </w:rPr>
        <w:t> </w:t>
      </w:r>
      <w:r>
        <w:rPr/>
        <w:t>year</w:t>
      </w:r>
      <w:r>
        <w:rPr>
          <w:spacing w:val="-17"/>
        </w:rPr>
        <w:t> </w:t>
      </w:r>
      <w:r>
        <w:rPr/>
        <w:t>the</w:t>
      </w:r>
      <w:r>
        <w:rPr>
          <w:spacing w:val="-17"/>
        </w:rPr>
        <w:t> </w:t>
      </w:r>
      <w:r>
        <w:rPr>
          <w:spacing w:val="2"/>
        </w:rPr>
        <w:t>SoNM</w:t>
      </w:r>
      <w:r>
        <w:rPr>
          <w:spacing w:val="-17"/>
        </w:rPr>
        <w:t> </w:t>
      </w:r>
      <w:r>
        <w:rPr/>
        <w:t>entry</w:t>
      </w:r>
      <w:r>
        <w:rPr>
          <w:spacing w:val="-17"/>
        </w:rPr>
        <w:t> </w:t>
      </w:r>
      <w:r>
        <w:rPr/>
        <w:t>came second at the Australian Finals of the Learning </w:t>
      </w:r>
      <w:r>
        <w:rPr>
          <w:spacing w:val="2"/>
        </w:rPr>
        <w:t>Impact </w:t>
      </w:r>
      <w:r>
        <w:rPr/>
        <w:t>Awards in the Blended Learning Optimisation category, and will be</w:t>
      </w:r>
      <w:r>
        <w:rPr>
          <w:spacing w:val="-19"/>
        </w:rPr>
        <w:t> </w:t>
      </w:r>
      <w:r>
        <w:rPr/>
        <w:t>an</w:t>
      </w:r>
      <w:r>
        <w:rPr>
          <w:spacing w:val="-19"/>
        </w:rPr>
        <w:t> </w:t>
      </w:r>
      <w:r>
        <w:rPr/>
        <w:t>entrant</w:t>
      </w:r>
      <w:r>
        <w:rPr>
          <w:spacing w:val="-19"/>
        </w:rPr>
        <w:t> </w:t>
      </w:r>
      <w:r>
        <w:rPr/>
        <w:t>in</w:t>
      </w:r>
      <w:r>
        <w:rPr>
          <w:spacing w:val="-19"/>
        </w:rPr>
        <w:t> </w:t>
      </w:r>
      <w:r>
        <w:rPr/>
        <w:t>the</w:t>
      </w:r>
      <w:r>
        <w:rPr>
          <w:spacing w:val="-19"/>
        </w:rPr>
        <w:t> </w:t>
      </w:r>
      <w:r>
        <w:rPr/>
        <w:t>Global</w:t>
      </w:r>
      <w:r>
        <w:rPr>
          <w:spacing w:val="-19"/>
        </w:rPr>
        <w:t> </w:t>
      </w:r>
      <w:r>
        <w:rPr/>
        <w:t>Finals</w:t>
      </w:r>
      <w:r>
        <w:rPr>
          <w:spacing w:val="-19"/>
        </w:rPr>
        <w:t> </w:t>
      </w:r>
      <w:r>
        <w:rPr/>
        <w:t>next</w:t>
      </w:r>
      <w:r>
        <w:rPr>
          <w:spacing w:val="-19"/>
        </w:rPr>
        <w:t> </w:t>
      </w:r>
      <w:r>
        <w:rPr/>
        <w:t>year.</w:t>
      </w:r>
    </w:p>
    <w:p>
      <w:pPr>
        <w:pStyle w:val="BodyText"/>
        <w:spacing w:line="247" w:lineRule="auto" w:before="55"/>
        <w:ind w:left="333" w:right="147" w:hanging="227"/>
      </w:pPr>
      <w:r>
        <w:rPr>
          <w:rFonts w:ascii="Century Gothic" w:hAnsi="Century Gothic"/>
          <w:b/>
          <w:w w:val="115"/>
        </w:rPr>
        <w:t>≥  </w:t>
      </w:r>
      <w:r>
        <w:rPr/>
        <w:t>Associate Professor Salamonson, Dr Jane</w:t>
      </w:r>
      <w:r>
        <w:rPr>
          <w:spacing w:val="-12"/>
        </w:rPr>
        <w:t> </w:t>
      </w:r>
      <w:r>
        <w:rPr/>
        <w:t>Koch</w:t>
      </w:r>
      <w:r>
        <w:rPr>
          <w:spacing w:val="-12"/>
        </w:rPr>
        <w:t> </w:t>
      </w:r>
      <w:r>
        <w:rPr/>
        <w:t>and</w:t>
      </w:r>
      <w:r>
        <w:rPr>
          <w:spacing w:val="-12"/>
        </w:rPr>
        <w:t> </w:t>
      </w:r>
      <w:r>
        <w:rPr/>
        <w:t>Ms</w:t>
      </w:r>
      <w:r>
        <w:rPr>
          <w:spacing w:val="-12"/>
        </w:rPr>
        <w:t> </w:t>
      </w:r>
      <w:r>
        <w:rPr/>
        <w:t>Rebecca</w:t>
      </w:r>
      <w:r>
        <w:rPr>
          <w:spacing w:val="-12"/>
        </w:rPr>
        <w:t> </w:t>
      </w:r>
      <w:r>
        <w:rPr/>
        <w:t>Stamopoulos and</w:t>
      </w:r>
      <w:r>
        <w:rPr>
          <w:spacing w:val="-19"/>
        </w:rPr>
        <w:t> </w:t>
      </w:r>
      <w:r>
        <w:rPr/>
        <w:t>team</w:t>
      </w:r>
      <w:r>
        <w:rPr>
          <w:spacing w:val="-19"/>
        </w:rPr>
        <w:t> </w:t>
      </w:r>
      <w:r>
        <w:rPr/>
        <w:t>members</w:t>
      </w:r>
      <w:r>
        <w:rPr>
          <w:spacing w:val="-19"/>
        </w:rPr>
        <w:t> </w:t>
      </w:r>
      <w:r>
        <w:rPr/>
        <w:t>from</w:t>
      </w:r>
      <w:r>
        <w:rPr>
          <w:spacing w:val="-19"/>
        </w:rPr>
        <w:t> </w:t>
      </w:r>
      <w:r>
        <w:rPr/>
        <w:t>other</w:t>
      </w:r>
      <w:r>
        <w:rPr>
          <w:spacing w:val="-19"/>
        </w:rPr>
        <w:t> </w:t>
      </w:r>
      <w:r>
        <w:rPr/>
        <w:t>areas</w:t>
      </w:r>
    </w:p>
    <w:p>
      <w:pPr>
        <w:pStyle w:val="BodyText"/>
        <w:spacing w:line="249" w:lineRule="auto" w:before="1"/>
        <w:ind w:left="333" w:right="83"/>
      </w:pPr>
      <w:r>
        <w:rPr/>
        <w:t>of the University received a University Learning and Teaching Awards Citations for Outstanding Contributions to Student Learning for their work on the STaRS program. The program was established to provide institutional leadership and strategic oversight and direction for planning</w:t>
      </w:r>
      <w:r>
        <w:rPr>
          <w:spacing w:val="-19"/>
        </w:rPr>
        <w:t> </w:t>
      </w:r>
      <w:r>
        <w:rPr/>
        <w:t>and</w:t>
      </w:r>
      <w:r>
        <w:rPr>
          <w:spacing w:val="-19"/>
        </w:rPr>
        <w:t> </w:t>
      </w:r>
      <w:r>
        <w:rPr/>
        <w:t>implementing</w:t>
      </w:r>
      <w:r>
        <w:rPr>
          <w:spacing w:val="-19"/>
        </w:rPr>
        <w:t> </w:t>
      </w:r>
      <w:r>
        <w:rPr/>
        <w:t>initiatives</w:t>
      </w:r>
      <w:r>
        <w:rPr>
          <w:spacing w:val="-19"/>
        </w:rPr>
        <w:t> </w:t>
      </w:r>
      <w:r>
        <w:rPr/>
        <w:t>and</w:t>
      </w:r>
    </w:p>
    <w:p>
      <w:pPr>
        <w:pStyle w:val="BodyText"/>
        <w:spacing w:line="249" w:lineRule="auto"/>
        <w:ind w:left="333" w:right="-17"/>
      </w:pPr>
      <w:r>
        <w:rPr/>
        <w:t>activities</w:t>
      </w:r>
      <w:r>
        <w:rPr>
          <w:spacing w:val="-13"/>
        </w:rPr>
        <w:t> </w:t>
      </w:r>
      <w:r>
        <w:rPr/>
        <w:t>to</w:t>
      </w:r>
      <w:r>
        <w:rPr>
          <w:spacing w:val="-13"/>
        </w:rPr>
        <w:t> </w:t>
      </w:r>
      <w:r>
        <w:rPr/>
        <w:t>support</w:t>
      </w:r>
      <w:r>
        <w:rPr>
          <w:spacing w:val="-13"/>
        </w:rPr>
        <w:t> </w:t>
      </w:r>
      <w:r>
        <w:rPr/>
        <w:t>student</w:t>
      </w:r>
      <w:r>
        <w:rPr>
          <w:spacing w:val="-13"/>
        </w:rPr>
        <w:t> </w:t>
      </w:r>
      <w:r>
        <w:rPr/>
        <w:t>transition</w:t>
      </w:r>
      <w:r>
        <w:rPr>
          <w:spacing w:val="-13"/>
        </w:rPr>
        <w:t> </w:t>
      </w:r>
      <w:r>
        <w:rPr/>
        <w:t>and enhance</w:t>
      </w:r>
      <w:r>
        <w:rPr>
          <w:spacing w:val="-25"/>
        </w:rPr>
        <w:t> </w:t>
      </w:r>
      <w:r>
        <w:rPr/>
        <w:t>the</w:t>
      </w:r>
      <w:r>
        <w:rPr>
          <w:spacing w:val="-25"/>
        </w:rPr>
        <w:t> </w:t>
      </w:r>
      <w:r>
        <w:rPr/>
        <w:t>first-year</w:t>
      </w:r>
      <w:r>
        <w:rPr>
          <w:spacing w:val="-25"/>
        </w:rPr>
        <w:t> </w:t>
      </w:r>
      <w:r>
        <w:rPr/>
        <w:t>student</w:t>
      </w:r>
      <w:r>
        <w:rPr>
          <w:spacing w:val="-25"/>
        </w:rPr>
        <w:t> </w:t>
      </w:r>
      <w:r>
        <w:rPr/>
        <w:t>experience.</w:t>
      </w:r>
    </w:p>
    <w:p>
      <w:pPr>
        <w:pStyle w:val="BodyText"/>
        <w:spacing w:line="247" w:lineRule="auto" w:before="55"/>
        <w:ind w:left="333" w:right="186" w:hanging="227"/>
      </w:pPr>
      <w:r>
        <w:rPr>
          <w:rFonts w:ascii="Century Gothic" w:hAnsi="Century Gothic"/>
          <w:b/>
          <w:w w:val="115"/>
        </w:rPr>
        <w:t>≥ </w:t>
      </w:r>
      <w:r>
        <w:rPr/>
        <w:t>Rebecca Stamopolous, SoNM Marketing </w:t>
      </w:r>
      <w:r>
        <w:rPr>
          <w:w w:val="94"/>
        </w:rPr>
        <w:t>Officer, </w:t>
      </w:r>
      <w:r>
        <w:rPr>
          <w:w w:val="96"/>
        </w:rPr>
        <w:t>was </w:t>
      </w:r>
      <w:r>
        <w:rPr>
          <w:w w:val="98"/>
        </w:rPr>
        <w:t>awarded </w:t>
      </w:r>
      <w:r>
        <w:rPr>
          <w:w w:val="97"/>
        </w:rPr>
        <w:t>the </w:t>
      </w:r>
      <w:r>
        <w:rPr>
          <w:w w:val="88"/>
        </w:rPr>
        <w:t>2015 </w:t>
      </w:r>
      <w:r>
        <w:rPr>
          <w:w w:val="98"/>
        </w:rPr>
        <w:t>Western </w:t>
      </w:r>
      <w:r>
        <w:rPr/>
        <w:t>Warrior Runner Up Award for her significant contribution to the web rebrand.</w:t>
      </w:r>
    </w:p>
    <w:p>
      <w:pPr>
        <w:pStyle w:val="BodyText"/>
        <w:spacing w:line="247" w:lineRule="auto" w:before="57"/>
        <w:ind w:left="333" w:right="-17" w:hanging="227"/>
      </w:pPr>
      <w:r>
        <w:rPr>
          <w:rFonts w:ascii="Century Gothic" w:hAnsi="Century Gothic"/>
          <w:b/>
          <w:w w:val="115"/>
        </w:rPr>
        <w:t>≥ </w:t>
      </w:r>
      <w:r>
        <w:rPr/>
        <w:t>Five academic and four professional staff members are participating in the Inspire Leadership program.</w:t>
      </w:r>
    </w:p>
    <w:p>
      <w:pPr>
        <w:pStyle w:val="BodyText"/>
        <w:spacing w:before="1"/>
        <w:rPr>
          <w:sz w:val="18"/>
        </w:rPr>
      </w:pPr>
      <w:r>
        <w:rPr/>
        <w:br w:type="column"/>
      </w:r>
      <w:r>
        <w:rPr>
          <w:sz w:val="18"/>
        </w:rPr>
      </w:r>
    </w:p>
    <w:p>
      <w:pPr>
        <w:pStyle w:val="Heading5"/>
        <w:spacing w:line="260" w:lineRule="exact" w:before="1"/>
        <w:ind w:left="118" w:right="-4" w:hanging="4"/>
      </w:pPr>
      <w:bookmarkStart w:name="_TOC_250010" w:id="15"/>
      <w:r>
        <w:rPr>
          <w:w w:val="95"/>
        </w:rPr>
        <w:t>SCHOOL OF SCIENCE AND </w:t>
      </w:r>
      <w:bookmarkEnd w:id="15"/>
      <w:r>
        <w:rPr/>
        <w:t>HEALTH</w:t>
      </w:r>
    </w:p>
    <w:p>
      <w:pPr>
        <w:pStyle w:val="BodyText"/>
        <w:spacing w:line="249" w:lineRule="auto" w:before="214"/>
        <w:ind w:left="107" w:right="-4"/>
      </w:pPr>
      <w:r>
        <w:rPr/>
        <w:t>The School of Science and Health offers a diverse mix of disciplines across science and health. The range in both teaching programs and</w:t>
      </w:r>
      <w:r>
        <w:rPr>
          <w:spacing w:val="-18"/>
        </w:rPr>
        <w:t> </w:t>
      </w:r>
      <w:r>
        <w:rPr/>
        <w:t>research</w:t>
      </w:r>
      <w:r>
        <w:rPr>
          <w:spacing w:val="-18"/>
        </w:rPr>
        <w:t> </w:t>
      </w:r>
      <w:r>
        <w:rPr/>
        <w:t>strengths</w:t>
      </w:r>
      <w:r>
        <w:rPr>
          <w:spacing w:val="-18"/>
        </w:rPr>
        <w:t> </w:t>
      </w:r>
      <w:r>
        <w:rPr/>
        <w:t>allows</w:t>
      </w:r>
      <w:r>
        <w:rPr>
          <w:spacing w:val="-18"/>
        </w:rPr>
        <w:t> </w:t>
      </w:r>
      <w:r>
        <w:rPr/>
        <w:t>for</w:t>
      </w:r>
      <w:r>
        <w:rPr>
          <w:spacing w:val="-18"/>
        </w:rPr>
        <w:t> </w:t>
      </w:r>
      <w:r>
        <w:rPr/>
        <w:t>exciting</w:t>
      </w:r>
      <w:r>
        <w:rPr>
          <w:spacing w:val="-18"/>
        </w:rPr>
        <w:t> </w:t>
      </w:r>
      <w:r>
        <w:rPr/>
        <w:t>and innovative collaboration across traditional boundaries, and leads to achievements in interdisciplinary</w:t>
      </w:r>
      <w:r>
        <w:rPr>
          <w:spacing w:val="-21"/>
        </w:rPr>
        <w:t> </w:t>
      </w:r>
      <w:r>
        <w:rPr/>
        <w:t>and</w:t>
      </w:r>
      <w:r>
        <w:rPr>
          <w:spacing w:val="-21"/>
        </w:rPr>
        <w:t> </w:t>
      </w:r>
      <w:r>
        <w:rPr/>
        <w:t>interprofessional</w:t>
      </w:r>
      <w:r>
        <w:rPr>
          <w:spacing w:val="-21"/>
        </w:rPr>
        <w:t> </w:t>
      </w:r>
      <w:r>
        <w:rPr/>
        <w:t>learning and</w:t>
      </w:r>
      <w:r>
        <w:rPr>
          <w:spacing w:val="-28"/>
        </w:rPr>
        <w:t> </w:t>
      </w:r>
      <w:r>
        <w:rPr/>
        <w:t>teaching,</w:t>
      </w:r>
      <w:r>
        <w:rPr>
          <w:spacing w:val="-28"/>
        </w:rPr>
        <w:t> </w:t>
      </w:r>
      <w:r>
        <w:rPr/>
        <w:t>and</w:t>
      </w:r>
      <w:r>
        <w:rPr>
          <w:spacing w:val="-28"/>
        </w:rPr>
        <w:t> </w:t>
      </w:r>
      <w:r>
        <w:rPr/>
        <w:t>research.</w:t>
      </w:r>
    </w:p>
    <w:p>
      <w:pPr>
        <w:pStyle w:val="BodyText"/>
        <w:rPr>
          <w:sz w:val="14"/>
        </w:rPr>
      </w:pPr>
    </w:p>
    <w:p>
      <w:pPr>
        <w:pStyle w:val="BodyText"/>
        <w:spacing w:line="249" w:lineRule="auto"/>
        <w:ind w:left="107" w:right="54"/>
      </w:pPr>
      <w:r>
        <w:rPr>
          <w:spacing w:val="1"/>
          <w:w w:val="80"/>
        </w:rPr>
        <w:t>In</w:t>
      </w:r>
      <w:r>
        <w:rPr>
          <w:w w:val="80"/>
        </w:rPr>
        <w:t> </w:t>
      </w:r>
      <w:r>
        <w:rPr>
          <w:spacing w:val="1"/>
          <w:w w:val="84"/>
        </w:rPr>
        <w:t>2015,</w:t>
      </w:r>
      <w:r>
        <w:rPr>
          <w:w w:val="84"/>
        </w:rPr>
        <w:t> </w:t>
      </w:r>
      <w:r>
        <w:rPr>
          <w:w w:val="97"/>
        </w:rPr>
        <w:t>the </w:t>
      </w:r>
      <w:r>
        <w:rPr>
          <w:spacing w:val="1"/>
          <w:w w:val="98"/>
        </w:rPr>
        <w:t>School’s</w:t>
      </w:r>
      <w:r>
        <w:rPr>
          <w:w w:val="98"/>
        </w:rPr>
        <w:t> </w:t>
      </w:r>
      <w:r>
        <w:rPr>
          <w:spacing w:val="1"/>
          <w:w w:val="97"/>
        </w:rPr>
        <w:t>courses</w:t>
      </w:r>
      <w:r>
        <w:rPr>
          <w:w w:val="97"/>
        </w:rPr>
        <w:t> </w:t>
      </w:r>
      <w:r>
        <w:rPr>
          <w:spacing w:val="1"/>
          <w:w w:val="98"/>
        </w:rPr>
        <w:t>continued</w:t>
      </w:r>
      <w:r>
        <w:rPr>
          <w:w w:val="98"/>
        </w:rPr>
        <w:t> </w:t>
      </w:r>
      <w:r>
        <w:rPr>
          <w:spacing w:val="-1"/>
          <w:w w:val="101"/>
        </w:rPr>
        <w:t>to</w:t>
      </w:r>
      <w:r>
        <w:rPr>
          <w:w w:val="101"/>
        </w:rPr>
        <w:t> </w:t>
      </w:r>
      <w:r>
        <w:rPr/>
        <w:t>grow</w:t>
      </w:r>
      <w:r>
        <w:rPr>
          <w:spacing w:val="-18"/>
        </w:rPr>
        <w:t> </w:t>
      </w:r>
      <w:r>
        <w:rPr/>
        <w:t>in</w:t>
      </w:r>
      <w:r>
        <w:rPr>
          <w:spacing w:val="-18"/>
        </w:rPr>
        <w:t> </w:t>
      </w:r>
      <w:r>
        <w:rPr/>
        <w:t>popularity,</w:t>
      </w:r>
      <w:r>
        <w:rPr>
          <w:spacing w:val="-18"/>
        </w:rPr>
        <w:t> </w:t>
      </w:r>
      <w:r>
        <w:rPr/>
        <w:t>increasing</w:t>
      </w:r>
      <w:r>
        <w:rPr>
          <w:spacing w:val="-18"/>
        </w:rPr>
        <w:t> </w:t>
      </w:r>
      <w:r>
        <w:rPr/>
        <w:t>its</w:t>
      </w:r>
      <w:r>
        <w:rPr>
          <w:spacing w:val="-18"/>
        </w:rPr>
        <w:t> </w:t>
      </w:r>
      <w:r>
        <w:rPr/>
        <w:t>success</w:t>
      </w:r>
      <w:r>
        <w:rPr>
          <w:spacing w:val="-18"/>
        </w:rPr>
        <w:t> </w:t>
      </w:r>
      <w:r>
        <w:rPr/>
        <w:t>and growth in research excellence and research outcomes, and expanding the number of events</w:t>
      </w:r>
      <w:r>
        <w:rPr>
          <w:spacing w:val="-18"/>
        </w:rPr>
        <w:t> </w:t>
      </w:r>
      <w:r>
        <w:rPr/>
        <w:t>held.</w:t>
      </w:r>
      <w:r>
        <w:rPr>
          <w:spacing w:val="-18"/>
        </w:rPr>
        <w:t> </w:t>
      </w:r>
      <w:r>
        <w:rPr/>
        <w:t>The</w:t>
      </w:r>
      <w:r>
        <w:rPr>
          <w:spacing w:val="-18"/>
        </w:rPr>
        <w:t> </w:t>
      </w:r>
      <w:r>
        <w:rPr/>
        <w:t>School’s</w:t>
      </w:r>
      <w:r>
        <w:rPr>
          <w:spacing w:val="-18"/>
        </w:rPr>
        <w:t> </w:t>
      </w:r>
      <w:r>
        <w:rPr/>
        <w:t>success</w:t>
      </w:r>
      <w:r>
        <w:rPr>
          <w:spacing w:val="-18"/>
        </w:rPr>
        <w:t> </w:t>
      </w:r>
      <w:r>
        <w:rPr/>
        <w:t>was</w:t>
      </w:r>
      <w:r>
        <w:rPr>
          <w:spacing w:val="-18"/>
        </w:rPr>
        <w:t> </w:t>
      </w:r>
      <w:r>
        <w:rPr/>
        <w:t>again reflected in staff members’ achievements </w:t>
      </w:r>
      <w:r>
        <w:rPr>
          <w:spacing w:val="1"/>
          <w:w w:val="97"/>
        </w:rPr>
        <w:t>and</w:t>
      </w:r>
      <w:r>
        <w:rPr>
          <w:w w:val="97"/>
        </w:rPr>
        <w:t> </w:t>
      </w:r>
      <w:r>
        <w:rPr>
          <w:w w:val="98"/>
        </w:rPr>
        <w:t>recognition </w:t>
      </w:r>
      <w:r>
        <w:rPr>
          <w:w w:val="95"/>
        </w:rPr>
        <w:t>in </w:t>
      </w:r>
      <w:r>
        <w:rPr>
          <w:w w:val="97"/>
        </w:rPr>
        <w:t>the </w:t>
      </w:r>
      <w:r>
        <w:rPr>
          <w:spacing w:val="1"/>
          <w:w w:val="88"/>
        </w:rPr>
        <w:t>2015</w:t>
      </w:r>
      <w:r>
        <w:rPr>
          <w:w w:val="88"/>
        </w:rPr>
        <w:t> </w:t>
      </w:r>
      <w:r>
        <w:rPr>
          <w:w w:val="98"/>
        </w:rPr>
        <w:t>Western </w:t>
      </w:r>
      <w:r>
        <w:rPr>
          <w:spacing w:val="-1"/>
          <w:w w:val="99"/>
        </w:rPr>
        <w:t>Sydney</w:t>
      </w:r>
      <w:r>
        <w:rPr>
          <w:w w:val="99"/>
        </w:rPr>
        <w:t> </w:t>
      </w:r>
      <w:r>
        <w:rPr/>
        <w:t>University Learning and Teaching Awards, with academic and professional staff members receiving awards for Outstanding Contribution</w:t>
      </w:r>
      <w:r>
        <w:rPr>
          <w:spacing w:val="-19"/>
        </w:rPr>
        <w:t> </w:t>
      </w:r>
      <w:r>
        <w:rPr/>
        <w:t>to</w:t>
      </w:r>
      <w:r>
        <w:rPr>
          <w:spacing w:val="-19"/>
        </w:rPr>
        <w:t> </w:t>
      </w:r>
      <w:r>
        <w:rPr/>
        <w:t>Student</w:t>
      </w:r>
      <w:r>
        <w:rPr>
          <w:spacing w:val="-19"/>
        </w:rPr>
        <w:t> </w:t>
      </w:r>
      <w:r>
        <w:rPr/>
        <w:t>Learning.</w:t>
      </w:r>
    </w:p>
    <w:p>
      <w:pPr>
        <w:pStyle w:val="BodyText"/>
        <w:spacing w:before="7"/>
        <w:rPr>
          <w:sz w:val="21"/>
        </w:rPr>
      </w:pPr>
    </w:p>
    <w:p>
      <w:pPr>
        <w:pStyle w:val="Heading8"/>
        <w:ind w:right="-4"/>
      </w:pPr>
      <w:r>
        <w:rPr>
          <w:w w:val="95"/>
        </w:rPr>
        <w:t>LEARNING AND TEACHING</w:t>
      </w:r>
    </w:p>
    <w:p>
      <w:pPr>
        <w:pStyle w:val="BodyText"/>
        <w:spacing w:line="249" w:lineRule="auto" w:before="86"/>
        <w:ind w:left="107" w:right="-1"/>
      </w:pPr>
      <w:r>
        <w:rPr>
          <w:w w:val="98"/>
        </w:rPr>
        <w:t>Student </w:t>
      </w:r>
      <w:r>
        <w:rPr>
          <w:spacing w:val="1"/>
          <w:w w:val="96"/>
        </w:rPr>
        <w:t>numbers</w:t>
      </w:r>
      <w:r>
        <w:rPr>
          <w:w w:val="96"/>
        </w:rPr>
        <w:t> </w:t>
      </w:r>
      <w:r>
        <w:rPr>
          <w:spacing w:val="1"/>
          <w:w w:val="98"/>
        </w:rPr>
        <w:t>continued</w:t>
      </w:r>
      <w:r>
        <w:rPr>
          <w:w w:val="98"/>
        </w:rPr>
        <w:t> </w:t>
      </w:r>
      <w:r>
        <w:rPr>
          <w:spacing w:val="-1"/>
          <w:w w:val="101"/>
        </w:rPr>
        <w:t>to</w:t>
      </w:r>
      <w:r>
        <w:rPr>
          <w:w w:val="101"/>
        </w:rPr>
        <w:t> </w:t>
      </w:r>
      <w:r>
        <w:rPr>
          <w:w w:val="99"/>
        </w:rPr>
        <w:t>grow </w:t>
      </w:r>
      <w:r>
        <w:rPr>
          <w:w w:val="95"/>
        </w:rPr>
        <w:t>in </w:t>
      </w:r>
      <w:r>
        <w:rPr>
          <w:spacing w:val="1"/>
          <w:w w:val="84"/>
        </w:rPr>
        <w:t>2015,</w:t>
      </w:r>
      <w:r>
        <w:rPr>
          <w:w w:val="84"/>
        </w:rPr>
        <w:t> </w:t>
      </w:r>
      <w:r>
        <w:rPr>
          <w:w w:val="98"/>
        </w:rPr>
        <w:t>up </w:t>
      </w:r>
      <w:r>
        <w:rPr>
          <w:spacing w:val="2"/>
          <w:w w:val="75"/>
        </w:rPr>
        <w:t>1.4</w:t>
      </w:r>
      <w:r>
        <w:rPr>
          <w:w w:val="75"/>
        </w:rPr>
        <w:t> </w:t>
      </w:r>
      <w:r>
        <w:rPr>
          <w:spacing w:val="1"/>
          <w:w w:val="97"/>
        </w:rPr>
        <w:t>per</w:t>
      </w:r>
      <w:r>
        <w:rPr>
          <w:w w:val="97"/>
        </w:rPr>
        <w:t> </w:t>
      </w:r>
      <w:r>
        <w:rPr>
          <w:w w:val="99"/>
        </w:rPr>
        <w:t>cent </w:t>
      </w:r>
      <w:r>
        <w:rPr>
          <w:spacing w:val="1"/>
          <w:w w:val="98"/>
        </w:rPr>
        <w:t>on</w:t>
      </w:r>
      <w:r>
        <w:rPr>
          <w:w w:val="98"/>
        </w:rPr>
        <w:t> </w:t>
      </w:r>
      <w:r>
        <w:rPr>
          <w:spacing w:val="1"/>
          <w:w w:val="86"/>
        </w:rPr>
        <w:t>2014.</w:t>
      </w:r>
      <w:r>
        <w:rPr>
          <w:w w:val="86"/>
        </w:rPr>
        <w:t> </w:t>
      </w:r>
      <w:r>
        <w:rPr>
          <w:spacing w:val="1"/>
          <w:w w:val="98"/>
        </w:rPr>
        <w:t>Programs</w:t>
      </w:r>
      <w:r>
        <w:rPr>
          <w:w w:val="98"/>
        </w:rPr>
        <w:t> </w:t>
      </w:r>
      <w:r>
        <w:rPr>
          <w:spacing w:val="1"/>
          <w:w w:val="97"/>
        </w:rPr>
        <w:t>including</w:t>
      </w:r>
      <w:r>
        <w:rPr>
          <w:w w:val="97"/>
        </w:rPr>
        <w:t> </w:t>
      </w:r>
      <w:r>
        <w:rPr/>
        <w:t>Physiotherapy, Occupational Therapy, Paramedicine, Podiatric Medicine, Natural Science</w:t>
      </w:r>
      <w:r>
        <w:rPr>
          <w:spacing w:val="-12"/>
        </w:rPr>
        <w:t> </w:t>
      </w:r>
      <w:r>
        <w:rPr/>
        <w:t>and</w:t>
      </w:r>
      <w:r>
        <w:rPr>
          <w:spacing w:val="-12"/>
        </w:rPr>
        <w:t> </w:t>
      </w:r>
      <w:r>
        <w:rPr/>
        <w:t>Forensic</w:t>
      </w:r>
      <w:r>
        <w:rPr>
          <w:spacing w:val="-12"/>
        </w:rPr>
        <w:t> </w:t>
      </w:r>
      <w:r>
        <w:rPr/>
        <w:t>Science</w:t>
      </w:r>
      <w:r>
        <w:rPr>
          <w:spacing w:val="-12"/>
        </w:rPr>
        <w:t> </w:t>
      </w:r>
      <w:r>
        <w:rPr/>
        <w:t>attracted</w:t>
      </w:r>
      <w:r>
        <w:rPr>
          <w:spacing w:val="-12"/>
        </w:rPr>
        <w:t> </w:t>
      </w:r>
      <w:r>
        <w:rPr/>
        <w:t>strong student</w:t>
      </w:r>
      <w:r>
        <w:rPr>
          <w:spacing w:val="-25"/>
        </w:rPr>
        <w:t> </w:t>
      </w:r>
      <w:r>
        <w:rPr/>
        <w:t>preferences</w:t>
      </w:r>
      <w:r>
        <w:rPr>
          <w:spacing w:val="-25"/>
        </w:rPr>
        <w:t> </w:t>
      </w:r>
      <w:r>
        <w:rPr/>
        <w:t>and</w:t>
      </w:r>
      <w:r>
        <w:rPr>
          <w:spacing w:val="-25"/>
        </w:rPr>
        <w:t> </w:t>
      </w:r>
      <w:r>
        <w:rPr/>
        <w:t>enrolments.</w:t>
      </w:r>
    </w:p>
    <w:p>
      <w:pPr>
        <w:pStyle w:val="BodyText"/>
        <w:rPr>
          <w:sz w:val="14"/>
        </w:rPr>
      </w:pPr>
    </w:p>
    <w:p>
      <w:pPr>
        <w:pStyle w:val="BodyText"/>
        <w:spacing w:line="249" w:lineRule="auto"/>
        <w:ind w:left="107" w:right="54"/>
      </w:pPr>
      <w:r>
        <w:rPr/>
        <w:t>We</w:t>
      </w:r>
      <w:r>
        <w:rPr>
          <w:spacing w:val="-14"/>
        </w:rPr>
        <w:t> </w:t>
      </w:r>
      <w:r>
        <w:rPr/>
        <w:t>moved</w:t>
      </w:r>
      <w:r>
        <w:rPr>
          <w:spacing w:val="-14"/>
        </w:rPr>
        <w:t> </w:t>
      </w:r>
      <w:r>
        <w:rPr/>
        <w:t>our</w:t>
      </w:r>
      <w:r>
        <w:rPr>
          <w:spacing w:val="-14"/>
        </w:rPr>
        <w:t> </w:t>
      </w:r>
      <w:r>
        <w:rPr/>
        <w:t>Health</w:t>
      </w:r>
      <w:r>
        <w:rPr>
          <w:spacing w:val="-14"/>
        </w:rPr>
        <w:t> </w:t>
      </w:r>
      <w:r>
        <w:rPr/>
        <w:t>and</w:t>
      </w:r>
      <w:r>
        <w:rPr>
          <w:spacing w:val="-14"/>
        </w:rPr>
        <w:t> </w:t>
      </w:r>
      <w:r>
        <w:rPr/>
        <w:t>Physical</w:t>
      </w:r>
      <w:r>
        <w:rPr>
          <w:spacing w:val="-14"/>
        </w:rPr>
        <w:t> </w:t>
      </w:r>
      <w:r>
        <w:rPr/>
        <w:t>Education program to the Kingswood </w:t>
      </w:r>
      <w:r>
        <w:rPr>
          <w:spacing w:val="2"/>
        </w:rPr>
        <w:t>campus, </w:t>
      </w:r>
      <w:r>
        <w:rPr/>
        <w:t>giving students and staff members greater access to</w:t>
      </w:r>
      <w:r>
        <w:rPr>
          <w:spacing w:val="-16"/>
        </w:rPr>
        <w:t> </w:t>
      </w:r>
      <w:r>
        <w:rPr/>
        <w:t>new</w:t>
      </w:r>
      <w:r>
        <w:rPr>
          <w:spacing w:val="-16"/>
        </w:rPr>
        <w:t> </w:t>
      </w:r>
      <w:r>
        <w:rPr/>
        <w:t>and</w:t>
      </w:r>
      <w:r>
        <w:rPr>
          <w:spacing w:val="-16"/>
        </w:rPr>
        <w:t> </w:t>
      </w:r>
      <w:r>
        <w:rPr/>
        <w:t>modern</w:t>
      </w:r>
      <w:r>
        <w:rPr>
          <w:spacing w:val="-16"/>
        </w:rPr>
        <w:t> </w:t>
      </w:r>
      <w:r>
        <w:rPr/>
        <w:t>facilities.</w:t>
      </w:r>
      <w:r>
        <w:rPr>
          <w:spacing w:val="-16"/>
        </w:rPr>
        <w:t> </w:t>
      </w:r>
      <w:r>
        <w:rPr/>
        <w:t>Construction</w:t>
      </w:r>
    </w:p>
    <w:p>
      <w:pPr>
        <w:pStyle w:val="BodyText"/>
        <w:spacing w:line="249" w:lineRule="auto"/>
        <w:ind w:left="107" w:right="89"/>
      </w:pPr>
      <w:r>
        <w:rPr/>
        <w:t>of a building that will house contemporary teaching</w:t>
      </w:r>
      <w:r>
        <w:rPr>
          <w:spacing w:val="-23"/>
        </w:rPr>
        <w:t> </w:t>
      </w:r>
      <w:r>
        <w:rPr/>
        <w:t>and</w:t>
      </w:r>
      <w:r>
        <w:rPr>
          <w:spacing w:val="-23"/>
        </w:rPr>
        <w:t> </w:t>
      </w:r>
      <w:r>
        <w:rPr/>
        <w:t>learning,</w:t>
      </w:r>
      <w:r>
        <w:rPr>
          <w:spacing w:val="-23"/>
        </w:rPr>
        <w:t> </w:t>
      </w:r>
      <w:r>
        <w:rPr/>
        <w:t>and</w:t>
      </w:r>
      <w:r>
        <w:rPr>
          <w:spacing w:val="-23"/>
        </w:rPr>
        <w:t> </w:t>
      </w:r>
      <w:r>
        <w:rPr/>
        <w:t>research</w:t>
      </w:r>
      <w:r>
        <w:rPr>
          <w:spacing w:val="-23"/>
        </w:rPr>
        <w:t> </w:t>
      </w:r>
      <w:r>
        <w:rPr/>
        <w:t>facilities, has</w:t>
      </w:r>
      <w:r>
        <w:rPr>
          <w:spacing w:val="-18"/>
        </w:rPr>
        <w:t> </w:t>
      </w:r>
      <w:r>
        <w:rPr/>
        <w:t>begun</w:t>
      </w:r>
      <w:r>
        <w:rPr>
          <w:spacing w:val="-18"/>
        </w:rPr>
        <w:t> </w:t>
      </w:r>
      <w:r>
        <w:rPr/>
        <w:t>at</w:t>
      </w:r>
      <w:r>
        <w:rPr>
          <w:spacing w:val="-18"/>
        </w:rPr>
        <w:t> </w:t>
      </w:r>
      <w:r>
        <w:rPr/>
        <w:t>the</w:t>
      </w:r>
      <w:r>
        <w:rPr>
          <w:spacing w:val="-18"/>
        </w:rPr>
        <w:t> </w:t>
      </w:r>
      <w:r>
        <w:rPr/>
        <w:t>Parramatta</w:t>
      </w:r>
      <w:r>
        <w:rPr>
          <w:spacing w:val="-18"/>
        </w:rPr>
        <w:t> </w:t>
      </w:r>
      <w:r>
        <w:rPr>
          <w:spacing w:val="2"/>
        </w:rPr>
        <w:t>campus.</w:t>
      </w:r>
      <w:r>
        <w:rPr>
          <w:spacing w:val="-18"/>
        </w:rPr>
        <w:t> </w:t>
      </w:r>
      <w:r>
        <w:rPr/>
        <w:t>It</w:t>
      </w:r>
      <w:r>
        <w:rPr>
          <w:spacing w:val="-18"/>
        </w:rPr>
        <w:t> </w:t>
      </w:r>
      <w:r>
        <w:rPr/>
        <w:t>will </w:t>
      </w:r>
      <w:r>
        <w:rPr>
          <w:spacing w:val="1"/>
          <w:w w:val="96"/>
        </w:rPr>
        <w:t>house</w:t>
      </w:r>
      <w:r>
        <w:rPr>
          <w:w w:val="96"/>
        </w:rPr>
        <w:t> </w:t>
      </w:r>
      <w:r>
        <w:rPr>
          <w:spacing w:val="1"/>
          <w:w w:val="98"/>
        </w:rPr>
        <w:t>science-based</w:t>
      </w:r>
      <w:r>
        <w:rPr>
          <w:w w:val="98"/>
        </w:rPr>
        <w:t> </w:t>
      </w:r>
      <w:r>
        <w:rPr>
          <w:spacing w:val="1"/>
          <w:w w:val="94"/>
        </w:rPr>
        <w:t>programs,</w:t>
      </w:r>
      <w:r>
        <w:rPr>
          <w:w w:val="94"/>
        </w:rPr>
        <w:t> </w:t>
      </w:r>
      <w:r>
        <w:rPr>
          <w:spacing w:val="1"/>
          <w:w w:val="97"/>
        </w:rPr>
        <w:t>and</w:t>
      </w:r>
      <w:r>
        <w:rPr>
          <w:w w:val="97"/>
        </w:rPr>
        <w:t> </w:t>
      </w:r>
      <w:r>
        <w:rPr>
          <w:w w:val="95"/>
        </w:rPr>
        <w:t>in </w:t>
      </w:r>
      <w:r>
        <w:rPr>
          <w:w w:val="87"/>
        </w:rPr>
        <w:t>2017 </w:t>
      </w:r>
      <w:r>
        <w:rPr/>
        <w:t>the</w:t>
      </w:r>
      <w:r>
        <w:rPr>
          <w:spacing w:val="-13"/>
        </w:rPr>
        <w:t> </w:t>
      </w:r>
      <w:r>
        <w:rPr/>
        <w:t>School’s</w:t>
      </w:r>
      <w:r>
        <w:rPr>
          <w:spacing w:val="-13"/>
        </w:rPr>
        <w:t> </w:t>
      </w:r>
      <w:r>
        <w:rPr/>
        <w:t>Medical</w:t>
      </w:r>
      <w:r>
        <w:rPr>
          <w:spacing w:val="-13"/>
        </w:rPr>
        <w:t> </w:t>
      </w:r>
      <w:r>
        <w:rPr/>
        <w:t>Science</w:t>
      </w:r>
      <w:r>
        <w:rPr>
          <w:spacing w:val="-13"/>
        </w:rPr>
        <w:t> </w:t>
      </w:r>
      <w:r>
        <w:rPr/>
        <w:t>program</w:t>
      </w:r>
      <w:r>
        <w:rPr>
          <w:spacing w:val="-13"/>
        </w:rPr>
        <w:t> </w:t>
      </w:r>
      <w:r>
        <w:rPr/>
        <w:t>will</w:t>
      </w:r>
      <w:r>
        <w:rPr>
          <w:spacing w:val="-13"/>
        </w:rPr>
        <w:t> </w:t>
      </w:r>
      <w:r>
        <w:rPr/>
        <w:t>be expanded.</w:t>
      </w:r>
    </w:p>
    <w:p>
      <w:pPr>
        <w:pStyle w:val="BodyText"/>
        <w:rPr>
          <w:sz w:val="14"/>
        </w:rPr>
      </w:pPr>
    </w:p>
    <w:p>
      <w:pPr>
        <w:pStyle w:val="BodyText"/>
        <w:spacing w:line="249" w:lineRule="auto"/>
        <w:ind w:left="107" w:right="-3"/>
      </w:pPr>
      <w:r>
        <w:rPr/>
        <w:t>Several facilities and laboratories at the Hawkesbury campus </w:t>
      </w:r>
      <w:r>
        <w:rPr>
          <w:spacing w:val="-3"/>
        </w:rPr>
        <w:t>have </w:t>
      </w:r>
      <w:r>
        <w:rPr/>
        <w:t>been upgraded </w:t>
      </w:r>
      <w:r>
        <w:rPr>
          <w:spacing w:val="-3"/>
        </w:rPr>
        <w:t>to </w:t>
      </w:r>
      <w:r>
        <w:rPr/>
        <w:t>enhance learning opportunities and research capabilities. These include the Crime Scene simulation </w:t>
      </w:r>
      <w:r>
        <w:rPr>
          <w:spacing w:val="-3"/>
        </w:rPr>
        <w:t>facility, </w:t>
      </w:r>
      <w:r>
        <w:rPr/>
        <w:t>and the creation of an Ecology research laboratory and outdoor </w:t>
      </w:r>
      <w:r>
        <w:rPr>
          <w:spacing w:val="-3"/>
        </w:rPr>
        <w:t>wildlife</w:t>
      </w:r>
      <w:r>
        <w:rPr>
          <w:spacing w:val="-37"/>
        </w:rPr>
        <w:t> </w:t>
      </w:r>
      <w:r>
        <w:rPr/>
        <w:t>research</w:t>
      </w:r>
      <w:r>
        <w:rPr>
          <w:spacing w:val="-37"/>
        </w:rPr>
        <w:t> </w:t>
      </w:r>
      <w:r>
        <w:rPr/>
        <w:t>area.</w:t>
      </w:r>
      <w:r>
        <w:rPr>
          <w:spacing w:val="-37"/>
        </w:rPr>
        <w:t> </w:t>
      </w:r>
      <w:r>
        <w:rPr/>
        <w:t>New</w:t>
      </w:r>
      <w:r>
        <w:rPr>
          <w:spacing w:val="-37"/>
        </w:rPr>
        <w:t> </w:t>
      </w:r>
      <w:r>
        <w:rPr>
          <w:spacing w:val="-3"/>
        </w:rPr>
        <w:t>anatomy</w:t>
      </w:r>
      <w:r>
        <w:rPr>
          <w:spacing w:val="-37"/>
        </w:rPr>
        <w:t> </w:t>
      </w:r>
      <w:r>
        <w:rPr/>
        <w:t>and</w:t>
      </w:r>
      <w:r>
        <w:rPr>
          <w:spacing w:val="-37"/>
        </w:rPr>
        <w:t> </w:t>
      </w:r>
      <w:r>
        <w:rPr/>
        <w:t>science </w:t>
      </w:r>
      <w:r>
        <w:rPr>
          <w:spacing w:val="-2"/>
          <w:w w:val="97"/>
        </w:rPr>
        <w:t>laboratories</w:t>
      </w:r>
      <w:r>
        <w:rPr>
          <w:w w:val="97"/>
        </w:rPr>
        <w:t> </w:t>
      </w:r>
      <w:r>
        <w:rPr>
          <w:spacing w:val="-3"/>
          <w:w w:val="97"/>
        </w:rPr>
        <w:t>were</w:t>
      </w:r>
      <w:r>
        <w:rPr>
          <w:w w:val="97"/>
        </w:rPr>
        <w:t> </w:t>
      </w:r>
      <w:r>
        <w:rPr>
          <w:spacing w:val="-1"/>
          <w:w w:val="98"/>
        </w:rPr>
        <w:t>opened</w:t>
      </w:r>
      <w:r>
        <w:rPr>
          <w:w w:val="98"/>
        </w:rPr>
        <w:t> </w:t>
      </w:r>
      <w:r>
        <w:rPr>
          <w:spacing w:val="-1"/>
          <w:w w:val="95"/>
        </w:rPr>
        <w:t>in</w:t>
      </w:r>
      <w:r>
        <w:rPr>
          <w:w w:val="95"/>
        </w:rPr>
        <w:t> </w:t>
      </w:r>
      <w:r>
        <w:rPr>
          <w:spacing w:val="-1"/>
          <w:w w:val="84"/>
        </w:rPr>
        <w:t>2015,</w:t>
      </w:r>
      <w:r>
        <w:rPr>
          <w:w w:val="84"/>
        </w:rPr>
        <w:t> </w:t>
      </w:r>
      <w:r>
        <w:rPr>
          <w:spacing w:val="-2"/>
          <w:w w:val="97"/>
        </w:rPr>
        <w:t>significantly</w:t>
      </w:r>
      <w:r>
        <w:rPr>
          <w:w w:val="97"/>
        </w:rPr>
        <w:t> </w:t>
      </w:r>
      <w:r>
        <w:rPr/>
        <w:t>improving teaching, learning and research </w:t>
      </w:r>
      <w:r>
        <w:rPr>
          <w:w w:val="95"/>
        </w:rPr>
        <w:t>opportunities at the Campbelltown</w:t>
      </w:r>
      <w:r>
        <w:rPr>
          <w:spacing w:val="-28"/>
          <w:w w:val="95"/>
        </w:rPr>
        <w:t> </w:t>
      </w:r>
      <w:r>
        <w:rPr>
          <w:w w:val="95"/>
        </w:rPr>
        <w:t>campus.</w:t>
      </w:r>
    </w:p>
    <w:p>
      <w:pPr>
        <w:pStyle w:val="BodyText"/>
        <w:spacing w:before="10"/>
      </w:pPr>
      <w:r>
        <w:rPr/>
        <w:br w:type="column"/>
      </w:r>
      <w:r>
        <w:rPr/>
      </w:r>
    </w:p>
    <w:p>
      <w:pPr>
        <w:pStyle w:val="BodyText"/>
        <w:spacing w:line="249" w:lineRule="auto"/>
        <w:ind w:left="107" w:right="99"/>
      </w:pPr>
      <w:r>
        <w:rPr/>
        <w:t>The School is continuing to explore, develop and offer new academic programs and is using</w:t>
      </w:r>
      <w:r>
        <w:rPr>
          <w:spacing w:val="-22"/>
        </w:rPr>
        <w:t> </w:t>
      </w:r>
      <w:r>
        <w:rPr/>
        <w:t>new</w:t>
      </w:r>
      <w:r>
        <w:rPr>
          <w:spacing w:val="-22"/>
        </w:rPr>
        <w:t> </w:t>
      </w:r>
      <w:r>
        <w:rPr/>
        <w:t>teaching</w:t>
      </w:r>
      <w:r>
        <w:rPr>
          <w:spacing w:val="-22"/>
        </w:rPr>
        <w:t> </w:t>
      </w:r>
      <w:r>
        <w:rPr/>
        <w:t>approaches</w:t>
      </w:r>
      <w:r>
        <w:rPr>
          <w:spacing w:val="-22"/>
        </w:rPr>
        <w:t> </w:t>
      </w:r>
      <w:r>
        <w:rPr/>
        <w:t>and</w:t>
      </w:r>
      <w:r>
        <w:rPr>
          <w:spacing w:val="-22"/>
        </w:rPr>
        <w:t> </w:t>
      </w:r>
      <w:r>
        <w:rPr/>
        <w:t>synergies.</w:t>
      </w:r>
    </w:p>
    <w:p>
      <w:pPr>
        <w:pStyle w:val="BodyText"/>
        <w:spacing w:line="249" w:lineRule="auto"/>
        <w:ind w:left="107" w:right="268"/>
      </w:pPr>
      <w:r>
        <w:rPr>
          <w:spacing w:val="1"/>
          <w:w w:val="80"/>
        </w:rPr>
        <w:t>In</w:t>
      </w:r>
      <w:r>
        <w:rPr>
          <w:w w:val="80"/>
        </w:rPr>
        <w:t> </w:t>
      </w:r>
      <w:r>
        <w:rPr>
          <w:spacing w:val="1"/>
          <w:w w:val="84"/>
        </w:rPr>
        <w:t>2015,</w:t>
      </w:r>
      <w:r>
        <w:rPr>
          <w:w w:val="84"/>
        </w:rPr>
        <w:t> </w:t>
      </w:r>
      <w:r>
        <w:rPr>
          <w:w w:val="97"/>
        </w:rPr>
        <w:t>the </w:t>
      </w:r>
      <w:r>
        <w:rPr>
          <w:spacing w:val="1"/>
          <w:w w:val="98"/>
        </w:rPr>
        <w:t>second</w:t>
      </w:r>
      <w:r>
        <w:rPr>
          <w:w w:val="98"/>
        </w:rPr>
        <w:t> </w:t>
      </w:r>
      <w:r>
        <w:rPr>
          <w:spacing w:val="1"/>
          <w:w w:val="99"/>
        </w:rPr>
        <w:t>cohort</w:t>
      </w:r>
      <w:r>
        <w:rPr>
          <w:w w:val="99"/>
        </w:rPr>
        <w:t> </w:t>
      </w:r>
      <w:r>
        <w:rPr>
          <w:w w:val="99"/>
        </w:rPr>
        <w:t>of </w:t>
      </w:r>
      <w:r>
        <w:rPr>
          <w:spacing w:val="1"/>
          <w:w w:val="97"/>
        </w:rPr>
        <w:t>students</w:t>
      </w:r>
      <w:r>
        <w:rPr>
          <w:w w:val="97"/>
        </w:rPr>
        <w:t> </w:t>
      </w:r>
      <w:r>
        <w:rPr/>
        <w:t>began</w:t>
      </w:r>
      <w:r>
        <w:rPr>
          <w:spacing w:val="-13"/>
        </w:rPr>
        <w:t> </w:t>
      </w:r>
      <w:r>
        <w:rPr/>
        <w:t>the</w:t>
      </w:r>
      <w:r>
        <w:rPr>
          <w:spacing w:val="-13"/>
        </w:rPr>
        <w:t> </w:t>
      </w:r>
      <w:r>
        <w:rPr/>
        <w:t>highly</w:t>
      </w:r>
      <w:r>
        <w:rPr>
          <w:spacing w:val="-13"/>
        </w:rPr>
        <w:t> </w:t>
      </w:r>
      <w:r>
        <w:rPr/>
        <w:t>popular</w:t>
      </w:r>
      <w:r>
        <w:rPr>
          <w:spacing w:val="-13"/>
        </w:rPr>
        <w:t> </w:t>
      </w:r>
      <w:r>
        <w:rPr/>
        <w:t>Bachelor</w:t>
      </w:r>
      <w:r>
        <w:rPr>
          <w:spacing w:val="-13"/>
        </w:rPr>
        <w:t> </w:t>
      </w:r>
      <w:r>
        <w:rPr/>
        <w:t>of</w:t>
      </w:r>
      <w:r>
        <w:rPr>
          <w:spacing w:val="-13"/>
        </w:rPr>
        <w:t> </w:t>
      </w:r>
      <w:r>
        <w:rPr/>
        <w:t>Health</w:t>
      </w:r>
    </w:p>
    <w:p>
      <w:pPr>
        <w:pStyle w:val="BodyText"/>
        <w:spacing w:line="249" w:lineRule="auto"/>
        <w:ind w:left="107" w:right="126"/>
      </w:pPr>
      <w:r>
        <w:rPr/>
        <w:t>Science</w:t>
      </w:r>
      <w:r>
        <w:rPr>
          <w:spacing w:val="-19"/>
        </w:rPr>
        <w:t> </w:t>
      </w:r>
      <w:r>
        <w:rPr/>
        <w:t>(Paramedicine).</w:t>
      </w:r>
      <w:r>
        <w:rPr>
          <w:spacing w:val="-19"/>
        </w:rPr>
        <w:t> </w:t>
      </w:r>
      <w:r>
        <w:rPr>
          <w:spacing w:val="-5"/>
        </w:rPr>
        <w:t>To</w:t>
      </w:r>
      <w:r>
        <w:rPr>
          <w:spacing w:val="-19"/>
        </w:rPr>
        <w:t> </w:t>
      </w:r>
      <w:r>
        <w:rPr/>
        <w:t>meet</w:t>
      </w:r>
      <w:r>
        <w:rPr>
          <w:spacing w:val="-19"/>
        </w:rPr>
        <w:t> </w:t>
      </w:r>
      <w:r>
        <w:rPr/>
        <w:t>growing</w:t>
      </w:r>
      <w:r>
        <w:rPr>
          <w:spacing w:val="-19"/>
        </w:rPr>
        <w:t> </w:t>
      </w:r>
      <w:r>
        <w:rPr/>
        <w:t>and changing demand, the Bachelor of Health Science (Health and Physical Education)/ Master</w:t>
      </w:r>
      <w:r>
        <w:rPr>
          <w:spacing w:val="-18"/>
        </w:rPr>
        <w:t> </w:t>
      </w:r>
      <w:r>
        <w:rPr/>
        <w:t>of</w:t>
      </w:r>
      <w:r>
        <w:rPr>
          <w:spacing w:val="-18"/>
        </w:rPr>
        <w:t> </w:t>
      </w:r>
      <w:r>
        <w:rPr/>
        <w:t>Teaching</w:t>
      </w:r>
      <w:r>
        <w:rPr>
          <w:spacing w:val="-18"/>
        </w:rPr>
        <w:t> </w:t>
      </w:r>
      <w:r>
        <w:rPr/>
        <w:t>and</w:t>
      </w:r>
      <w:r>
        <w:rPr>
          <w:spacing w:val="-18"/>
        </w:rPr>
        <w:t> </w:t>
      </w:r>
      <w:r>
        <w:rPr/>
        <w:t>the</w:t>
      </w:r>
      <w:r>
        <w:rPr>
          <w:spacing w:val="-18"/>
        </w:rPr>
        <w:t> </w:t>
      </w:r>
      <w:r>
        <w:rPr/>
        <w:t>Bachelor</w:t>
      </w:r>
      <w:r>
        <w:rPr>
          <w:spacing w:val="-18"/>
        </w:rPr>
        <w:t> </w:t>
      </w:r>
      <w:r>
        <w:rPr/>
        <w:t>of</w:t>
      </w:r>
      <w:r>
        <w:rPr>
          <w:spacing w:val="-18"/>
        </w:rPr>
        <w:t> </w:t>
      </w:r>
      <w:r>
        <w:rPr/>
        <w:t>Health Science (Public Health) have been developed </w:t>
      </w:r>
      <w:r>
        <w:rPr>
          <w:spacing w:val="1"/>
          <w:w w:val="97"/>
        </w:rPr>
        <w:t>and</w:t>
      </w:r>
      <w:r>
        <w:rPr>
          <w:spacing w:val="-8"/>
          <w:w w:val="97"/>
        </w:rPr>
        <w:t> </w:t>
      </w:r>
      <w:r>
        <w:rPr>
          <w:w w:val="95"/>
        </w:rPr>
        <w:t>are</w:t>
      </w:r>
      <w:r>
        <w:rPr>
          <w:spacing w:val="-7"/>
          <w:w w:val="95"/>
        </w:rPr>
        <w:t> </w:t>
      </w:r>
      <w:r>
        <w:rPr>
          <w:spacing w:val="1"/>
          <w:w w:val="98"/>
        </w:rPr>
        <w:t>on</w:t>
      </w:r>
      <w:r>
        <w:rPr>
          <w:spacing w:val="-9"/>
          <w:w w:val="98"/>
        </w:rPr>
        <w:t> </w:t>
      </w:r>
      <w:r>
        <w:rPr>
          <w:w w:val="97"/>
        </w:rPr>
        <w:t>offer</w:t>
      </w:r>
      <w:r>
        <w:rPr>
          <w:spacing w:val="-8"/>
          <w:w w:val="97"/>
        </w:rPr>
        <w:t> </w:t>
      </w:r>
      <w:r>
        <w:rPr>
          <w:spacing w:val="1"/>
          <w:w w:val="98"/>
        </w:rPr>
        <w:t>from</w:t>
      </w:r>
      <w:r>
        <w:rPr>
          <w:spacing w:val="-9"/>
          <w:w w:val="98"/>
        </w:rPr>
        <w:t> </w:t>
      </w:r>
      <w:r>
        <w:rPr>
          <w:spacing w:val="2"/>
          <w:w w:val="85"/>
        </w:rPr>
        <w:t>2016.</w:t>
      </w:r>
    </w:p>
    <w:p>
      <w:pPr>
        <w:pStyle w:val="BodyText"/>
        <w:rPr>
          <w:sz w:val="14"/>
        </w:rPr>
      </w:pPr>
    </w:p>
    <w:p>
      <w:pPr>
        <w:pStyle w:val="BodyText"/>
        <w:spacing w:line="249" w:lineRule="auto"/>
        <w:ind w:left="107" w:right="64"/>
      </w:pPr>
      <w:r>
        <w:rPr/>
        <w:t>The Australian Physiotherapy Council extended the accreditation for the highly successful Physiotherapy program for another </w:t>
      </w:r>
      <w:r>
        <w:rPr>
          <w:w w:val="97"/>
        </w:rPr>
        <w:t>five </w:t>
      </w:r>
      <w:r>
        <w:rPr>
          <w:w w:val="96"/>
        </w:rPr>
        <w:t>years </w:t>
      </w:r>
      <w:r>
        <w:rPr>
          <w:w w:val="95"/>
        </w:rPr>
        <w:t>in </w:t>
      </w:r>
      <w:r>
        <w:rPr>
          <w:w w:val="84"/>
        </w:rPr>
        <w:t>2015.</w:t>
      </w:r>
    </w:p>
    <w:p>
      <w:pPr>
        <w:pStyle w:val="BodyText"/>
        <w:rPr>
          <w:sz w:val="14"/>
        </w:rPr>
      </w:pPr>
    </w:p>
    <w:p>
      <w:pPr>
        <w:pStyle w:val="BodyText"/>
        <w:spacing w:line="249" w:lineRule="auto"/>
        <w:ind w:left="107" w:right="64"/>
      </w:pPr>
      <w:r>
        <w:rPr/>
        <w:t>The School is continuing to grow its international relationships. The Forensic Science department is developing partnership arrangements in China in undergraduate and postgraduate education and exchange.</w:t>
      </w:r>
    </w:p>
    <w:p>
      <w:pPr>
        <w:pStyle w:val="BodyText"/>
        <w:rPr>
          <w:sz w:val="14"/>
        </w:rPr>
      </w:pPr>
    </w:p>
    <w:p>
      <w:pPr>
        <w:pStyle w:val="BodyText"/>
        <w:spacing w:line="249" w:lineRule="auto"/>
        <w:ind w:left="107" w:right="232"/>
      </w:pPr>
      <w:r>
        <w:rPr/>
        <w:t>The Blended Learning team and academic staff are working on teaching and learning materials,</w:t>
      </w:r>
      <w:r>
        <w:rPr>
          <w:spacing w:val="-21"/>
        </w:rPr>
        <w:t> </w:t>
      </w:r>
      <w:r>
        <w:rPr/>
        <w:t>and</w:t>
      </w:r>
      <w:r>
        <w:rPr>
          <w:spacing w:val="-21"/>
        </w:rPr>
        <w:t> </w:t>
      </w:r>
      <w:r>
        <w:rPr/>
        <w:t>embedding</w:t>
      </w:r>
      <w:r>
        <w:rPr>
          <w:spacing w:val="-21"/>
        </w:rPr>
        <w:t> </w:t>
      </w:r>
      <w:r>
        <w:rPr/>
        <w:t>online</w:t>
      </w:r>
      <w:r>
        <w:rPr>
          <w:spacing w:val="-21"/>
        </w:rPr>
        <w:t> </w:t>
      </w:r>
      <w:r>
        <w:rPr/>
        <w:t>materials</w:t>
      </w:r>
      <w:r>
        <w:rPr>
          <w:spacing w:val="-21"/>
        </w:rPr>
        <w:t> </w:t>
      </w:r>
      <w:r>
        <w:rPr/>
        <w:t>in many teaching units, ensuring they remain contemporary and flexible. As </w:t>
      </w:r>
      <w:r>
        <w:rPr>
          <w:spacing w:val="2"/>
        </w:rPr>
        <w:t>part </w:t>
      </w:r>
      <w:r>
        <w:rPr/>
        <w:t>of the overall approach, technology support was expanded for the School’s MiHub facilities, allowing academic staff members more opportunities to develop and improve teaching</w:t>
      </w:r>
      <w:r>
        <w:rPr>
          <w:spacing w:val="-26"/>
        </w:rPr>
        <w:t> </w:t>
      </w:r>
      <w:r>
        <w:rPr/>
        <w:t>and</w:t>
      </w:r>
      <w:r>
        <w:rPr>
          <w:spacing w:val="-26"/>
        </w:rPr>
        <w:t> </w:t>
      </w:r>
      <w:r>
        <w:rPr/>
        <w:t>learning</w:t>
      </w:r>
      <w:r>
        <w:rPr>
          <w:spacing w:val="-26"/>
        </w:rPr>
        <w:t> </w:t>
      </w:r>
      <w:r>
        <w:rPr/>
        <w:t>materials.</w:t>
      </w:r>
    </w:p>
    <w:p>
      <w:pPr>
        <w:pStyle w:val="BodyText"/>
        <w:rPr>
          <w:sz w:val="14"/>
        </w:rPr>
      </w:pPr>
    </w:p>
    <w:p>
      <w:pPr>
        <w:pStyle w:val="BodyText"/>
        <w:spacing w:line="249" w:lineRule="auto"/>
        <w:ind w:left="107" w:right="229"/>
      </w:pPr>
      <w:r>
        <w:rPr/>
        <w:t>The School completed several exciting projects with the assistance of Catalysing Innovation in Learning and Teaching (CILT) funding. These projects included students competing in the national Interdisciplinary Health Challenge, establishing the UWS Paramedic Student Research Engagement Academy (UPSTREAM) program, and a student-led market garden project focusing on sustainable agriculture.</w:t>
      </w:r>
    </w:p>
    <w:p>
      <w:pPr>
        <w:pStyle w:val="BodyText"/>
        <w:spacing w:before="7"/>
        <w:rPr>
          <w:sz w:val="21"/>
        </w:rPr>
      </w:pPr>
    </w:p>
    <w:p>
      <w:pPr>
        <w:pStyle w:val="Heading8"/>
        <w:ind w:right="224"/>
      </w:pPr>
      <w:r>
        <w:rPr/>
        <w:t>ENGAGEMENT</w:t>
      </w:r>
    </w:p>
    <w:p>
      <w:pPr>
        <w:pStyle w:val="BodyText"/>
        <w:spacing w:line="249" w:lineRule="auto" w:before="86"/>
        <w:ind w:left="107" w:right="236"/>
      </w:pPr>
      <w:r>
        <w:rPr/>
        <w:t>The School of Science and Health has continued to lead many community engagement activities. The Men’s Health Information and Resource Centre, through additional Government funding, continues to</w:t>
      </w:r>
      <w:r>
        <w:rPr>
          <w:spacing w:val="-10"/>
        </w:rPr>
        <w:t> </w:t>
      </w:r>
      <w:r>
        <w:rPr/>
        <w:t>provide</w:t>
      </w:r>
      <w:r>
        <w:rPr>
          <w:spacing w:val="-10"/>
        </w:rPr>
        <w:t> </w:t>
      </w:r>
      <w:r>
        <w:rPr/>
        <w:t>a</w:t>
      </w:r>
      <w:r>
        <w:rPr>
          <w:spacing w:val="-10"/>
        </w:rPr>
        <w:t> </w:t>
      </w:r>
      <w:r>
        <w:rPr/>
        <w:t>range</w:t>
      </w:r>
      <w:r>
        <w:rPr>
          <w:spacing w:val="-10"/>
        </w:rPr>
        <w:t> </w:t>
      </w:r>
      <w:r>
        <w:rPr/>
        <w:t>of</w:t>
      </w:r>
      <w:r>
        <w:rPr>
          <w:spacing w:val="-10"/>
        </w:rPr>
        <w:t> </w:t>
      </w:r>
      <w:r>
        <w:rPr/>
        <w:t>community-embedded services and research with Indigenous communities,</w:t>
      </w:r>
      <w:r>
        <w:rPr>
          <w:spacing w:val="-19"/>
        </w:rPr>
        <w:t> </w:t>
      </w:r>
      <w:r>
        <w:rPr/>
        <w:t>through</w:t>
      </w:r>
      <w:r>
        <w:rPr>
          <w:spacing w:val="-19"/>
        </w:rPr>
        <w:t> </w:t>
      </w:r>
      <w:r>
        <w:rPr/>
        <w:t>programs</w:t>
      </w:r>
      <w:r>
        <w:rPr>
          <w:spacing w:val="-19"/>
        </w:rPr>
        <w:t> </w:t>
      </w:r>
      <w:r>
        <w:rPr/>
        <w:t>including</w:t>
      </w:r>
    </w:p>
    <w:p>
      <w:pPr>
        <w:spacing w:after="0" w:line="249" w:lineRule="auto"/>
        <w:sectPr>
          <w:type w:val="continuous"/>
          <w:pgSz w:w="11910" w:h="16840"/>
          <w:pgMar w:top="1580" w:bottom="280" w:left="800" w:right="800"/>
          <w:cols w:num="3" w:equalWidth="0">
            <w:col w:w="3311" w:space="129"/>
            <w:col w:w="3303" w:space="137"/>
            <w:col w:w="34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40"/>
      </w:pPr>
      <w:r>
        <w:rPr/>
        <w:t>the</w:t>
      </w:r>
      <w:r>
        <w:rPr>
          <w:spacing w:val="-18"/>
        </w:rPr>
        <w:t> </w:t>
      </w:r>
      <w:r>
        <w:rPr/>
        <w:t>Men’s</w:t>
      </w:r>
      <w:r>
        <w:rPr>
          <w:spacing w:val="-18"/>
        </w:rPr>
        <w:t> </w:t>
      </w:r>
      <w:r>
        <w:rPr/>
        <w:t>Shed</w:t>
      </w:r>
      <w:r>
        <w:rPr>
          <w:spacing w:val="-18"/>
        </w:rPr>
        <w:t> </w:t>
      </w:r>
      <w:r>
        <w:rPr/>
        <w:t>at</w:t>
      </w:r>
      <w:r>
        <w:rPr>
          <w:spacing w:val="-18"/>
        </w:rPr>
        <w:t> </w:t>
      </w:r>
      <w:r>
        <w:rPr/>
        <w:t>Mt</w:t>
      </w:r>
      <w:r>
        <w:rPr>
          <w:spacing w:val="-18"/>
        </w:rPr>
        <w:t> </w:t>
      </w:r>
      <w:r>
        <w:rPr/>
        <w:t>Druitt</w:t>
      </w:r>
      <w:r>
        <w:rPr>
          <w:spacing w:val="-18"/>
        </w:rPr>
        <w:t> </w:t>
      </w:r>
      <w:r>
        <w:rPr/>
        <w:t>and</w:t>
      </w:r>
      <w:r>
        <w:rPr>
          <w:spacing w:val="-18"/>
        </w:rPr>
        <w:t> </w:t>
      </w:r>
      <w:r>
        <w:rPr/>
        <w:t>Men’s</w:t>
      </w:r>
      <w:r>
        <w:rPr>
          <w:spacing w:val="-18"/>
        </w:rPr>
        <w:t> </w:t>
      </w:r>
      <w:r>
        <w:rPr/>
        <w:t>Health Week.</w:t>
      </w:r>
    </w:p>
    <w:p>
      <w:pPr>
        <w:pStyle w:val="BodyText"/>
        <w:rPr>
          <w:sz w:val="14"/>
        </w:rPr>
      </w:pPr>
    </w:p>
    <w:p>
      <w:pPr>
        <w:pStyle w:val="BodyText"/>
        <w:spacing w:line="249" w:lineRule="auto"/>
        <w:ind w:left="107" w:right="33"/>
      </w:pPr>
      <w:r>
        <w:rPr/>
        <w:t>The School’s commitment to community </w:t>
      </w:r>
      <w:r>
        <w:rPr>
          <w:w w:val="98"/>
        </w:rPr>
        <w:t>activities </w:t>
      </w:r>
      <w:r>
        <w:rPr>
          <w:w w:val="96"/>
        </w:rPr>
        <w:t>was </w:t>
      </w:r>
      <w:r>
        <w:rPr>
          <w:w w:val="98"/>
        </w:rPr>
        <w:t>best </w:t>
      </w:r>
      <w:r>
        <w:rPr>
          <w:w w:val="98"/>
        </w:rPr>
        <w:t>demonstrated </w:t>
      </w:r>
      <w:r>
        <w:rPr>
          <w:w w:val="95"/>
        </w:rPr>
        <w:t>in </w:t>
      </w:r>
      <w:r>
        <w:rPr>
          <w:w w:val="88"/>
        </w:rPr>
        <w:t>2015 </w:t>
      </w:r>
      <w:r>
        <w:rPr/>
        <w:t>through programs for scientific literacy, such as Bandicoots, Bugs and the Bush, UniSteers </w:t>
      </w:r>
      <w:r>
        <w:rPr>
          <w:w w:val="84"/>
        </w:rPr>
        <w:t>2015, </w:t>
      </w:r>
      <w:r>
        <w:rPr>
          <w:w w:val="97"/>
        </w:rPr>
        <w:t>and </w:t>
      </w:r>
      <w:r>
        <w:rPr>
          <w:w w:val="97"/>
        </w:rPr>
        <w:t>HEARTBEAT: </w:t>
      </w:r>
      <w:r>
        <w:rPr>
          <w:w w:val="99"/>
        </w:rPr>
        <w:t>Get </w:t>
      </w:r>
      <w:r>
        <w:rPr>
          <w:w w:val="97"/>
        </w:rPr>
        <w:t>the </w:t>
      </w:r>
      <w:r>
        <w:rPr>
          <w:w w:val="94"/>
        </w:rPr>
        <w:t>Rhythm, </w:t>
      </w:r>
      <w:r>
        <w:rPr/>
        <w:t>which involved students, staff members, primary schools and the community. The School’s Science Education Officers continue to raise awareness about potential career pathways for secondary school students</w:t>
      </w:r>
    </w:p>
    <w:p>
      <w:pPr>
        <w:pStyle w:val="BodyText"/>
        <w:spacing w:line="249" w:lineRule="auto"/>
        <w:ind w:left="107" w:right="40"/>
      </w:pPr>
      <w:r>
        <w:rPr/>
        <w:t>in areas relating to the primary industries. Their work was again recognised, with team members</w:t>
      </w:r>
      <w:r>
        <w:rPr>
          <w:spacing w:val="-13"/>
        </w:rPr>
        <w:t> </w:t>
      </w:r>
      <w:r>
        <w:rPr/>
        <w:t>receiving</w:t>
      </w:r>
      <w:r>
        <w:rPr>
          <w:spacing w:val="-13"/>
        </w:rPr>
        <w:t> </w:t>
      </w:r>
      <w:r>
        <w:rPr/>
        <w:t>a</w:t>
      </w:r>
      <w:r>
        <w:rPr>
          <w:spacing w:val="-13"/>
        </w:rPr>
        <w:t> </w:t>
      </w:r>
      <w:r>
        <w:rPr/>
        <w:t>Citation</w:t>
      </w:r>
      <w:r>
        <w:rPr>
          <w:spacing w:val="-13"/>
        </w:rPr>
        <w:t> </w:t>
      </w:r>
      <w:r>
        <w:rPr/>
        <w:t>for</w:t>
      </w:r>
      <w:r>
        <w:rPr>
          <w:spacing w:val="-13"/>
        </w:rPr>
        <w:t> </w:t>
      </w:r>
      <w:r>
        <w:rPr/>
        <w:t>Outstanding </w:t>
      </w:r>
      <w:r>
        <w:rPr>
          <w:spacing w:val="1"/>
          <w:w w:val="98"/>
        </w:rPr>
        <w:t>Contribution</w:t>
      </w:r>
      <w:r>
        <w:rPr>
          <w:w w:val="98"/>
        </w:rPr>
        <w:t> </w:t>
      </w:r>
      <w:r>
        <w:rPr>
          <w:spacing w:val="-1"/>
          <w:w w:val="101"/>
        </w:rPr>
        <w:t>to</w:t>
      </w:r>
      <w:r>
        <w:rPr>
          <w:w w:val="101"/>
        </w:rPr>
        <w:t> </w:t>
      </w:r>
      <w:r>
        <w:rPr>
          <w:w w:val="98"/>
        </w:rPr>
        <w:t>Student </w:t>
      </w:r>
      <w:r>
        <w:rPr>
          <w:spacing w:val="1"/>
          <w:w w:val="97"/>
        </w:rPr>
        <w:t>Learning</w:t>
      </w:r>
      <w:r>
        <w:rPr>
          <w:w w:val="97"/>
        </w:rPr>
        <w:t> </w:t>
      </w:r>
      <w:r>
        <w:rPr>
          <w:w w:val="95"/>
        </w:rPr>
        <w:t>in </w:t>
      </w:r>
      <w:r>
        <w:rPr>
          <w:w w:val="97"/>
        </w:rPr>
        <w:t>the </w:t>
      </w:r>
      <w:r>
        <w:rPr>
          <w:spacing w:val="1"/>
          <w:w w:val="88"/>
        </w:rPr>
        <w:t>2015</w:t>
      </w:r>
      <w:r>
        <w:rPr>
          <w:w w:val="88"/>
        </w:rPr>
        <w:t> </w:t>
      </w:r>
      <w:r>
        <w:rPr/>
        <w:t>Vice-Chancellor’s Excellence</w:t>
      </w:r>
      <w:r>
        <w:rPr>
          <w:spacing w:val="-25"/>
        </w:rPr>
        <w:t> </w:t>
      </w:r>
      <w:r>
        <w:rPr/>
        <w:t>Awards.</w:t>
      </w:r>
    </w:p>
    <w:p>
      <w:pPr>
        <w:pStyle w:val="BodyText"/>
        <w:rPr>
          <w:sz w:val="14"/>
        </w:rPr>
      </w:pPr>
    </w:p>
    <w:p>
      <w:pPr>
        <w:pStyle w:val="BodyText"/>
        <w:spacing w:line="249" w:lineRule="auto"/>
        <w:ind w:left="107" w:right="375"/>
      </w:pPr>
      <w:r>
        <w:rPr/>
        <w:t>We are also continuing to increase our engagement with industry and research partners.</w:t>
      </w:r>
    </w:p>
    <w:p>
      <w:pPr>
        <w:pStyle w:val="BodyText"/>
        <w:rPr>
          <w:sz w:val="14"/>
        </w:rPr>
      </w:pPr>
    </w:p>
    <w:p>
      <w:pPr>
        <w:pStyle w:val="BodyText"/>
        <w:spacing w:line="249" w:lineRule="auto"/>
        <w:ind w:left="107" w:right="77"/>
      </w:pPr>
      <w:r>
        <w:rPr/>
        <w:t>Work has begun on the Hawkesbury Agripark, which will enhance education and research collaboration with industry and the community in agriculture and agribusiness.</w:t>
      </w:r>
    </w:p>
    <w:p>
      <w:pPr>
        <w:pStyle w:val="BodyText"/>
        <w:spacing w:line="249" w:lineRule="auto"/>
        <w:ind w:left="107" w:right="-3"/>
      </w:pPr>
      <w:r>
        <w:rPr/>
        <w:t>The School is also developing a world-class complementary</w:t>
      </w:r>
      <w:r>
        <w:rPr>
          <w:spacing w:val="-15"/>
        </w:rPr>
        <w:t> </w:t>
      </w:r>
      <w:r>
        <w:rPr/>
        <w:t>medicine</w:t>
      </w:r>
      <w:r>
        <w:rPr>
          <w:spacing w:val="-15"/>
        </w:rPr>
        <w:t> </w:t>
      </w:r>
      <w:r>
        <w:rPr/>
        <w:t>clinical</w:t>
      </w:r>
      <w:r>
        <w:rPr>
          <w:spacing w:val="-15"/>
        </w:rPr>
        <w:t> </w:t>
      </w:r>
      <w:r>
        <w:rPr/>
        <w:t>and</w:t>
      </w:r>
      <w:r>
        <w:rPr>
          <w:spacing w:val="-15"/>
        </w:rPr>
        <w:t> </w:t>
      </w:r>
      <w:r>
        <w:rPr/>
        <w:t>research hub with support from the public and private sectors</w:t>
      </w:r>
      <w:r>
        <w:rPr>
          <w:spacing w:val="-25"/>
        </w:rPr>
        <w:t> </w:t>
      </w:r>
      <w:r>
        <w:rPr/>
        <w:t>and</w:t>
      </w:r>
      <w:r>
        <w:rPr>
          <w:spacing w:val="-25"/>
        </w:rPr>
        <w:t> </w:t>
      </w:r>
      <w:r>
        <w:rPr/>
        <w:t>an</w:t>
      </w:r>
      <w:r>
        <w:rPr>
          <w:spacing w:val="-25"/>
        </w:rPr>
        <w:t> </w:t>
      </w:r>
      <w:r>
        <w:rPr/>
        <w:t>international</w:t>
      </w:r>
      <w:r>
        <w:rPr>
          <w:spacing w:val="-25"/>
        </w:rPr>
        <w:t> </w:t>
      </w:r>
      <w:r>
        <w:rPr/>
        <w:t>university.</w:t>
      </w:r>
    </w:p>
    <w:p>
      <w:pPr>
        <w:pStyle w:val="BodyText"/>
        <w:rPr>
          <w:sz w:val="14"/>
        </w:rPr>
      </w:pPr>
    </w:p>
    <w:p>
      <w:pPr>
        <w:pStyle w:val="BodyText"/>
        <w:spacing w:line="249" w:lineRule="auto"/>
        <w:ind w:left="107" w:right="8"/>
      </w:pPr>
      <w:r>
        <w:rPr/>
        <w:t>In 2015, opportunities for international engagement</w:t>
      </w:r>
      <w:r>
        <w:rPr>
          <w:spacing w:val="-25"/>
        </w:rPr>
        <w:t> </w:t>
      </w:r>
      <w:r>
        <w:rPr/>
        <w:t>expanded.</w:t>
      </w:r>
      <w:r>
        <w:rPr>
          <w:spacing w:val="-25"/>
        </w:rPr>
        <w:t> </w:t>
      </w:r>
      <w:r>
        <w:rPr/>
        <w:t>In</w:t>
      </w:r>
      <w:r>
        <w:rPr>
          <w:spacing w:val="-25"/>
        </w:rPr>
        <w:t> </w:t>
      </w:r>
      <w:r>
        <w:rPr/>
        <w:t>particular,</w:t>
      </w:r>
      <w:r>
        <w:rPr>
          <w:spacing w:val="-25"/>
        </w:rPr>
        <w:t> </w:t>
      </w:r>
      <w:r>
        <w:rPr/>
        <w:t>students were</w:t>
      </w:r>
      <w:r>
        <w:rPr>
          <w:spacing w:val="-18"/>
        </w:rPr>
        <w:t> </w:t>
      </w:r>
      <w:r>
        <w:rPr/>
        <w:t>involved</w:t>
      </w:r>
      <w:r>
        <w:rPr>
          <w:spacing w:val="-18"/>
        </w:rPr>
        <w:t> </w:t>
      </w:r>
      <w:r>
        <w:rPr/>
        <w:t>in</w:t>
      </w:r>
      <w:r>
        <w:rPr>
          <w:spacing w:val="-18"/>
        </w:rPr>
        <w:t> </w:t>
      </w:r>
      <w:r>
        <w:rPr/>
        <w:t>international</w:t>
      </w:r>
      <w:r>
        <w:rPr>
          <w:spacing w:val="-18"/>
        </w:rPr>
        <w:t> </w:t>
      </w:r>
      <w:r>
        <w:rPr/>
        <w:t>exchanges</w:t>
      </w:r>
      <w:r>
        <w:rPr>
          <w:spacing w:val="-18"/>
        </w:rPr>
        <w:t> </w:t>
      </w:r>
      <w:r>
        <w:rPr/>
        <w:t>and clinical health placements in China, South Africa,</w:t>
      </w:r>
      <w:r>
        <w:rPr>
          <w:spacing w:val="-23"/>
        </w:rPr>
        <w:t> </w:t>
      </w:r>
      <w:r>
        <w:rPr/>
        <w:t>New</w:t>
      </w:r>
      <w:r>
        <w:rPr>
          <w:spacing w:val="-23"/>
        </w:rPr>
        <w:t> </w:t>
      </w:r>
      <w:r>
        <w:rPr/>
        <w:t>Zealand</w:t>
      </w:r>
      <w:r>
        <w:rPr>
          <w:spacing w:val="-23"/>
        </w:rPr>
        <w:t> </w:t>
      </w:r>
      <w:r>
        <w:rPr/>
        <w:t>and</w:t>
      </w:r>
      <w:r>
        <w:rPr>
          <w:spacing w:val="-23"/>
        </w:rPr>
        <w:t> </w:t>
      </w:r>
      <w:r>
        <w:rPr/>
        <w:t>Indonesia.</w:t>
      </w:r>
    </w:p>
    <w:p>
      <w:pPr>
        <w:pStyle w:val="BodyText"/>
        <w:rPr>
          <w:sz w:val="14"/>
        </w:rPr>
      </w:pPr>
    </w:p>
    <w:p>
      <w:pPr>
        <w:pStyle w:val="BodyText"/>
        <w:spacing w:line="249" w:lineRule="auto"/>
        <w:ind w:left="107" w:right="115"/>
      </w:pPr>
      <w:r>
        <w:rPr/>
        <w:t>Consulting</w:t>
      </w:r>
      <w:r>
        <w:rPr>
          <w:spacing w:val="-13"/>
        </w:rPr>
        <w:t> </w:t>
      </w:r>
      <w:r>
        <w:rPr/>
        <w:t>and</w:t>
      </w:r>
      <w:r>
        <w:rPr>
          <w:spacing w:val="-13"/>
        </w:rPr>
        <w:t> </w:t>
      </w:r>
      <w:r>
        <w:rPr/>
        <w:t>commercial</w:t>
      </w:r>
      <w:r>
        <w:rPr>
          <w:spacing w:val="-13"/>
        </w:rPr>
        <w:t> </w:t>
      </w:r>
      <w:r>
        <w:rPr/>
        <w:t>activity</w:t>
      </w:r>
      <w:r>
        <w:rPr>
          <w:spacing w:val="-13"/>
        </w:rPr>
        <w:t> </w:t>
      </w:r>
      <w:r>
        <w:rPr/>
        <w:t>continue to grow across the School, which worked with industry, and consulted with clients in the public and private sectors. The School’s activities included a husbandry project for an</w:t>
      </w:r>
      <w:r>
        <w:rPr>
          <w:spacing w:val="-15"/>
        </w:rPr>
        <w:t> </w:t>
      </w:r>
      <w:r>
        <w:rPr/>
        <w:t>endangered</w:t>
      </w:r>
      <w:r>
        <w:rPr>
          <w:spacing w:val="-15"/>
        </w:rPr>
        <w:t> </w:t>
      </w:r>
      <w:r>
        <w:rPr/>
        <w:t>turtle</w:t>
      </w:r>
      <w:r>
        <w:rPr>
          <w:spacing w:val="-15"/>
        </w:rPr>
        <w:t> </w:t>
      </w:r>
      <w:r>
        <w:rPr/>
        <w:t>species</w:t>
      </w:r>
      <w:r>
        <w:rPr>
          <w:spacing w:val="-15"/>
        </w:rPr>
        <w:t> </w:t>
      </w:r>
      <w:r>
        <w:rPr/>
        <w:t>in</w:t>
      </w:r>
      <w:r>
        <w:rPr>
          <w:spacing w:val="-15"/>
        </w:rPr>
        <w:t> </w:t>
      </w:r>
      <w:r>
        <w:rPr/>
        <w:t>the</w:t>
      </w:r>
      <w:r>
        <w:rPr>
          <w:spacing w:val="-15"/>
        </w:rPr>
        <w:t> </w:t>
      </w:r>
      <w:r>
        <w:rPr/>
        <w:t>Bellinger River, working with the Department of Environment</w:t>
      </w:r>
      <w:r>
        <w:rPr>
          <w:spacing w:val="-19"/>
        </w:rPr>
        <w:t> </w:t>
      </w:r>
      <w:r>
        <w:rPr/>
        <w:t>and</w:t>
      </w:r>
      <w:r>
        <w:rPr>
          <w:spacing w:val="-19"/>
        </w:rPr>
        <w:t> </w:t>
      </w:r>
      <w:r>
        <w:rPr/>
        <w:t>Heritage</w:t>
      </w:r>
      <w:r>
        <w:rPr>
          <w:spacing w:val="-19"/>
        </w:rPr>
        <w:t> </w:t>
      </w:r>
      <w:r>
        <w:rPr/>
        <w:t>Protection.</w:t>
      </w:r>
    </w:p>
    <w:p>
      <w:pPr>
        <w:pStyle w:val="BodyText"/>
        <w:spacing w:before="7"/>
        <w:rPr>
          <w:sz w:val="21"/>
        </w:rPr>
      </w:pPr>
    </w:p>
    <w:p>
      <w:pPr>
        <w:pStyle w:val="Heading8"/>
        <w:ind w:right="40"/>
      </w:pPr>
      <w:r>
        <w:rPr/>
        <w:t>RESEARCH</w:t>
      </w:r>
    </w:p>
    <w:p>
      <w:pPr>
        <w:pStyle w:val="BodyText"/>
        <w:spacing w:line="249" w:lineRule="auto" w:before="86"/>
        <w:ind w:left="107" w:right="165"/>
      </w:pPr>
      <w:r>
        <w:rPr/>
        <w:t>The School achieved outstanding results in </w:t>
      </w:r>
      <w:r>
        <w:rPr>
          <w:w w:val="97"/>
        </w:rPr>
        <w:t>the </w:t>
      </w:r>
      <w:r>
        <w:rPr>
          <w:w w:val="88"/>
        </w:rPr>
        <w:t>2015 </w:t>
      </w:r>
      <w:r>
        <w:rPr>
          <w:w w:val="97"/>
        </w:rPr>
        <w:t>round </w:t>
      </w:r>
      <w:r>
        <w:rPr>
          <w:w w:val="99"/>
        </w:rPr>
        <w:t>of </w:t>
      </w:r>
      <w:r>
        <w:rPr>
          <w:w w:val="98"/>
        </w:rPr>
        <w:t>Excellence </w:t>
      </w:r>
      <w:r>
        <w:rPr>
          <w:w w:val="95"/>
        </w:rPr>
        <w:t>in </w:t>
      </w:r>
      <w:r>
        <w:rPr>
          <w:w w:val="96"/>
        </w:rPr>
        <w:t>Research </w:t>
      </w:r>
      <w:r>
        <w:rPr/>
        <w:t>for Australia (ERA) evaluations. The School</w:t>
      </w:r>
    </w:p>
    <w:p>
      <w:pPr>
        <w:pStyle w:val="BodyText"/>
        <w:spacing w:line="249" w:lineRule="auto"/>
        <w:ind w:left="107" w:right="-12"/>
      </w:pPr>
      <w:r>
        <w:rPr/>
        <w:t>contributed to eight Fields of Research (FOR) that were assessed as ‘well above world </w:t>
      </w:r>
      <w:r>
        <w:rPr>
          <w:w w:val="97"/>
        </w:rPr>
        <w:t>standard’ </w:t>
      </w:r>
      <w:r>
        <w:rPr>
          <w:w w:val="98"/>
        </w:rPr>
        <w:t>(compared </w:t>
      </w:r>
      <w:r>
        <w:rPr>
          <w:w w:val="101"/>
        </w:rPr>
        <w:t>to </w:t>
      </w:r>
      <w:r>
        <w:rPr>
          <w:w w:val="101"/>
        </w:rPr>
        <w:t>two </w:t>
      </w:r>
      <w:r>
        <w:rPr>
          <w:w w:val="95"/>
        </w:rPr>
        <w:t>in </w:t>
      </w:r>
      <w:r>
        <w:rPr>
          <w:w w:val="104"/>
        </w:rPr>
        <w:t>ERA </w:t>
      </w:r>
      <w:r>
        <w:rPr>
          <w:w w:val="86"/>
        </w:rPr>
        <w:t>2012),</w:t>
      </w:r>
    </w:p>
    <w:p>
      <w:pPr>
        <w:pStyle w:val="BodyText"/>
        <w:spacing w:before="2"/>
        <w:rPr>
          <w:sz w:val="20"/>
        </w:rPr>
      </w:pPr>
      <w:r>
        <w:rPr/>
        <w:br w:type="column"/>
      </w:r>
      <w:r>
        <w:rPr>
          <w:sz w:val="20"/>
        </w:rPr>
      </w:r>
    </w:p>
    <w:p>
      <w:pPr>
        <w:pStyle w:val="BodyText"/>
        <w:spacing w:line="249" w:lineRule="auto"/>
        <w:ind w:left="107" w:right="55"/>
      </w:pPr>
      <w:r>
        <w:rPr/>
        <w:t>another three were rated at ‘above world standard’ (ERA rating of 4), and seven were rated at world standard (ERA rating of 3). Overall, the School contributed to 18 FORs rated at world standard or above (compared </w:t>
      </w:r>
      <w:r>
        <w:rPr>
          <w:w w:val="98"/>
        </w:rPr>
        <w:t>with </w:t>
      </w:r>
      <w:r>
        <w:rPr>
          <w:w w:val="73"/>
        </w:rPr>
        <w:t>12 </w:t>
      </w:r>
      <w:r>
        <w:rPr>
          <w:w w:val="95"/>
        </w:rPr>
        <w:t>in </w:t>
      </w:r>
      <w:r>
        <w:rPr>
          <w:w w:val="104"/>
        </w:rPr>
        <w:t>ERA </w:t>
      </w:r>
      <w:r>
        <w:rPr>
          <w:w w:val="86"/>
        </w:rPr>
        <w:t>2012).</w:t>
      </w:r>
    </w:p>
    <w:p>
      <w:pPr>
        <w:pStyle w:val="BodyText"/>
        <w:rPr>
          <w:sz w:val="14"/>
        </w:rPr>
      </w:pPr>
    </w:p>
    <w:p>
      <w:pPr>
        <w:pStyle w:val="BodyText"/>
        <w:spacing w:line="249" w:lineRule="auto"/>
        <w:ind w:left="107" w:right="390"/>
      </w:pPr>
      <w:r>
        <w:rPr/>
        <w:t>The</w:t>
      </w:r>
      <w:r>
        <w:rPr>
          <w:spacing w:val="-18"/>
        </w:rPr>
        <w:t> </w:t>
      </w:r>
      <w:r>
        <w:rPr/>
        <w:t>School</w:t>
      </w:r>
      <w:r>
        <w:rPr>
          <w:spacing w:val="-18"/>
        </w:rPr>
        <w:t> </w:t>
      </w:r>
      <w:r>
        <w:rPr/>
        <w:t>won</w:t>
      </w:r>
      <w:r>
        <w:rPr>
          <w:spacing w:val="-18"/>
        </w:rPr>
        <w:t> </w:t>
      </w:r>
      <w:r>
        <w:rPr/>
        <w:t>several</w:t>
      </w:r>
      <w:r>
        <w:rPr>
          <w:spacing w:val="-18"/>
        </w:rPr>
        <w:t> </w:t>
      </w:r>
      <w:r>
        <w:rPr/>
        <w:t>grants,</w:t>
      </w:r>
      <w:r>
        <w:rPr>
          <w:spacing w:val="-18"/>
        </w:rPr>
        <w:t> </w:t>
      </w:r>
      <w:r>
        <w:rPr/>
        <w:t>including a prestigious $574,644 National Health and</w:t>
      </w:r>
      <w:r>
        <w:rPr>
          <w:spacing w:val="-15"/>
        </w:rPr>
        <w:t> </w:t>
      </w:r>
      <w:r>
        <w:rPr/>
        <w:t>Medical</w:t>
      </w:r>
      <w:r>
        <w:rPr>
          <w:spacing w:val="-15"/>
        </w:rPr>
        <w:t> </w:t>
      </w:r>
      <w:r>
        <w:rPr/>
        <w:t>Research</w:t>
      </w:r>
      <w:r>
        <w:rPr>
          <w:spacing w:val="-15"/>
        </w:rPr>
        <w:t> </w:t>
      </w:r>
      <w:r>
        <w:rPr/>
        <w:t>Council-Australian</w:t>
      </w:r>
    </w:p>
    <w:p>
      <w:pPr>
        <w:pStyle w:val="BodyText"/>
        <w:spacing w:line="249" w:lineRule="auto"/>
        <w:ind w:left="107"/>
      </w:pPr>
      <w:r>
        <w:rPr/>
        <w:t>Research Council (NHMRC-ARC) Dementia Research Fellowship grant awarded to Dr </w:t>
      </w:r>
      <w:r>
        <w:rPr>
          <w:w w:val="97"/>
        </w:rPr>
        <w:t>Genevieve </w:t>
      </w:r>
      <w:r>
        <w:rPr>
          <w:w w:val="92"/>
        </w:rPr>
        <w:t>Steiner; </w:t>
      </w:r>
      <w:r>
        <w:rPr>
          <w:w w:val="94"/>
        </w:rPr>
        <w:t>a </w:t>
      </w:r>
      <w:r>
        <w:rPr>
          <w:w w:val="95"/>
        </w:rPr>
        <w:t>$419,000 </w:t>
      </w:r>
      <w:r>
        <w:rPr>
          <w:w w:val="99"/>
        </w:rPr>
        <w:t>NHMRC </w:t>
      </w:r>
      <w:r>
        <w:rPr>
          <w:w w:val="96"/>
        </w:rPr>
        <w:t>Career </w:t>
      </w:r>
      <w:r>
        <w:rPr/>
        <w:t>Development Fellowship awarded to Dr Siobhan Schabrun; and a $700,000 project grant awarded to Dr Thomas Astell-Burt.</w:t>
      </w:r>
    </w:p>
    <w:p>
      <w:pPr>
        <w:pStyle w:val="BodyText"/>
        <w:rPr>
          <w:sz w:val="14"/>
        </w:rPr>
      </w:pPr>
    </w:p>
    <w:p>
      <w:pPr>
        <w:pStyle w:val="BodyText"/>
        <w:spacing w:line="249" w:lineRule="auto"/>
        <w:ind w:left="107" w:right="4"/>
      </w:pPr>
      <w:r>
        <w:rPr/>
        <w:t>The School’s academic staff received 26 grants through the Research Development Initiative Scheme, a University program aimed at assisting Early Career Researchers. Professor Caroline Smith was awarded Western Sydney University Researcher of the </w:t>
      </w:r>
      <w:r>
        <w:rPr>
          <w:w w:val="97"/>
        </w:rPr>
        <w:t>Year </w:t>
      </w:r>
      <w:r>
        <w:rPr>
          <w:w w:val="98"/>
        </w:rPr>
        <w:t>for </w:t>
      </w:r>
      <w:r>
        <w:rPr>
          <w:w w:val="84"/>
        </w:rPr>
        <w:t>2015.</w:t>
      </w:r>
    </w:p>
    <w:p>
      <w:pPr>
        <w:pStyle w:val="BodyText"/>
        <w:rPr>
          <w:sz w:val="14"/>
        </w:rPr>
      </w:pPr>
    </w:p>
    <w:p>
      <w:pPr>
        <w:pStyle w:val="BodyText"/>
        <w:spacing w:line="249" w:lineRule="auto"/>
        <w:ind w:left="107" w:right="77"/>
      </w:pPr>
      <w:r>
        <w:rPr/>
        <w:t>The National Institute for Complementary Medicine </w:t>
      </w:r>
      <w:r>
        <w:rPr>
          <w:spacing w:val="2"/>
        </w:rPr>
        <w:t>(NICM) </w:t>
      </w:r>
      <w:r>
        <w:rPr/>
        <w:t>received $2 million from the</w:t>
      </w:r>
      <w:r>
        <w:rPr>
          <w:spacing w:val="-20"/>
        </w:rPr>
        <w:t> </w:t>
      </w:r>
      <w:r>
        <w:rPr/>
        <w:t>renowned</w:t>
      </w:r>
      <w:r>
        <w:rPr>
          <w:spacing w:val="-20"/>
        </w:rPr>
        <w:t> </w:t>
      </w:r>
      <w:r>
        <w:rPr/>
        <w:t>philanthropic</w:t>
      </w:r>
      <w:r>
        <w:rPr>
          <w:spacing w:val="-20"/>
        </w:rPr>
        <w:t> </w:t>
      </w:r>
      <w:r>
        <w:rPr/>
        <w:t>organisation</w:t>
      </w:r>
      <w:r>
        <w:rPr>
          <w:spacing w:val="-20"/>
        </w:rPr>
        <w:t> </w:t>
      </w:r>
      <w:r>
        <w:rPr/>
        <w:t>The Jacka Foundation of Natural Therapies to bolster</w:t>
      </w:r>
      <w:r>
        <w:rPr>
          <w:spacing w:val="-15"/>
        </w:rPr>
        <w:t> </w:t>
      </w:r>
      <w:r>
        <w:rPr/>
        <w:t>complementary</w:t>
      </w:r>
      <w:r>
        <w:rPr>
          <w:spacing w:val="-15"/>
        </w:rPr>
        <w:t> </w:t>
      </w:r>
      <w:r>
        <w:rPr/>
        <w:t>medicine</w:t>
      </w:r>
      <w:r>
        <w:rPr>
          <w:spacing w:val="-15"/>
        </w:rPr>
        <w:t> </w:t>
      </w:r>
      <w:r>
        <w:rPr/>
        <w:t>research</w:t>
      </w:r>
    </w:p>
    <w:p>
      <w:pPr>
        <w:pStyle w:val="BodyText"/>
        <w:spacing w:line="249" w:lineRule="auto"/>
        <w:ind w:left="107" w:right="318"/>
      </w:pPr>
      <w:r>
        <w:rPr/>
        <w:t>in</w:t>
      </w:r>
      <w:r>
        <w:rPr>
          <w:spacing w:val="-24"/>
        </w:rPr>
        <w:t> </w:t>
      </w:r>
      <w:r>
        <w:rPr/>
        <w:t>Australia.</w:t>
      </w:r>
      <w:r>
        <w:rPr>
          <w:spacing w:val="-24"/>
        </w:rPr>
        <w:t> </w:t>
      </w:r>
      <w:r>
        <w:rPr/>
        <w:t>In</w:t>
      </w:r>
      <w:r>
        <w:rPr>
          <w:spacing w:val="-24"/>
        </w:rPr>
        <w:t> </w:t>
      </w:r>
      <w:r>
        <w:rPr/>
        <w:t>addition,</w:t>
      </w:r>
      <w:r>
        <w:rPr>
          <w:spacing w:val="-24"/>
        </w:rPr>
        <w:t> </w:t>
      </w:r>
      <w:r>
        <w:rPr>
          <w:spacing w:val="2"/>
        </w:rPr>
        <w:t>NICM</w:t>
      </w:r>
      <w:r>
        <w:rPr>
          <w:spacing w:val="-24"/>
        </w:rPr>
        <w:t> </w:t>
      </w:r>
      <w:r>
        <w:rPr/>
        <w:t>announced three new scholarships in partnership with</w:t>
      </w:r>
      <w:r>
        <w:rPr>
          <w:spacing w:val="-20"/>
        </w:rPr>
        <w:t> </w:t>
      </w:r>
      <w:r>
        <w:rPr/>
        <w:t>Blackmores</w:t>
      </w:r>
      <w:r>
        <w:rPr>
          <w:spacing w:val="-20"/>
        </w:rPr>
        <w:t> </w:t>
      </w:r>
      <w:r>
        <w:rPr/>
        <w:t>Institute,</w:t>
      </w:r>
      <w:r>
        <w:rPr>
          <w:spacing w:val="-20"/>
        </w:rPr>
        <w:t> </w:t>
      </w:r>
      <w:r>
        <w:rPr/>
        <w:t>worth</w:t>
      </w:r>
      <w:r>
        <w:rPr>
          <w:spacing w:val="-20"/>
        </w:rPr>
        <w:t> </w:t>
      </w:r>
      <w:r>
        <w:rPr/>
        <w:t>a</w:t>
      </w:r>
      <w:r>
        <w:rPr>
          <w:spacing w:val="-20"/>
        </w:rPr>
        <w:t> </w:t>
      </w:r>
      <w:r>
        <w:rPr/>
        <w:t>total</w:t>
      </w:r>
      <w:r>
        <w:rPr>
          <w:spacing w:val="-20"/>
        </w:rPr>
        <w:t> </w:t>
      </w:r>
      <w:r>
        <w:rPr/>
        <w:t>of</w:t>
      </w:r>
    </w:p>
    <w:p>
      <w:pPr>
        <w:pStyle w:val="BodyText"/>
        <w:spacing w:line="192" w:lineRule="exact"/>
        <w:ind w:left="107"/>
      </w:pPr>
      <w:r>
        <w:rPr/>
        <w:t>$400,000.</w:t>
      </w:r>
    </w:p>
    <w:p>
      <w:pPr>
        <w:pStyle w:val="BodyText"/>
        <w:spacing w:before="7"/>
        <w:rPr>
          <w:sz w:val="14"/>
        </w:rPr>
      </w:pPr>
    </w:p>
    <w:p>
      <w:pPr>
        <w:pStyle w:val="BodyText"/>
        <w:spacing w:line="249" w:lineRule="auto" w:before="1"/>
        <w:ind w:left="107" w:right="185"/>
      </w:pPr>
      <w:r>
        <w:rPr/>
        <w:t>The NICM Symposium on Integrative Medicine for Neurocognition and Dementia was held in November and attracted more </w:t>
      </w:r>
      <w:r>
        <w:rPr>
          <w:w w:val="97"/>
        </w:rPr>
        <w:t>than </w:t>
      </w:r>
      <w:r>
        <w:rPr>
          <w:w w:val="86"/>
        </w:rPr>
        <w:t>130 </w:t>
      </w:r>
      <w:r>
        <w:rPr>
          <w:w w:val="94"/>
        </w:rPr>
        <w:t>delegates. </w:t>
      </w:r>
      <w:r>
        <w:rPr>
          <w:w w:val="91"/>
        </w:rPr>
        <w:t>NICM </w:t>
      </w:r>
      <w:r>
        <w:rPr>
          <w:w w:val="96"/>
        </w:rPr>
        <w:t>also </w:t>
      </w:r>
      <w:r>
        <w:rPr>
          <w:w w:val="99"/>
        </w:rPr>
        <w:t>supported </w:t>
      </w:r>
      <w:r>
        <w:rPr/>
        <w:t>the Australasian Integrative Medicine</w:t>
      </w:r>
    </w:p>
    <w:p>
      <w:pPr>
        <w:pStyle w:val="BodyText"/>
        <w:spacing w:line="249" w:lineRule="auto"/>
        <w:ind w:left="107"/>
      </w:pPr>
      <w:r>
        <w:rPr/>
        <w:t>Association’s</w:t>
      </w:r>
      <w:r>
        <w:rPr>
          <w:spacing w:val="-16"/>
        </w:rPr>
        <w:t> </w:t>
      </w:r>
      <w:r>
        <w:rPr/>
        <w:t>National</w:t>
      </w:r>
      <w:r>
        <w:rPr>
          <w:spacing w:val="-16"/>
        </w:rPr>
        <w:t> </w:t>
      </w:r>
      <w:r>
        <w:rPr/>
        <w:t>Conference</w:t>
      </w:r>
      <w:r>
        <w:rPr>
          <w:spacing w:val="-16"/>
        </w:rPr>
        <w:t> </w:t>
      </w:r>
      <w:r>
        <w:rPr/>
        <w:t>in</w:t>
      </w:r>
      <w:r>
        <w:rPr>
          <w:spacing w:val="-16"/>
        </w:rPr>
        <w:t> </w:t>
      </w:r>
      <w:r>
        <w:rPr/>
        <w:t>June</w:t>
      </w:r>
      <w:r>
        <w:rPr>
          <w:spacing w:val="-16"/>
        </w:rPr>
        <w:t> </w:t>
      </w:r>
      <w:r>
        <w:rPr/>
        <w:t>with scientific</w:t>
      </w:r>
      <w:r>
        <w:rPr>
          <w:spacing w:val="-19"/>
        </w:rPr>
        <w:t> </w:t>
      </w:r>
      <w:r>
        <w:rPr/>
        <w:t>advice</w:t>
      </w:r>
      <w:r>
        <w:rPr>
          <w:spacing w:val="-19"/>
        </w:rPr>
        <w:t> </w:t>
      </w:r>
      <w:r>
        <w:rPr/>
        <w:t>and</w:t>
      </w:r>
      <w:r>
        <w:rPr>
          <w:spacing w:val="-19"/>
        </w:rPr>
        <w:t> </w:t>
      </w:r>
      <w:r>
        <w:rPr/>
        <w:t>research</w:t>
      </w:r>
      <w:r>
        <w:rPr>
          <w:spacing w:val="-19"/>
        </w:rPr>
        <w:t> </w:t>
      </w:r>
      <w:r>
        <w:rPr/>
        <w:t>programming.</w:t>
      </w:r>
    </w:p>
    <w:p>
      <w:pPr>
        <w:pStyle w:val="BodyText"/>
        <w:rPr>
          <w:sz w:val="14"/>
        </w:rPr>
      </w:pPr>
    </w:p>
    <w:p>
      <w:pPr>
        <w:pStyle w:val="BodyText"/>
        <w:spacing w:line="249" w:lineRule="auto"/>
        <w:ind w:left="107" w:right="41"/>
      </w:pPr>
      <w:r>
        <w:rPr/>
        <w:t>Associate Professor Karen Liu was appointed a member of the Australian Health Ethics Committee of the NHMRC by the Minister</w:t>
      </w:r>
    </w:p>
    <w:p>
      <w:pPr>
        <w:pStyle w:val="BodyText"/>
        <w:spacing w:line="249" w:lineRule="auto"/>
        <w:ind w:left="107" w:right="54"/>
      </w:pPr>
      <w:r>
        <w:rPr/>
        <w:t>of Health. Several staff members have also been appointed to national and international committees and bodies.</w:t>
      </w:r>
    </w:p>
    <w:p>
      <w:pPr>
        <w:pStyle w:val="BodyText"/>
        <w:spacing w:before="9"/>
        <w:rPr>
          <w:sz w:val="20"/>
        </w:rPr>
      </w:pPr>
      <w:r>
        <w:rPr/>
        <w:br w:type="column"/>
      </w:r>
      <w:r>
        <w:rPr>
          <w:sz w:val="20"/>
        </w:rPr>
      </w:r>
    </w:p>
    <w:p>
      <w:pPr>
        <w:pStyle w:val="Heading8"/>
        <w:ind w:right="287"/>
      </w:pPr>
      <w:r>
        <w:rPr>
          <w:w w:val="95"/>
        </w:rPr>
        <w:t>CHALLENGES IN 2016</w:t>
      </w:r>
    </w:p>
    <w:p>
      <w:pPr>
        <w:pStyle w:val="BodyText"/>
        <w:spacing w:line="249" w:lineRule="auto" w:before="86"/>
        <w:ind w:left="107" w:right="217"/>
      </w:pPr>
      <w:r>
        <w:rPr/>
        <w:t>Careful planning and monitoring of staffing needs are required for ongoing success and growth across all areas of the School. Staff turnover and growing student enrolments, which has led to increased staff numbers, allowed the School to recruit new academic staff in several areas that better match the School’s agenda. As the School expands</w:t>
      </w:r>
    </w:p>
    <w:p>
      <w:pPr>
        <w:pStyle w:val="BodyText"/>
        <w:spacing w:line="249" w:lineRule="auto"/>
        <w:ind w:left="107" w:right="357"/>
      </w:pPr>
      <w:r>
        <w:rPr>
          <w:w w:val="95"/>
        </w:rPr>
        <w:t>i</w:t>
      </w:r>
      <w:r>
        <w:rPr>
          <w:spacing w:val="4"/>
          <w:w w:val="102"/>
        </w:rPr>
        <w:t>t</w:t>
      </w:r>
      <w:r>
        <w:rPr>
          <w:w w:val="95"/>
        </w:rPr>
        <w:t>s</w:t>
      </w:r>
      <w:r>
        <w:rPr>
          <w:spacing w:val="-12"/>
        </w:rPr>
        <w:t> </w:t>
      </w:r>
      <w:r>
        <w:rPr>
          <w:w w:val="102"/>
        </w:rPr>
        <w:t>c</w:t>
      </w:r>
      <w:r>
        <w:rPr>
          <w:spacing w:val="2"/>
          <w:w w:val="100"/>
        </w:rPr>
        <w:t>o</w:t>
      </w:r>
      <w:r>
        <w:rPr>
          <w:spacing w:val="1"/>
          <w:w w:val="95"/>
        </w:rPr>
        <w:t>u</w:t>
      </w:r>
      <w:r>
        <w:rPr>
          <w:spacing w:val="2"/>
          <w:w w:val="95"/>
        </w:rPr>
        <w:t>r</w:t>
      </w:r>
      <w:r>
        <w:rPr>
          <w:spacing w:val="2"/>
          <w:w w:val="95"/>
        </w:rPr>
        <w:t>s</w:t>
      </w:r>
      <w:r>
        <w:rPr>
          <w:w w:val="95"/>
        </w:rPr>
        <w:t>e</w:t>
      </w:r>
      <w:r>
        <w:rPr>
          <w:spacing w:val="-12"/>
        </w:rPr>
        <w:t> </w:t>
      </w:r>
      <w:r>
        <w:rPr>
          <w:spacing w:val="1"/>
          <w:w w:val="100"/>
        </w:rPr>
        <w:t>o</w:t>
      </w:r>
      <w:r>
        <w:rPr>
          <w:w w:val="98"/>
        </w:rPr>
        <w:t>f</w:t>
      </w:r>
      <w:r>
        <w:rPr>
          <w:spacing w:val="1"/>
          <w:w w:val="98"/>
        </w:rPr>
        <w:t>f</w:t>
      </w:r>
      <w:r>
        <w:rPr>
          <w:spacing w:val="2"/>
          <w:w w:val="95"/>
        </w:rPr>
        <w:t>e</w:t>
      </w:r>
      <w:r>
        <w:rPr>
          <w:spacing w:val="1"/>
          <w:w w:val="95"/>
        </w:rPr>
        <w:t>r</w:t>
      </w:r>
      <w:r>
        <w:rPr>
          <w:spacing w:val="1"/>
          <w:w w:val="95"/>
        </w:rPr>
        <w:t>i</w:t>
      </w:r>
      <w:r>
        <w:rPr>
          <w:spacing w:val="2"/>
          <w:w w:val="95"/>
        </w:rPr>
        <w:t>n</w:t>
      </w:r>
      <w:r>
        <w:rPr>
          <w:w w:val="102"/>
        </w:rPr>
        <w:t>g</w:t>
      </w:r>
      <w:r>
        <w:rPr>
          <w:spacing w:val="-12"/>
        </w:rPr>
        <w:t> </w:t>
      </w:r>
      <w:r>
        <w:rPr>
          <w:spacing w:val="1"/>
          <w:w w:val="95"/>
        </w:rPr>
        <w:t>i</w:t>
      </w:r>
      <w:r>
        <w:rPr>
          <w:w w:val="95"/>
        </w:rPr>
        <w:t>n</w:t>
      </w:r>
      <w:r>
        <w:rPr>
          <w:spacing w:val="-12"/>
        </w:rPr>
        <w:t> </w:t>
      </w:r>
      <w:r>
        <w:rPr>
          <w:spacing w:val="2"/>
          <w:w w:val="93"/>
        </w:rPr>
        <w:t>2</w:t>
      </w:r>
      <w:r>
        <w:rPr>
          <w:spacing w:val="1"/>
          <w:w w:val="111"/>
        </w:rPr>
        <w:t>0</w:t>
      </w:r>
      <w:r>
        <w:rPr>
          <w:spacing w:val="4"/>
          <w:w w:val="54"/>
        </w:rPr>
        <w:t>1</w:t>
      </w:r>
      <w:r>
        <w:rPr>
          <w:w w:val="101"/>
        </w:rPr>
        <w:t>6</w:t>
      </w:r>
      <w:r>
        <w:rPr>
          <w:spacing w:val="-12"/>
        </w:rPr>
        <w:t> </w:t>
      </w:r>
      <w:r>
        <w:rPr>
          <w:spacing w:val="2"/>
          <w:w w:val="94"/>
        </w:rPr>
        <w:t>a</w:t>
      </w:r>
      <w:r>
        <w:rPr>
          <w:spacing w:val="2"/>
          <w:w w:val="95"/>
        </w:rPr>
        <w:t>n</w:t>
      </w:r>
      <w:r>
        <w:rPr>
          <w:w w:val="102"/>
        </w:rPr>
        <w:t>d</w:t>
      </w:r>
      <w:r>
        <w:rPr>
          <w:spacing w:val="-12"/>
        </w:rPr>
        <w:t> </w:t>
      </w:r>
      <w:r>
        <w:rPr>
          <w:spacing w:val="2"/>
          <w:w w:val="102"/>
        </w:rPr>
        <w:t>d</w:t>
      </w:r>
      <w:r>
        <w:rPr>
          <w:spacing w:val="-1"/>
          <w:w w:val="95"/>
        </w:rPr>
        <w:t>e</w:t>
      </w:r>
      <w:r>
        <w:rPr>
          <w:spacing w:val="-1"/>
          <w:w w:val="101"/>
        </w:rPr>
        <w:t>v</w:t>
      </w:r>
      <w:r>
        <w:rPr>
          <w:spacing w:val="2"/>
          <w:w w:val="95"/>
        </w:rPr>
        <w:t>e</w:t>
      </w:r>
      <w:r>
        <w:rPr>
          <w:spacing w:val="1"/>
          <w:w w:val="95"/>
        </w:rPr>
        <w:t>l</w:t>
      </w:r>
      <w:r>
        <w:rPr>
          <w:spacing w:val="2"/>
          <w:w w:val="100"/>
        </w:rPr>
        <w:t>o</w:t>
      </w:r>
      <w:r>
        <w:rPr>
          <w:spacing w:val="1"/>
          <w:w w:val="102"/>
        </w:rPr>
        <w:t>p</w:t>
      </w:r>
      <w:r>
        <w:rPr>
          <w:w w:val="95"/>
        </w:rPr>
        <w:t>s </w:t>
      </w:r>
      <w:r>
        <w:rPr>
          <w:spacing w:val="2"/>
          <w:w w:val="95"/>
        </w:rPr>
        <w:t>n</w:t>
      </w:r>
      <w:r>
        <w:rPr>
          <w:spacing w:val="-1"/>
          <w:w w:val="95"/>
        </w:rPr>
        <w:t>e</w:t>
      </w:r>
      <w:r>
        <w:rPr>
          <w:w w:val="101"/>
        </w:rPr>
        <w:t>w</w:t>
      </w:r>
      <w:r>
        <w:rPr>
          <w:spacing w:val="-12"/>
        </w:rPr>
        <w:t> </w:t>
      </w:r>
      <w:r>
        <w:rPr>
          <w:spacing w:val="2"/>
          <w:w w:val="100"/>
        </w:rPr>
        <w:t>o</w:t>
      </w:r>
      <w:r>
        <w:rPr>
          <w:w w:val="102"/>
        </w:rPr>
        <w:t>p</w:t>
      </w:r>
      <w:r>
        <w:rPr>
          <w:w w:val="102"/>
        </w:rPr>
        <w:t>t</w:t>
      </w:r>
      <w:r>
        <w:rPr>
          <w:spacing w:val="1"/>
          <w:w w:val="95"/>
        </w:rPr>
        <w:t>i</w:t>
      </w:r>
      <w:r>
        <w:rPr>
          <w:spacing w:val="2"/>
          <w:w w:val="100"/>
        </w:rPr>
        <w:t>o</w:t>
      </w:r>
      <w:r>
        <w:rPr>
          <w:spacing w:val="2"/>
          <w:w w:val="95"/>
        </w:rPr>
        <w:t>n</w:t>
      </w:r>
      <w:r>
        <w:rPr>
          <w:w w:val="95"/>
        </w:rPr>
        <w:t>s</w:t>
      </w:r>
      <w:r>
        <w:rPr>
          <w:spacing w:val="-12"/>
        </w:rPr>
        <w:t> </w:t>
      </w:r>
      <w:r>
        <w:rPr>
          <w:w w:val="98"/>
        </w:rPr>
        <w:t>f</w:t>
      </w:r>
      <w:r>
        <w:rPr>
          <w:spacing w:val="2"/>
          <w:w w:val="100"/>
        </w:rPr>
        <w:t>o</w:t>
      </w:r>
      <w:r>
        <w:rPr>
          <w:w w:val="95"/>
        </w:rPr>
        <w:t>r</w:t>
      </w:r>
      <w:r>
        <w:rPr>
          <w:spacing w:val="-12"/>
        </w:rPr>
        <w:t> </w:t>
      </w:r>
      <w:r>
        <w:rPr>
          <w:spacing w:val="2"/>
          <w:w w:val="93"/>
        </w:rPr>
        <w:t>2</w:t>
      </w:r>
      <w:r>
        <w:rPr>
          <w:spacing w:val="1"/>
          <w:w w:val="111"/>
        </w:rPr>
        <w:t>0</w:t>
      </w:r>
      <w:r>
        <w:rPr>
          <w:w w:val="54"/>
        </w:rPr>
        <w:t>1</w:t>
      </w:r>
      <w:r>
        <w:rPr>
          <w:spacing w:val="-9"/>
          <w:w w:val="91"/>
        </w:rPr>
        <w:t>7</w:t>
      </w:r>
      <w:r>
        <w:rPr>
          <w:w w:val="68"/>
        </w:rPr>
        <w:t>,</w:t>
      </w:r>
      <w:r>
        <w:rPr>
          <w:spacing w:val="-12"/>
        </w:rPr>
        <w:t> </w:t>
      </w:r>
      <w:r>
        <w:rPr>
          <w:spacing w:val="3"/>
          <w:w w:val="102"/>
        </w:rPr>
        <w:t>c</w:t>
      </w:r>
      <w:r>
        <w:rPr>
          <w:spacing w:val="2"/>
          <w:w w:val="94"/>
        </w:rPr>
        <w:t>a</w:t>
      </w:r>
      <w:r>
        <w:rPr>
          <w:spacing w:val="-1"/>
          <w:w w:val="95"/>
        </w:rPr>
        <w:t>r</w:t>
      </w:r>
      <w:r>
        <w:rPr>
          <w:w w:val="95"/>
        </w:rPr>
        <w:t>e</w:t>
      </w:r>
      <w:r>
        <w:rPr>
          <w:spacing w:val="3"/>
          <w:w w:val="98"/>
        </w:rPr>
        <w:t>f</w:t>
      </w:r>
      <w:r>
        <w:rPr>
          <w:spacing w:val="1"/>
          <w:w w:val="95"/>
        </w:rPr>
        <w:t>u</w:t>
      </w:r>
      <w:r>
        <w:rPr>
          <w:w w:val="95"/>
        </w:rPr>
        <w:t>l</w:t>
      </w:r>
      <w:r>
        <w:rPr>
          <w:spacing w:val="-12"/>
        </w:rPr>
        <w:t> </w:t>
      </w:r>
      <w:r>
        <w:rPr>
          <w:spacing w:val="2"/>
          <w:w w:val="102"/>
        </w:rPr>
        <w:t>p</w:t>
      </w:r>
      <w:r>
        <w:rPr>
          <w:spacing w:val="1"/>
          <w:w w:val="95"/>
        </w:rPr>
        <w:t>l</w:t>
      </w:r>
      <w:r>
        <w:rPr>
          <w:spacing w:val="2"/>
          <w:w w:val="94"/>
        </w:rPr>
        <w:t>a</w:t>
      </w:r>
      <w:r>
        <w:rPr>
          <w:spacing w:val="2"/>
          <w:w w:val="95"/>
        </w:rPr>
        <w:t>n</w:t>
      </w:r>
      <w:r>
        <w:rPr>
          <w:spacing w:val="1"/>
          <w:w w:val="95"/>
        </w:rPr>
        <w:t>n</w:t>
      </w:r>
      <w:r>
        <w:rPr>
          <w:spacing w:val="1"/>
          <w:w w:val="95"/>
        </w:rPr>
        <w:t>i</w:t>
      </w:r>
      <w:r>
        <w:rPr>
          <w:spacing w:val="2"/>
          <w:w w:val="95"/>
        </w:rPr>
        <w:t>n</w:t>
      </w:r>
      <w:r>
        <w:rPr>
          <w:w w:val="102"/>
        </w:rPr>
        <w:t>g</w:t>
      </w:r>
      <w:r>
        <w:rPr>
          <w:spacing w:val="-12"/>
        </w:rPr>
        <w:t> </w:t>
      </w:r>
      <w:r>
        <w:rPr>
          <w:spacing w:val="2"/>
          <w:w w:val="94"/>
        </w:rPr>
        <w:t>a</w:t>
      </w:r>
      <w:r>
        <w:rPr>
          <w:spacing w:val="2"/>
          <w:w w:val="95"/>
        </w:rPr>
        <w:t>n</w:t>
      </w:r>
      <w:r>
        <w:rPr>
          <w:w w:val="102"/>
        </w:rPr>
        <w:t>d</w:t>
      </w:r>
    </w:p>
    <w:p>
      <w:pPr>
        <w:pStyle w:val="BodyText"/>
        <w:spacing w:line="249" w:lineRule="auto"/>
        <w:ind w:left="107" w:right="40"/>
      </w:pPr>
      <w:r>
        <w:rPr/>
        <w:t>monitoring will be needed to ensure programs </w:t>
      </w:r>
      <w:r>
        <w:rPr>
          <w:w w:val="95"/>
        </w:rPr>
        <w:t>are relevant.</w:t>
      </w:r>
    </w:p>
    <w:p>
      <w:pPr>
        <w:pStyle w:val="BodyText"/>
        <w:rPr>
          <w:sz w:val="14"/>
        </w:rPr>
      </w:pPr>
    </w:p>
    <w:p>
      <w:pPr>
        <w:pStyle w:val="BodyText"/>
        <w:spacing w:line="249" w:lineRule="auto"/>
        <w:ind w:left="107" w:right="176"/>
      </w:pPr>
      <w:r>
        <w:rPr/>
        <w:t>The School intends to expand its overseas relationships and increase the number of international students enrolled, as </w:t>
      </w:r>
      <w:r>
        <w:rPr>
          <w:spacing w:val="2"/>
        </w:rPr>
        <w:t>part </w:t>
      </w:r>
      <w:r>
        <w:rPr/>
        <w:t>of a wider approach to inbound and outbound </w:t>
      </w:r>
      <w:r>
        <w:rPr>
          <w:spacing w:val="1"/>
          <w:w w:val="98"/>
        </w:rPr>
        <w:t>student</w:t>
      </w:r>
      <w:r>
        <w:rPr>
          <w:w w:val="98"/>
        </w:rPr>
        <w:t> </w:t>
      </w:r>
      <w:r>
        <w:rPr>
          <w:w w:val="95"/>
        </w:rPr>
        <w:t>mobility. </w:t>
      </w:r>
      <w:r>
        <w:rPr>
          <w:spacing w:val="-1"/>
          <w:w w:val="100"/>
        </w:rPr>
        <w:t>Key</w:t>
      </w:r>
      <w:r>
        <w:rPr>
          <w:w w:val="100"/>
        </w:rPr>
        <w:t> </w:t>
      </w:r>
      <w:r>
        <w:rPr>
          <w:spacing w:val="1"/>
          <w:w w:val="98"/>
        </w:rPr>
        <w:t>activities</w:t>
      </w:r>
      <w:r>
        <w:rPr>
          <w:w w:val="98"/>
        </w:rPr>
        <w:t> </w:t>
      </w:r>
      <w:r>
        <w:rPr>
          <w:w w:val="95"/>
        </w:rPr>
        <w:t>in </w:t>
      </w:r>
      <w:r>
        <w:rPr>
          <w:spacing w:val="1"/>
          <w:w w:val="90"/>
        </w:rPr>
        <w:t>2016</w:t>
      </w:r>
      <w:r>
        <w:rPr>
          <w:w w:val="90"/>
        </w:rPr>
        <w:t> </w:t>
      </w:r>
      <w:r>
        <w:rPr/>
        <w:t>include</w:t>
      </w:r>
      <w:r>
        <w:rPr>
          <w:spacing w:val="-14"/>
        </w:rPr>
        <w:t> </w:t>
      </w:r>
      <w:r>
        <w:rPr/>
        <w:t>developing</w:t>
      </w:r>
      <w:r>
        <w:rPr>
          <w:spacing w:val="-14"/>
        </w:rPr>
        <w:t> </w:t>
      </w:r>
      <w:r>
        <w:rPr/>
        <w:t>and</w:t>
      </w:r>
      <w:r>
        <w:rPr>
          <w:spacing w:val="-14"/>
        </w:rPr>
        <w:t> </w:t>
      </w:r>
      <w:r>
        <w:rPr/>
        <w:t>introducing</w:t>
      </w:r>
      <w:r>
        <w:rPr>
          <w:spacing w:val="-14"/>
        </w:rPr>
        <w:t> </w:t>
      </w:r>
      <w:r>
        <w:rPr/>
        <w:t>plans</w:t>
      </w:r>
      <w:r>
        <w:rPr>
          <w:spacing w:val="-14"/>
        </w:rPr>
        <w:t> </w:t>
      </w:r>
      <w:r>
        <w:rPr/>
        <w:t>and appropriate resourcing, and working closely with</w:t>
      </w:r>
      <w:r>
        <w:rPr>
          <w:spacing w:val="-30"/>
        </w:rPr>
        <w:t> </w:t>
      </w:r>
      <w:r>
        <w:rPr/>
        <w:t>the</w:t>
      </w:r>
      <w:r>
        <w:rPr>
          <w:spacing w:val="-30"/>
        </w:rPr>
        <w:t> </w:t>
      </w:r>
      <w:r>
        <w:rPr/>
        <w:t>International</w:t>
      </w:r>
      <w:r>
        <w:rPr>
          <w:spacing w:val="-30"/>
        </w:rPr>
        <w:t> </w:t>
      </w:r>
      <w:r>
        <w:rPr/>
        <w:t>Office.</w:t>
      </w:r>
    </w:p>
    <w:p>
      <w:pPr>
        <w:pStyle w:val="BodyText"/>
        <w:rPr>
          <w:sz w:val="14"/>
        </w:rPr>
      </w:pPr>
    </w:p>
    <w:p>
      <w:pPr>
        <w:pStyle w:val="BodyText"/>
        <w:spacing w:line="249" w:lineRule="auto"/>
        <w:ind w:left="107" w:right="125"/>
      </w:pPr>
      <w:r>
        <w:rPr>
          <w:w w:val="80"/>
        </w:rPr>
        <w:t>In </w:t>
      </w:r>
      <w:r>
        <w:rPr>
          <w:w w:val="99"/>
        </w:rPr>
        <w:t>mid- </w:t>
      </w:r>
      <w:r>
        <w:rPr>
          <w:w w:val="101"/>
        </w:rPr>
        <w:t>to </w:t>
      </w:r>
      <w:r>
        <w:rPr>
          <w:w w:val="97"/>
        </w:rPr>
        <w:t>late </w:t>
      </w:r>
      <w:r>
        <w:rPr>
          <w:w w:val="85"/>
        </w:rPr>
        <w:t>2016, </w:t>
      </w:r>
      <w:r>
        <w:rPr>
          <w:w w:val="97"/>
        </w:rPr>
        <w:t>the </w:t>
      </w:r>
      <w:r>
        <w:rPr>
          <w:w w:val="98"/>
        </w:rPr>
        <w:t>School </w:t>
      </w:r>
      <w:r>
        <w:rPr>
          <w:w w:val="97"/>
        </w:rPr>
        <w:t>will </w:t>
      </w:r>
      <w:r>
        <w:rPr>
          <w:w w:val="99"/>
        </w:rPr>
        <w:t>move </w:t>
      </w:r>
      <w:r>
        <w:rPr>
          <w:w w:val="97"/>
        </w:rPr>
        <w:t>its </w:t>
      </w:r>
      <w:r>
        <w:rPr/>
        <w:t>Parramatta operations to a new purpose- designed facility that will accommodate a range of student, teaching and research needs, expanding our academic program. The School is also anticipating more teaching space will be available for the growing Paramedicine program at the Campbelltown campus.</w:t>
      </w:r>
    </w:p>
    <w:p>
      <w:pPr>
        <w:pStyle w:val="BodyText"/>
        <w:rPr>
          <w:sz w:val="14"/>
        </w:rPr>
      </w:pPr>
    </w:p>
    <w:p>
      <w:pPr>
        <w:pStyle w:val="BodyText"/>
        <w:spacing w:line="249" w:lineRule="auto"/>
        <w:ind w:left="107" w:right="98"/>
      </w:pPr>
      <w:r>
        <w:rPr/>
        <w:t>Finding clinical placements for the School’s many health programs will become more difficult amid an increasingly competitive environment, coupled with funding uncertainty for clinical training. This situation will require careful monitoring, and it is vital that the School continues to strengthen its Western Sydney relationships with placement providers.</w:t>
      </w:r>
    </w:p>
    <w:p>
      <w:pPr>
        <w:pStyle w:val="BodyText"/>
        <w:rPr>
          <w:sz w:val="14"/>
        </w:rPr>
      </w:pPr>
    </w:p>
    <w:p>
      <w:pPr>
        <w:pStyle w:val="BodyText"/>
        <w:spacing w:line="249" w:lineRule="auto"/>
        <w:ind w:left="107" w:right="315"/>
      </w:pPr>
      <w:r>
        <w:rPr/>
        <w:t>Rising</w:t>
      </w:r>
      <w:r>
        <w:rPr>
          <w:spacing w:val="-17"/>
        </w:rPr>
        <w:t> </w:t>
      </w:r>
      <w:r>
        <w:rPr/>
        <w:t>demand</w:t>
      </w:r>
      <w:r>
        <w:rPr>
          <w:spacing w:val="-17"/>
        </w:rPr>
        <w:t> </w:t>
      </w:r>
      <w:r>
        <w:rPr/>
        <w:t>for</w:t>
      </w:r>
      <w:r>
        <w:rPr>
          <w:spacing w:val="-17"/>
        </w:rPr>
        <w:t> </w:t>
      </w:r>
      <w:r>
        <w:rPr/>
        <w:t>programs</w:t>
      </w:r>
      <w:r>
        <w:rPr>
          <w:spacing w:val="-17"/>
        </w:rPr>
        <w:t> </w:t>
      </w:r>
      <w:r>
        <w:rPr/>
        <w:t>in</w:t>
      </w:r>
      <w:r>
        <w:rPr>
          <w:spacing w:val="-17"/>
        </w:rPr>
        <w:t> </w:t>
      </w:r>
      <w:r>
        <w:rPr/>
        <w:t>the</w:t>
      </w:r>
      <w:r>
        <w:rPr>
          <w:spacing w:val="-17"/>
        </w:rPr>
        <w:t> </w:t>
      </w:r>
      <w:r>
        <w:rPr/>
        <w:t>Science, Technology, Engineering and Mathematics (STEM) disciplines means it will be critical to</w:t>
      </w:r>
      <w:r>
        <w:rPr>
          <w:spacing w:val="-14"/>
        </w:rPr>
        <w:t> </w:t>
      </w:r>
      <w:r>
        <w:rPr/>
        <w:t>grow</w:t>
      </w:r>
      <w:r>
        <w:rPr>
          <w:spacing w:val="-14"/>
        </w:rPr>
        <w:t> </w:t>
      </w:r>
      <w:r>
        <w:rPr/>
        <w:t>the</w:t>
      </w:r>
      <w:r>
        <w:rPr>
          <w:spacing w:val="-14"/>
        </w:rPr>
        <w:t> </w:t>
      </w:r>
      <w:r>
        <w:rPr/>
        <w:t>School</w:t>
      </w:r>
      <w:r>
        <w:rPr>
          <w:spacing w:val="-14"/>
        </w:rPr>
        <w:t> </w:t>
      </w:r>
      <w:r>
        <w:rPr/>
        <w:t>to</w:t>
      </w:r>
      <w:r>
        <w:rPr>
          <w:spacing w:val="-14"/>
        </w:rPr>
        <w:t> </w:t>
      </w:r>
      <w:r>
        <w:rPr/>
        <w:t>ensure</w:t>
      </w:r>
      <w:r>
        <w:rPr>
          <w:spacing w:val="-14"/>
        </w:rPr>
        <w:t> </w:t>
      </w:r>
      <w:r>
        <w:rPr/>
        <w:t>contributions to the education and training of the future workforce.</w:t>
      </w:r>
    </w:p>
    <w:p>
      <w:pPr>
        <w:pStyle w:val="BodyText"/>
        <w:rPr>
          <w:sz w:val="14"/>
        </w:rPr>
      </w:pPr>
    </w:p>
    <w:p>
      <w:pPr>
        <w:pStyle w:val="BodyText"/>
        <w:spacing w:line="249" w:lineRule="auto"/>
        <w:ind w:left="107" w:right="175"/>
      </w:pPr>
      <w:r>
        <w:rPr/>
        <w:t>The School will continue reviewing and redefining our position, and will respond to heightened competition and the challenges presented by regulatory and policy changes.</w:t>
      </w:r>
    </w:p>
    <w:p>
      <w:pPr>
        <w:spacing w:after="0" w:line="249" w:lineRule="auto"/>
        <w:sectPr>
          <w:type w:val="continuous"/>
          <w:pgSz w:w="11910" w:h="16840"/>
          <w:pgMar w:top="1580" w:bottom="280" w:left="800" w:right="800"/>
          <w:cols w:num="3" w:equalWidth="0">
            <w:col w:w="3310" w:space="129"/>
            <w:col w:w="3320" w:space="119"/>
            <w:col w:w="3432"/>
          </w:cols>
        </w:sectPr>
      </w:pPr>
    </w:p>
    <w:p>
      <w:pPr>
        <w:pStyle w:val="BodyText"/>
        <w:spacing w:before="10"/>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42"/>
          <w:footerReference w:type="default" r:id="rId43"/>
          <w:pgSz w:w="11910" w:h="16840"/>
          <w:pgMar w:footer="473" w:header="494" w:top="680" w:bottom="660" w:left="800" w:right="800"/>
        </w:sectPr>
      </w:pPr>
    </w:p>
    <w:p>
      <w:pPr>
        <w:pStyle w:val="BodyText"/>
        <w:spacing w:before="3"/>
        <w:rPr>
          <w:rFonts w:ascii="Chronicle Text G1"/>
          <w:b w:val="0"/>
          <w:sz w:val="18"/>
        </w:rPr>
      </w:pPr>
    </w:p>
    <w:p>
      <w:pPr>
        <w:pStyle w:val="Heading5"/>
        <w:spacing w:line="260" w:lineRule="exact"/>
        <w:ind w:left="114" w:right="-18"/>
      </w:pPr>
      <w:bookmarkStart w:name="_TOC_250009" w:id="16"/>
      <w:r>
        <w:rPr/>
        <w:t>SCHOOL OF SOCIAL </w:t>
      </w:r>
      <w:bookmarkEnd w:id="16"/>
      <w:r>
        <w:rPr>
          <w:w w:val="95"/>
        </w:rPr>
        <w:t>SCIENCES AND PSYCHOLOGY</w:t>
      </w:r>
    </w:p>
    <w:p>
      <w:pPr>
        <w:pStyle w:val="BodyText"/>
        <w:spacing w:line="249" w:lineRule="auto" w:before="214"/>
        <w:ind w:left="107"/>
      </w:pPr>
      <w:r>
        <w:rPr/>
        <w:t>The School of Social Sciences and Psychology</w:t>
      </w:r>
      <w:r>
        <w:rPr>
          <w:spacing w:val="-17"/>
        </w:rPr>
        <w:t> </w:t>
      </w:r>
      <w:r>
        <w:rPr/>
        <w:t>continues</w:t>
      </w:r>
      <w:r>
        <w:rPr>
          <w:spacing w:val="-17"/>
        </w:rPr>
        <w:t> </w:t>
      </w:r>
      <w:r>
        <w:rPr/>
        <w:t>to</w:t>
      </w:r>
      <w:r>
        <w:rPr>
          <w:spacing w:val="-17"/>
        </w:rPr>
        <w:t> </w:t>
      </w:r>
      <w:r>
        <w:rPr/>
        <w:t>offer</w:t>
      </w:r>
      <w:r>
        <w:rPr>
          <w:spacing w:val="-17"/>
        </w:rPr>
        <w:t> </w:t>
      </w:r>
      <w:r>
        <w:rPr/>
        <w:t>undergraduate, postgraduate and research programs, which combine advanced academic</w:t>
      </w:r>
      <w:r>
        <w:rPr>
          <w:spacing w:val="-28"/>
        </w:rPr>
        <w:t> </w:t>
      </w:r>
      <w:r>
        <w:rPr/>
        <w:t>knowledge</w:t>
      </w:r>
    </w:p>
    <w:p>
      <w:pPr>
        <w:pStyle w:val="BodyText"/>
        <w:spacing w:line="249" w:lineRule="auto"/>
        <w:ind w:left="107" w:right="61"/>
      </w:pPr>
      <w:r>
        <w:rPr/>
        <w:t>with</w:t>
      </w:r>
      <w:r>
        <w:rPr>
          <w:spacing w:val="-17"/>
        </w:rPr>
        <w:t> </w:t>
      </w:r>
      <w:r>
        <w:rPr/>
        <w:t>real-life</w:t>
      </w:r>
      <w:r>
        <w:rPr>
          <w:spacing w:val="-17"/>
        </w:rPr>
        <w:t> </w:t>
      </w:r>
      <w:r>
        <w:rPr/>
        <w:t>training</w:t>
      </w:r>
      <w:r>
        <w:rPr>
          <w:spacing w:val="-17"/>
        </w:rPr>
        <w:t> </w:t>
      </w:r>
      <w:r>
        <w:rPr/>
        <w:t>to</w:t>
      </w:r>
      <w:r>
        <w:rPr>
          <w:spacing w:val="-17"/>
        </w:rPr>
        <w:t> </w:t>
      </w:r>
      <w:r>
        <w:rPr/>
        <w:t>suit</w:t>
      </w:r>
      <w:r>
        <w:rPr>
          <w:spacing w:val="-17"/>
        </w:rPr>
        <w:t> </w:t>
      </w:r>
      <w:r>
        <w:rPr/>
        <w:t>a</w:t>
      </w:r>
      <w:r>
        <w:rPr>
          <w:spacing w:val="-17"/>
        </w:rPr>
        <w:t> </w:t>
      </w:r>
      <w:r>
        <w:rPr/>
        <w:t>range</w:t>
      </w:r>
      <w:r>
        <w:rPr>
          <w:spacing w:val="-17"/>
        </w:rPr>
        <w:t> </w:t>
      </w:r>
      <w:r>
        <w:rPr/>
        <w:t>of</w:t>
      </w:r>
      <w:r>
        <w:rPr>
          <w:spacing w:val="-17"/>
        </w:rPr>
        <w:t> </w:t>
      </w:r>
      <w:r>
        <w:rPr/>
        <w:t>career needs and interests across both social and </w:t>
      </w:r>
      <w:r>
        <w:rPr>
          <w:spacing w:val="1"/>
          <w:w w:val="98"/>
        </w:rPr>
        <w:t>psychological</w:t>
      </w:r>
      <w:r>
        <w:rPr>
          <w:w w:val="98"/>
        </w:rPr>
        <w:t> </w:t>
      </w:r>
      <w:r>
        <w:rPr>
          <w:spacing w:val="1"/>
          <w:w w:val="94"/>
        </w:rPr>
        <w:t>sciences.</w:t>
      </w:r>
      <w:r>
        <w:rPr>
          <w:w w:val="94"/>
        </w:rPr>
        <w:t> </w:t>
      </w:r>
      <w:r>
        <w:rPr>
          <w:spacing w:val="1"/>
          <w:w w:val="80"/>
        </w:rPr>
        <w:t>In</w:t>
      </w:r>
      <w:r>
        <w:rPr>
          <w:w w:val="80"/>
        </w:rPr>
        <w:t> </w:t>
      </w:r>
      <w:r>
        <w:rPr>
          <w:spacing w:val="1"/>
          <w:w w:val="84"/>
        </w:rPr>
        <w:t>2015,</w:t>
      </w:r>
      <w:r>
        <w:rPr>
          <w:w w:val="84"/>
        </w:rPr>
        <w:t> </w:t>
      </w:r>
      <w:r>
        <w:rPr>
          <w:w w:val="97"/>
        </w:rPr>
        <w:t>the </w:t>
      </w:r>
      <w:r>
        <w:rPr>
          <w:spacing w:val="1"/>
          <w:w w:val="98"/>
        </w:rPr>
        <w:t>School</w:t>
      </w:r>
      <w:r>
        <w:rPr>
          <w:w w:val="98"/>
        </w:rPr>
        <w:t> </w:t>
      </w:r>
      <w:r>
        <w:rPr/>
        <w:t>enhanced existing programs and developed new programs, ensuring applied skills were included</w:t>
      </w:r>
      <w:r>
        <w:rPr>
          <w:spacing w:val="-15"/>
        </w:rPr>
        <w:t> </w:t>
      </w:r>
      <w:r>
        <w:rPr/>
        <w:t>in</w:t>
      </w:r>
      <w:r>
        <w:rPr>
          <w:spacing w:val="-15"/>
        </w:rPr>
        <w:t> </w:t>
      </w:r>
      <w:r>
        <w:rPr/>
        <w:t>these</w:t>
      </w:r>
      <w:r>
        <w:rPr>
          <w:spacing w:val="-15"/>
        </w:rPr>
        <w:t> </w:t>
      </w:r>
      <w:r>
        <w:rPr/>
        <w:t>degrees</w:t>
      </w:r>
      <w:r>
        <w:rPr>
          <w:spacing w:val="-15"/>
        </w:rPr>
        <w:t> </w:t>
      </w:r>
      <w:r>
        <w:rPr/>
        <w:t>to</w:t>
      </w:r>
      <w:r>
        <w:rPr>
          <w:spacing w:val="-15"/>
        </w:rPr>
        <w:t> </w:t>
      </w:r>
      <w:r>
        <w:rPr/>
        <w:t>meet</w:t>
      </w:r>
      <w:r>
        <w:rPr>
          <w:spacing w:val="-15"/>
        </w:rPr>
        <w:t> </w:t>
      </w:r>
      <w:r>
        <w:rPr/>
        <w:t>the</w:t>
      </w:r>
    </w:p>
    <w:p>
      <w:pPr>
        <w:pStyle w:val="BodyText"/>
        <w:spacing w:line="249" w:lineRule="auto"/>
        <w:ind w:left="107" w:right="265"/>
      </w:pPr>
      <w:r>
        <w:rPr/>
        <w:t>fast-paced</w:t>
      </w:r>
      <w:r>
        <w:rPr>
          <w:spacing w:val="-19"/>
        </w:rPr>
        <w:t> </w:t>
      </w:r>
      <w:r>
        <w:rPr/>
        <w:t>changing</w:t>
      </w:r>
      <w:r>
        <w:rPr>
          <w:spacing w:val="-19"/>
        </w:rPr>
        <w:t> </w:t>
      </w:r>
      <w:r>
        <w:rPr/>
        <w:t>employment</w:t>
      </w:r>
      <w:r>
        <w:rPr>
          <w:spacing w:val="-19"/>
        </w:rPr>
        <w:t> </w:t>
      </w:r>
      <w:r>
        <w:rPr/>
        <w:t>market. This</w:t>
      </w:r>
      <w:r>
        <w:rPr>
          <w:spacing w:val="-18"/>
        </w:rPr>
        <w:t> </w:t>
      </w:r>
      <w:r>
        <w:rPr/>
        <w:t>reinforces</w:t>
      </w:r>
      <w:r>
        <w:rPr>
          <w:spacing w:val="-18"/>
        </w:rPr>
        <w:t> </w:t>
      </w:r>
      <w:r>
        <w:rPr/>
        <w:t>the</w:t>
      </w:r>
      <w:r>
        <w:rPr>
          <w:spacing w:val="-18"/>
        </w:rPr>
        <w:t> </w:t>
      </w:r>
      <w:r>
        <w:rPr/>
        <w:t>School’s</w:t>
      </w:r>
      <w:r>
        <w:rPr>
          <w:spacing w:val="-18"/>
        </w:rPr>
        <w:t> </w:t>
      </w:r>
      <w:r>
        <w:rPr/>
        <w:t>reputation</w:t>
      </w:r>
      <w:r>
        <w:rPr>
          <w:spacing w:val="-18"/>
        </w:rPr>
        <w:t> </w:t>
      </w:r>
      <w:r>
        <w:rPr/>
        <w:t>as a</w:t>
      </w:r>
      <w:r>
        <w:rPr>
          <w:spacing w:val="-14"/>
        </w:rPr>
        <w:t> </w:t>
      </w:r>
      <w:r>
        <w:rPr/>
        <w:t>strong</w:t>
      </w:r>
      <w:r>
        <w:rPr>
          <w:spacing w:val="-14"/>
        </w:rPr>
        <w:t> </w:t>
      </w:r>
      <w:r>
        <w:rPr/>
        <w:t>leader</w:t>
      </w:r>
      <w:r>
        <w:rPr>
          <w:spacing w:val="-14"/>
        </w:rPr>
        <w:t> </w:t>
      </w:r>
      <w:r>
        <w:rPr/>
        <w:t>in</w:t>
      </w:r>
      <w:r>
        <w:rPr>
          <w:spacing w:val="-14"/>
        </w:rPr>
        <w:t> </w:t>
      </w:r>
      <w:r>
        <w:rPr/>
        <w:t>the</w:t>
      </w:r>
      <w:r>
        <w:rPr>
          <w:spacing w:val="-14"/>
        </w:rPr>
        <w:t> </w:t>
      </w:r>
      <w:r>
        <w:rPr/>
        <w:t>education</w:t>
      </w:r>
      <w:r>
        <w:rPr>
          <w:spacing w:val="-14"/>
        </w:rPr>
        <w:t> </w:t>
      </w:r>
      <w:r>
        <w:rPr/>
        <w:t>sector</w:t>
      </w:r>
      <w:r>
        <w:rPr>
          <w:spacing w:val="-14"/>
        </w:rPr>
        <w:t> </w:t>
      </w:r>
      <w:r>
        <w:rPr/>
        <w:t>for social</w:t>
      </w:r>
      <w:r>
        <w:rPr>
          <w:spacing w:val="-14"/>
        </w:rPr>
        <w:t> </w:t>
      </w:r>
      <w:r>
        <w:rPr/>
        <w:t>science</w:t>
      </w:r>
      <w:r>
        <w:rPr>
          <w:spacing w:val="-14"/>
        </w:rPr>
        <w:t> </w:t>
      </w:r>
      <w:r>
        <w:rPr/>
        <w:t>and</w:t>
      </w:r>
      <w:r>
        <w:rPr>
          <w:spacing w:val="-14"/>
        </w:rPr>
        <w:t> </w:t>
      </w:r>
      <w:r>
        <w:rPr/>
        <w:t>psychology</w:t>
      </w:r>
      <w:r>
        <w:rPr>
          <w:spacing w:val="-14"/>
        </w:rPr>
        <w:t> </w:t>
      </w:r>
      <w:r>
        <w:rPr/>
        <w:t>disciplines.</w:t>
      </w:r>
    </w:p>
    <w:p>
      <w:pPr>
        <w:pStyle w:val="BodyText"/>
        <w:spacing w:line="249" w:lineRule="auto"/>
        <w:ind w:left="107" w:right="17"/>
      </w:pPr>
      <w:r>
        <w:rPr/>
        <w:t>Targeted</w:t>
      </w:r>
      <w:r>
        <w:rPr>
          <w:spacing w:val="-18"/>
        </w:rPr>
        <w:t> </w:t>
      </w:r>
      <w:r>
        <w:rPr/>
        <w:t>strategies</w:t>
      </w:r>
      <w:r>
        <w:rPr>
          <w:spacing w:val="-18"/>
        </w:rPr>
        <w:t> </w:t>
      </w:r>
      <w:r>
        <w:rPr/>
        <w:t>for</w:t>
      </w:r>
      <w:r>
        <w:rPr>
          <w:spacing w:val="-18"/>
        </w:rPr>
        <w:t> </w:t>
      </w:r>
      <w:r>
        <w:rPr/>
        <w:t>improving</w:t>
      </w:r>
      <w:r>
        <w:rPr>
          <w:spacing w:val="-18"/>
        </w:rPr>
        <w:t> </w:t>
      </w:r>
      <w:r>
        <w:rPr/>
        <w:t>the</w:t>
      </w:r>
      <w:r>
        <w:rPr>
          <w:spacing w:val="-18"/>
        </w:rPr>
        <w:t> </w:t>
      </w:r>
      <w:r>
        <w:rPr/>
        <w:t>student experience have led to outstanding student feedback</w:t>
      </w:r>
      <w:r>
        <w:rPr>
          <w:spacing w:val="-21"/>
        </w:rPr>
        <w:t> </w:t>
      </w:r>
      <w:r>
        <w:rPr/>
        <w:t>and</w:t>
      </w:r>
      <w:r>
        <w:rPr>
          <w:spacing w:val="-21"/>
        </w:rPr>
        <w:t> </w:t>
      </w:r>
      <w:r>
        <w:rPr/>
        <w:t>student</w:t>
      </w:r>
      <w:r>
        <w:rPr>
          <w:spacing w:val="-21"/>
        </w:rPr>
        <w:t> </w:t>
      </w:r>
      <w:r>
        <w:rPr/>
        <w:t>retention.</w:t>
      </w:r>
    </w:p>
    <w:p>
      <w:pPr>
        <w:pStyle w:val="BodyText"/>
        <w:rPr>
          <w:sz w:val="14"/>
        </w:rPr>
      </w:pPr>
    </w:p>
    <w:p>
      <w:pPr>
        <w:pStyle w:val="BodyText"/>
        <w:spacing w:line="249" w:lineRule="auto"/>
        <w:ind w:left="107" w:right="33"/>
      </w:pPr>
      <w:r>
        <w:rPr/>
        <w:t>In addition to program development, the School continues to focus on business development, ensuring a more engaged and outward-looking approach, and on sourcing grants and industry-based scholarships.</w:t>
      </w:r>
    </w:p>
    <w:p>
      <w:pPr>
        <w:pStyle w:val="BodyText"/>
        <w:rPr>
          <w:sz w:val="14"/>
        </w:rPr>
      </w:pPr>
    </w:p>
    <w:p>
      <w:pPr>
        <w:pStyle w:val="BodyText"/>
        <w:spacing w:line="249" w:lineRule="auto"/>
        <w:ind w:left="107" w:right="53"/>
      </w:pPr>
      <w:r>
        <w:rPr/>
        <w:t>The School has an active research culture, pushing the theoretical frontiers of knowledge.</w:t>
      </w:r>
      <w:r>
        <w:rPr>
          <w:spacing w:val="-18"/>
        </w:rPr>
        <w:t> </w:t>
      </w:r>
      <w:r>
        <w:rPr/>
        <w:t>It</w:t>
      </w:r>
      <w:r>
        <w:rPr>
          <w:spacing w:val="-18"/>
        </w:rPr>
        <w:t> </w:t>
      </w:r>
      <w:r>
        <w:rPr/>
        <w:t>also</w:t>
      </w:r>
      <w:r>
        <w:rPr>
          <w:spacing w:val="-18"/>
        </w:rPr>
        <w:t> </w:t>
      </w:r>
      <w:r>
        <w:rPr/>
        <w:t>conducts</w:t>
      </w:r>
      <w:r>
        <w:rPr>
          <w:spacing w:val="-18"/>
        </w:rPr>
        <w:t> </w:t>
      </w:r>
      <w:r>
        <w:rPr/>
        <w:t>applied</w:t>
      </w:r>
      <w:r>
        <w:rPr>
          <w:spacing w:val="-18"/>
        </w:rPr>
        <w:t> </w:t>
      </w:r>
      <w:r>
        <w:rPr/>
        <w:t>research with</w:t>
      </w:r>
      <w:r>
        <w:rPr>
          <w:spacing w:val="-18"/>
        </w:rPr>
        <w:t> </w:t>
      </w:r>
      <w:r>
        <w:rPr/>
        <w:t>real-world</w:t>
      </w:r>
      <w:r>
        <w:rPr>
          <w:spacing w:val="-18"/>
        </w:rPr>
        <w:t> </w:t>
      </w:r>
      <w:r>
        <w:rPr>
          <w:spacing w:val="2"/>
        </w:rPr>
        <w:t>impacts.</w:t>
      </w:r>
      <w:r>
        <w:rPr>
          <w:spacing w:val="-18"/>
        </w:rPr>
        <w:t> </w:t>
      </w:r>
      <w:r>
        <w:rPr/>
        <w:t>The</w:t>
      </w:r>
      <w:r>
        <w:rPr>
          <w:spacing w:val="-18"/>
        </w:rPr>
        <w:t> </w:t>
      </w:r>
      <w:r>
        <w:rPr/>
        <w:t>School’s</w:t>
      </w:r>
      <w:r>
        <w:rPr>
          <w:spacing w:val="-18"/>
        </w:rPr>
        <w:t> </w:t>
      </w:r>
      <w:r>
        <w:rPr/>
        <w:t>strong </w:t>
      </w:r>
      <w:r>
        <w:rPr>
          <w:spacing w:val="1"/>
          <w:w w:val="96"/>
        </w:rPr>
        <w:t>results</w:t>
      </w:r>
      <w:r>
        <w:rPr>
          <w:spacing w:val="-10"/>
          <w:w w:val="96"/>
        </w:rPr>
        <w:t> </w:t>
      </w:r>
      <w:r>
        <w:rPr>
          <w:w w:val="95"/>
        </w:rPr>
        <w:t>in</w:t>
      </w:r>
      <w:r>
        <w:rPr>
          <w:spacing w:val="-9"/>
          <w:w w:val="95"/>
        </w:rPr>
        <w:t> </w:t>
      </w:r>
      <w:r>
        <w:rPr>
          <w:w w:val="97"/>
        </w:rPr>
        <w:t>the</w:t>
      </w:r>
      <w:r>
        <w:rPr>
          <w:spacing w:val="-10"/>
          <w:w w:val="97"/>
        </w:rPr>
        <w:t> </w:t>
      </w:r>
      <w:r>
        <w:rPr>
          <w:spacing w:val="1"/>
          <w:w w:val="88"/>
        </w:rPr>
        <w:t>2015</w:t>
      </w:r>
      <w:r>
        <w:rPr>
          <w:spacing w:val="-6"/>
          <w:w w:val="88"/>
        </w:rPr>
        <w:t> </w:t>
      </w:r>
      <w:r>
        <w:rPr>
          <w:spacing w:val="1"/>
          <w:w w:val="98"/>
        </w:rPr>
        <w:t>Excellence</w:t>
      </w:r>
      <w:r>
        <w:rPr>
          <w:spacing w:val="-10"/>
          <w:w w:val="98"/>
        </w:rPr>
        <w:t> </w:t>
      </w:r>
      <w:r>
        <w:rPr>
          <w:w w:val="95"/>
        </w:rPr>
        <w:t>in</w:t>
      </w:r>
      <w:r>
        <w:rPr>
          <w:spacing w:val="-9"/>
          <w:w w:val="95"/>
        </w:rPr>
        <w:t> </w:t>
      </w:r>
      <w:r>
        <w:rPr>
          <w:spacing w:val="1"/>
          <w:w w:val="96"/>
        </w:rPr>
        <w:t>Research</w:t>
      </w:r>
    </w:p>
    <w:p>
      <w:pPr>
        <w:pStyle w:val="BodyText"/>
        <w:spacing w:line="249" w:lineRule="auto"/>
        <w:ind w:left="107" w:right="197"/>
      </w:pPr>
      <w:r>
        <w:rPr/>
        <w:t>for Australia (ERA) evaluations reflect this research effort.</w:t>
      </w:r>
    </w:p>
    <w:p>
      <w:pPr>
        <w:pStyle w:val="BodyText"/>
        <w:spacing w:before="7"/>
        <w:rPr>
          <w:sz w:val="21"/>
        </w:rPr>
      </w:pPr>
    </w:p>
    <w:p>
      <w:pPr>
        <w:pStyle w:val="Heading8"/>
        <w:ind w:right="-18"/>
      </w:pPr>
      <w:r>
        <w:rPr>
          <w:w w:val="95"/>
        </w:rPr>
        <w:t>TEACHING AND LEARNING</w:t>
      </w:r>
    </w:p>
    <w:p>
      <w:pPr>
        <w:pStyle w:val="BodyText"/>
        <w:spacing w:line="249" w:lineRule="auto" w:before="86"/>
        <w:ind w:left="107" w:right="12"/>
      </w:pPr>
      <w:r>
        <w:rPr>
          <w:spacing w:val="1"/>
          <w:w w:val="80"/>
        </w:rPr>
        <w:t>In</w:t>
      </w:r>
      <w:r>
        <w:rPr>
          <w:w w:val="80"/>
        </w:rPr>
        <w:t> </w:t>
      </w:r>
      <w:r>
        <w:rPr>
          <w:spacing w:val="1"/>
          <w:w w:val="84"/>
        </w:rPr>
        <w:t>2015,</w:t>
      </w:r>
      <w:r>
        <w:rPr>
          <w:w w:val="84"/>
        </w:rPr>
        <w:t> </w:t>
      </w:r>
      <w:r>
        <w:rPr>
          <w:w w:val="97"/>
        </w:rPr>
        <w:t>the </w:t>
      </w:r>
      <w:r>
        <w:rPr>
          <w:spacing w:val="1"/>
          <w:w w:val="98"/>
        </w:rPr>
        <w:t>School</w:t>
      </w:r>
      <w:r>
        <w:rPr>
          <w:w w:val="98"/>
        </w:rPr>
        <w:t> </w:t>
      </w:r>
      <w:r>
        <w:rPr>
          <w:w w:val="97"/>
        </w:rPr>
        <w:t>delivered </w:t>
      </w:r>
      <w:r>
        <w:rPr>
          <w:spacing w:val="1"/>
          <w:w w:val="74"/>
        </w:rPr>
        <w:t>15</w:t>
      </w:r>
      <w:r>
        <w:rPr>
          <w:w w:val="74"/>
        </w:rPr>
        <w:t> </w:t>
      </w:r>
      <w:r>
        <w:rPr>
          <w:spacing w:val="1"/>
          <w:w w:val="98"/>
        </w:rPr>
        <w:t>robust</w:t>
      </w:r>
      <w:r>
        <w:rPr>
          <w:w w:val="98"/>
        </w:rPr>
        <w:t> </w:t>
      </w:r>
      <w:r>
        <w:rPr/>
        <w:t>undergraduate programs: Bachelor of Psychology, Bachelor of Social Science (Psychology), Bachelor of </w:t>
      </w:r>
      <w:r>
        <w:rPr>
          <w:spacing w:val="2"/>
        </w:rPr>
        <w:t>Arts </w:t>
      </w:r>
      <w:r>
        <w:rPr/>
        <w:t>(Honours) Psychology, Bachelor of Science Criminology and Psychological Studies (Online), Bachelor of Social Work, Bachelor of Community Welfare, Bachelor of Community and Social Development, Bachelor of Policing, Bachelor of</w:t>
      </w:r>
      <w:r>
        <w:rPr>
          <w:spacing w:val="-15"/>
        </w:rPr>
        <w:t> </w:t>
      </w:r>
      <w:r>
        <w:rPr/>
        <w:t>Policing</w:t>
      </w:r>
      <w:r>
        <w:rPr>
          <w:spacing w:val="-15"/>
        </w:rPr>
        <w:t> </w:t>
      </w:r>
      <w:r>
        <w:rPr/>
        <w:t>(Leadership</w:t>
      </w:r>
      <w:r>
        <w:rPr>
          <w:spacing w:val="-15"/>
        </w:rPr>
        <w:t> </w:t>
      </w:r>
      <w:r>
        <w:rPr/>
        <w:t>Program),</w:t>
      </w:r>
      <w:r>
        <w:rPr>
          <w:spacing w:val="-15"/>
        </w:rPr>
        <w:t> </w:t>
      </w:r>
      <w:r>
        <w:rPr/>
        <w:t>Bachelor</w:t>
      </w:r>
      <w:r>
        <w:rPr>
          <w:spacing w:val="-15"/>
        </w:rPr>
        <w:t> </w:t>
      </w:r>
      <w:r>
        <w:rPr/>
        <w:t>of Criminal</w:t>
      </w:r>
      <w:r>
        <w:rPr>
          <w:spacing w:val="-13"/>
        </w:rPr>
        <w:t> </w:t>
      </w:r>
      <w:r>
        <w:rPr/>
        <w:t>and</w:t>
      </w:r>
      <w:r>
        <w:rPr>
          <w:spacing w:val="-13"/>
        </w:rPr>
        <w:t> </w:t>
      </w:r>
      <w:r>
        <w:rPr/>
        <w:t>Community</w:t>
      </w:r>
      <w:r>
        <w:rPr>
          <w:spacing w:val="-13"/>
        </w:rPr>
        <w:t> </w:t>
      </w:r>
      <w:r>
        <w:rPr/>
        <w:t>Justice,</w:t>
      </w:r>
      <w:r>
        <w:rPr>
          <w:spacing w:val="-13"/>
        </w:rPr>
        <w:t> </w:t>
      </w:r>
      <w:r>
        <w:rPr/>
        <w:t>Bachelor</w:t>
      </w:r>
      <w:r>
        <w:rPr>
          <w:spacing w:val="-13"/>
        </w:rPr>
        <w:t> </w:t>
      </w:r>
      <w:r>
        <w:rPr/>
        <w:t>of Criminology, Bachelor of Planning, Bachelor of Tourism Management, Bachelor of Social Science and Bachelor of Social Science (Advanced). The School also developed two more market-leading degrees, Bachelor of Anthropology</w:t>
      </w:r>
      <w:r>
        <w:rPr>
          <w:spacing w:val="-11"/>
        </w:rPr>
        <w:t> </w:t>
      </w:r>
      <w:r>
        <w:rPr/>
        <w:t>and</w:t>
      </w:r>
      <w:r>
        <w:rPr>
          <w:spacing w:val="-11"/>
        </w:rPr>
        <w:t> </w:t>
      </w:r>
      <w:r>
        <w:rPr/>
        <w:t>Bachelor</w:t>
      </w:r>
      <w:r>
        <w:rPr>
          <w:spacing w:val="-11"/>
        </w:rPr>
        <w:t> </w:t>
      </w:r>
      <w:r>
        <w:rPr/>
        <w:t>of</w:t>
      </w:r>
      <w:r>
        <w:rPr>
          <w:spacing w:val="-11"/>
        </w:rPr>
        <w:t> </w:t>
      </w:r>
      <w:r>
        <w:rPr/>
        <w:t>Humanitarian</w:t>
      </w:r>
    </w:p>
    <w:p>
      <w:pPr>
        <w:pStyle w:val="BodyText"/>
        <w:spacing w:before="10"/>
      </w:pPr>
      <w:r>
        <w:rPr/>
        <w:br w:type="column"/>
      </w:r>
      <w:r>
        <w:rPr/>
      </w:r>
    </w:p>
    <w:p>
      <w:pPr>
        <w:pStyle w:val="BodyText"/>
        <w:spacing w:line="249" w:lineRule="auto"/>
        <w:ind w:left="107" w:right="105"/>
      </w:pPr>
      <w:r>
        <w:rPr/>
        <w:t>and</w:t>
      </w:r>
      <w:r>
        <w:rPr>
          <w:spacing w:val="-18"/>
        </w:rPr>
        <w:t> </w:t>
      </w:r>
      <w:r>
        <w:rPr/>
        <w:t>Development</w:t>
      </w:r>
      <w:r>
        <w:rPr>
          <w:spacing w:val="-18"/>
        </w:rPr>
        <w:t> </w:t>
      </w:r>
      <w:r>
        <w:rPr/>
        <w:t>Studies,</w:t>
      </w:r>
      <w:r>
        <w:rPr>
          <w:spacing w:val="-18"/>
        </w:rPr>
        <w:t> </w:t>
      </w:r>
      <w:r>
        <w:rPr/>
        <w:t>which</w:t>
      </w:r>
      <w:r>
        <w:rPr>
          <w:spacing w:val="-18"/>
        </w:rPr>
        <w:t> </w:t>
      </w:r>
      <w:r>
        <w:rPr/>
        <w:t>are</w:t>
      </w:r>
      <w:r>
        <w:rPr>
          <w:spacing w:val="-18"/>
        </w:rPr>
        <w:t> </w:t>
      </w:r>
      <w:r>
        <w:rPr/>
        <w:t>on</w:t>
      </w:r>
      <w:r>
        <w:rPr>
          <w:spacing w:val="-18"/>
        </w:rPr>
        <w:t> </w:t>
      </w:r>
      <w:r>
        <w:rPr/>
        <w:t>offer </w:t>
      </w:r>
      <w:r>
        <w:rPr>
          <w:w w:val="95"/>
        </w:rPr>
        <w:t>in</w:t>
      </w:r>
      <w:r>
        <w:rPr>
          <w:spacing w:val="-2"/>
          <w:w w:val="95"/>
        </w:rPr>
        <w:t> </w:t>
      </w:r>
      <w:r>
        <w:rPr>
          <w:spacing w:val="2"/>
          <w:w w:val="85"/>
        </w:rPr>
        <w:t>2016.</w:t>
      </w:r>
    </w:p>
    <w:p>
      <w:pPr>
        <w:pStyle w:val="BodyText"/>
        <w:rPr>
          <w:sz w:val="14"/>
        </w:rPr>
      </w:pPr>
    </w:p>
    <w:p>
      <w:pPr>
        <w:pStyle w:val="BodyText"/>
        <w:spacing w:line="249" w:lineRule="auto"/>
        <w:ind w:left="107" w:right="263"/>
      </w:pPr>
      <w:r>
        <w:rPr/>
        <w:t>In addition, the School delivered five postgraduate courses, including the Master of Social Science, which offered </w:t>
      </w:r>
      <w:r>
        <w:rPr>
          <w:w w:val="95"/>
        </w:rPr>
        <w:t>nine </w:t>
      </w:r>
      <w:r>
        <w:rPr>
          <w:w w:val="95"/>
        </w:rPr>
        <w:t>specialisations. </w:t>
      </w:r>
      <w:r>
        <w:rPr>
          <w:w w:val="80"/>
        </w:rPr>
        <w:t>In </w:t>
      </w:r>
      <w:r>
        <w:rPr>
          <w:w w:val="85"/>
        </w:rPr>
        <w:t>2016, </w:t>
      </w:r>
      <w:r>
        <w:rPr>
          <w:w w:val="97"/>
        </w:rPr>
        <w:t>the </w:t>
      </w:r>
      <w:r>
        <w:rPr>
          <w:w w:val="98"/>
        </w:rPr>
        <w:t>School </w:t>
      </w:r>
      <w:r>
        <w:rPr>
          <w:w w:val="95"/>
        </w:rPr>
        <w:t>is </w:t>
      </w:r>
      <w:r>
        <w:rPr/>
        <w:t>offering three new postgraduate courses:</w:t>
      </w:r>
    </w:p>
    <w:p>
      <w:pPr>
        <w:pStyle w:val="BodyText"/>
        <w:spacing w:line="249" w:lineRule="auto"/>
        <w:ind w:left="107" w:right="43"/>
      </w:pPr>
      <w:r>
        <w:rPr/>
        <w:t>Master of Professional Psychology, Master of Psychotherapy</w:t>
      </w:r>
      <w:r>
        <w:rPr>
          <w:spacing w:val="-15"/>
        </w:rPr>
        <w:t> </w:t>
      </w:r>
      <w:r>
        <w:rPr/>
        <w:t>and</w:t>
      </w:r>
      <w:r>
        <w:rPr>
          <w:spacing w:val="-15"/>
        </w:rPr>
        <w:t> </w:t>
      </w:r>
      <w:r>
        <w:rPr/>
        <w:t>Counselling</w:t>
      </w:r>
      <w:r>
        <w:rPr>
          <w:spacing w:val="-15"/>
        </w:rPr>
        <w:t> </w:t>
      </w:r>
      <w:r>
        <w:rPr/>
        <w:t>and</w:t>
      </w:r>
      <w:r>
        <w:rPr>
          <w:spacing w:val="-15"/>
        </w:rPr>
        <w:t> </w:t>
      </w:r>
      <w:r>
        <w:rPr/>
        <w:t>Master</w:t>
      </w:r>
      <w:r>
        <w:rPr>
          <w:spacing w:val="-15"/>
        </w:rPr>
        <w:t> </w:t>
      </w:r>
      <w:r>
        <w:rPr/>
        <w:t>of Social</w:t>
      </w:r>
      <w:r>
        <w:rPr>
          <w:spacing w:val="-21"/>
        </w:rPr>
        <w:t> </w:t>
      </w:r>
      <w:r>
        <w:rPr/>
        <w:t>Work</w:t>
      </w:r>
      <w:r>
        <w:rPr>
          <w:spacing w:val="-21"/>
        </w:rPr>
        <w:t> </w:t>
      </w:r>
      <w:r>
        <w:rPr/>
        <w:t>(Qualifying).</w:t>
      </w:r>
    </w:p>
    <w:p>
      <w:pPr>
        <w:pStyle w:val="BodyText"/>
        <w:rPr>
          <w:sz w:val="14"/>
        </w:rPr>
      </w:pPr>
    </w:p>
    <w:p>
      <w:pPr>
        <w:pStyle w:val="BodyText"/>
        <w:spacing w:line="249" w:lineRule="auto"/>
        <w:ind w:left="107" w:right="-3"/>
      </w:pPr>
      <w:r>
        <w:rPr/>
        <w:t>The</w:t>
      </w:r>
      <w:r>
        <w:rPr>
          <w:spacing w:val="-18"/>
        </w:rPr>
        <w:t> </w:t>
      </w:r>
      <w:r>
        <w:rPr/>
        <w:t>School’s</w:t>
      </w:r>
      <w:r>
        <w:rPr>
          <w:spacing w:val="-18"/>
        </w:rPr>
        <w:t> </w:t>
      </w:r>
      <w:r>
        <w:rPr/>
        <w:t>undergraduate</w:t>
      </w:r>
      <w:r>
        <w:rPr>
          <w:spacing w:val="-18"/>
        </w:rPr>
        <w:t> </w:t>
      </w:r>
      <w:r>
        <w:rPr/>
        <w:t>and</w:t>
      </w:r>
      <w:r>
        <w:rPr>
          <w:spacing w:val="-18"/>
        </w:rPr>
        <w:t> </w:t>
      </w:r>
      <w:r>
        <w:rPr/>
        <w:t>postgraduate programs have strengthened and expanded its position as a sustainable provider of diverse</w:t>
      </w:r>
      <w:r>
        <w:rPr>
          <w:spacing w:val="-20"/>
        </w:rPr>
        <w:t> </w:t>
      </w:r>
      <w:r>
        <w:rPr/>
        <w:t>specialisations,</w:t>
      </w:r>
      <w:r>
        <w:rPr>
          <w:spacing w:val="-20"/>
        </w:rPr>
        <w:t> </w:t>
      </w:r>
      <w:r>
        <w:rPr/>
        <w:t>ensuring</w:t>
      </w:r>
      <w:r>
        <w:rPr>
          <w:spacing w:val="-20"/>
        </w:rPr>
        <w:t> </w:t>
      </w:r>
      <w:r>
        <w:rPr/>
        <w:t>that</w:t>
      </w:r>
      <w:r>
        <w:rPr>
          <w:spacing w:val="-20"/>
        </w:rPr>
        <w:t> </w:t>
      </w:r>
      <w:r>
        <w:rPr/>
        <w:t>students are given the opportunity to engage in real- world problems, drawing on social scientific and</w:t>
      </w:r>
      <w:r>
        <w:rPr>
          <w:spacing w:val="-17"/>
        </w:rPr>
        <w:t> </w:t>
      </w:r>
      <w:r>
        <w:rPr/>
        <w:t>psychological</w:t>
      </w:r>
      <w:r>
        <w:rPr>
          <w:spacing w:val="-17"/>
        </w:rPr>
        <w:t> </w:t>
      </w:r>
      <w:r>
        <w:rPr/>
        <w:t>scholarship.</w:t>
      </w:r>
      <w:r>
        <w:rPr>
          <w:spacing w:val="-17"/>
        </w:rPr>
        <w:t> </w:t>
      </w:r>
      <w:r>
        <w:rPr/>
        <w:t>The</w:t>
      </w:r>
      <w:r>
        <w:rPr>
          <w:spacing w:val="-17"/>
        </w:rPr>
        <w:t> </w:t>
      </w:r>
      <w:r>
        <w:rPr/>
        <w:t>curriculum design is innovative, giving students optimal study choices that include blended learning strategies for teaching and learning. The School aims to enhance students’ ability to balance</w:t>
      </w:r>
      <w:r>
        <w:rPr>
          <w:spacing w:val="-18"/>
        </w:rPr>
        <w:t> </w:t>
      </w:r>
      <w:r>
        <w:rPr/>
        <w:t>work,</w:t>
      </w:r>
      <w:r>
        <w:rPr>
          <w:spacing w:val="-18"/>
        </w:rPr>
        <w:t> </w:t>
      </w:r>
      <w:r>
        <w:rPr/>
        <w:t>family</w:t>
      </w:r>
      <w:r>
        <w:rPr>
          <w:spacing w:val="-18"/>
        </w:rPr>
        <w:t> </w:t>
      </w:r>
      <w:r>
        <w:rPr/>
        <w:t>and</w:t>
      </w:r>
      <w:r>
        <w:rPr>
          <w:spacing w:val="-18"/>
        </w:rPr>
        <w:t> </w:t>
      </w:r>
      <w:r>
        <w:rPr/>
        <w:t>study</w:t>
      </w:r>
      <w:r>
        <w:rPr>
          <w:spacing w:val="-18"/>
        </w:rPr>
        <w:t> </w:t>
      </w:r>
      <w:r>
        <w:rPr/>
        <w:t>demands.</w:t>
      </w:r>
    </w:p>
    <w:p>
      <w:pPr>
        <w:pStyle w:val="BodyText"/>
        <w:rPr>
          <w:sz w:val="14"/>
        </w:rPr>
      </w:pPr>
    </w:p>
    <w:p>
      <w:pPr>
        <w:pStyle w:val="BodyText"/>
        <w:spacing w:line="249" w:lineRule="auto"/>
        <w:ind w:left="107" w:right="62"/>
      </w:pPr>
      <w:r>
        <w:rPr/>
        <w:t>The School again received resoundingly positive student feedback through the University’s Student Feedback on Unit (SFU) </w:t>
      </w:r>
      <w:r>
        <w:rPr>
          <w:w w:val="98"/>
        </w:rPr>
        <w:t>process </w:t>
      </w:r>
      <w:r>
        <w:rPr>
          <w:w w:val="98"/>
        </w:rPr>
        <w:t>for </w:t>
      </w:r>
      <w:r>
        <w:rPr>
          <w:w w:val="97"/>
        </w:rPr>
        <w:t>the </w:t>
      </w:r>
      <w:r>
        <w:rPr>
          <w:w w:val="97"/>
        </w:rPr>
        <w:t>autumn </w:t>
      </w:r>
      <w:r>
        <w:rPr>
          <w:w w:val="88"/>
        </w:rPr>
        <w:t>2015 </w:t>
      </w:r>
      <w:r>
        <w:rPr>
          <w:w w:val="93"/>
        </w:rPr>
        <w:t>semester, </w:t>
      </w:r>
      <w:r>
        <w:rPr>
          <w:w w:val="98"/>
        </w:rPr>
        <w:t>with </w:t>
      </w:r>
      <w:r>
        <w:rPr/>
        <w:t>our average performance on the ‘overall satisfaction’ rating 4.14/5 (WSU average 4.04). In the vast majority of our units, year after year, the School consistently achieves very high SFU scores, demonstrating the quality of teaching and the commitment</w:t>
      </w:r>
    </w:p>
    <w:p>
      <w:pPr>
        <w:pStyle w:val="BodyText"/>
        <w:spacing w:line="249" w:lineRule="auto"/>
        <w:ind w:left="107" w:right="38"/>
      </w:pPr>
      <w:r>
        <w:rPr/>
        <w:t>of staff. The student response rate for this survey</w:t>
      </w:r>
      <w:r>
        <w:rPr>
          <w:spacing w:val="-21"/>
        </w:rPr>
        <w:t> </w:t>
      </w:r>
      <w:r>
        <w:rPr/>
        <w:t>also</w:t>
      </w:r>
      <w:r>
        <w:rPr>
          <w:spacing w:val="-21"/>
        </w:rPr>
        <w:t> </w:t>
      </w:r>
      <w:r>
        <w:rPr/>
        <w:t>continues</w:t>
      </w:r>
      <w:r>
        <w:rPr>
          <w:spacing w:val="-21"/>
        </w:rPr>
        <w:t> </w:t>
      </w:r>
      <w:r>
        <w:rPr/>
        <w:t>to</w:t>
      </w:r>
      <w:r>
        <w:rPr>
          <w:spacing w:val="-21"/>
        </w:rPr>
        <w:t> </w:t>
      </w:r>
      <w:r>
        <w:rPr/>
        <w:t>increase,</w:t>
      </w:r>
      <w:r>
        <w:rPr>
          <w:spacing w:val="-21"/>
        </w:rPr>
        <w:t> </w:t>
      </w:r>
      <w:r>
        <w:rPr/>
        <w:t>highlighting that the School’s strategies to engage students more actively within the University environment</w:t>
      </w:r>
      <w:r>
        <w:rPr>
          <w:spacing w:val="-29"/>
        </w:rPr>
        <w:t> </w:t>
      </w:r>
      <w:r>
        <w:rPr/>
        <w:t>are</w:t>
      </w:r>
      <w:r>
        <w:rPr>
          <w:spacing w:val="-29"/>
        </w:rPr>
        <w:t> </w:t>
      </w:r>
      <w:r>
        <w:rPr/>
        <w:t>working.</w:t>
      </w:r>
    </w:p>
    <w:p>
      <w:pPr>
        <w:pStyle w:val="BodyText"/>
        <w:rPr>
          <w:sz w:val="14"/>
        </w:rPr>
      </w:pPr>
    </w:p>
    <w:p>
      <w:pPr>
        <w:pStyle w:val="BodyText"/>
        <w:spacing w:line="249" w:lineRule="auto"/>
        <w:ind w:left="107" w:right="105"/>
      </w:pPr>
      <w:r>
        <w:rPr/>
        <w:t>The Planning Institute of Australia (PIA) </w:t>
      </w:r>
      <w:r>
        <w:rPr>
          <w:w w:val="99"/>
        </w:rPr>
        <w:t>accredited </w:t>
      </w:r>
      <w:r>
        <w:rPr>
          <w:w w:val="97"/>
        </w:rPr>
        <w:t>the </w:t>
      </w:r>
      <w:r>
        <w:rPr>
          <w:w w:val="98"/>
        </w:rPr>
        <w:t>School </w:t>
      </w:r>
      <w:r>
        <w:rPr>
          <w:w w:val="95"/>
        </w:rPr>
        <w:t>in </w:t>
      </w:r>
      <w:r>
        <w:rPr>
          <w:w w:val="98"/>
        </w:rPr>
        <w:t>November </w:t>
      </w:r>
      <w:r>
        <w:rPr>
          <w:w w:val="88"/>
        </w:rPr>
        <w:t>2015 </w:t>
      </w:r>
      <w:r>
        <w:rPr>
          <w:w w:val="98"/>
        </w:rPr>
        <w:t>for </w:t>
      </w:r>
      <w:r>
        <w:rPr/>
        <w:t>the Master of Planning program. The PIA review team recognised the committed, enthusiastic and research-focused teaching team, noting the strengths of the social science setting and the way the Greater Western Sydney environment infuses our urban planning program.</w:t>
      </w:r>
    </w:p>
    <w:p>
      <w:pPr>
        <w:pStyle w:val="BodyText"/>
        <w:rPr>
          <w:sz w:val="14"/>
        </w:rPr>
      </w:pPr>
    </w:p>
    <w:p>
      <w:pPr>
        <w:pStyle w:val="BodyText"/>
        <w:spacing w:line="249" w:lineRule="auto"/>
        <w:ind w:left="107" w:right="275"/>
        <w:jc w:val="both"/>
      </w:pPr>
      <w:r>
        <w:rPr>
          <w:spacing w:val="-5"/>
        </w:rPr>
        <w:t>Two</w:t>
      </w:r>
      <w:r>
        <w:rPr>
          <w:spacing w:val="-13"/>
        </w:rPr>
        <w:t> </w:t>
      </w:r>
      <w:r>
        <w:rPr/>
        <w:t>External</w:t>
      </w:r>
      <w:r>
        <w:rPr>
          <w:spacing w:val="-13"/>
        </w:rPr>
        <w:t> </w:t>
      </w:r>
      <w:r>
        <w:rPr/>
        <w:t>Advisory</w:t>
      </w:r>
      <w:r>
        <w:rPr>
          <w:spacing w:val="-13"/>
        </w:rPr>
        <w:t> </w:t>
      </w:r>
      <w:r>
        <w:rPr/>
        <w:t>Committees</w:t>
      </w:r>
      <w:r>
        <w:rPr>
          <w:spacing w:val="-13"/>
        </w:rPr>
        <w:t> </w:t>
      </w:r>
      <w:r>
        <w:rPr/>
        <w:t>(EACs) sat</w:t>
      </w:r>
      <w:r>
        <w:rPr>
          <w:spacing w:val="-28"/>
        </w:rPr>
        <w:t> </w:t>
      </w:r>
      <w:r>
        <w:rPr/>
        <w:t>this</w:t>
      </w:r>
      <w:r>
        <w:rPr>
          <w:spacing w:val="-28"/>
        </w:rPr>
        <w:t> </w:t>
      </w:r>
      <w:r>
        <w:rPr/>
        <w:t>year.</w:t>
      </w:r>
      <w:r>
        <w:rPr>
          <w:spacing w:val="-28"/>
        </w:rPr>
        <w:t> </w:t>
      </w:r>
      <w:r>
        <w:rPr/>
        <w:t>They</w:t>
      </w:r>
      <w:r>
        <w:rPr>
          <w:spacing w:val="-28"/>
        </w:rPr>
        <w:t> </w:t>
      </w:r>
      <w:r>
        <w:rPr/>
        <w:t>were</w:t>
      </w:r>
      <w:r>
        <w:rPr>
          <w:spacing w:val="-28"/>
        </w:rPr>
        <w:t> </w:t>
      </w:r>
      <w:r>
        <w:rPr/>
        <w:t>the</w:t>
      </w:r>
      <w:r>
        <w:rPr>
          <w:spacing w:val="-28"/>
        </w:rPr>
        <w:t> </w:t>
      </w:r>
      <w:r>
        <w:rPr/>
        <w:t>Undergraduate </w:t>
      </w:r>
      <w:r>
        <w:rPr>
          <w:w w:val="100"/>
        </w:rPr>
        <w:t>Psychology </w:t>
      </w:r>
      <w:r>
        <w:rPr>
          <w:spacing w:val="2"/>
          <w:w w:val="93"/>
        </w:rPr>
        <w:t>(1500</w:t>
      </w:r>
      <w:r>
        <w:rPr>
          <w:w w:val="93"/>
        </w:rPr>
        <w:t> </w:t>
      </w:r>
      <w:r>
        <w:rPr>
          <w:w w:val="98"/>
        </w:rPr>
        <w:t>Bachelor </w:t>
      </w:r>
      <w:r>
        <w:rPr>
          <w:spacing w:val="-1"/>
          <w:w w:val="99"/>
        </w:rPr>
        <w:t>of</w:t>
      </w:r>
      <w:r>
        <w:rPr>
          <w:w w:val="99"/>
        </w:rPr>
        <w:t> </w:t>
      </w:r>
      <w:r>
        <w:rPr>
          <w:spacing w:val="-1"/>
          <w:w w:val="99"/>
        </w:rPr>
        <w:t>Psychology)</w:t>
      </w:r>
      <w:r>
        <w:rPr>
          <w:w w:val="99"/>
        </w:rPr>
        <w:t> </w:t>
      </w:r>
      <w:r>
        <w:rPr>
          <w:w w:val="95"/>
        </w:rPr>
        <w:t>and the Postgraduate Psychology</w:t>
      </w:r>
      <w:r>
        <w:rPr>
          <w:spacing w:val="-13"/>
          <w:w w:val="95"/>
        </w:rPr>
        <w:t> </w:t>
      </w:r>
      <w:r>
        <w:rPr>
          <w:spacing w:val="2"/>
          <w:w w:val="95"/>
        </w:rPr>
        <w:t>(1812</w:t>
      </w:r>
    </w:p>
    <w:p>
      <w:pPr>
        <w:pStyle w:val="BodyText"/>
        <w:spacing w:before="10"/>
      </w:pPr>
      <w:r>
        <w:rPr/>
        <w:br w:type="column"/>
      </w:r>
      <w:r>
        <w:rPr/>
      </w:r>
    </w:p>
    <w:p>
      <w:pPr>
        <w:pStyle w:val="BodyText"/>
        <w:spacing w:line="249" w:lineRule="auto"/>
        <w:ind w:left="107" w:right="120"/>
      </w:pPr>
      <w:r>
        <w:rPr/>
        <w:t>Master</w:t>
      </w:r>
      <w:r>
        <w:rPr>
          <w:spacing w:val="-25"/>
        </w:rPr>
        <w:t> </w:t>
      </w:r>
      <w:r>
        <w:rPr/>
        <w:t>of</w:t>
      </w:r>
      <w:r>
        <w:rPr>
          <w:spacing w:val="-25"/>
        </w:rPr>
        <w:t> </w:t>
      </w:r>
      <w:r>
        <w:rPr/>
        <w:t>Clinical</w:t>
      </w:r>
      <w:r>
        <w:rPr>
          <w:spacing w:val="-25"/>
        </w:rPr>
        <w:t> </w:t>
      </w:r>
      <w:r>
        <w:rPr/>
        <w:t>Psychology</w:t>
      </w:r>
      <w:r>
        <w:rPr>
          <w:spacing w:val="-25"/>
        </w:rPr>
        <w:t> </w:t>
      </w:r>
      <w:r>
        <w:rPr/>
        <w:t>and</w:t>
      </w:r>
      <w:r>
        <w:rPr>
          <w:spacing w:val="-25"/>
        </w:rPr>
        <w:t> </w:t>
      </w:r>
      <w:r>
        <w:rPr/>
        <w:t>1714</w:t>
      </w:r>
      <w:r>
        <w:rPr>
          <w:spacing w:val="-25"/>
        </w:rPr>
        <w:t> </w:t>
      </w:r>
      <w:r>
        <w:rPr/>
        <w:t>Master of Professional Psychology) programs. Both EACs praised the quality of the School’s graduates, the work being done and the proposed initiatives. They also provided guidance for fine-tuning learning outcomes and</w:t>
      </w:r>
      <w:r>
        <w:rPr>
          <w:spacing w:val="-26"/>
        </w:rPr>
        <w:t> </w:t>
      </w:r>
      <w:r>
        <w:rPr/>
        <w:t>course</w:t>
      </w:r>
      <w:r>
        <w:rPr>
          <w:spacing w:val="-26"/>
        </w:rPr>
        <w:t> </w:t>
      </w:r>
      <w:r>
        <w:rPr/>
        <w:t>progression.</w:t>
      </w:r>
      <w:r>
        <w:rPr>
          <w:spacing w:val="-26"/>
        </w:rPr>
        <w:t> </w:t>
      </w:r>
      <w:r>
        <w:rPr/>
        <w:t>They</w:t>
      </w:r>
      <w:r>
        <w:rPr>
          <w:spacing w:val="-26"/>
        </w:rPr>
        <w:t> </w:t>
      </w:r>
      <w:r>
        <w:rPr/>
        <w:t>were</w:t>
      </w:r>
      <w:r>
        <w:rPr>
          <w:spacing w:val="-26"/>
        </w:rPr>
        <w:t> </w:t>
      </w:r>
      <w:r>
        <w:rPr/>
        <w:t>particularly impressed with the School’s efforts to retain first-year</w:t>
      </w:r>
      <w:r>
        <w:rPr>
          <w:spacing w:val="-22"/>
        </w:rPr>
        <w:t> </w:t>
      </w:r>
      <w:r>
        <w:rPr/>
        <w:t>students</w:t>
      </w:r>
      <w:r>
        <w:rPr>
          <w:spacing w:val="-22"/>
        </w:rPr>
        <w:t> </w:t>
      </w:r>
      <w:r>
        <w:rPr/>
        <w:t>and</w:t>
      </w:r>
      <w:r>
        <w:rPr>
          <w:spacing w:val="-22"/>
        </w:rPr>
        <w:t> </w:t>
      </w:r>
      <w:r>
        <w:rPr/>
        <w:t>suggested</w:t>
      </w:r>
      <w:r>
        <w:rPr>
          <w:spacing w:val="-22"/>
        </w:rPr>
        <w:t> </w:t>
      </w:r>
      <w:r>
        <w:rPr/>
        <w:t>this</w:t>
      </w:r>
      <w:r>
        <w:rPr>
          <w:spacing w:val="-22"/>
        </w:rPr>
        <w:t> </w:t>
      </w:r>
      <w:r>
        <w:rPr/>
        <w:t>success be</w:t>
      </w:r>
      <w:r>
        <w:rPr>
          <w:spacing w:val="-23"/>
        </w:rPr>
        <w:t> </w:t>
      </w:r>
      <w:r>
        <w:rPr/>
        <w:t>documented</w:t>
      </w:r>
      <w:r>
        <w:rPr>
          <w:spacing w:val="-23"/>
        </w:rPr>
        <w:t> </w:t>
      </w:r>
      <w:r>
        <w:rPr/>
        <w:t>and</w:t>
      </w:r>
      <w:r>
        <w:rPr>
          <w:spacing w:val="-23"/>
        </w:rPr>
        <w:t> </w:t>
      </w:r>
      <w:r>
        <w:rPr/>
        <w:t>published.</w:t>
      </w:r>
    </w:p>
    <w:p>
      <w:pPr>
        <w:pStyle w:val="BodyText"/>
        <w:rPr>
          <w:sz w:val="14"/>
        </w:rPr>
      </w:pPr>
    </w:p>
    <w:p>
      <w:pPr>
        <w:pStyle w:val="BodyText"/>
        <w:spacing w:line="249" w:lineRule="auto"/>
        <w:ind w:left="107" w:right="213"/>
      </w:pPr>
      <w:r>
        <w:rPr/>
        <w:t>Student retention from first to second year was</w:t>
      </w:r>
      <w:r>
        <w:rPr>
          <w:spacing w:val="-17"/>
        </w:rPr>
        <w:t> </w:t>
      </w:r>
      <w:r>
        <w:rPr/>
        <w:t>high</w:t>
      </w:r>
      <w:r>
        <w:rPr>
          <w:spacing w:val="-17"/>
        </w:rPr>
        <w:t> </w:t>
      </w:r>
      <w:r>
        <w:rPr/>
        <w:t>for</w:t>
      </w:r>
      <w:r>
        <w:rPr>
          <w:spacing w:val="-17"/>
        </w:rPr>
        <w:t> </w:t>
      </w:r>
      <w:r>
        <w:rPr/>
        <w:t>the</w:t>
      </w:r>
      <w:r>
        <w:rPr>
          <w:spacing w:val="-17"/>
        </w:rPr>
        <w:t> </w:t>
      </w:r>
      <w:r>
        <w:rPr/>
        <w:t>fourth</w:t>
      </w:r>
      <w:r>
        <w:rPr>
          <w:spacing w:val="-17"/>
        </w:rPr>
        <w:t> </w:t>
      </w:r>
      <w:r>
        <w:rPr/>
        <w:t>year</w:t>
      </w:r>
      <w:r>
        <w:rPr>
          <w:spacing w:val="-17"/>
        </w:rPr>
        <w:t> </w:t>
      </w:r>
      <w:r>
        <w:rPr/>
        <w:t>in</w:t>
      </w:r>
      <w:r>
        <w:rPr>
          <w:spacing w:val="-17"/>
        </w:rPr>
        <w:t> </w:t>
      </w:r>
      <w:r>
        <w:rPr/>
        <w:t>a</w:t>
      </w:r>
      <w:r>
        <w:rPr>
          <w:spacing w:val="-17"/>
        </w:rPr>
        <w:t> </w:t>
      </w:r>
      <w:r>
        <w:rPr/>
        <w:t>row,</w:t>
      </w:r>
      <w:r>
        <w:rPr>
          <w:spacing w:val="-17"/>
        </w:rPr>
        <w:t> </w:t>
      </w:r>
      <w:r>
        <w:rPr/>
        <w:t>at</w:t>
      </w:r>
      <w:r>
        <w:rPr>
          <w:spacing w:val="-17"/>
        </w:rPr>
        <w:t> </w:t>
      </w:r>
      <w:r>
        <w:rPr/>
        <w:t>80.0 </w:t>
      </w:r>
      <w:r>
        <w:rPr>
          <w:spacing w:val="1"/>
          <w:w w:val="97"/>
        </w:rPr>
        <w:t>per</w:t>
      </w:r>
      <w:r>
        <w:rPr>
          <w:w w:val="97"/>
        </w:rPr>
        <w:t> </w:t>
      </w:r>
      <w:r>
        <w:rPr>
          <w:w w:val="99"/>
        </w:rPr>
        <w:t>cent </w:t>
      </w:r>
      <w:r>
        <w:rPr>
          <w:w w:val="98"/>
        </w:rPr>
        <w:t>for </w:t>
      </w:r>
      <w:r>
        <w:rPr>
          <w:spacing w:val="1"/>
          <w:w w:val="83"/>
        </w:rPr>
        <w:t>2014–15,</w:t>
      </w:r>
      <w:r>
        <w:rPr>
          <w:w w:val="83"/>
        </w:rPr>
        <w:t> </w:t>
      </w:r>
      <w:r>
        <w:rPr>
          <w:spacing w:val="1"/>
          <w:w w:val="97"/>
        </w:rPr>
        <w:t>and</w:t>
      </w:r>
      <w:r>
        <w:rPr>
          <w:w w:val="97"/>
        </w:rPr>
        <w:t> </w:t>
      </w:r>
      <w:r>
        <w:rPr>
          <w:w w:val="97"/>
        </w:rPr>
        <w:t>overall </w:t>
      </w:r>
      <w:r>
        <w:rPr>
          <w:w w:val="97"/>
        </w:rPr>
        <w:t>retention </w:t>
      </w:r>
      <w:r>
        <w:rPr/>
        <w:t>remained steady at 79.4 per cent. The School</w:t>
      </w:r>
      <w:r>
        <w:rPr>
          <w:spacing w:val="-13"/>
        </w:rPr>
        <w:t> </w:t>
      </w:r>
      <w:r>
        <w:rPr/>
        <w:t>further</w:t>
      </w:r>
      <w:r>
        <w:rPr>
          <w:spacing w:val="-13"/>
        </w:rPr>
        <w:t> </w:t>
      </w:r>
      <w:r>
        <w:rPr>
          <w:spacing w:val="2"/>
        </w:rPr>
        <w:t>embedded</w:t>
      </w:r>
      <w:r>
        <w:rPr>
          <w:spacing w:val="-13"/>
        </w:rPr>
        <w:t> </w:t>
      </w:r>
      <w:r>
        <w:rPr/>
        <w:t>academic</w:t>
      </w:r>
      <w:r>
        <w:rPr>
          <w:spacing w:val="-13"/>
        </w:rPr>
        <w:t> </w:t>
      </w:r>
      <w:r>
        <w:rPr/>
        <w:t>literacy initiatives.</w:t>
      </w:r>
      <w:r>
        <w:rPr>
          <w:spacing w:val="-19"/>
        </w:rPr>
        <w:t> </w:t>
      </w:r>
      <w:r>
        <w:rPr/>
        <w:t>The</w:t>
      </w:r>
      <w:r>
        <w:rPr>
          <w:spacing w:val="-19"/>
        </w:rPr>
        <w:t> </w:t>
      </w:r>
      <w:r>
        <w:rPr/>
        <w:t>School</w:t>
      </w:r>
      <w:r>
        <w:rPr>
          <w:spacing w:val="-19"/>
        </w:rPr>
        <w:t> </w:t>
      </w:r>
      <w:r>
        <w:rPr/>
        <w:t>reviewed</w:t>
      </w:r>
      <w:r>
        <w:rPr>
          <w:spacing w:val="-19"/>
        </w:rPr>
        <w:t> </w:t>
      </w:r>
      <w:r>
        <w:rPr/>
        <w:t>its</w:t>
      </w:r>
      <w:r>
        <w:rPr>
          <w:spacing w:val="-19"/>
        </w:rPr>
        <w:t> </w:t>
      </w:r>
      <w:r>
        <w:rPr/>
        <w:t>Learning Guides,</w:t>
      </w:r>
      <w:r>
        <w:rPr>
          <w:spacing w:val="-14"/>
        </w:rPr>
        <w:t> </w:t>
      </w:r>
      <w:r>
        <w:rPr/>
        <w:t>creating</w:t>
      </w:r>
      <w:r>
        <w:rPr>
          <w:spacing w:val="-14"/>
        </w:rPr>
        <w:t> </w:t>
      </w:r>
      <w:r>
        <w:rPr/>
        <w:t>a</w:t>
      </w:r>
      <w:r>
        <w:rPr>
          <w:spacing w:val="-14"/>
        </w:rPr>
        <w:t> </w:t>
      </w:r>
      <w:r>
        <w:rPr/>
        <w:t>vUWS</w:t>
      </w:r>
      <w:r>
        <w:rPr>
          <w:spacing w:val="-14"/>
        </w:rPr>
        <w:t> </w:t>
      </w:r>
      <w:r>
        <w:rPr/>
        <w:t>site</w:t>
      </w:r>
      <w:r>
        <w:rPr>
          <w:spacing w:val="-14"/>
        </w:rPr>
        <w:t> </w:t>
      </w:r>
      <w:r>
        <w:rPr/>
        <w:t>dedicated</w:t>
      </w:r>
      <w:r>
        <w:rPr>
          <w:spacing w:val="-14"/>
        </w:rPr>
        <w:t> </w:t>
      </w:r>
      <w:r>
        <w:rPr/>
        <w:t>to</w:t>
      </w:r>
    </w:p>
    <w:p>
      <w:pPr>
        <w:pStyle w:val="BodyText"/>
        <w:spacing w:line="249" w:lineRule="auto"/>
        <w:ind w:left="107" w:right="34"/>
      </w:pPr>
      <w:r>
        <w:rPr/>
        <w:t>academic literacy support, and held academic literacy workshops at our three campuses.</w:t>
      </w:r>
    </w:p>
    <w:p>
      <w:pPr>
        <w:pStyle w:val="BodyText"/>
        <w:spacing w:line="249" w:lineRule="auto"/>
        <w:ind w:left="107" w:right="294"/>
      </w:pPr>
      <w:r>
        <w:rPr/>
        <w:t>In addition, the School ran an embedded literacy pilot program for four first-year units, trialling customised innovations, and ran casual tutor professional development</w:t>
      </w:r>
    </w:p>
    <w:p>
      <w:pPr>
        <w:pStyle w:val="BodyText"/>
        <w:spacing w:line="249" w:lineRule="auto"/>
        <w:ind w:left="107" w:right="116"/>
      </w:pPr>
      <w:r>
        <w:rPr/>
        <w:t>sessions and custom-designed workshops for units and programs. For example, the School ran</w:t>
      </w:r>
      <w:r>
        <w:rPr>
          <w:spacing w:val="-17"/>
        </w:rPr>
        <w:t> </w:t>
      </w:r>
      <w:r>
        <w:rPr/>
        <w:t>a</w:t>
      </w:r>
      <w:r>
        <w:rPr>
          <w:spacing w:val="-17"/>
        </w:rPr>
        <w:t> </w:t>
      </w:r>
      <w:r>
        <w:rPr/>
        <w:t>program</w:t>
      </w:r>
      <w:r>
        <w:rPr>
          <w:spacing w:val="-17"/>
        </w:rPr>
        <w:t> </w:t>
      </w:r>
      <w:r>
        <w:rPr/>
        <w:t>for</w:t>
      </w:r>
      <w:r>
        <w:rPr>
          <w:spacing w:val="-17"/>
        </w:rPr>
        <w:t> </w:t>
      </w:r>
      <w:r>
        <w:rPr/>
        <w:t>international</w:t>
      </w:r>
      <w:r>
        <w:rPr>
          <w:spacing w:val="-17"/>
        </w:rPr>
        <w:t> </w:t>
      </w:r>
      <w:r>
        <w:rPr/>
        <w:t>students</w:t>
      </w:r>
      <w:r>
        <w:rPr>
          <w:spacing w:val="-17"/>
        </w:rPr>
        <w:t> </w:t>
      </w:r>
      <w:r>
        <w:rPr/>
        <w:t>in</w:t>
      </w:r>
      <w:r>
        <w:rPr>
          <w:spacing w:val="-17"/>
        </w:rPr>
        <w:t> </w:t>
      </w:r>
      <w:r>
        <w:rPr/>
        <w:t>the Master</w:t>
      </w:r>
      <w:r>
        <w:rPr>
          <w:spacing w:val="-19"/>
        </w:rPr>
        <w:t> </w:t>
      </w:r>
      <w:r>
        <w:rPr/>
        <w:t>of</w:t>
      </w:r>
      <w:r>
        <w:rPr>
          <w:spacing w:val="-19"/>
        </w:rPr>
        <w:t> </w:t>
      </w:r>
      <w:r>
        <w:rPr/>
        <w:t>Social</w:t>
      </w:r>
      <w:r>
        <w:rPr>
          <w:spacing w:val="-19"/>
        </w:rPr>
        <w:t> </w:t>
      </w:r>
      <w:r>
        <w:rPr/>
        <w:t>Sciences.</w:t>
      </w:r>
    </w:p>
    <w:p>
      <w:pPr>
        <w:pStyle w:val="BodyText"/>
        <w:rPr>
          <w:sz w:val="14"/>
        </w:rPr>
      </w:pPr>
    </w:p>
    <w:p>
      <w:pPr>
        <w:pStyle w:val="BodyText"/>
        <w:spacing w:line="249" w:lineRule="auto"/>
        <w:ind w:left="107" w:right="42"/>
      </w:pPr>
      <w:r>
        <w:rPr/>
        <w:t>Dr Michel Edenborough, Ms Alison Hine and Ms Leigh Bambury were nominated for a </w:t>
      </w:r>
      <w:r>
        <w:rPr>
          <w:w w:val="98"/>
        </w:rPr>
        <w:t>Western </w:t>
      </w:r>
      <w:r>
        <w:rPr>
          <w:w w:val="99"/>
        </w:rPr>
        <w:t>Sydney </w:t>
      </w:r>
      <w:r>
        <w:rPr>
          <w:w w:val="97"/>
        </w:rPr>
        <w:t>University </w:t>
      </w:r>
      <w:r>
        <w:rPr>
          <w:w w:val="88"/>
        </w:rPr>
        <w:t>2015 </w:t>
      </w:r>
      <w:r>
        <w:rPr>
          <w:w w:val="98"/>
        </w:rPr>
        <w:t>Citation </w:t>
      </w:r>
      <w:r>
        <w:rPr>
          <w:w w:val="98"/>
        </w:rPr>
        <w:t>for </w:t>
      </w:r>
      <w:r>
        <w:rPr/>
        <w:t>Outstanding Contribution to Student Learning for their roles in the multi-disciplinary Student Transition, Retention and Success (STaRS) team. The awards panel recognised the success of the STaRS project and commended the team on supporting first-year students to succeed and stay at university.</w:t>
      </w:r>
    </w:p>
    <w:p>
      <w:pPr>
        <w:pStyle w:val="BodyText"/>
        <w:rPr>
          <w:sz w:val="14"/>
        </w:rPr>
      </w:pPr>
    </w:p>
    <w:p>
      <w:pPr>
        <w:pStyle w:val="BodyText"/>
        <w:spacing w:line="249" w:lineRule="auto"/>
        <w:ind w:left="107" w:right="135"/>
      </w:pPr>
      <w:r>
        <w:rPr/>
        <w:t>Higher-degree research and the pathway to research</w:t>
      </w:r>
      <w:r>
        <w:rPr>
          <w:spacing w:val="-24"/>
        </w:rPr>
        <w:t> </w:t>
      </w:r>
      <w:r>
        <w:rPr/>
        <w:t>are</w:t>
      </w:r>
      <w:r>
        <w:rPr>
          <w:spacing w:val="-24"/>
        </w:rPr>
        <w:t> </w:t>
      </w:r>
      <w:r>
        <w:rPr/>
        <w:t>at</w:t>
      </w:r>
      <w:r>
        <w:rPr>
          <w:spacing w:val="-24"/>
        </w:rPr>
        <w:t> </w:t>
      </w:r>
      <w:r>
        <w:rPr/>
        <w:t>the</w:t>
      </w:r>
      <w:r>
        <w:rPr>
          <w:spacing w:val="-24"/>
        </w:rPr>
        <w:t> </w:t>
      </w:r>
      <w:r>
        <w:rPr/>
        <w:t>centre</w:t>
      </w:r>
      <w:r>
        <w:rPr>
          <w:spacing w:val="-24"/>
        </w:rPr>
        <w:t> </w:t>
      </w:r>
      <w:r>
        <w:rPr/>
        <w:t>of</w:t>
      </w:r>
      <w:r>
        <w:rPr>
          <w:spacing w:val="-24"/>
        </w:rPr>
        <w:t> </w:t>
      </w:r>
      <w:r>
        <w:rPr/>
        <w:t>curriculum</w:t>
      </w:r>
      <w:r>
        <w:rPr>
          <w:spacing w:val="-24"/>
        </w:rPr>
        <w:t> </w:t>
      </w:r>
      <w:r>
        <w:rPr/>
        <w:t>design and the student experience. The School’s postgraduate courses all emphasise research training and ensure candidates are highly competitive</w:t>
      </w:r>
      <w:r>
        <w:rPr>
          <w:spacing w:val="-22"/>
        </w:rPr>
        <w:t> </w:t>
      </w:r>
      <w:r>
        <w:rPr/>
        <w:t>for</w:t>
      </w:r>
      <w:r>
        <w:rPr>
          <w:spacing w:val="-22"/>
        </w:rPr>
        <w:t> </w:t>
      </w:r>
      <w:r>
        <w:rPr/>
        <w:t>global</w:t>
      </w:r>
      <w:r>
        <w:rPr>
          <w:spacing w:val="-22"/>
        </w:rPr>
        <w:t> </w:t>
      </w:r>
      <w:r>
        <w:rPr/>
        <w:t>careers.</w:t>
      </w:r>
      <w:r>
        <w:rPr>
          <w:spacing w:val="-22"/>
        </w:rPr>
        <w:t> </w:t>
      </w:r>
      <w:r>
        <w:rPr/>
        <w:t>The</w:t>
      </w:r>
      <w:r>
        <w:rPr>
          <w:spacing w:val="-22"/>
        </w:rPr>
        <w:t> </w:t>
      </w:r>
      <w:r>
        <w:rPr/>
        <w:t>School</w:t>
      </w:r>
      <w:r>
        <w:rPr>
          <w:spacing w:val="-22"/>
        </w:rPr>
        <w:t> </w:t>
      </w:r>
      <w:r>
        <w:rPr/>
        <w:t>has </w:t>
      </w:r>
      <w:r>
        <w:rPr>
          <w:w w:val="94"/>
        </w:rPr>
        <w:t>a </w:t>
      </w:r>
      <w:r>
        <w:rPr>
          <w:w w:val="96"/>
        </w:rPr>
        <w:t>large </w:t>
      </w:r>
      <w:r>
        <w:rPr>
          <w:spacing w:val="1"/>
          <w:w w:val="99"/>
        </w:rPr>
        <w:t>cohort</w:t>
      </w:r>
      <w:r>
        <w:rPr>
          <w:w w:val="99"/>
        </w:rPr>
        <w:t> </w:t>
      </w:r>
      <w:r>
        <w:rPr>
          <w:spacing w:val="-1"/>
          <w:w w:val="99"/>
        </w:rPr>
        <w:t>of</w:t>
      </w:r>
      <w:r>
        <w:rPr>
          <w:w w:val="99"/>
        </w:rPr>
        <w:t> </w:t>
      </w:r>
      <w:r>
        <w:rPr>
          <w:spacing w:val="1"/>
          <w:w w:val="99"/>
        </w:rPr>
        <w:t>PhD</w:t>
      </w:r>
      <w:r>
        <w:rPr>
          <w:w w:val="99"/>
        </w:rPr>
        <w:t> </w:t>
      </w:r>
      <w:r>
        <w:rPr>
          <w:w w:val="97"/>
        </w:rPr>
        <w:t>students </w:t>
      </w:r>
      <w:r>
        <w:rPr>
          <w:spacing w:val="-2"/>
          <w:w w:val="98"/>
        </w:rPr>
        <w:t>(about</w:t>
      </w:r>
      <w:r>
        <w:rPr>
          <w:w w:val="98"/>
        </w:rPr>
        <w:t> </w:t>
      </w:r>
      <w:r>
        <w:rPr>
          <w:w w:val="93"/>
        </w:rPr>
        <w:t>100) </w:t>
      </w:r>
      <w:r>
        <w:rPr/>
        <w:t>and aims to increase the number of research candidates.</w:t>
      </w:r>
      <w:r>
        <w:rPr>
          <w:spacing w:val="-29"/>
        </w:rPr>
        <w:t> </w:t>
      </w:r>
      <w:r>
        <w:rPr/>
        <w:t>The</w:t>
      </w:r>
      <w:r>
        <w:rPr>
          <w:spacing w:val="-29"/>
        </w:rPr>
        <w:t> </w:t>
      </w:r>
      <w:r>
        <w:rPr/>
        <w:t>School</w:t>
      </w:r>
      <w:r>
        <w:rPr>
          <w:spacing w:val="-29"/>
        </w:rPr>
        <w:t> </w:t>
      </w:r>
      <w:r>
        <w:rPr/>
        <w:t>wants</w:t>
      </w:r>
      <w:r>
        <w:rPr>
          <w:spacing w:val="-29"/>
        </w:rPr>
        <w:t> </w:t>
      </w:r>
      <w:r>
        <w:rPr/>
        <w:t>research</w:t>
      </w:r>
    </w:p>
    <w:p>
      <w:pPr>
        <w:pStyle w:val="BodyText"/>
        <w:spacing w:line="249" w:lineRule="auto"/>
        <w:ind w:left="107" w:right="268"/>
      </w:pPr>
      <w:r>
        <w:rPr/>
        <w:t>results</w:t>
      </w:r>
      <w:r>
        <w:rPr>
          <w:spacing w:val="-23"/>
        </w:rPr>
        <w:t> </w:t>
      </w:r>
      <w:r>
        <w:rPr/>
        <w:t>that</w:t>
      </w:r>
      <w:r>
        <w:rPr>
          <w:spacing w:val="-23"/>
        </w:rPr>
        <w:t> </w:t>
      </w:r>
      <w:r>
        <w:rPr/>
        <w:t>have</w:t>
      </w:r>
      <w:r>
        <w:rPr>
          <w:spacing w:val="-23"/>
        </w:rPr>
        <w:t> </w:t>
      </w:r>
      <w:r>
        <w:rPr/>
        <w:t>an</w:t>
      </w:r>
      <w:r>
        <w:rPr>
          <w:spacing w:val="-23"/>
        </w:rPr>
        <w:t> </w:t>
      </w:r>
      <w:r>
        <w:rPr/>
        <w:t>effect</w:t>
      </w:r>
      <w:r>
        <w:rPr>
          <w:spacing w:val="-23"/>
        </w:rPr>
        <w:t> </w:t>
      </w:r>
      <w:r>
        <w:rPr/>
        <w:t>locally,</w:t>
      </w:r>
      <w:r>
        <w:rPr>
          <w:spacing w:val="-23"/>
        </w:rPr>
        <w:t> </w:t>
      </w:r>
      <w:r>
        <w:rPr/>
        <w:t>nationally and</w:t>
      </w:r>
      <w:r>
        <w:rPr>
          <w:spacing w:val="-31"/>
        </w:rPr>
        <w:t> </w:t>
      </w:r>
      <w:r>
        <w:rPr/>
        <w:t>internationally,</w:t>
      </w:r>
      <w:r>
        <w:rPr>
          <w:spacing w:val="-31"/>
        </w:rPr>
        <w:t> </w:t>
      </w:r>
      <w:r>
        <w:rPr/>
        <w:t>that</w:t>
      </w:r>
      <w:r>
        <w:rPr>
          <w:spacing w:val="-31"/>
        </w:rPr>
        <w:t> </w:t>
      </w:r>
      <w:r>
        <w:rPr/>
        <w:t>challenge</w:t>
      </w:r>
      <w:r>
        <w:rPr>
          <w:spacing w:val="-31"/>
        </w:rPr>
        <w:t> </w:t>
      </w:r>
      <w:r>
        <w:rPr/>
        <w:t>traditional frontiers</w:t>
      </w:r>
      <w:r>
        <w:rPr>
          <w:spacing w:val="-25"/>
        </w:rPr>
        <w:t> </w:t>
      </w:r>
      <w:r>
        <w:rPr/>
        <w:t>and</w:t>
      </w:r>
      <w:r>
        <w:rPr>
          <w:spacing w:val="-25"/>
        </w:rPr>
        <w:t> </w:t>
      </w:r>
      <w:r>
        <w:rPr/>
        <w:t>that</w:t>
      </w:r>
      <w:r>
        <w:rPr>
          <w:spacing w:val="-25"/>
        </w:rPr>
        <w:t> </w:t>
      </w:r>
      <w:r>
        <w:rPr/>
        <w:t>are</w:t>
      </w:r>
      <w:r>
        <w:rPr>
          <w:spacing w:val="-25"/>
        </w:rPr>
        <w:t> </w:t>
      </w:r>
      <w:r>
        <w:rPr/>
        <w:t>felt</w:t>
      </w:r>
      <w:r>
        <w:rPr>
          <w:spacing w:val="-25"/>
        </w:rPr>
        <w:t> </w:t>
      </w:r>
      <w:r>
        <w:rPr/>
        <w:t>within</w:t>
      </w:r>
      <w:r>
        <w:rPr>
          <w:spacing w:val="-25"/>
        </w:rPr>
        <w:t> </w:t>
      </w:r>
      <w:r>
        <w:rPr/>
        <w:t>the</w:t>
      </w:r>
      <w:r>
        <w:rPr>
          <w:spacing w:val="-25"/>
        </w:rPr>
        <w:t> </w:t>
      </w:r>
      <w:r>
        <w:rPr/>
        <w:t>industry.</w:t>
      </w:r>
    </w:p>
    <w:p>
      <w:pPr>
        <w:pStyle w:val="BodyText"/>
        <w:rPr>
          <w:sz w:val="14"/>
        </w:rPr>
      </w:pPr>
    </w:p>
    <w:p>
      <w:pPr>
        <w:pStyle w:val="BodyText"/>
        <w:spacing w:line="249" w:lineRule="auto"/>
        <w:ind w:left="107" w:right="220"/>
      </w:pPr>
      <w:r>
        <w:rPr/>
        <w:t>The School is also maintaining its focus on alternative entry pathways for students and</w:t>
      </w:r>
    </w:p>
    <w:p>
      <w:pPr>
        <w:spacing w:after="0" w:line="249" w:lineRule="auto"/>
        <w:sectPr>
          <w:type w:val="continuous"/>
          <w:pgSz w:w="11910" w:h="16840"/>
          <w:pgMar w:top="1580" w:bottom="280" w:left="800" w:right="800"/>
          <w:cols w:num="3" w:equalWidth="0">
            <w:col w:w="3273" w:space="166"/>
            <w:col w:w="3317" w:space="122"/>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1"/>
      </w:pPr>
      <w:r>
        <w:rPr>
          <w:w w:val="97"/>
        </w:rPr>
        <w:t>the </w:t>
      </w:r>
      <w:r>
        <w:rPr>
          <w:w w:val="88"/>
        </w:rPr>
        <w:t>2015 </w:t>
      </w:r>
      <w:r>
        <w:rPr>
          <w:w w:val="97"/>
        </w:rPr>
        <w:t>expansion </w:t>
      </w:r>
      <w:r>
        <w:rPr>
          <w:w w:val="99"/>
        </w:rPr>
        <w:t>of </w:t>
      </w:r>
      <w:r>
        <w:rPr>
          <w:w w:val="97"/>
        </w:rPr>
        <w:t>the </w:t>
      </w:r>
      <w:r>
        <w:rPr>
          <w:w w:val="99"/>
        </w:rPr>
        <w:t>HSC </w:t>
      </w:r>
      <w:r>
        <w:rPr>
          <w:w w:val="98"/>
        </w:rPr>
        <w:t>Geography </w:t>
      </w:r>
      <w:r>
        <w:rPr/>
        <w:t>Enrichment day to include Society and </w:t>
      </w:r>
      <w:r>
        <w:rPr>
          <w:w w:val="97"/>
        </w:rPr>
        <w:t>Culture </w:t>
      </w:r>
      <w:r>
        <w:rPr>
          <w:w w:val="98"/>
        </w:rPr>
        <w:t>reflected </w:t>
      </w:r>
      <w:r>
        <w:rPr>
          <w:w w:val="97"/>
        </w:rPr>
        <w:t>this </w:t>
      </w:r>
      <w:r>
        <w:rPr>
          <w:w w:val="92"/>
        </w:rPr>
        <w:t>goal. </w:t>
      </w:r>
      <w:r>
        <w:rPr>
          <w:w w:val="102"/>
        </w:rPr>
        <w:t>About </w:t>
      </w:r>
      <w:r>
        <w:rPr>
          <w:w w:val="85"/>
        </w:rPr>
        <w:t>170 </w:t>
      </w:r>
      <w:r>
        <w:rPr>
          <w:w w:val="101"/>
        </w:rPr>
        <w:t>NSW </w:t>
      </w:r>
      <w:r>
        <w:rPr/>
        <w:t>high school students attended, and 66 were </w:t>
      </w:r>
      <w:r>
        <w:rPr>
          <w:w w:val="98"/>
        </w:rPr>
        <w:t>offered </w:t>
      </w:r>
      <w:r>
        <w:rPr>
          <w:w w:val="97"/>
        </w:rPr>
        <w:t>places </w:t>
      </w:r>
      <w:r>
        <w:rPr>
          <w:w w:val="98"/>
        </w:rPr>
        <w:t>for </w:t>
      </w:r>
      <w:r>
        <w:rPr>
          <w:w w:val="90"/>
        </w:rPr>
        <w:t>2016 </w:t>
      </w:r>
      <w:r>
        <w:rPr>
          <w:w w:val="97"/>
        </w:rPr>
        <w:t>after </w:t>
      </w:r>
      <w:r>
        <w:rPr>
          <w:w w:val="97"/>
        </w:rPr>
        <w:t>successful </w:t>
      </w:r>
      <w:r>
        <w:rPr>
          <w:w w:val="96"/>
        </w:rPr>
        <w:t>results </w:t>
      </w:r>
      <w:r>
        <w:rPr/>
        <w:t>in an exam taken on the day. The School is </w:t>
      </w:r>
      <w:r>
        <w:rPr>
          <w:w w:val="97"/>
        </w:rPr>
        <w:t>considering </w:t>
      </w:r>
      <w:r>
        <w:rPr>
          <w:w w:val="97"/>
        </w:rPr>
        <w:t>further </w:t>
      </w:r>
      <w:r>
        <w:rPr>
          <w:w w:val="95"/>
        </w:rPr>
        <w:t>subject </w:t>
      </w:r>
      <w:r>
        <w:rPr>
          <w:w w:val="95"/>
        </w:rPr>
        <w:t>areas </w:t>
      </w:r>
      <w:r>
        <w:rPr>
          <w:w w:val="98"/>
        </w:rPr>
        <w:t>for </w:t>
      </w:r>
      <w:r>
        <w:rPr>
          <w:w w:val="85"/>
        </w:rPr>
        <w:t>2016.</w:t>
      </w:r>
    </w:p>
    <w:p>
      <w:pPr>
        <w:pStyle w:val="BodyText"/>
        <w:spacing w:before="7"/>
        <w:rPr>
          <w:sz w:val="21"/>
        </w:rPr>
      </w:pPr>
    </w:p>
    <w:p>
      <w:pPr>
        <w:pStyle w:val="Heading8"/>
        <w:ind w:right="54"/>
      </w:pPr>
      <w:r>
        <w:rPr>
          <w:w w:val="95"/>
        </w:rPr>
        <w:t>INTERNATIONAL  AND ENGAGEMENT</w:t>
      </w:r>
    </w:p>
    <w:p>
      <w:pPr>
        <w:pStyle w:val="BodyText"/>
        <w:spacing w:line="249" w:lineRule="auto" w:before="86"/>
        <w:ind w:left="107" w:right="82"/>
      </w:pPr>
      <w:r>
        <w:rPr/>
        <w:t>Existing</w:t>
      </w:r>
      <w:r>
        <w:rPr>
          <w:spacing w:val="-29"/>
        </w:rPr>
        <w:t> </w:t>
      </w:r>
      <w:r>
        <w:rPr/>
        <w:t>School</w:t>
      </w:r>
      <w:r>
        <w:rPr>
          <w:spacing w:val="-29"/>
        </w:rPr>
        <w:t> </w:t>
      </w:r>
      <w:r>
        <w:rPr/>
        <w:t>programs</w:t>
      </w:r>
      <w:r>
        <w:rPr>
          <w:spacing w:val="-29"/>
        </w:rPr>
        <w:t> </w:t>
      </w:r>
      <w:r>
        <w:rPr/>
        <w:t>continue</w:t>
      </w:r>
      <w:r>
        <w:rPr>
          <w:spacing w:val="-29"/>
        </w:rPr>
        <w:t> </w:t>
      </w:r>
      <w:r>
        <w:rPr>
          <w:spacing w:val="-3"/>
        </w:rPr>
        <w:t>to</w:t>
      </w:r>
      <w:r>
        <w:rPr>
          <w:spacing w:val="-29"/>
        </w:rPr>
        <w:t> </w:t>
      </w:r>
      <w:r>
        <w:rPr/>
        <w:t>make</w:t>
      </w:r>
      <w:r>
        <w:rPr>
          <w:spacing w:val="-29"/>
        </w:rPr>
        <w:t> </w:t>
      </w:r>
      <w:r>
        <w:rPr/>
        <w:t>a unique</w:t>
      </w:r>
      <w:r>
        <w:rPr>
          <w:spacing w:val="-29"/>
        </w:rPr>
        <w:t> </w:t>
      </w:r>
      <w:r>
        <w:rPr>
          <w:spacing w:val="-2"/>
        </w:rPr>
        <w:t>contribution</w:t>
      </w:r>
      <w:r>
        <w:rPr>
          <w:spacing w:val="-29"/>
        </w:rPr>
        <w:t> </w:t>
      </w:r>
      <w:r>
        <w:rPr>
          <w:spacing w:val="-3"/>
        </w:rPr>
        <w:t>to</w:t>
      </w:r>
      <w:r>
        <w:rPr>
          <w:spacing w:val="-29"/>
        </w:rPr>
        <w:t> </w:t>
      </w:r>
      <w:r>
        <w:rPr/>
        <w:t>the</w:t>
      </w:r>
      <w:r>
        <w:rPr>
          <w:spacing w:val="-29"/>
        </w:rPr>
        <w:t> </w:t>
      </w:r>
      <w:r>
        <w:rPr/>
        <w:t>skills</w:t>
      </w:r>
      <w:r>
        <w:rPr>
          <w:spacing w:val="-29"/>
        </w:rPr>
        <w:t> </w:t>
      </w:r>
      <w:r>
        <w:rPr/>
        <w:t>set</w:t>
      </w:r>
      <w:r>
        <w:rPr>
          <w:spacing w:val="-29"/>
        </w:rPr>
        <w:t> </w:t>
      </w:r>
      <w:r>
        <w:rPr/>
        <w:t>of</w:t>
      </w:r>
      <w:r>
        <w:rPr>
          <w:spacing w:val="-29"/>
        </w:rPr>
        <w:t> </w:t>
      </w:r>
      <w:r>
        <w:rPr/>
        <w:t>Greater Western </w:t>
      </w:r>
      <w:r>
        <w:rPr>
          <w:spacing w:val="-4"/>
        </w:rPr>
        <w:t>Sydney </w:t>
      </w:r>
      <w:r>
        <w:rPr/>
        <w:t>and </w:t>
      </w:r>
      <w:r>
        <w:rPr>
          <w:spacing w:val="-3"/>
        </w:rPr>
        <w:t>NSW, </w:t>
      </w:r>
      <w:r>
        <w:rPr/>
        <w:t>especially in the helping</w:t>
      </w:r>
      <w:r>
        <w:rPr>
          <w:spacing w:val="-36"/>
        </w:rPr>
        <w:t> </w:t>
      </w:r>
      <w:r>
        <w:rPr/>
        <w:t>professions.</w:t>
      </w:r>
      <w:r>
        <w:rPr>
          <w:spacing w:val="-36"/>
        </w:rPr>
        <w:t> </w:t>
      </w:r>
      <w:r>
        <w:rPr/>
        <w:t>These</w:t>
      </w:r>
      <w:r>
        <w:rPr>
          <w:spacing w:val="-36"/>
        </w:rPr>
        <w:t> </w:t>
      </w:r>
      <w:r>
        <w:rPr/>
        <w:t>include</w:t>
      </w:r>
      <w:r>
        <w:rPr>
          <w:spacing w:val="-36"/>
        </w:rPr>
        <w:t> </w:t>
      </w:r>
      <w:r>
        <w:rPr/>
        <w:t>the</w:t>
      </w:r>
      <w:r>
        <w:rPr>
          <w:spacing w:val="-36"/>
        </w:rPr>
        <w:t> </w:t>
      </w:r>
      <w:r>
        <w:rPr/>
        <w:t>Master of Art </w:t>
      </w:r>
      <w:r>
        <w:rPr>
          <w:spacing w:val="-3"/>
        </w:rPr>
        <w:t>Therapy, </w:t>
      </w:r>
      <w:r>
        <w:rPr/>
        <w:t>the Graduate Diploma in Counselling,</w:t>
      </w:r>
      <w:r>
        <w:rPr>
          <w:spacing w:val="-34"/>
        </w:rPr>
        <w:t> </w:t>
      </w:r>
      <w:r>
        <w:rPr/>
        <w:t>the</w:t>
      </w:r>
      <w:r>
        <w:rPr>
          <w:spacing w:val="-34"/>
        </w:rPr>
        <w:t> </w:t>
      </w:r>
      <w:r>
        <w:rPr/>
        <w:t>Master</w:t>
      </w:r>
      <w:r>
        <w:rPr>
          <w:spacing w:val="-34"/>
        </w:rPr>
        <w:t> </w:t>
      </w:r>
      <w:r>
        <w:rPr/>
        <w:t>of</w:t>
      </w:r>
      <w:r>
        <w:rPr>
          <w:spacing w:val="-34"/>
        </w:rPr>
        <w:t> </w:t>
      </w:r>
      <w:r>
        <w:rPr/>
        <w:t>Clinical</w:t>
      </w:r>
      <w:r>
        <w:rPr>
          <w:spacing w:val="-34"/>
        </w:rPr>
        <w:t> </w:t>
      </w:r>
      <w:r>
        <w:rPr/>
        <w:t>Psychology and the Master of Urban Management and </w:t>
      </w:r>
      <w:r>
        <w:rPr>
          <w:w w:val="95"/>
        </w:rPr>
        <w:t>Planning.</w:t>
      </w:r>
      <w:r>
        <w:rPr>
          <w:spacing w:val="-15"/>
          <w:w w:val="95"/>
        </w:rPr>
        <w:t> </w:t>
      </w:r>
      <w:r>
        <w:rPr>
          <w:w w:val="95"/>
        </w:rPr>
        <w:t>These</w:t>
      </w:r>
      <w:r>
        <w:rPr>
          <w:spacing w:val="-15"/>
          <w:w w:val="95"/>
        </w:rPr>
        <w:t> </w:t>
      </w:r>
      <w:r>
        <w:rPr>
          <w:w w:val="95"/>
        </w:rPr>
        <w:t>programs</w:t>
      </w:r>
      <w:r>
        <w:rPr>
          <w:spacing w:val="-15"/>
          <w:w w:val="95"/>
        </w:rPr>
        <w:t> </w:t>
      </w:r>
      <w:r>
        <w:rPr>
          <w:spacing w:val="-3"/>
          <w:w w:val="95"/>
        </w:rPr>
        <w:t>have</w:t>
      </w:r>
      <w:r>
        <w:rPr>
          <w:spacing w:val="-15"/>
          <w:w w:val="95"/>
        </w:rPr>
        <w:t> </w:t>
      </w:r>
      <w:r>
        <w:rPr>
          <w:w w:val="95"/>
        </w:rPr>
        <w:t>strong</w:t>
      </w:r>
      <w:r>
        <w:rPr>
          <w:spacing w:val="-15"/>
          <w:w w:val="95"/>
        </w:rPr>
        <w:t> </w:t>
      </w:r>
      <w:r>
        <w:rPr>
          <w:w w:val="95"/>
        </w:rPr>
        <w:t>regional </w:t>
      </w:r>
      <w:r>
        <w:rPr/>
        <w:t>engagement through </w:t>
      </w:r>
      <w:r>
        <w:rPr>
          <w:spacing w:val="-3"/>
        </w:rPr>
        <w:t>initiatives </w:t>
      </w:r>
      <w:r>
        <w:rPr/>
        <w:t>such as student</w:t>
      </w:r>
      <w:r>
        <w:rPr>
          <w:spacing w:val="-39"/>
        </w:rPr>
        <w:t> </w:t>
      </w:r>
      <w:r>
        <w:rPr/>
        <w:t>placements</w:t>
      </w:r>
      <w:r>
        <w:rPr>
          <w:spacing w:val="-39"/>
        </w:rPr>
        <w:t> </w:t>
      </w:r>
      <w:r>
        <w:rPr/>
        <w:t>and</w:t>
      </w:r>
      <w:r>
        <w:rPr>
          <w:spacing w:val="-39"/>
        </w:rPr>
        <w:t> </w:t>
      </w:r>
      <w:r>
        <w:rPr/>
        <w:t>make</w:t>
      </w:r>
      <w:r>
        <w:rPr>
          <w:spacing w:val="-39"/>
        </w:rPr>
        <w:t> </w:t>
      </w:r>
      <w:r>
        <w:rPr/>
        <w:t>a</w:t>
      </w:r>
      <w:r>
        <w:rPr>
          <w:spacing w:val="-39"/>
        </w:rPr>
        <w:t> </w:t>
      </w:r>
      <w:r>
        <w:rPr/>
        <w:t>commendable </w:t>
      </w:r>
      <w:r>
        <w:rPr>
          <w:spacing w:val="-2"/>
        </w:rPr>
        <w:t>contribution</w:t>
      </w:r>
      <w:r>
        <w:rPr>
          <w:spacing w:val="-31"/>
        </w:rPr>
        <w:t> </w:t>
      </w:r>
      <w:r>
        <w:rPr>
          <w:spacing w:val="-3"/>
        </w:rPr>
        <w:t>to</w:t>
      </w:r>
      <w:r>
        <w:rPr>
          <w:spacing w:val="-31"/>
        </w:rPr>
        <w:t> </w:t>
      </w:r>
      <w:r>
        <w:rPr/>
        <w:t>the</w:t>
      </w:r>
      <w:r>
        <w:rPr>
          <w:spacing w:val="-31"/>
        </w:rPr>
        <w:t> </w:t>
      </w:r>
      <w:r>
        <w:rPr/>
        <w:t>public</w:t>
      </w:r>
      <w:r>
        <w:rPr>
          <w:spacing w:val="-31"/>
        </w:rPr>
        <w:t> </w:t>
      </w:r>
      <w:r>
        <w:rPr/>
        <w:t>good.</w:t>
      </w:r>
      <w:r>
        <w:rPr>
          <w:spacing w:val="-31"/>
        </w:rPr>
        <w:t> </w:t>
      </w:r>
      <w:r>
        <w:rPr/>
        <w:t>The</w:t>
      </w:r>
      <w:r>
        <w:rPr>
          <w:spacing w:val="-31"/>
        </w:rPr>
        <w:t> </w:t>
      </w:r>
      <w:r>
        <w:rPr/>
        <w:t>School</w:t>
      </w:r>
    </w:p>
    <w:p>
      <w:pPr>
        <w:pStyle w:val="BodyText"/>
        <w:spacing w:line="249" w:lineRule="auto"/>
        <w:ind w:left="107" w:right="-11"/>
      </w:pPr>
      <w:r>
        <w:rPr/>
        <w:t>continued</w:t>
      </w:r>
      <w:r>
        <w:rPr>
          <w:spacing w:val="-38"/>
        </w:rPr>
        <w:t> </w:t>
      </w:r>
      <w:r>
        <w:rPr/>
        <w:t>participating</w:t>
      </w:r>
      <w:r>
        <w:rPr>
          <w:spacing w:val="-38"/>
        </w:rPr>
        <w:t> </w:t>
      </w:r>
      <w:r>
        <w:rPr/>
        <w:t>in</w:t>
      </w:r>
      <w:r>
        <w:rPr>
          <w:spacing w:val="-38"/>
        </w:rPr>
        <w:t> </w:t>
      </w:r>
      <w:r>
        <w:rPr/>
        <w:t>the</w:t>
      </w:r>
      <w:r>
        <w:rPr>
          <w:spacing w:val="-38"/>
        </w:rPr>
        <w:t> </w:t>
      </w:r>
      <w:r>
        <w:rPr/>
        <w:t>offsite</w:t>
      </w:r>
      <w:r>
        <w:rPr>
          <w:spacing w:val="-38"/>
        </w:rPr>
        <w:t> </w:t>
      </w:r>
      <w:r>
        <w:rPr/>
        <w:t>Psychology Clinic in partnership </w:t>
      </w:r>
      <w:r>
        <w:rPr>
          <w:spacing w:val="-3"/>
        </w:rPr>
        <w:t>with </w:t>
      </w:r>
      <w:r>
        <w:rPr/>
        <w:t>Lifeline Narellan in </w:t>
      </w:r>
      <w:r>
        <w:rPr>
          <w:spacing w:val="-1"/>
          <w:w w:val="84"/>
        </w:rPr>
        <w:t>2015,</w:t>
      </w:r>
      <w:r>
        <w:rPr>
          <w:w w:val="84"/>
        </w:rPr>
        <w:t> </w:t>
      </w:r>
      <w:r>
        <w:rPr>
          <w:spacing w:val="-1"/>
          <w:w w:val="97"/>
        </w:rPr>
        <w:t>and</w:t>
      </w:r>
      <w:r>
        <w:rPr>
          <w:w w:val="97"/>
        </w:rPr>
        <w:t> </w:t>
      </w:r>
      <w:r>
        <w:rPr>
          <w:spacing w:val="-2"/>
          <w:w w:val="98"/>
        </w:rPr>
        <w:t>expanded</w:t>
      </w:r>
      <w:r>
        <w:rPr>
          <w:w w:val="98"/>
        </w:rPr>
        <w:t> </w:t>
      </w:r>
      <w:r>
        <w:rPr>
          <w:spacing w:val="-2"/>
          <w:w w:val="98"/>
        </w:rPr>
        <w:t>clinic</w:t>
      </w:r>
      <w:r>
        <w:rPr>
          <w:w w:val="98"/>
        </w:rPr>
        <w:t> </w:t>
      </w:r>
      <w:r>
        <w:rPr>
          <w:spacing w:val="-2"/>
          <w:w w:val="97"/>
        </w:rPr>
        <w:t>operations</w:t>
      </w:r>
      <w:r>
        <w:rPr>
          <w:w w:val="97"/>
        </w:rPr>
        <w:t> </w:t>
      </w:r>
      <w:r>
        <w:rPr>
          <w:spacing w:val="-3"/>
          <w:w w:val="101"/>
        </w:rPr>
        <w:t>to</w:t>
      </w:r>
      <w:r>
        <w:rPr>
          <w:w w:val="101"/>
        </w:rPr>
        <w:t> </w:t>
      </w:r>
      <w:r>
        <w:rPr>
          <w:spacing w:val="-2"/>
          <w:w w:val="97"/>
        </w:rPr>
        <w:t>the</w:t>
      </w:r>
      <w:r>
        <w:rPr>
          <w:w w:val="97"/>
        </w:rPr>
        <w:t> </w:t>
      </w:r>
      <w:r>
        <w:rPr/>
        <w:t>Penrith</w:t>
      </w:r>
      <w:r>
        <w:rPr>
          <w:spacing w:val="-33"/>
        </w:rPr>
        <w:t> </w:t>
      </w:r>
      <w:r>
        <w:rPr/>
        <w:t>campus</w:t>
      </w:r>
      <w:r>
        <w:rPr>
          <w:spacing w:val="-33"/>
        </w:rPr>
        <w:t> </w:t>
      </w:r>
      <w:r>
        <w:rPr/>
        <w:t>as</w:t>
      </w:r>
      <w:r>
        <w:rPr>
          <w:spacing w:val="-33"/>
        </w:rPr>
        <w:t> </w:t>
      </w:r>
      <w:r>
        <w:rPr/>
        <w:t>a</w:t>
      </w:r>
      <w:r>
        <w:rPr>
          <w:spacing w:val="-33"/>
        </w:rPr>
        <w:t> </w:t>
      </w:r>
      <w:r>
        <w:rPr/>
        <w:t>sole</w:t>
      </w:r>
      <w:r>
        <w:rPr>
          <w:spacing w:val="-33"/>
        </w:rPr>
        <w:t> </w:t>
      </w:r>
      <w:r>
        <w:rPr>
          <w:spacing w:val="-3"/>
        </w:rPr>
        <w:t>operator,</w:t>
      </w:r>
      <w:r>
        <w:rPr>
          <w:spacing w:val="-33"/>
        </w:rPr>
        <w:t> </w:t>
      </w:r>
      <w:r>
        <w:rPr/>
        <w:t>building</w:t>
      </w:r>
      <w:r>
        <w:rPr>
          <w:spacing w:val="-33"/>
        </w:rPr>
        <w:t> </w:t>
      </w:r>
      <w:r>
        <w:rPr/>
        <w:t>links </w:t>
      </w:r>
      <w:r>
        <w:rPr>
          <w:spacing w:val="-3"/>
          <w:w w:val="95"/>
        </w:rPr>
        <w:t>with </w:t>
      </w:r>
      <w:r>
        <w:rPr>
          <w:w w:val="95"/>
        </w:rPr>
        <w:t>the local medical</w:t>
      </w:r>
      <w:r>
        <w:rPr>
          <w:spacing w:val="-34"/>
          <w:w w:val="95"/>
        </w:rPr>
        <w:t> </w:t>
      </w:r>
      <w:r>
        <w:rPr>
          <w:w w:val="95"/>
        </w:rPr>
        <w:t>practitioners.</w:t>
      </w:r>
    </w:p>
    <w:p>
      <w:pPr>
        <w:pStyle w:val="BodyText"/>
        <w:spacing w:before="7"/>
        <w:rPr>
          <w:sz w:val="21"/>
        </w:rPr>
      </w:pPr>
    </w:p>
    <w:p>
      <w:pPr>
        <w:pStyle w:val="Heading8"/>
        <w:ind w:right="54"/>
      </w:pPr>
      <w:r>
        <w:rPr/>
        <w:t>PLACEMENTS</w:t>
      </w:r>
    </w:p>
    <w:p>
      <w:pPr>
        <w:pStyle w:val="BodyText"/>
        <w:spacing w:line="249" w:lineRule="auto" w:before="86"/>
        <w:ind w:left="107" w:right="-14"/>
      </w:pPr>
      <w:r>
        <w:rPr/>
        <w:t>The School continued to expand placement opportunities for students, building on key relationships</w:t>
      </w:r>
      <w:r>
        <w:rPr>
          <w:spacing w:val="-19"/>
        </w:rPr>
        <w:t> </w:t>
      </w:r>
      <w:r>
        <w:rPr/>
        <w:t>across</w:t>
      </w:r>
      <w:r>
        <w:rPr>
          <w:spacing w:val="-19"/>
        </w:rPr>
        <w:t> </w:t>
      </w:r>
      <w:r>
        <w:rPr/>
        <w:t>Greater</w:t>
      </w:r>
      <w:r>
        <w:rPr>
          <w:spacing w:val="-19"/>
        </w:rPr>
        <w:t> </w:t>
      </w:r>
      <w:r>
        <w:rPr/>
        <w:t>Western</w:t>
      </w:r>
      <w:r>
        <w:rPr>
          <w:spacing w:val="-19"/>
        </w:rPr>
        <w:t> </w:t>
      </w:r>
      <w:r>
        <w:rPr/>
        <w:t>Sydney and with leading industry organisations. In </w:t>
      </w:r>
      <w:r>
        <w:rPr>
          <w:spacing w:val="1"/>
          <w:w w:val="84"/>
        </w:rPr>
        <w:t>2015,</w:t>
      </w:r>
      <w:r>
        <w:rPr>
          <w:w w:val="84"/>
        </w:rPr>
        <w:t> </w:t>
      </w:r>
      <w:r>
        <w:rPr>
          <w:w w:val="97"/>
        </w:rPr>
        <w:t>three </w:t>
      </w:r>
      <w:r>
        <w:rPr>
          <w:spacing w:val="1"/>
          <w:w w:val="97"/>
        </w:rPr>
        <w:t>Social</w:t>
      </w:r>
      <w:r>
        <w:rPr>
          <w:w w:val="97"/>
        </w:rPr>
        <w:t> </w:t>
      </w:r>
      <w:r>
        <w:rPr>
          <w:w w:val="99"/>
        </w:rPr>
        <w:t>Work </w:t>
      </w:r>
      <w:r>
        <w:rPr>
          <w:spacing w:val="1"/>
          <w:w w:val="97"/>
        </w:rPr>
        <w:t>students</w:t>
      </w:r>
      <w:r>
        <w:rPr>
          <w:w w:val="97"/>
        </w:rPr>
        <w:t> </w:t>
      </w:r>
      <w:r>
        <w:rPr>
          <w:w w:val="98"/>
        </w:rPr>
        <w:t>received </w:t>
      </w:r>
      <w:r>
        <w:rPr>
          <w:w w:val="94"/>
        </w:rPr>
        <w:t>a </w:t>
      </w:r>
      <w:r>
        <w:rPr/>
        <w:t>FACS</w:t>
      </w:r>
      <w:r>
        <w:rPr>
          <w:spacing w:val="-14"/>
        </w:rPr>
        <w:t> </w:t>
      </w:r>
      <w:r>
        <w:rPr/>
        <w:t>(Community</w:t>
      </w:r>
      <w:r>
        <w:rPr>
          <w:spacing w:val="-14"/>
        </w:rPr>
        <w:t> </w:t>
      </w:r>
      <w:r>
        <w:rPr/>
        <w:t>Services)</w:t>
      </w:r>
      <w:r>
        <w:rPr>
          <w:spacing w:val="-14"/>
        </w:rPr>
        <w:t> </w:t>
      </w:r>
      <w:r>
        <w:rPr/>
        <w:t>Rural</w:t>
      </w:r>
      <w:r>
        <w:rPr>
          <w:spacing w:val="-14"/>
        </w:rPr>
        <w:t> </w:t>
      </w:r>
      <w:r>
        <w:rPr/>
        <w:t>Placement scholarship.</w:t>
      </w:r>
      <w:r>
        <w:rPr>
          <w:spacing w:val="-22"/>
        </w:rPr>
        <w:t> </w:t>
      </w:r>
      <w:r>
        <w:rPr/>
        <w:t>In</w:t>
      </w:r>
      <w:r>
        <w:rPr>
          <w:spacing w:val="-22"/>
        </w:rPr>
        <w:t> </w:t>
      </w:r>
      <w:r>
        <w:rPr/>
        <w:t>Social</w:t>
      </w:r>
      <w:r>
        <w:rPr>
          <w:spacing w:val="-22"/>
        </w:rPr>
        <w:t> </w:t>
      </w:r>
      <w:r>
        <w:rPr/>
        <w:t>Work</w:t>
      </w:r>
      <w:r>
        <w:rPr>
          <w:spacing w:val="-22"/>
        </w:rPr>
        <w:t> </w:t>
      </w:r>
      <w:r>
        <w:rPr/>
        <w:t>alone,</w:t>
      </w:r>
      <w:r>
        <w:rPr>
          <w:spacing w:val="-22"/>
        </w:rPr>
        <w:t> </w:t>
      </w:r>
      <w:r>
        <w:rPr/>
        <w:t>the</w:t>
      </w:r>
      <w:r>
        <w:rPr>
          <w:spacing w:val="-22"/>
        </w:rPr>
        <w:t> </w:t>
      </w:r>
      <w:r>
        <w:rPr/>
        <w:t>number of student placements increased by 32 </w:t>
      </w:r>
      <w:r>
        <w:rPr>
          <w:spacing w:val="2"/>
        </w:rPr>
        <w:t>per </w:t>
      </w:r>
      <w:r>
        <w:rPr>
          <w:w w:val="99"/>
        </w:rPr>
        <w:t>cent</w:t>
      </w:r>
      <w:r>
        <w:rPr>
          <w:spacing w:val="-11"/>
          <w:w w:val="99"/>
        </w:rPr>
        <w:t> </w:t>
      </w:r>
      <w:r>
        <w:rPr>
          <w:spacing w:val="1"/>
          <w:w w:val="98"/>
        </w:rPr>
        <w:t>from</w:t>
      </w:r>
      <w:r>
        <w:rPr>
          <w:spacing w:val="-11"/>
          <w:w w:val="98"/>
        </w:rPr>
        <w:t> </w:t>
      </w:r>
      <w:r>
        <w:rPr>
          <w:spacing w:val="1"/>
          <w:w w:val="90"/>
        </w:rPr>
        <w:t>2014</w:t>
      </w:r>
      <w:r>
        <w:rPr>
          <w:spacing w:val="-7"/>
          <w:w w:val="90"/>
        </w:rPr>
        <w:t> </w:t>
      </w:r>
      <w:r>
        <w:rPr>
          <w:spacing w:val="-1"/>
          <w:w w:val="101"/>
        </w:rPr>
        <w:t>to</w:t>
      </w:r>
      <w:r>
        <w:rPr>
          <w:spacing w:val="-13"/>
          <w:w w:val="101"/>
        </w:rPr>
        <w:t> </w:t>
      </w:r>
      <w:r>
        <w:rPr>
          <w:spacing w:val="1"/>
          <w:w w:val="88"/>
        </w:rPr>
        <w:t>2015</w:t>
      </w:r>
      <w:r>
        <w:rPr>
          <w:spacing w:val="-6"/>
          <w:w w:val="88"/>
        </w:rPr>
        <w:t> </w:t>
      </w:r>
      <w:r>
        <w:rPr>
          <w:spacing w:val="1"/>
          <w:w w:val="97"/>
        </w:rPr>
        <w:t>and</w:t>
      </w:r>
      <w:r>
        <w:rPr>
          <w:spacing w:val="-11"/>
          <w:w w:val="97"/>
        </w:rPr>
        <w:t> </w:t>
      </w:r>
      <w:r>
        <w:rPr>
          <w:w w:val="95"/>
        </w:rPr>
        <w:t>is</w:t>
      </w:r>
      <w:r>
        <w:rPr>
          <w:spacing w:val="-9"/>
          <w:w w:val="95"/>
        </w:rPr>
        <w:t> </w:t>
      </w:r>
      <w:r>
        <w:rPr>
          <w:spacing w:val="1"/>
          <w:w w:val="99"/>
        </w:rPr>
        <w:t>expected</w:t>
      </w:r>
      <w:r>
        <w:rPr>
          <w:spacing w:val="-12"/>
          <w:w w:val="99"/>
        </w:rPr>
        <w:t> </w:t>
      </w:r>
      <w:r>
        <w:rPr>
          <w:spacing w:val="-1"/>
          <w:w w:val="101"/>
        </w:rPr>
        <w:t>to</w:t>
      </w:r>
      <w:r>
        <w:rPr>
          <w:spacing w:val="-13"/>
          <w:w w:val="101"/>
        </w:rPr>
        <w:t> </w:t>
      </w:r>
      <w:r>
        <w:rPr>
          <w:spacing w:val="1"/>
          <w:w w:val="95"/>
        </w:rPr>
        <w:t>rise</w:t>
      </w:r>
      <w:r>
        <w:rPr>
          <w:w w:val="95"/>
        </w:rPr>
        <w:t> </w:t>
      </w:r>
      <w:r>
        <w:rPr>
          <w:spacing w:val="-1"/>
          <w:w w:val="102"/>
        </w:rPr>
        <w:t>by</w:t>
      </w:r>
      <w:r>
        <w:rPr>
          <w:spacing w:val="-12"/>
          <w:w w:val="102"/>
        </w:rPr>
        <w:t> </w:t>
      </w:r>
      <w:r>
        <w:rPr>
          <w:spacing w:val="1"/>
          <w:w w:val="97"/>
        </w:rPr>
        <w:t>another</w:t>
      </w:r>
      <w:r>
        <w:rPr>
          <w:spacing w:val="-9"/>
          <w:w w:val="97"/>
        </w:rPr>
        <w:t> </w:t>
      </w:r>
      <w:r>
        <w:rPr>
          <w:spacing w:val="2"/>
          <w:w w:val="91"/>
        </w:rPr>
        <w:t>77</w:t>
      </w:r>
      <w:r>
        <w:rPr>
          <w:spacing w:val="-7"/>
          <w:w w:val="91"/>
        </w:rPr>
        <w:t> </w:t>
      </w:r>
      <w:r>
        <w:rPr>
          <w:spacing w:val="1"/>
          <w:w w:val="97"/>
        </w:rPr>
        <w:t>per</w:t>
      </w:r>
      <w:r>
        <w:rPr>
          <w:spacing w:val="-10"/>
          <w:w w:val="97"/>
        </w:rPr>
        <w:t> </w:t>
      </w:r>
      <w:r>
        <w:rPr>
          <w:w w:val="99"/>
        </w:rPr>
        <w:t>cent</w:t>
      </w:r>
      <w:r>
        <w:rPr>
          <w:spacing w:val="-10"/>
          <w:w w:val="99"/>
        </w:rPr>
        <w:t> </w:t>
      </w:r>
      <w:r>
        <w:rPr>
          <w:w w:val="95"/>
        </w:rPr>
        <w:t>in</w:t>
      </w:r>
      <w:r>
        <w:rPr>
          <w:spacing w:val="-9"/>
          <w:w w:val="95"/>
        </w:rPr>
        <w:t> </w:t>
      </w:r>
      <w:r>
        <w:rPr>
          <w:spacing w:val="2"/>
          <w:w w:val="85"/>
        </w:rPr>
        <w:t>2016.</w:t>
      </w:r>
    </w:p>
    <w:p>
      <w:pPr>
        <w:pStyle w:val="BodyText"/>
        <w:spacing w:before="7"/>
        <w:rPr>
          <w:sz w:val="21"/>
        </w:rPr>
      </w:pPr>
    </w:p>
    <w:p>
      <w:pPr>
        <w:pStyle w:val="Heading8"/>
        <w:ind w:right="54"/>
      </w:pPr>
      <w:r>
        <w:rPr>
          <w:w w:val="95"/>
        </w:rPr>
        <w:t>STUDENT ENGAGEMENT</w:t>
      </w:r>
    </w:p>
    <w:p>
      <w:pPr>
        <w:pStyle w:val="BodyText"/>
        <w:spacing w:line="249" w:lineRule="auto" w:before="86"/>
        <w:ind w:left="107" w:right="54"/>
      </w:pPr>
      <w:r>
        <w:rPr>
          <w:w w:val="80"/>
        </w:rPr>
        <w:t>In </w:t>
      </w:r>
      <w:r>
        <w:rPr>
          <w:w w:val="84"/>
        </w:rPr>
        <w:t>2015, </w:t>
      </w:r>
      <w:r>
        <w:rPr>
          <w:w w:val="97"/>
        </w:rPr>
        <w:t>the </w:t>
      </w:r>
      <w:r>
        <w:rPr>
          <w:w w:val="98"/>
        </w:rPr>
        <w:t>School </w:t>
      </w:r>
      <w:r>
        <w:rPr>
          <w:w w:val="97"/>
        </w:rPr>
        <w:t>enhanced </w:t>
      </w:r>
      <w:r>
        <w:rPr>
          <w:w w:val="97"/>
        </w:rPr>
        <w:t>its </w:t>
      </w:r>
      <w:r>
        <w:rPr>
          <w:w w:val="97"/>
        </w:rPr>
        <w:t>engagement </w:t>
      </w:r>
      <w:r>
        <w:rPr/>
        <w:t>with the four Student Associations (Social Work; Urban Planning; Psychology; and Policing) through regular meetings between representatives of the School Executive</w:t>
      </w:r>
    </w:p>
    <w:p>
      <w:pPr>
        <w:pStyle w:val="BodyText"/>
        <w:spacing w:line="249" w:lineRule="auto"/>
        <w:ind w:left="107" w:right="-14"/>
      </w:pPr>
      <w:r>
        <w:rPr/>
        <w:t>and Association office-bearers. They have participated</w:t>
      </w:r>
      <w:r>
        <w:rPr>
          <w:spacing w:val="-16"/>
        </w:rPr>
        <w:t> </w:t>
      </w:r>
      <w:r>
        <w:rPr/>
        <w:t>in</w:t>
      </w:r>
      <w:r>
        <w:rPr>
          <w:spacing w:val="-16"/>
        </w:rPr>
        <w:t> </w:t>
      </w:r>
      <w:r>
        <w:rPr/>
        <w:t>the</w:t>
      </w:r>
      <w:r>
        <w:rPr>
          <w:spacing w:val="-16"/>
        </w:rPr>
        <w:t> </w:t>
      </w:r>
      <w:r>
        <w:rPr/>
        <w:t>School’s</w:t>
      </w:r>
      <w:r>
        <w:rPr>
          <w:spacing w:val="-16"/>
        </w:rPr>
        <w:t> </w:t>
      </w:r>
      <w:r>
        <w:rPr/>
        <w:t>events,</w:t>
      </w:r>
      <w:r>
        <w:rPr>
          <w:spacing w:val="-16"/>
        </w:rPr>
        <w:t> </w:t>
      </w:r>
      <w:r>
        <w:rPr/>
        <w:t>an</w:t>
      </w:r>
      <w:r>
        <w:rPr>
          <w:spacing w:val="-16"/>
        </w:rPr>
        <w:t> </w:t>
      </w:r>
      <w:r>
        <w:rPr/>
        <w:t>Alumni event and presented at the graduation events.</w:t>
      </w:r>
      <w:r>
        <w:rPr>
          <w:spacing w:val="-18"/>
        </w:rPr>
        <w:t> </w:t>
      </w:r>
      <w:r>
        <w:rPr/>
        <w:t>The</w:t>
      </w:r>
      <w:r>
        <w:rPr>
          <w:spacing w:val="-18"/>
        </w:rPr>
        <w:t> </w:t>
      </w:r>
      <w:r>
        <w:rPr/>
        <w:t>Student</w:t>
      </w:r>
      <w:r>
        <w:rPr>
          <w:spacing w:val="-18"/>
        </w:rPr>
        <w:t> </w:t>
      </w:r>
      <w:r>
        <w:rPr/>
        <w:t>Association</w:t>
      </w:r>
      <w:r>
        <w:rPr>
          <w:spacing w:val="-18"/>
        </w:rPr>
        <w:t> </w:t>
      </w:r>
      <w:r>
        <w:rPr/>
        <w:t>leaders</w:t>
      </w:r>
      <w:r>
        <w:rPr>
          <w:spacing w:val="-18"/>
        </w:rPr>
        <w:t> </w:t>
      </w:r>
      <w:r>
        <w:rPr/>
        <w:t>have generated prompt and helpful feedback on behalf</w:t>
      </w:r>
      <w:r>
        <w:rPr>
          <w:spacing w:val="-13"/>
        </w:rPr>
        <w:t> </w:t>
      </w:r>
      <w:r>
        <w:rPr/>
        <w:t>of</w:t>
      </w:r>
      <w:r>
        <w:rPr>
          <w:spacing w:val="-13"/>
        </w:rPr>
        <w:t> </w:t>
      </w:r>
      <w:r>
        <w:rPr/>
        <w:t>the</w:t>
      </w:r>
      <w:r>
        <w:rPr>
          <w:spacing w:val="-13"/>
        </w:rPr>
        <w:t> </w:t>
      </w:r>
      <w:r>
        <w:rPr/>
        <w:t>student</w:t>
      </w:r>
      <w:r>
        <w:rPr>
          <w:spacing w:val="-13"/>
        </w:rPr>
        <w:t> </w:t>
      </w:r>
      <w:r>
        <w:rPr/>
        <w:t>cohort</w:t>
      </w:r>
      <w:r>
        <w:rPr>
          <w:spacing w:val="-13"/>
        </w:rPr>
        <w:t> </w:t>
      </w:r>
      <w:r>
        <w:rPr/>
        <w:t>on</w:t>
      </w:r>
      <w:r>
        <w:rPr>
          <w:spacing w:val="-13"/>
        </w:rPr>
        <w:t> </w:t>
      </w:r>
      <w:r>
        <w:rPr/>
        <w:t>teaching</w:t>
      </w:r>
      <w:r>
        <w:rPr>
          <w:spacing w:val="-13"/>
        </w:rPr>
        <w:t> </w:t>
      </w:r>
      <w:r>
        <w:rPr/>
        <w:t>and student issues and have become integral to some</w:t>
      </w:r>
      <w:r>
        <w:rPr>
          <w:spacing w:val="-15"/>
        </w:rPr>
        <w:t> </w:t>
      </w:r>
      <w:r>
        <w:rPr/>
        <w:t>of</w:t>
      </w:r>
      <w:r>
        <w:rPr>
          <w:spacing w:val="-15"/>
        </w:rPr>
        <w:t> </w:t>
      </w:r>
      <w:r>
        <w:rPr/>
        <w:t>the</w:t>
      </w:r>
      <w:r>
        <w:rPr>
          <w:spacing w:val="-15"/>
        </w:rPr>
        <w:t> </w:t>
      </w:r>
      <w:r>
        <w:rPr/>
        <w:t>decision-making</w:t>
      </w:r>
      <w:r>
        <w:rPr>
          <w:spacing w:val="-15"/>
        </w:rPr>
        <w:t> </w:t>
      </w:r>
      <w:r>
        <w:rPr/>
        <w:t>of</w:t>
      </w:r>
      <w:r>
        <w:rPr>
          <w:spacing w:val="-15"/>
        </w:rPr>
        <w:t> </w:t>
      </w:r>
      <w:r>
        <w:rPr/>
        <w:t>the</w:t>
      </w:r>
      <w:r>
        <w:rPr>
          <w:spacing w:val="-15"/>
        </w:rPr>
        <w:t> </w:t>
      </w:r>
      <w:r>
        <w:rPr/>
        <w:t>School.</w:t>
      </w:r>
    </w:p>
    <w:p>
      <w:pPr>
        <w:pStyle w:val="BodyText"/>
        <w:spacing w:before="8"/>
        <w:rPr>
          <w:sz w:val="20"/>
        </w:rPr>
      </w:pPr>
      <w:r>
        <w:rPr/>
        <w:br w:type="column"/>
      </w:r>
      <w:r>
        <w:rPr>
          <w:sz w:val="20"/>
        </w:rPr>
      </w:r>
    </w:p>
    <w:p>
      <w:pPr>
        <w:pStyle w:val="Heading8"/>
        <w:spacing w:before="1"/>
      </w:pPr>
      <w:r>
        <w:rPr>
          <w:w w:val="95"/>
        </w:rPr>
        <w:t>SHORT COURSES</w:t>
      </w:r>
    </w:p>
    <w:p>
      <w:pPr>
        <w:pStyle w:val="BodyText"/>
        <w:spacing w:line="249" w:lineRule="auto" w:before="86"/>
        <w:ind w:left="107" w:right="63"/>
      </w:pPr>
      <w:r>
        <w:rPr>
          <w:w w:val="80"/>
        </w:rPr>
        <w:t>In </w:t>
      </w:r>
      <w:r>
        <w:rPr>
          <w:w w:val="84"/>
        </w:rPr>
        <w:t>2015, </w:t>
      </w:r>
      <w:r>
        <w:rPr>
          <w:w w:val="97"/>
        </w:rPr>
        <w:t>the </w:t>
      </w:r>
      <w:r>
        <w:rPr>
          <w:w w:val="98"/>
        </w:rPr>
        <w:t>School </w:t>
      </w:r>
      <w:r>
        <w:rPr>
          <w:w w:val="97"/>
        </w:rPr>
        <w:t>trialled </w:t>
      </w:r>
      <w:r>
        <w:rPr>
          <w:w w:val="94"/>
        </w:rPr>
        <w:t>a </w:t>
      </w:r>
      <w:r>
        <w:rPr>
          <w:w w:val="97"/>
        </w:rPr>
        <w:t>professional </w:t>
      </w:r>
      <w:r>
        <w:rPr/>
        <w:t>development course targeting psychologists and other health professionals in the region. The course, Schema Therapy for Eating Disorders, had high attendance and the revenue from this course will be used for research on eating disorders. A five-day humanitarian short course targeted at NGOs </w:t>
      </w:r>
      <w:r>
        <w:rPr>
          <w:w w:val="95"/>
        </w:rPr>
        <w:t>is </w:t>
      </w:r>
      <w:r>
        <w:rPr>
          <w:w w:val="97"/>
        </w:rPr>
        <w:t>planned </w:t>
      </w:r>
      <w:r>
        <w:rPr>
          <w:w w:val="98"/>
        </w:rPr>
        <w:t>for </w:t>
      </w:r>
      <w:r>
        <w:rPr>
          <w:w w:val="85"/>
        </w:rPr>
        <w:t>2016. </w:t>
      </w:r>
      <w:r>
        <w:rPr>
          <w:w w:val="80"/>
        </w:rPr>
        <w:t>In </w:t>
      </w:r>
      <w:r>
        <w:rPr>
          <w:w w:val="95"/>
        </w:rPr>
        <w:t>addition, </w:t>
      </w:r>
      <w:r>
        <w:rPr>
          <w:w w:val="97"/>
        </w:rPr>
        <w:t>the </w:t>
      </w:r>
      <w:r>
        <w:rPr>
          <w:w w:val="98"/>
        </w:rPr>
        <w:t>School</w:t>
      </w:r>
    </w:p>
    <w:p>
      <w:pPr>
        <w:pStyle w:val="BodyText"/>
        <w:spacing w:line="249" w:lineRule="auto"/>
        <w:ind w:left="107" w:right="-18"/>
      </w:pPr>
      <w:r>
        <w:rPr/>
        <w:t>is developing a strategy for delivering short courses for the community and professionals.</w:t>
      </w:r>
    </w:p>
    <w:p>
      <w:pPr>
        <w:pStyle w:val="BodyText"/>
        <w:rPr>
          <w:sz w:val="14"/>
        </w:rPr>
      </w:pPr>
    </w:p>
    <w:p>
      <w:pPr>
        <w:pStyle w:val="BodyText"/>
        <w:spacing w:line="249" w:lineRule="auto"/>
        <w:ind w:left="107" w:right="207"/>
      </w:pPr>
      <w:r>
        <w:rPr/>
        <w:t>The</w:t>
      </w:r>
      <w:r>
        <w:rPr>
          <w:spacing w:val="-23"/>
        </w:rPr>
        <w:t> </w:t>
      </w:r>
      <w:r>
        <w:rPr/>
        <w:t>School</w:t>
      </w:r>
      <w:r>
        <w:rPr>
          <w:spacing w:val="-23"/>
        </w:rPr>
        <w:t> </w:t>
      </w:r>
      <w:r>
        <w:rPr/>
        <w:t>made</w:t>
      </w:r>
      <w:r>
        <w:rPr>
          <w:spacing w:val="-23"/>
        </w:rPr>
        <w:t> </w:t>
      </w:r>
      <w:r>
        <w:rPr/>
        <w:t>a</w:t>
      </w:r>
      <w:r>
        <w:rPr>
          <w:spacing w:val="-23"/>
        </w:rPr>
        <w:t> </w:t>
      </w:r>
      <w:r>
        <w:rPr/>
        <w:t>significant</w:t>
      </w:r>
      <w:r>
        <w:rPr>
          <w:spacing w:val="-23"/>
        </w:rPr>
        <w:t> </w:t>
      </w:r>
      <w:r>
        <w:rPr/>
        <w:t>contribution to</w:t>
      </w:r>
      <w:r>
        <w:rPr>
          <w:spacing w:val="-27"/>
        </w:rPr>
        <w:t> </w:t>
      </w:r>
      <w:r>
        <w:rPr/>
        <w:t>the</w:t>
      </w:r>
      <w:r>
        <w:rPr>
          <w:spacing w:val="-27"/>
        </w:rPr>
        <w:t> </w:t>
      </w:r>
      <w:r>
        <w:rPr/>
        <w:t>development</w:t>
      </w:r>
      <w:r>
        <w:rPr>
          <w:spacing w:val="-27"/>
        </w:rPr>
        <w:t> </w:t>
      </w:r>
      <w:r>
        <w:rPr/>
        <w:t>of</w:t>
      </w:r>
      <w:r>
        <w:rPr>
          <w:spacing w:val="-27"/>
        </w:rPr>
        <w:t> </w:t>
      </w:r>
      <w:r>
        <w:rPr/>
        <w:t>an</w:t>
      </w:r>
      <w:r>
        <w:rPr>
          <w:spacing w:val="-27"/>
        </w:rPr>
        <w:t> </w:t>
      </w:r>
      <w:r>
        <w:rPr/>
        <w:t>international</w:t>
      </w:r>
      <w:r>
        <w:rPr>
          <w:spacing w:val="-27"/>
        </w:rPr>
        <w:t> </w:t>
      </w:r>
      <w:r>
        <w:rPr/>
        <w:t>short course</w:t>
      </w:r>
      <w:r>
        <w:rPr>
          <w:spacing w:val="-27"/>
        </w:rPr>
        <w:t> </w:t>
      </w:r>
      <w:r>
        <w:rPr/>
        <w:t>for</w:t>
      </w:r>
      <w:r>
        <w:rPr>
          <w:spacing w:val="-27"/>
        </w:rPr>
        <w:t> </w:t>
      </w:r>
      <w:r>
        <w:rPr/>
        <w:t>a</w:t>
      </w:r>
      <w:r>
        <w:rPr>
          <w:spacing w:val="-27"/>
        </w:rPr>
        <w:t> </w:t>
      </w:r>
      <w:r>
        <w:rPr/>
        <w:t>delegation</w:t>
      </w:r>
      <w:r>
        <w:rPr>
          <w:spacing w:val="-27"/>
        </w:rPr>
        <w:t> </w:t>
      </w:r>
      <w:r>
        <w:rPr/>
        <w:t>from</w:t>
      </w:r>
      <w:r>
        <w:rPr>
          <w:spacing w:val="-27"/>
        </w:rPr>
        <w:t> </w:t>
      </w:r>
      <w:r>
        <w:rPr/>
        <w:t>Fujian</w:t>
      </w:r>
      <w:r>
        <w:rPr>
          <w:spacing w:val="-27"/>
        </w:rPr>
        <w:t> </w:t>
      </w:r>
      <w:r>
        <w:rPr/>
        <w:t>Province in</w:t>
      </w:r>
      <w:r>
        <w:rPr>
          <w:spacing w:val="-26"/>
        </w:rPr>
        <w:t> </w:t>
      </w:r>
      <w:r>
        <w:rPr/>
        <w:t>China.</w:t>
      </w:r>
      <w:r>
        <w:rPr>
          <w:spacing w:val="-26"/>
        </w:rPr>
        <w:t> </w:t>
      </w:r>
      <w:r>
        <w:rPr/>
        <w:t>The</w:t>
      </w:r>
      <w:r>
        <w:rPr>
          <w:spacing w:val="-26"/>
        </w:rPr>
        <w:t> </w:t>
      </w:r>
      <w:r>
        <w:rPr/>
        <w:t>School</w:t>
      </w:r>
      <w:r>
        <w:rPr>
          <w:spacing w:val="-26"/>
        </w:rPr>
        <w:t> </w:t>
      </w:r>
      <w:r>
        <w:rPr/>
        <w:t>also</w:t>
      </w:r>
      <w:r>
        <w:rPr>
          <w:spacing w:val="-26"/>
        </w:rPr>
        <w:t> </w:t>
      </w:r>
      <w:r>
        <w:rPr/>
        <w:t>developed</w:t>
      </w:r>
      <w:r>
        <w:rPr>
          <w:spacing w:val="-26"/>
        </w:rPr>
        <w:t> </w:t>
      </w:r>
      <w:r>
        <w:rPr/>
        <w:t>a</w:t>
      </w:r>
      <w:r>
        <w:rPr>
          <w:spacing w:val="-26"/>
        </w:rPr>
        <w:t> </w:t>
      </w:r>
      <w:r>
        <w:rPr/>
        <w:t>model</w:t>
      </w:r>
    </w:p>
    <w:p>
      <w:pPr>
        <w:pStyle w:val="BodyText"/>
        <w:spacing w:line="249" w:lineRule="auto"/>
        <w:ind w:left="107"/>
      </w:pPr>
      <w:r>
        <w:rPr/>
        <w:t>and</w:t>
      </w:r>
      <w:r>
        <w:rPr>
          <w:spacing w:val="-24"/>
        </w:rPr>
        <w:t> </w:t>
      </w:r>
      <w:r>
        <w:rPr/>
        <w:t>content</w:t>
      </w:r>
      <w:r>
        <w:rPr>
          <w:spacing w:val="-24"/>
        </w:rPr>
        <w:t> </w:t>
      </w:r>
      <w:r>
        <w:rPr/>
        <w:t>for</w:t>
      </w:r>
      <w:r>
        <w:rPr>
          <w:spacing w:val="-24"/>
        </w:rPr>
        <w:t> </w:t>
      </w:r>
      <w:r>
        <w:rPr/>
        <w:t>a</w:t>
      </w:r>
      <w:r>
        <w:rPr>
          <w:spacing w:val="-24"/>
        </w:rPr>
        <w:t> </w:t>
      </w:r>
      <w:r>
        <w:rPr/>
        <w:t>one-month</w:t>
      </w:r>
      <w:r>
        <w:rPr>
          <w:spacing w:val="-24"/>
        </w:rPr>
        <w:t> </w:t>
      </w:r>
      <w:r>
        <w:rPr/>
        <w:t>training</w:t>
      </w:r>
      <w:r>
        <w:rPr>
          <w:spacing w:val="-24"/>
        </w:rPr>
        <w:t> </w:t>
      </w:r>
      <w:r>
        <w:rPr/>
        <w:t>program delivered to a delegation of Indonesian university academics. The model will be the basis</w:t>
      </w:r>
      <w:r>
        <w:rPr>
          <w:spacing w:val="-38"/>
        </w:rPr>
        <w:t> </w:t>
      </w:r>
      <w:r>
        <w:rPr/>
        <w:t>for</w:t>
      </w:r>
      <w:r>
        <w:rPr>
          <w:spacing w:val="-38"/>
        </w:rPr>
        <w:t> </w:t>
      </w:r>
      <w:r>
        <w:rPr/>
        <w:t>future</w:t>
      </w:r>
      <w:r>
        <w:rPr>
          <w:spacing w:val="-38"/>
        </w:rPr>
        <w:t> </w:t>
      </w:r>
      <w:r>
        <w:rPr/>
        <w:t>international</w:t>
      </w:r>
      <w:r>
        <w:rPr>
          <w:spacing w:val="-38"/>
        </w:rPr>
        <w:t> </w:t>
      </w:r>
      <w:r>
        <w:rPr/>
        <w:t>training</w:t>
      </w:r>
      <w:r>
        <w:rPr>
          <w:spacing w:val="-38"/>
        </w:rPr>
        <w:t> </w:t>
      </w:r>
      <w:r>
        <w:rPr/>
        <w:t>programs.</w:t>
      </w:r>
    </w:p>
    <w:p>
      <w:pPr>
        <w:pStyle w:val="BodyText"/>
        <w:spacing w:before="7"/>
        <w:rPr>
          <w:sz w:val="21"/>
        </w:rPr>
      </w:pPr>
    </w:p>
    <w:p>
      <w:pPr>
        <w:pStyle w:val="Heading8"/>
      </w:pPr>
      <w:r>
        <w:rPr/>
        <w:t>ALUMNI</w:t>
      </w:r>
    </w:p>
    <w:p>
      <w:pPr>
        <w:pStyle w:val="BodyText"/>
        <w:spacing w:line="249" w:lineRule="auto" w:before="86"/>
        <w:ind w:left="107" w:right="174"/>
        <w:jc w:val="both"/>
      </w:pPr>
      <w:r>
        <w:rPr/>
        <w:t>The</w:t>
      </w:r>
      <w:r>
        <w:rPr>
          <w:spacing w:val="-15"/>
        </w:rPr>
        <w:t> </w:t>
      </w:r>
      <w:r>
        <w:rPr/>
        <w:t>School</w:t>
      </w:r>
      <w:r>
        <w:rPr>
          <w:spacing w:val="-15"/>
        </w:rPr>
        <w:t> </w:t>
      </w:r>
      <w:r>
        <w:rPr/>
        <w:t>hosted</w:t>
      </w:r>
      <w:r>
        <w:rPr>
          <w:spacing w:val="-15"/>
        </w:rPr>
        <w:t> </w:t>
      </w:r>
      <w:r>
        <w:rPr/>
        <w:t>two</w:t>
      </w:r>
      <w:r>
        <w:rPr>
          <w:spacing w:val="-15"/>
        </w:rPr>
        <w:t> </w:t>
      </w:r>
      <w:r>
        <w:rPr/>
        <w:t>graduation</w:t>
      </w:r>
      <w:r>
        <w:rPr>
          <w:spacing w:val="-15"/>
        </w:rPr>
        <w:t> </w:t>
      </w:r>
      <w:r>
        <w:rPr/>
        <w:t>events</w:t>
      </w:r>
      <w:r>
        <w:rPr>
          <w:spacing w:val="-15"/>
        </w:rPr>
        <w:t> </w:t>
      </w:r>
      <w:r>
        <w:rPr/>
        <w:t>in </w:t>
      </w:r>
      <w:r>
        <w:rPr>
          <w:spacing w:val="1"/>
          <w:w w:val="88"/>
        </w:rPr>
        <w:t>2015</w:t>
      </w:r>
      <w:r>
        <w:rPr>
          <w:w w:val="88"/>
        </w:rPr>
        <w:t> </w:t>
      </w:r>
      <w:r>
        <w:rPr>
          <w:spacing w:val="-1"/>
          <w:w w:val="101"/>
        </w:rPr>
        <w:t>to</w:t>
      </w:r>
      <w:r>
        <w:rPr>
          <w:w w:val="101"/>
        </w:rPr>
        <w:t> </w:t>
      </w:r>
      <w:r>
        <w:rPr>
          <w:spacing w:val="1"/>
          <w:w w:val="96"/>
        </w:rPr>
        <w:t>launch</w:t>
      </w:r>
      <w:r>
        <w:rPr>
          <w:w w:val="96"/>
        </w:rPr>
        <w:t> </w:t>
      </w:r>
      <w:r>
        <w:rPr>
          <w:spacing w:val="1"/>
          <w:w w:val="97"/>
        </w:rPr>
        <w:t>graduands</w:t>
      </w:r>
      <w:r>
        <w:rPr>
          <w:w w:val="97"/>
        </w:rPr>
        <w:t> </w:t>
      </w:r>
      <w:r>
        <w:rPr>
          <w:spacing w:val="1"/>
          <w:w w:val="94"/>
        </w:rPr>
        <w:t>as</w:t>
      </w:r>
      <w:r>
        <w:rPr>
          <w:w w:val="94"/>
        </w:rPr>
        <w:t> </w:t>
      </w:r>
      <w:r>
        <w:rPr>
          <w:spacing w:val="1"/>
          <w:w w:val="92"/>
        </w:rPr>
        <w:t>alumni.</w:t>
      </w:r>
      <w:r>
        <w:rPr>
          <w:w w:val="92"/>
        </w:rPr>
        <w:t> </w:t>
      </w:r>
      <w:r>
        <w:rPr>
          <w:spacing w:val="1"/>
          <w:w w:val="98"/>
        </w:rPr>
        <w:t>Linked</w:t>
      </w:r>
      <w:r>
        <w:rPr>
          <w:w w:val="98"/>
        </w:rPr>
        <w:t> </w:t>
      </w:r>
      <w:r>
        <w:rPr/>
        <w:t>to</w:t>
      </w:r>
      <w:r>
        <w:rPr>
          <w:spacing w:val="-17"/>
        </w:rPr>
        <w:t> </w:t>
      </w:r>
      <w:r>
        <w:rPr/>
        <w:t>these</w:t>
      </w:r>
      <w:r>
        <w:rPr>
          <w:spacing w:val="-17"/>
        </w:rPr>
        <w:t> </w:t>
      </w:r>
      <w:r>
        <w:rPr/>
        <w:t>events,</w:t>
      </w:r>
      <w:r>
        <w:rPr>
          <w:spacing w:val="-17"/>
        </w:rPr>
        <w:t> </w:t>
      </w:r>
      <w:r>
        <w:rPr/>
        <w:t>the</w:t>
      </w:r>
      <w:r>
        <w:rPr>
          <w:spacing w:val="-17"/>
        </w:rPr>
        <w:t> </w:t>
      </w:r>
      <w:r>
        <w:rPr/>
        <w:t>School</w:t>
      </w:r>
      <w:r>
        <w:rPr>
          <w:spacing w:val="-17"/>
        </w:rPr>
        <w:t> </w:t>
      </w:r>
      <w:r>
        <w:rPr/>
        <w:t>also</w:t>
      </w:r>
      <w:r>
        <w:rPr>
          <w:spacing w:val="-17"/>
        </w:rPr>
        <w:t> </w:t>
      </w:r>
      <w:r>
        <w:rPr/>
        <w:t>held</w:t>
      </w:r>
      <w:r>
        <w:rPr>
          <w:spacing w:val="-17"/>
        </w:rPr>
        <w:t> </w:t>
      </w:r>
      <w:r>
        <w:rPr/>
        <w:t>its</w:t>
      </w:r>
    </w:p>
    <w:p>
      <w:pPr>
        <w:pStyle w:val="BodyText"/>
        <w:spacing w:line="249" w:lineRule="auto"/>
        <w:ind w:left="107" w:right="145"/>
      </w:pPr>
      <w:r>
        <w:rPr/>
        <w:t>first alumni event ‘SSAPChat Alumni’. On the</w:t>
      </w:r>
      <w:r>
        <w:rPr>
          <w:spacing w:val="-17"/>
        </w:rPr>
        <w:t> </w:t>
      </w:r>
      <w:r>
        <w:rPr/>
        <w:t>night,</w:t>
      </w:r>
      <w:r>
        <w:rPr>
          <w:spacing w:val="-17"/>
        </w:rPr>
        <w:t> </w:t>
      </w:r>
      <w:r>
        <w:rPr/>
        <w:t>seven</w:t>
      </w:r>
      <w:r>
        <w:rPr>
          <w:spacing w:val="-17"/>
        </w:rPr>
        <w:t> </w:t>
      </w:r>
      <w:r>
        <w:rPr/>
        <w:t>people</w:t>
      </w:r>
      <w:r>
        <w:rPr>
          <w:spacing w:val="-17"/>
        </w:rPr>
        <w:t> </w:t>
      </w:r>
      <w:r>
        <w:rPr/>
        <w:t>spoke</w:t>
      </w:r>
      <w:r>
        <w:rPr>
          <w:spacing w:val="-17"/>
        </w:rPr>
        <w:t> </w:t>
      </w:r>
      <w:r>
        <w:rPr/>
        <w:t>on</w:t>
      </w:r>
      <w:r>
        <w:rPr>
          <w:spacing w:val="-17"/>
        </w:rPr>
        <w:t> </w:t>
      </w:r>
      <w:r>
        <w:rPr/>
        <w:t>the</w:t>
      </w:r>
      <w:r>
        <w:rPr>
          <w:spacing w:val="-17"/>
        </w:rPr>
        <w:t> </w:t>
      </w:r>
      <w:r>
        <w:rPr/>
        <w:t>theme ‘Building</w:t>
      </w:r>
      <w:r>
        <w:rPr>
          <w:spacing w:val="-18"/>
        </w:rPr>
        <w:t> </w:t>
      </w:r>
      <w:r>
        <w:rPr>
          <w:spacing w:val="2"/>
        </w:rPr>
        <w:t>Respectful</w:t>
      </w:r>
      <w:r>
        <w:rPr>
          <w:spacing w:val="-18"/>
        </w:rPr>
        <w:t> </w:t>
      </w:r>
      <w:r>
        <w:rPr/>
        <w:t>Relationships</w:t>
      </w:r>
      <w:r>
        <w:rPr>
          <w:spacing w:val="-18"/>
        </w:rPr>
        <w:t> </w:t>
      </w:r>
      <w:r>
        <w:rPr/>
        <w:t>in</w:t>
      </w:r>
      <w:r>
        <w:rPr>
          <w:spacing w:val="-18"/>
        </w:rPr>
        <w:t> </w:t>
      </w:r>
      <w:r>
        <w:rPr/>
        <w:t>Diverse Communities’,</w:t>
      </w:r>
      <w:r>
        <w:rPr>
          <w:spacing w:val="-22"/>
        </w:rPr>
        <w:t> </w:t>
      </w:r>
      <w:r>
        <w:rPr/>
        <w:t>relating</w:t>
      </w:r>
      <w:r>
        <w:rPr>
          <w:spacing w:val="-22"/>
        </w:rPr>
        <w:t> </w:t>
      </w:r>
      <w:r>
        <w:rPr/>
        <w:t>this</w:t>
      </w:r>
      <w:r>
        <w:rPr>
          <w:spacing w:val="-22"/>
        </w:rPr>
        <w:t> </w:t>
      </w:r>
      <w:r>
        <w:rPr/>
        <w:t>to</w:t>
      </w:r>
      <w:r>
        <w:rPr>
          <w:spacing w:val="-22"/>
        </w:rPr>
        <w:t> </w:t>
      </w:r>
      <w:r>
        <w:rPr/>
        <w:t>their</w:t>
      </w:r>
      <w:r>
        <w:rPr>
          <w:spacing w:val="-22"/>
        </w:rPr>
        <w:t> </w:t>
      </w:r>
      <w:r>
        <w:rPr/>
        <w:t>area</w:t>
      </w:r>
      <w:r>
        <w:rPr>
          <w:spacing w:val="-22"/>
        </w:rPr>
        <w:t> </w:t>
      </w:r>
      <w:r>
        <w:rPr/>
        <w:t>of</w:t>
      </w:r>
    </w:p>
    <w:p>
      <w:pPr>
        <w:pStyle w:val="BodyText"/>
        <w:spacing w:line="249" w:lineRule="auto"/>
        <w:ind w:left="107" w:right="5"/>
      </w:pPr>
      <w:r>
        <w:rPr/>
        <w:t>expertise.</w:t>
      </w:r>
      <w:r>
        <w:rPr>
          <w:spacing w:val="-18"/>
        </w:rPr>
        <w:t> </w:t>
      </w:r>
      <w:r>
        <w:rPr/>
        <w:t>There</w:t>
      </w:r>
      <w:r>
        <w:rPr>
          <w:spacing w:val="-18"/>
        </w:rPr>
        <w:t> </w:t>
      </w:r>
      <w:r>
        <w:rPr/>
        <w:t>were</w:t>
      </w:r>
      <w:r>
        <w:rPr>
          <w:spacing w:val="-18"/>
        </w:rPr>
        <w:t> </w:t>
      </w:r>
      <w:r>
        <w:rPr/>
        <w:t>60</w:t>
      </w:r>
      <w:r>
        <w:rPr>
          <w:spacing w:val="-18"/>
        </w:rPr>
        <w:t> </w:t>
      </w:r>
      <w:r>
        <w:rPr/>
        <w:t>attendees</w:t>
      </w:r>
      <w:r>
        <w:rPr>
          <w:spacing w:val="-18"/>
        </w:rPr>
        <w:t> </w:t>
      </w:r>
      <w:r>
        <w:rPr/>
        <w:t>and</w:t>
      </w:r>
      <w:r>
        <w:rPr>
          <w:spacing w:val="-18"/>
        </w:rPr>
        <w:t> </w:t>
      </w:r>
      <w:r>
        <w:rPr/>
        <w:t>future alumni events are now being planned. The School continues to work with Advancement and</w:t>
      </w:r>
      <w:r>
        <w:rPr>
          <w:spacing w:val="-13"/>
        </w:rPr>
        <w:t> </w:t>
      </w:r>
      <w:r>
        <w:rPr/>
        <w:t>Alumni</w:t>
      </w:r>
      <w:r>
        <w:rPr>
          <w:spacing w:val="-13"/>
        </w:rPr>
        <w:t> </w:t>
      </w:r>
      <w:r>
        <w:rPr/>
        <w:t>to</w:t>
      </w:r>
      <w:r>
        <w:rPr>
          <w:spacing w:val="-13"/>
        </w:rPr>
        <w:t> </w:t>
      </w:r>
      <w:r>
        <w:rPr/>
        <w:t>build</w:t>
      </w:r>
      <w:r>
        <w:rPr>
          <w:spacing w:val="-13"/>
        </w:rPr>
        <w:t> </w:t>
      </w:r>
      <w:r>
        <w:rPr/>
        <w:t>the</w:t>
      </w:r>
      <w:r>
        <w:rPr>
          <w:spacing w:val="-13"/>
        </w:rPr>
        <w:t> </w:t>
      </w:r>
      <w:r>
        <w:rPr/>
        <w:t>scholarship</w:t>
      </w:r>
      <w:r>
        <w:rPr>
          <w:spacing w:val="-13"/>
        </w:rPr>
        <w:t> </w:t>
      </w:r>
      <w:r>
        <w:rPr/>
        <w:t>and</w:t>
      </w:r>
      <w:r>
        <w:rPr>
          <w:spacing w:val="-13"/>
        </w:rPr>
        <w:t> </w:t>
      </w:r>
      <w:r>
        <w:rPr/>
        <w:t>donor award portfolio across its disciplines and to increase</w:t>
      </w:r>
      <w:r>
        <w:rPr>
          <w:spacing w:val="-21"/>
        </w:rPr>
        <w:t> </w:t>
      </w:r>
      <w:r>
        <w:rPr/>
        <w:t>engagement</w:t>
      </w:r>
      <w:r>
        <w:rPr>
          <w:spacing w:val="-21"/>
        </w:rPr>
        <w:t> </w:t>
      </w:r>
      <w:r>
        <w:rPr/>
        <w:t>with</w:t>
      </w:r>
      <w:r>
        <w:rPr>
          <w:spacing w:val="-21"/>
        </w:rPr>
        <w:t> </w:t>
      </w:r>
      <w:r>
        <w:rPr/>
        <w:t>its</w:t>
      </w:r>
      <w:r>
        <w:rPr>
          <w:spacing w:val="-21"/>
        </w:rPr>
        <w:t> </w:t>
      </w:r>
      <w:r>
        <w:rPr/>
        <w:t>alumni</w:t>
      </w:r>
      <w:r>
        <w:rPr>
          <w:spacing w:val="-21"/>
        </w:rPr>
        <w:t> </w:t>
      </w:r>
      <w:r>
        <w:rPr/>
        <w:t>network.</w:t>
      </w:r>
    </w:p>
    <w:p>
      <w:pPr>
        <w:pStyle w:val="BodyText"/>
        <w:spacing w:before="7"/>
        <w:rPr>
          <w:sz w:val="21"/>
        </w:rPr>
      </w:pPr>
    </w:p>
    <w:p>
      <w:pPr>
        <w:pStyle w:val="Heading8"/>
      </w:pPr>
      <w:r>
        <w:rPr>
          <w:w w:val="95"/>
        </w:rPr>
        <w:t>GRADUATE DESTINATIONS</w:t>
      </w:r>
    </w:p>
    <w:p>
      <w:pPr>
        <w:pStyle w:val="BodyText"/>
        <w:spacing w:line="249" w:lineRule="auto" w:before="86"/>
        <w:ind w:left="107"/>
      </w:pPr>
      <w:r>
        <w:rPr>
          <w:w w:val="94"/>
        </w:rPr>
        <w:t>The</w:t>
      </w:r>
      <w:r>
        <w:rPr>
          <w:spacing w:val="-12"/>
          <w:w w:val="94"/>
        </w:rPr>
        <w:t> </w:t>
      </w:r>
      <w:r>
        <w:rPr>
          <w:w w:val="98"/>
        </w:rPr>
        <w:t>School</w:t>
      </w:r>
      <w:r>
        <w:rPr>
          <w:spacing w:val="-14"/>
          <w:w w:val="98"/>
        </w:rPr>
        <w:t> </w:t>
      </w:r>
      <w:r>
        <w:rPr>
          <w:w w:val="97"/>
        </w:rPr>
        <w:t>held</w:t>
      </w:r>
      <w:r>
        <w:rPr>
          <w:spacing w:val="-14"/>
          <w:w w:val="97"/>
        </w:rPr>
        <w:t> </w:t>
      </w:r>
      <w:r>
        <w:rPr>
          <w:spacing w:val="-1"/>
          <w:w w:val="101"/>
        </w:rPr>
        <w:t>two</w:t>
      </w:r>
      <w:r>
        <w:rPr>
          <w:spacing w:val="-16"/>
          <w:w w:val="101"/>
        </w:rPr>
        <w:t> </w:t>
      </w:r>
      <w:r>
        <w:rPr>
          <w:spacing w:val="-1"/>
          <w:w w:val="97"/>
        </w:rPr>
        <w:t>events</w:t>
      </w:r>
      <w:r>
        <w:rPr>
          <w:spacing w:val="-14"/>
          <w:w w:val="97"/>
        </w:rPr>
        <w:t> </w:t>
      </w:r>
      <w:r>
        <w:rPr>
          <w:spacing w:val="-1"/>
          <w:w w:val="95"/>
        </w:rPr>
        <w:t>in</w:t>
      </w:r>
      <w:r>
        <w:rPr>
          <w:spacing w:val="-13"/>
          <w:w w:val="95"/>
        </w:rPr>
        <w:t> </w:t>
      </w:r>
      <w:r>
        <w:rPr>
          <w:w w:val="88"/>
        </w:rPr>
        <w:t>2015</w:t>
      </w:r>
      <w:r>
        <w:rPr>
          <w:spacing w:val="-9"/>
          <w:w w:val="88"/>
        </w:rPr>
        <w:t> </w:t>
      </w:r>
      <w:r>
        <w:rPr>
          <w:spacing w:val="-1"/>
          <w:w w:val="98"/>
        </w:rPr>
        <w:t>for</w:t>
      </w:r>
      <w:r>
        <w:rPr>
          <w:spacing w:val="-14"/>
          <w:w w:val="98"/>
        </w:rPr>
        <w:t> </w:t>
      </w:r>
      <w:r>
        <w:rPr>
          <w:w w:val="97"/>
        </w:rPr>
        <w:t>students </w:t>
      </w:r>
      <w:r>
        <w:rPr/>
        <w:t>from its Psychology and Social Work cohorts, focusing</w:t>
      </w:r>
      <w:r>
        <w:rPr>
          <w:spacing w:val="-28"/>
        </w:rPr>
        <w:t> </w:t>
      </w:r>
      <w:r>
        <w:rPr/>
        <w:t>on</w:t>
      </w:r>
      <w:r>
        <w:rPr>
          <w:spacing w:val="-28"/>
        </w:rPr>
        <w:t> </w:t>
      </w:r>
      <w:r>
        <w:rPr/>
        <w:t>education</w:t>
      </w:r>
      <w:r>
        <w:rPr>
          <w:spacing w:val="-28"/>
        </w:rPr>
        <w:t> </w:t>
      </w:r>
      <w:r>
        <w:rPr/>
        <w:t>and</w:t>
      </w:r>
      <w:r>
        <w:rPr>
          <w:spacing w:val="-28"/>
        </w:rPr>
        <w:t> </w:t>
      </w:r>
      <w:r>
        <w:rPr/>
        <w:t>career</w:t>
      </w:r>
      <w:r>
        <w:rPr>
          <w:spacing w:val="-28"/>
        </w:rPr>
        <w:t> </w:t>
      </w:r>
      <w:r>
        <w:rPr/>
        <w:t>options</w:t>
      </w:r>
    </w:p>
    <w:p>
      <w:pPr>
        <w:pStyle w:val="BodyText"/>
        <w:spacing w:line="249" w:lineRule="auto"/>
        <w:ind w:left="107" w:right="432"/>
      </w:pPr>
      <w:r>
        <w:rPr/>
        <w:t>after</w:t>
      </w:r>
      <w:r>
        <w:rPr>
          <w:spacing w:val="-29"/>
        </w:rPr>
        <w:t> </w:t>
      </w:r>
      <w:r>
        <w:rPr/>
        <w:t>third</w:t>
      </w:r>
      <w:r>
        <w:rPr>
          <w:spacing w:val="-29"/>
        </w:rPr>
        <w:t> </w:t>
      </w:r>
      <w:r>
        <w:rPr/>
        <w:t>year</w:t>
      </w:r>
      <w:r>
        <w:rPr>
          <w:spacing w:val="-29"/>
        </w:rPr>
        <w:t> </w:t>
      </w:r>
      <w:r>
        <w:rPr/>
        <w:t>and</w:t>
      </w:r>
      <w:r>
        <w:rPr>
          <w:spacing w:val="-29"/>
        </w:rPr>
        <w:t> </w:t>
      </w:r>
      <w:r>
        <w:rPr/>
        <w:t>improving</w:t>
      </w:r>
      <w:r>
        <w:rPr>
          <w:spacing w:val="-29"/>
        </w:rPr>
        <w:t> </w:t>
      </w:r>
      <w:r>
        <w:rPr/>
        <w:t>graduates’ </w:t>
      </w:r>
      <w:r>
        <w:rPr>
          <w:w w:val="95"/>
        </w:rPr>
        <w:t>job placements. Industry</w:t>
      </w:r>
      <w:r>
        <w:rPr>
          <w:spacing w:val="-3"/>
          <w:w w:val="95"/>
        </w:rPr>
        <w:t> </w:t>
      </w:r>
      <w:r>
        <w:rPr>
          <w:w w:val="95"/>
        </w:rPr>
        <w:t>representatives</w:t>
      </w:r>
    </w:p>
    <w:p>
      <w:pPr>
        <w:pStyle w:val="BodyText"/>
        <w:spacing w:line="249" w:lineRule="auto"/>
        <w:ind w:left="107" w:right="33"/>
      </w:pPr>
      <w:r>
        <w:rPr/>
        <w:t>attended,</w:t>
      </w:r>
      <w:r>
        <w:rPr>
          <w:spacing w:val="-25"/>
        </w:rPr>
        <w:t> </w:t>
      </w:r>
      <w:r>
        <w:rPr/>
        <w:t>generating</w:t>
      </w:r>
      <w:r>
        <w:rPr>
          <w:spacing w:val="-25"/>
        </w:rPr>
        <w:t> </w:t>
      </w:r>
      <w:r>
        <w:rPr/>
        <w:t>opportunities</w:t>
      </w:r>
      <w:r>
        <w:rPr>
          <w:spacing w:val="-25"/>
        </w:rPr>
        <w:t> </w:t>
      </w:r>
      <w:r>
        <w:rPr/>
        <w:t>to</w:t>
      </w:r>
      <w:r>
        <w:rPr>
          <w:spacing w:val="-25"/>
        </w:rPr>
        <w:t> </w:t>
      </w:r>
      <w:r>
        <w:rPr/>
        <w:t>pursue research</w:t>
      </w:r>
      <w:r>
        <w:rPr>
          <w:spacing w:val="-31"/>
        </w:rPr>
        <w:t> </w:t>
      </w:r>
      <w:r>
        <w:rPr/>
        <w:t>collaborations</w:t>
      </w:r>
      <w:r>
        <w:rPr>
          <w:spacing w:val="-31"/>
        </w:rPr>
        <w:t> </w:t>
      </w:r>
      <w:r>
        <w:rPr/>
        <w:t>and</w:t>
      </w:r>
      <w:r>
        <w:rPr>
          <w:spacing w:val="-31"/>
        </w:rPr>
        <w:t> </w:t>
      </w:r>
      <w:r>
        <w:rPr/>
        <w:t>identify</w:t>
      </w:r>
      <w:r>
        <w:rPr>
          <w:spacing w:val="-31"/>
        </w:rPr>
        <w:t> </w:t>
      </w:r>
      <w:r>
        <w:rPr/>
        <w:t>placement opportunities.</w:t>
      </w:r>
    </w:p>
    <w:p>
      <w:pPr>
        <w:pStyle w:val="BodyText"/>
        <w:spacing w:before="7"/>
        <w:rPr>
          <w:sz w:val="21"/>
        </w:rPr>
      </w:pPr>
    </w:p>
    <w:p>
      <w:pPr>
        <w:pStyle w:val="Heading8"/>
      </w:pPr>
      <w:r>
        <w:rPr>
          <w:w w:val="95"/>
        </w:rPr>
        <w:t>INTERNATIONAL  ENGAGEMENT</w:t>
      </w:r>
    </w:p>
    <w:p>
      <w:pPr>
        <w:pStyle w:val="BodyText"/>
        <w:spacing w:line="249" w:lineRule="auto" w:before="86"/>
        <w:ind w:left="107" w:right="147"/>
      </w:pPr>
      <w:r>
        <w:rPr>
          <w:spacing w:val="1"/>
          <w:w w:val="80"/>
        </w:rPr>
        <w:t>In</w:t>
      </w:r>
      <w:r>
        <w:rPr>
          <w:w w:val="80"/>
        </w:rPr>
        <w:t> </w:t>
      </w:r>
      <w:r>
        <w:rPr>
          <w:spacing w:val="1"/>
          <w:w w:val="84"/>
        </w:rPr>
        <w:t>2015,</w:t>
      </w:r>
      <w:r>
        <w:rPr>
          <w:w w:val="84"/>
        </w:rPr>
        <w:t> </w:t>
      </w:r>
      <w:r>
        <w:rPr>
          <w:spacing w:val="1"/>
          <w:w w:val="97"/>
        </w:rPr>
        <w:t>staff</w:t>
      </w:r>
      <w:r>
        <w:rPr>
          <w:w w:val="97"/>
        </w:rPr>
        <w:t> </w:t>
      </w:r>
      <w:r>
        <w:rPr>
          <w:spacing w:val="1"/>
          <w:w w:val="97"/>
        </w:rPr>
        <w:t>members</w:t>
      </w:r>
      <w:r>
        <w:rPr>
          <w:w w:val="97"/>
        </w:rPr>
        <w:t> </w:t>
      </w:r>
      <w:r>
        <w:rPr>
          <w:w w:val="98"/>
        </w:rPr>
        <w:t>visited </w:t>
      </w:r>
      <w:r>
        <w:rPr>
          <w:spacing w:val="1"/>
          <w:w w:val="90"/>
        </w:rPr>
        <w:t>Indonesia,</w:t>
      </w:r>
      <w:r>
        <w:rPr>
          <w:w w:val="90"/>
        </w:rPr>
        <w:t> </w:t>
      </w:r>
      <w:r>
        <w:rPr/>
        <w:t>India,</w:t>
      </w:r>
      <w:r>
        <w:rPr>
          <w:spacing w:val="-26"/>
        </w:rPr>
        <w:t> </w:t>
      </w:r>
      <w:r>
        <w:rPr/>
        <w:t>Sri</w:t>
      </w:r>
      <w:r>
        <w:rPr>
          <w:spacing w:val="-26"/>
        </w:rPr>
        <w:t> </w:t>
      </w:r>
      <w:r>
        <w:rPr/>
        <w:t>Lanka,</w:t>
      </w:r>
      <w:r>
        <w:rPr>
          <w:spacing w:val="-26"/>
        </w:rPr>
        <w:t> </w:t>
      </w:r>
      <w:r>
        <w:rPr>
          <w:spacing w:val="2"/>
        </w:rPr>
        <w:t>Ghana,</w:t>
      </w:r>
      <w:r>
        <w:rPr>
          <w:spacing w:val="-26"/>
        </w:rPr>
        <w:t> </w:t>
      </w:r>
      <w:r>
        <w:rPr/>
        <w:t>Nigeria</w:t>
      </w:r>
      <w:r>
        <w:rPr>
          <w:spacing w:val="-26"/>
        </w:rPr>
        <w:t> </w:t>
      </w:r>
      <w:r>
        <w:rPr/>
        <w:t>and</w:t>
      </w:r>
      <w:r>
        <w:rPr>
          <w:spacing w:val="-26"/>
        </w:rPr>
        <w:t> </w:t>
      </w:r>
      <w:r>
        <w:rPr/>
        <w:t>Vietnam seeking</w:t>
      </w:r>
      <w:r>
        <w:rPr>
          <w:spacing w:val="-13"/>
        </w:rPr>
        <w:t> </w:t>
      </w:r>
      <w:r>
        <w:rPr/>
        <w:t>PhD</w:t>
      </w:r>
      <w:r>
        <w:rPr>
          <w:spacing w:val="-13"/>
        </w:rPr>
        <w:t> </w:t>
      </w:r>
      <w:r>
        <w:rPr/>
        <w:t>opportunities</w:t>
      </w:r>
      <w:r>
        <w:rPr>
          <w:spacing w:val="-13"/>
        </w:rPr>
        <w:t> </w:t>
      </w:r>
      <w:r>
        <w:rPr/>
        <w:t>and</w:t>
      </w:r>
      <w:r>
        <w:rPr>
          <w:spacing w:val="-13"/>
        </w:rPr>
        <w:t> </w:t>
      </w:r>
      <w:r>
        <w:rPr/>
        <w:t>partnerships for</w:t>
      </w:r>
      <w:r>
        <w:rPr>
          <w:spacing w:val="-16"/>
        </w:rPr>
        <w:t> </w:t>
      </w:r>
      <w:r>
        <w:rPr/>
        <w:t>student</w:t>
      </w:r>
      <w:r>
        <w:rPr>
          <w:spacing w:val="-16"/>
        </w:rPr>
        <w:t> </w:t>
      </w:r>
      <w:r>
        <w:rPr/>
        <w:t>placements</w:t>
      </w:r>
      <w:r>
        <w:rPr>
          <w:spacing w:val="-16"/>
        </w:rPr>
        <w:t> </w:t>
      </w:r>
      <w:r>
        <w:rPr/>
        <w:t>as</w:t>
      </w:r>
      <w:r>
        <w:rPr>
          <w:spacing w:val="-16"/>
        </w:rPr>
        <w:t> </w:t>
      </w:r>
      <w:r>
        <w:rPr>
          <w:spacing w:val="2"/>
        </w:rPr>
        <w:t>part</w:t>
      </w:r>
      <w:r>
        <w:rPr>
          <w:spacing w:val="-16"/>
        </w:rPr>
        <w:t> </w:t>
      </w:r>
      <w:r>
        <w:rPr/>
        <w:t>of</w:t>
      </w:r>
      <w:r>
        <w:rPr>
          <w:spacing w:val="-16"/>
        </w:rPr>
        <w:t> </w:t>
      </w:r>
      <w:r>
        <w:rPr/>
        <w:t>the</w:t>
      </w:r>
      <w:r>
        <w:rPr>
          <w:spacing w:val="-16"/>
        </w:rPr>
        <w:t> </w:t>
      </w:r>
      <w:r>
        <w:rPr/>
        <w:t>new</w:t>
      </w:r>
    </w:p>
    <w:p>
      <w:pPr>
        <w:pStyle w:val="BodyText"/>
        <w:spacing w:before="2"/>
        <w:rPr>
          <w:sz w:val="20"/>
        </w:rPr>
      </w:pPr>
      <w:r>
        <w:rPr/>
        <w:br w:type="column"/>
      </w:r>
      <w:r>
        <w:rPr>
          <w:sz w:val="20"/>
        </w:rPr>
      </w:r>
    </w:p>
    <w:p>
      <w:pPr>
        <w:pStyle w:val="BodyText"/>
        <w:spacing w:line="249" w:lineRule="auto"/>
        <w:ind w:left="107" w:right="135"/>
      </w:pPr>
      <w:r>
        <w:rPr/>
        <w:t>International Placement Unit. Some students also travelled on international field trips through the New Colombo Plan programs, with 19 students visiting India, 15 visiting </w:t>
      </w:r>
      <w:r>
        <w:rPr>
          <w:spacing w:val="1"/>
          <w:w w:val="98"/>
        </w:rPr>
        <w:t>Vietnam</w:t>
      </w:r>
      <w:r>
        <w:rPr>
          <w:w w:val="98"/>
        </w:rPr>
        <w:t> </w:t>
      </w:r>
      <w:r>
        <w:rPr>
          <w:spacing w:val="1"/>
          <w:w w:val="97"/>
        </w:rPr>
        <w:t>and</w:t>
      </w:r>
      <w:r>
        <w:rPr>
          <w:w w:val="97"/>
        </w:rPr>
        <w:t> </w:t>
      </w:r>
      <w:r>
        <w:rPr>
          <w:spacing w:val="2"/>
          <w:w w:val="82"/>
        </w:rPr>
        <w:t>10</w:t>
      </w:r>
      <w:r>
        <w:rPr>
          <w:w w:val="82"/>
        </w:rPr>
        <w:t> </w:t>
      </w:r>
      <w:r>
        <w:rPr>
          <w:spacing w:val="1"/>
          <w:w w:val="99"/>
        </w:rPr>
        <w:t>going</w:t>
      </w:r>
      <w:r>
        <w:rPr>
          <w:w w:val="99"/>
        </w:rPr>
        <w:t> </w:t>
      </w:r>
      <w:r>
        <w:rPr>
          <w:spacing w:val="-1"/>
          <w:w w:val="101"/>
        </w:rPr>
        <w:t>to</w:t>
      </w:r>
      <w:r>
        <w:rPr>
          <w:w w:val="101"/>
        </w:rPr>
        <w:t> </w:t>
      </w:r>
      <w:r>
        <w:rPr>
          <w:spacing w:val="1"/>
          <w:w w:val="90"/>
        </w:rPr>
        <w:t>Indonesia.</w:t>
      </w:r>
      <w:r>
        <w:rPr>
          <w:w w:val="90"/>
        </w:rPr>
        <w:t> </w:t>
      </w:r>
      <w:r>
        <w:rPr>
          <w:spacing w:val="1"/>
          <w:w w:val="94"/>
        </w:rPr>
        <w:t>The</w:t>
      </w:r>
      <w:r>
        <w:rPr>
          <w:w w:val="94"/>
        </w:rPr>
        <w:t> </w:t>
      </w:r>
      <w:r>
        <w:rPr/>
        <w:t>School has built a framework to facilitate student</w:t>
      </w:r>
      <w:r>
        <w:rPr>
          <w:spacing w:val="-15"/>
        </w:rPr>
        <w:t> </w:t>
      </w:r>
      <w:r>
        <w:rPr/>
        <w:t>mobility</w:t>
      </w:r>
      <w:r>
        <w:rPr>
          <w:spacing w:val="-15"/>
        </w:rPr>
        <w:t> </w:t>
      </w:r>
      <w:r>
        <w:rPr/>
        <w:t>and</w:t>
      </w:r>
      <w:r>
        <w:rPr>
          <w:spacing w:val="-15"/>
        </w:rPr>
        <w:t> </w:t>
      </w:r>
      <w:r>
        <w:rPr/>
        <w:t>international</w:t>
      </w:r>
      <w:r>
        <w:rPr>
          <w:spacing w:val="-15"/>
        </w:rPr>
        <w:t> </w:t>
      </w:r>
      <w:r>
        <w:rPr/>
        <w:t>placements with</w:t>
      </w:r>
      <w:r>
        <w:rPr>
          <w:spacing w:val="-30"/>
        </w:rPr>
        <w:t> </w:t>
      </w:r>
      <w:r>
        <w:rPr/>
        <w:t>universities</w:t>
      </w:r>
      <w:r>
        <w:rPr>
          <w:spacing w:val="-30"/>
        </w:rPr>
        <w:t> </w:t>
      </w:r>
      <w:r>
        <w:rPr/>
        <w:t>in</w:t>
      </w:r>
      <w:r>
        <w:rPr>
          <w:spacing w:val="-30"/>
        </w:rPr>
        <w:t> </w:t>
      </w:r>
      <w:r>
        <w:rPr/>
        <w:t>Indonesia</w:t>
      </w:r>
      <w:r>
        <w:rPr>
          <w:spacing w:val="-30"/>
        </w:rPr>
        <w:t> </w:t>
      </w:r>
      <w:r>
        <w:rPr/>
        <w:t>and</w:t>
      </w:r>
      <w:r>
        <w:rPr>
          <w:spacing w:val="-30"/>
        </w:rPr>
        <w:t> </w:t>
      </w:r>
      <w:r>
        <w:rPr/>
        <w:t>India.</w:t>
      </w:r>
    </w:p>
    <w:p>
      <w:pPr>
        <w:pStyle w:val="BodyText"/>
        <w:spacing w:before="7"/>
        <w:rPr>
          <w:sz w:val="21"/>
        </w:rPr>
      </w:pPr>
    </w:p>
    <w:p>
      <w:pPr>
        <w:pStyle w:val="Heading8"/>
        <w:spacing w:line="249" w:lineRule="auto"/>
        <w:ind w:right="112"/>
      </w:pPr>
      <w:r>
        <w:rPr>
          <w:w w:val="95"/>
        </w:rPr>
        <w:t>LOCAL, NATIONAL AND INTERNATIONAL </w:t>
      </w:r>
      <w:r>
        <w:rPr/>
        <w:t>SYMPOSIUMS</w:t>
      </w:r>
    </w:p>
    <w:p>
      <w:pPr>
        <w:pStyle w:val="BodyText"/>
        <w:spacing w:line="249" w:lineRule="auto" w:before="79"/>
        <w:ind w:left="107" w:right="182"/>
      </w:pPr>
      <w:r>
        <w:rPr/>
        <w:t>The School held a number of symposiums </w:t>
      </w:r>
      <w:r>
        <w:rPr>
          <w:spacing w:val="1"/>
          <w:w w:val="97"/>
        </w:rPr>
        <w:t>and</w:t>
      </w:r>
      <w:r>
        <w:rPr>
          <w:spacing w:val="-8"/>
          <w:w w:val="97"/>
        </w:rPr>
        <w:t> </w:t>
      </w:r>
      <w:r>
        <w:rPr>
          <w:w w:val="97"/>
        </w:rPr>
        <w:t>events</w:t>
      </w:r>
      <w:r>
        <w:rPr>
          <w:spacing w:val="-8"/>
          <w:w w:val="97"/>
        </w:rPr>
        <w:t> </w:t>
      </w:r>
      <w:r>
        <w:rPr>
          <w:w w:val="95"/>
        </w:rPr>
        <w:t>in</w:t>
      </w:r>
      <w:r>
        <w:rPr>
          <w:spacing w:val="-7"/>
          <w:w w:val="95"/>
        </w:rPr>
        <w:t> </w:t>
      </w:r>
      <w:r>
        <w:rPr>
          <w:spacing w:val="1"/>
          <w:w w:val="84"/>
        </w:rPr>
        <w:t>2015,</w:t>
      </w:r>
      <w:r>
        <w:rPr>
          <w:spacing w:val="-2"/>
          <w:w w:val="84"/>
        </w:rPr>
        <w:t> </w:t>
      </w:r>
      <w:r>
        <w:rPr>
          <w:spacing w:val="1"/>
          <w:w w:val="97"/>
        </w:rPr>
        <w:t>including</w:t>
      </w:r>
      <w:r>
        <w:rPr>
          <w:spacing w:val="-8"/>
          <w:w w:val="97"/>
        </w:rPr>
        <w:t> </w:t>
      </w:r>
      <w:r>
        <w:rPr>
          <w:w w:val="97"/>
        </w:rPr>
        <w:t>the</w:t>
      </w:r>
      <w:r>
        <w:rPr>
          <w:spacing w:val="-8"/>
          <w:w w:val="97"/>
        </w:rPr>
        <w:t> </w:t>
      </w:r>
      <w:r>
        <w:rPr>
          <w:spacing w:val="1"/>
          <w:w w:val="97"/>
        </w:rPr>
        <w:t>Religion</w:t>
      </w:r>
      <w:r>
        <w:rPr>
          <w:spacing w:val="-8"/>
          <w:w w:val="97"/>
        </w:rPr>
        <w:t> </w:t>
      </w:r>
      <w:r>
        <w:rPr>
          <w:spacing w:val="1"/>
          <w:w w:val="97"/>
        </w:rPr>
        <w:t>and</w:t>
      </w:r>
      <w:r>
        <w:rPr>
          <w:w w:val="97"/>
        </w:rPr>
        <w:t> </w:t>
      </w:r>
      <w:r>
        <w:rPr/>
        <w:t>Society Research cluster’s one-day national symposium, Theorising Belief Through Monsters and the Supernatural. The cluster, with the School of Law, also hosted a two- day</w:t>
      </w:r>
      <w:r>
        <w:rPr>
          <w:spacing w:val="-25"/>
        </w:rPr>
        <w:t> </w:t>
      </w:r>
      <w:r>
        <w:rPr/>
        <w:t>international</w:t>
      </w:r>
      <w:r>
        <w:rPr>
          <w:spacing w:val="-25"/>
        </w:rPr>
        <w:t> </w:t>
      </w:r>
      <w:r>
        <w:rPr/>
        <w:t>symposium,</w:t>
      </w:r>
      <w:r>
        <w:rPr>
          <w:spacing w:val="-25"/>
        </w:rPr>
        <w:t> </w:t>
      </w:r>
      <w:r>
        <w:rPr/>
        <w:t>Shari’a,</w:t>
      </w:r>
      <w:r>
        <w:rPr>
          <w:spacing w:val="-25"/>
        </w:rPr>
        <w:t> </w:t>
      </w:r>
      <w:r>
        <w:rPr/>
        <w:t>Culture and</w:t>
      </w:r>
      <w:r>
        <w:rPr>
          <w:spacing w:val="-17"/>
        </w:rPr>
        <w:t> </w:t>
      </w:r>
      <w:r>
        <w:rPr/>
        <w:t>legal</w:t>
      </w:r>
      <w:r>
        <w:rPr>
          <w:spacing w:val="-17"/>
        </w:rPr>
        <w:t> </w:t>
      </w:r>
      <w:r>
        <w:rPr/>
        <w:t>Pluralism.</w:t>
      </w:r>
      <w:r>
        <w:rPr>
          <w:spacing w:val="-17"/>
        </w:rPr>
        <w:t> </w:t>
      </w:r>
      <w:r>
        <w:rPr/>
        <w:t>The</w:t>
      </w:r>
      <w:r>
        <w:rPr>
          <w:spacing w:val="-17"/>
        </w:rPr>
        <w:t> </w:t>
      </w:r>
      <w:r>
        <w:rPr/>
        <w:t>School</w:t>
      </w:r>
      <w:r>
        <w:rPr>
          <w:spacing w:val="-17"/>
        </w:rPr>
        <w:t> </w:t>
      </w:r>
      <w:r>
        <w:rPr/>
        <w:t>also</w:t>
      </w:r>
      <w:r>
        <w:rPr>
          <w:spacing w:val="-17"/>
        </w:rPr>
        <w:t> </w:t>
      </w:r>
      <w:r>
        <w:rPr/>
        <w:t>hosted</w:t>
      </w:r>
      <w:r>
        <w:rPr>
          <w:spacing w:val="-17"/>
        </w:rPr>
        <w:t> </w:t>
      </w:r>
      <w:r>
        <w:rPr/>
        <w:t>a two-day symposium, Policing Vulnerability: Challenges and Solutions. The University collaborated with RichmondPRA on an </w:t>
      </w:r>
      <w:r>
        <w:rPr>
          <w:spacing w:val="2"/>
        </w:rPr>
        <w:t>art </w:t>
      </w:r>
      <w:r>
        <w:rPr/>
        <w:t>exhibition from the Recovering Creativity Research Project, and also sponsored the </w:t>
      </w:r>
      <w:r>
        <w:rPr>
          <w:spacing w:val="2"/>
        </w:rPr>
        <w:t>APS</w:t>
      </w:r>
      <w:r>
        <w:rPr>
          <w:spacing w:val="-12"/>
        </w:rPr>
        <w:t> </w:t>
      </w:r>
      <w:r>
        <w:rPr/>
        <w:t>Forensic</w:t>
      </w:r>
      <w:r>
        <w:rPr>
          <w:spacing w:val="-12"/>
        </w:rPr>
        <w:t> </w:t>
      </w:r>
      <w:r>
        <w:rPr/>
        <w:t>Psychology</w:t>
      </w:r>
      <w:r>
        <w:rPr>
          <w:spacing w:val="-12"/>
        </w:rPr>
        <w:t> </w:t>
      </w:r>
      <w:r>
        <w:rPr/>
        <w:t>Conference,</w:t>
      </w:r>
      <w:r>
        <w:rPr>
          <w:spacing w:val="-12"/>
        </w:rPr>
        <w:t> </w:t>
      </w:r>
      <w:r>
        <w:rPr/>
        <w:t>the</w:t>
      </w:r>
    </w:p>
    <w:p>
      <w:pPr>
        <w:pStyle w:val="BodyText"/>
        <w:spacing w:line="249" w:lineRule="auto"/>
        <w:ind w:left="107" w:right="110"/>
      </w:pPr>
      <w:r>
        <w:rPr/>
        <w:t>Australasian</w:t>
      </w:r>
      <w:r>
        <w:rPr>
          <w:spacing w:val="-24"/>
        </w:rPr>
        <w:t> </w:t>
      </w:r>
      <w:r>
        <w:rPr/>
        <w:t>Conference</w:t>
      </w:r>
      <w:r>
        <w:rPr>
          <w:spacing w:val="-24"/>
        </w:rPr>
        <w:t> </w:t>
      </w:r>
      <w:r>
        <w:rPr/>
        <w:t>on</w:t>
      </w:r>
      <w:r>
        <w:rPr>
          <w:spacing w:val="-24"/>
        </w:rPr>
        <w:t> </w:t>
      </w:r>
      <w:r>
        <w:rPr/>
        <w:t>Islam,</w:t>
      </w:r>
      <w:r>
        <w:rPr>
          <w:spacing w:val="-24"/>
        </w:rPr>
        <w:t> </w:t>
      </w:r>
      <w:r>
        <w:rPr/>
        <w:t>the</w:t>
      </w:r>
      <w:r>
        <w:rPr>
          <w:spacing w:val="-24"/>
        </w:rPr>
        <w:t> </w:t>
      </w:r>
      <w:r>
        <w:rPr/>
        <w:t>Cronulla </w:t>
      </w:r>
      <w:r>
        <w:rPr>
          <w:spacing w:val="-3"/>
        </w:rPr>
        <w:t>Ten </w:t>
      </w:r>
      <w:r>
        <w:rPr/>
        <w:t>Years On symposium, and the Australian Conference on Personality and Individual </w:t>
      </w:r>
      <w:r>
        <w:rPr>
          <w:w w:val="95"/>
        </w:rPr>
        <w:t>Differences</w:t>
      </w:r>
      <w:r>
        <w:rPr>
          <w:spacing w:val="20"/>
          <w:w w:val="95"/>
        </w:rPr>
        <w:t> </w:t>
      </w:r>
      <w:r>
        <w:rPr>
          <w:w w:val="95"/>
        </w:rPr>
        <w:t>(ACPID).</w:t>
      </w:r>
    </w:p>
    <w:p>
      <w:pPr>
        <w:pStyle w:val="BodyText"/>
        <w:spacing w:before="7"/>
        <w:rPr>
          <w:sz w:val="21"/>
        </w:rPr>
      </w:pPr>
    </w:p>
    <w:p>
      <w:pPr>
        <w:pStyle w:val="Heading8"/>
        <w:ind w:right="112"/>
      </w:pPr>
      <w:r>
        <w:rPr>
          <w:w w:val="95"/>
        </w:rPr>
        <w:t>SOCIAL MEDIA</w:t>
      </w:r>
    </w:p>
    <w:p>
      <w:pPr>
        <w:pStyle w:val="BodyText"/>
        <w:spacing w:line="249" w:lineRule="auto" w:before="86"/>
        <w:ind w:left="107" w:right="143"/>
      </w:pPr>
      <w:r>
        <w:rPr/>
        <w:t>The School has expanded its social media presence, particularly with Facebook and Twitter. The School’s Facebook page now has more than 6500 followers, and posts are made four times a week. One post reached more than 49,000 people. The School also created a Twitter account called @SSAPChat to expand research visibility for academics and to promote the School’s research activities and success stories. Most tweets have links back to the School’s webpage.</w:t>
      </w:r>
    </w:p>
    <w:p>
      <w:pPr>
        <w:pStyle w:val="BodyText"/>
        <w:spacing w:line="249" w:lineRule="auto"/>
        <w:ind w:left="107" w:right="136"/>
      </w:pPr>
      <w:r>
        <w:rPr/>
        <w:t>The School’s account has grown from 18 </w:t>
      </w:r>
      <w:r>
        <w:rPr>
          <w:w w:val="97"/>
        </w:rPr>
        <w:t>followers </w:t>
      </w:r>
      <w:r>
        <w:rPr>
          <w:w w:val="101"/>
        </w:rPr>
        <w:t>to </w:t>
      </w:r>
      <w:r>
        <w:rPr>
          <w:w w:val="79"/>
        </w:rPr>
        <w:t>261, </w:t>
      </w:r>
      <w:r>
        <w:rPr>
          <w:w w:val="97"/>
        </w:rPr>
        <w:t>and had </w:t>
      </w:r>
      <w:r>
        <w:rPr>
          <w:w w:val="97"/>
        </w:rPr>
        <w:t>sent </w:t>
      </w:r>
      <w:r>
        <w:rPr>
          <w:w w:val="88"/>
        </w:rPr>
        <w:t>1,800 </w:t>
      </w:r>
      <w:r>
        <w:rPr>
          <w:w w:val="98"/>
        </w:rPr>
        <w:t>tweets </w:t>
      </w:r>
      <w:r>
        <w:rPr>
          <w:w w:val="102"/>
        </w:rPr>
        <w:t>by </w:t>
      </w:r>
      <w:r>
        <w:rPr>
          <w:w w:val="99"/>
        </w:rPr>
        <w:t>November </w:t>
      </w:r>
      <w:r>
        <w:rPr>
          <w:w w:val="84"/>
        </w:rPr>
        <w:t>2015.</w:t>
      </w:r>
    </w:p>
    <w:p>
      <w:pPr>
        <w:pStyle w:val="BodyText"/>
        <w:spacing w:before="7"/>
        <w:rPr>
          <w:sz w:val="21"/>
        </w:rPr>
      </w:pPr>
    </w:p>
    <w:p>
      <w:pPr>
        <w:pStyle w:val="Heading8"/>
        <w:ind w:right="112"/>
      </w:pPr>
      <w:r>
        <w:rPr>
          <w:w w:val="95"/>
        </w:rPr>
        <w:t>GLOBAL RANKINGS</w:t>
      </w:r>
    </w:p>
    <w:p>
      <w:pPr>
        <w:pStyle w:val="BodyText"/>
        <w:spacing w:line="249" w:lineRule="auto" w:before="86"/>
        <w:ind w:left="107" w:right="166"/>
      </w:pPr>
      <w:r>
        <w:rPr>
          <w:spacing w:val="1"/>
          <w:w w:val="80"/>
        </w:rPr>
        <w:t>In</w:t>
      </w:r>
      <w:r>
        <w:rPr>
          <w:w w:val="80"/>
        </w:rPr>
        <w:t> </w:t>
      </w:r>
      <w:r>
        <w:rPr>
          <w:spacing w:val="1"/>
          <w:w w:val="84"/>
        </w:rPr>
        <w:t>2015,</w:t>
      </w:r>
      <w:r>
        <w:rPr>
          <w:w w:val="84"/>
        </w:rPr>
        <w:t> </w:t>
      </w:r>
      <w:r>
        <w:rPr>
          <w:w w:val="97"/>
        </w:rPr>
        <w:t>the </w:t>
      </w:r>
      <w:r>
        <w:rPr>
          <w:spacing w:val="1"/>
          <w:w w:val="98"/>
        </w:rPr>
        <w:t>School’s</w:t>
      </w:r>
      <w:r>
        <w:rPr>
          <w:w w:val="98"/>
        </w:rPr>
        <w:t> </w:t>
      </w:r>
      <w:r>
        <w:rPr>
          <w:spacing w:val="1"/>
          <w:w w:val="99"/>
        </w:rPr>
        <w:t>Sociology</w:t>
      </w:r>
      <w:r>
        <w:rPr>
          <w:w w:val="99"/>
        </w:rPr>
        <w:t> </w:t>
      </w:r>
      <w:r>
        <w:rPr>
          <w:spacing w:val="1"/>
          <w:w w:val="97"/>
        </w:rPr>
        <w:t>and</w:t>
      </w:r>
      <w:r>
        <w:rPr>
          <w:w w:val="97"/>
        </w:rPr>
        <w:t> </w:t>
      </w:r>
      <w:r>
        <w:rPr/>
        <w:t>Psychology disciplines were in the </w:t>
      </w:r>
      <w:r>
        <w:rPr>
          <w:spacing w:val="-3"/>
        </w:rPr>
        <w:t>Top </w:t>
      </w:r>
      <w:r>
        <w:rPr>
          <w:spacing w:val="2"/>
        </w:rPr>
        <w:t>200 </w:t>
      </w:r>
      <w:r>
        <w:rPr/>
        <w:t>globally in the QS World University Rankings by Subject. In the QS World Rankings by Faculty,</w:t>
      </w:r>
      <w:r>
        <w:rPr>
          <w:spacing w:val="-19"/>
        </w:rPr>
        <w:t> </w:t>
      </w:r>
      <w:r>
        <w:rPr/>
        <w:t>the</w:t>
      </w:r>
      <w:r>
        <w:rPr>
          <w:spacing w:val="-19"/>
        </w:rPr>
        <w:t> </w:t>
      </w:r>
      <w:r>
        <w:rPr/>
        <w:t>Social</w:t>
      </w:r>
      <w:r>
        <w:rPr>
          <w:spacing w:val="-19"/>
        </w:rPr>
        <w:t> </w:t>
      </w:r>
      <w:r>
        <w:rPr/>
        <w:t>Sciences</w:t>
      </w:r>
      <w:r>
        <w:rPr>
          <w:spacing w:val="-19"/>
        </w:rPr>
        <w:t> </w:t>
      </w:r>
      <w:r>
        <w:rPr/>
        <w:t>and</w:t>
      </w:r>
      <w:r>
        <w:rPr>
          <w:spacing w:val="-19"/>
        </w:rPr>
        <w:t> </w:t>
      </w:r>
      <w:r>
        <w:rPr/>
        <w:t>Management</w:t>
      </w:r>
    </w:p>
    <w:p>
      <w:pPr>
        <w:spacing w:after="0" w:line="249" w:lineRule="auto"/>
        <w:sectPr>
          <w:type w:val="continuous"/>
          <w:pgSz w:w="11910" w:h="16840"/>
          <w:pgMar w:top="1580" w:bottom="280" w:left="800" w:right="800"/>
          <w:cols w:num="3" w:equalWidth="0">
            <w:col w:w="3306" w:space="134"/>
            <w:col w:w="3320" w:space="119"/>
            <w:col w:w="3431"/>
          </w:cols>
        </w:sectPr>
      </w:pPr>
    </w:p>
    <w:p>
      <w:pPr>
        <w:pStyle w:val="BodyText"/>
        <w:spacing w:before="10"/>
        <w:rPr>
          <w:sz w:val="28"/>
        </w:rPr>
      </w:pPr>
    </w:p>
    <w:p>
      <w:pPr>
        <w:pStyle w:val="Heading2"/>
        <w:rPr>
          <w:b w:val="0"/>
        </w:rPr>
      </w:pPr>
      <w:r>
        <w:rPr>
          <w:b w:val="0"/>
        </w:rPr>
        <w:t>Review of Activities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44"/>
          <w:footerReference w:type="default" r:id="rId45"/>
          <w:pgSz w:w="11910" w:h="16840"/>
          <w:pgMar w:footer="473" w:header="494" w:top="680" w:bottom="660" w:left="800" w:right="800"/>
          <w:pgNumType w:start="32"/>
        </w:sectPr>
      </w:pPr>
    </w:p>
    <w:p>
      <w:pPr>
        <w:pStyle w:val="BodyText"/>
        <w:spacing w:before="11"/>
        <w:rPr>
          <w:rFonts w:ascii="Chronicle Text G1"/>
          <w:b w:val="0"/>
        </w:rPr>
      </w:pPr>
    </w:p>
    <w:p>
      <w:pPr>
        <w:pStyle w:val="BodyText"/>
        <w:spacing w:line="249" w:lineRule="auto"/>
        <w:ind w:left="107" w:right="387"/>
      </w:pPr>
      <w:r>
        <w:rPr/>
        <w:t>disciplines</w:t>
      </w:r>
      <w:r>
        <w:rPr>
          <w:spacing w:val="-20"/>
        </w:rPr>
        <w:t> </w:t>
      </w:r>
      <w:r>
        <w:rPr/>
        <w:t>rose</w:t>
      </w:r>
      <w:r>
        <w:rPr>
          <w:spacing w:val="-20"/>
        </w:rPr>
        <w:t> </w:t>
      </w:r>
      <w:r>
        <w:rPr/>
        <w:t>75</w:t>
      </w:r>
      <w:r>
        <w:rPr>
          <w:spacing w:val="-20"/>
        </w:rPr>
        <w:t> </w:t>
      </w:r>
      <w:r>
        <w:rPr/>
        <w:t>places</w:t>
      </w:r>
      <w:r>
        <w:rPr>
          <w:spacing w:val="-20"/>
        </w:rPr>
        <w:t> </w:t>
      </w:r>
      <w:r>
        <w:rPr/>
        <w:t>in</w:t>
      </w:r>
      <w:r>
        <w:rPr>
          <w:spacing w:val="-20"/>
        </w:rPr>
        <w:t> </w:t>
      </w:r>
      <w:r>
        <w:rPr/>
        <w:t>the</w:t>
      </w:r>
      <w:r>
        <w:rPr>
          <w:spacing w:val="-20"/>
        </w:rPr>
        <w:t> </w:t>
      </w:r>
      <w:r>
        <w:rPr/>
        <w:t>rankings, from</w:t>
      </w:r>
      <w:r>
        <w:rPr>
          <w:spacing w:val="-18"/>
        </w:rPr>
        <w:t> </w:t>
      </w:r>
      <w:r>
        <w:rPr/>
        <w:t>350th</w:t>
      </w:r>
      <w:r>
        <w:rPr>
          <w:spacing w:val="-18"/>
        </w:rPr>
        <w:t> </w:t>
      </w:r>
      <w:r>
        <w:rPr/>
        <w:t>to</w:t>
      </w:r>
      <w:r>
        <w:rPr>
          <w:spacing w:val="-18"/>
        </w:rPr>
        <w:t> </w:t>
      </w:r>
      <w:r>
        <w:rPr/>
        <w:t>275th.</w:t>
      </w:r>
      <w:r>
        <w:rPr>
          <w:spacing w:val="-18"/>
        </w:rPr>
        <w:t> </w:t>
      </w:r>
      <w:r>
        <w:rPr/>
        <w:t>The</w:t>
      </w:r>
      <w:r>
        <w:rPr>
          <w:spacing w:val="-18"/>
        </w:rPr>
        <w:t> </w:t>
      </w:r>
      <w:r>
        <w:rPr/>
        <w:t>School</w:t>
      </w:r>
      <w:r>
        <w:rPr>
          <w:spacing w:val="-18"/>
        </w:rPr>
        <w:t> </w:t>
      </w:r>
      <w:r>
        <w:rPr/>
        <w:t>has</w:t>
      </w:r>
      <w:r>
        <w:rPr>
          <w:spacing w:val="-18"/>
        </w:rPr>
        <w:t> </w:t>
      </w:r>
      <w:r>
        <w:rPr/>
        <w:t>also developed a comprehensive submission </w:t>
      </w:r>
      <w:r>
        <w:rPr>
          <w:w w:val="98"/>
        </w:rPr>
        <w:t>for </w:t>
      </w:r>
      <w:r>
        <w:rPr>
          <w:w w:val="97"/>
        </w:rPr>
        <w:t>the </w:t>
      </w:r>
      <w:r>
        <w:rPr>
          <w:spacing w:val="1"/>
          <w:w w:val="90"/>
        </w:rPr>
        <w:t>2016</w:t>
      </w:r>
      <w:r>
        <w:rPr>
          <w:w w:val="90"/>
        </w:rPr>
        <w:t> </w:t>
      </w:r>
      <w:r>
        <w:rPr>
          <w:spacing w:val="1"/>
          <w:w w:val="97"/>
        </w:rPr>
        <w:t>Social</w:t>
      </w:r>
      <w:r>
        <w:rPr>
          <w:w w:val="97"/>
        </w:rPr>
        <w:t> </w:t>
      </w:r>
      <w:r>
        <w:rPr>
          <w:w w:val="99"/>
        </w:rPr>
        <w:t>Work </w:t>
      </w:r>
      <w:r>
        <w:rPr>
          <w:spacing w:val="1"/>
          <w:w w:val="97"/>
        </w:rPr>
        <w:t>and</w:t>
      </w:r>
      <w:r>
        <w:rPr>
          <w:w w:val="97"/>
        </w:rPr>
        <w:t> </w:t>
      </w:r>
      <w:r>
        <w:rPr>
          <w:spacing w:val="1"/>
          <w:w w:val="99"/>
        </w:rPr>
        <w:t>Sociology</w:t>
      </w:r>
      <w:r>
        <w:rPr>
          <w:w w:val="99"/>
        </w:rPr>
        <w:t> </w:t>
      </w:r>
      <w:r>
        <w:rPr>
          <w:w w:val="95"/>
        </w:rPr>
        <w:t>U-Multirank</w:t>
      </w:r>
      <w:r>
        <w:rPr>
          <w:spacing w:val="28"/>
          <w:w w:val="95"/>
        </w:rPr>
        <w:t> </w:t>
      </w:r>
      <w:r>
        <w:rPr>
          <w:w w:val="95"/>
        </w:rPr>
        <w:t>survey.</w:t>
      </w:r>
    </w:p>
    <w:p>
      <w:pPr>
        <w:pStyle w:val="BodyText"/>
        <w:spacing w:before="7"/>
        <w:rPr>
          <w:sz w:val="21"/>
        </w:rPr>
      </w:pPr>
    </w:p>
    <w:p>
      <w:pPr>
        <w:pStyle w:val="Heading8"/>
        <w:ind w:right="58"/>
      </w:pPr>
      <w:r>
        <w:rPr/>
        <w:t>RESEARCH</w:t>
      </w:r>
    </w:p>
    <w:p>
      <w:pPr>
        <w:pStyle w:val="BodyText"/>
        <w:spacing w:line="249" w:lineRule="auto" w:before="86"/>
        <w:ind w:left="107" w:right="-11"/>
      </w:pPr>
      <w:r>
        <w:rPr/>
        <w:t>The</w:t>
      </w:r>
      <w:r>
        <w:rPr>
          <w:spacing w:val="-11"/>
        </w:rPr>
        <w:t> </w:t>
      </w:r>
      <w:r>
        <w:rPr/>
        <w:t>School</w:t>
      </w:r>
      <w:r>
        <w:rPr>
          <w:spacing w:val="-11"/>
        </w:rPr>
        <w:t> </w:t>
      </w:r>
      <w:r>
        <w:rPr/>
        <w:t>of</w:t>
      </w:r>
      <w:r>
        <w:rPr>
          <w:spacing w:val="-11"/>
        </w:rPr>
        <w:t> </w:t>
      </w:r>
      <w:r>
        <w:rPr/>
        <w:t>Social</w:t>
      </w:r>
      <w:r>
        <w:rPr>
          <w:spacing w:val="-11"/>
        </w:rPr>
        <w:t> </w:t>
      </w:r>
      <w:r>
        <w:rPr/>
        <w:t>Sciences</w:t>
      </w:r>
      <w:r>
        <w:rPr>
          <w:spacing w:val="-11"/>
        </w:rPr>
        <w:t> </w:t>
      </w:r>
      <w:r>
        <w:rPr/>
        <w:t>and</w:t>
      </w:r>
      <w:r>
        <w:rPr>
          <w:spacing w:val="-11"/>
        </w:rPr>
        <w:t> </w:t>
      </w:r>
      <w:r>
        <w:rPr/>
        <w:t>Psychology fosters an environment that </w:t>
      </w:r>
      <w:r>
        <w:rPr>
          <w:spacing w:val="2"/>
        </w:rPr>
        <w:t>supports </w:t>
      </w:r>
      <w:r>
        <w:rPr/>
        <w:t>the research</w:t>
      </w:r>
      <w:r>
        <w:rPr>
          <w:spacing w:val="-15"/>
        </w:rPr>
        <w:t> </w:t>
      </w:r>
      <w:r>
        <w:rPr/>
        <w:t>activity</w:t>
      </w:r>
      <w:r>
        <w:rPr>
          <w:spacing w:val="-15"/>
        </w:rPr>
        <w:t> </w:t>
      </w:r>
      <w:r>
        <w:rPr/>
        <w:t>of</w:t>
      </w:r>
      <w:r>
        <w:rPr>
          <w:spacing w:val="-15"/>
        </w:rPr>
        <w:t> </w:t>
      </w:r>
      <w:r>
        <w:rPr/>
        <w:t>academic</w:t>
      </w:r>
      <w:r>
        <w:rPr>
          <w:spacing w:val="-15"/>
        </w:rPr>
        <w:t> </w:t>
      </w:r>
      <w:r>
        <w:rPr/>
        <w:t>staff</w:t>
      </w:r>
      <w:r>
        <w:rPr>
          <w:spacing w:val="-15"/>
        </w:rPr>
        <w:t> </w:t>
      </w:r>
      <w:r>
        <w:rPr/>
        <w:t>and</w:t>
      </w:r>
      <w:r>
        <w:rPr>
          <w:spacing w:val="-15"/>
        </w:rPr>
        <w:t> </w:t>
      </w:r>
      <w:r>
        <w:rPr/>
        <w:t>higher- degree research candidates. The School had the</w:t>
      </w:r>
      <w:r>
        <w:rPr>
          <w:spacing w:val="-16"/>
        </w:rPr>
        <w:t> </w:t>
      </w:r>
      <w:r>
        <w:rPr/>
        <w:t>highest</w:t>
      </w:r>
      <w:r>
        <w:rPr>
          <w:spacing w:val="-16"/>
        </w:rPr>
        <w:t> </w:t>
      </w:r>
      <w:r>
        <w:rPr/>
        <w:t>rate</w:t>
      </w:r>
      <w:r>
        <w:rPr>
          <w:spacing w:val="-16"/>
        </w:rPr>
        <w:t> </w:t>
      </w:r>
      <w:r>
        <w:rPr/>
        <w:t>of</w:t>
      </w:r>
      <w:r>
        <w:rPr>
          <w:spacing w:val="-16"/>
        </w:rPr>
        <w:t> </w:t>
      </w:r>
      <w:r>
        <w:rPr/>
        <w:t>cross-unit</w:t>
      </w:r>
      <w:r>
        <w:rPr>
          <w:spacing w:val="-16"/>
        </w:rPr>
        <w:t> </w:t>
      </w:r>
      <w:r>
        <w:rPr/>
        <w:t>collaboration</w:t>
      </w:r>
    </w:p>
    <w:p>
      <w:pPr>
        <w:pStyle w:val="BodyText"/>
        <w:spacing w:line="249" w:lineRule="auto"/>
        <w:ind w:left="107" w:right="58"/>
      </w:pPr>
      <w:r>
        <w:rPr/>
        <w:t>at the University, largely driven by the cooperative relationships with University research institutes in related areas.</w:t>
      </w:r>
    </w:p>
    <w:p>
      <w:pPr>
        <w:pStyle w:val="BodyText"/>
        <w:rPr>
          <w:sz w:val="14"/>
        </w:rPr>
      </w:pPr>
    </w:p>
    <w:p>
      <w:pPr>
        <w:pStyle w:val="BodyText"/>
        <w:spacing w:line="249" w:lineRule="auto"/>
        <w:ind w:left="107" w:right="15"/>
      </w:pPr>
      <w:r>
        <w:rPr/>
        <w:t>The School continues to build its reputation through conducting cutting-edge research that contributes internationally to generating knowledge. This research addresses many of the challenges facing contemporary society and the School uses it to inform its teaching.</w:t>
      </w:r>
    </w:p>
    <w:p>
      <w:pPr>
        <w:pStyle w:val="BodyText"/>
        <w:rPr>
          <w:sz w:val="14"/>
        </w:rPr>
      </w:pPr>
    </w:p>
    <w:p>
      <w:pPr>
        <w:pStyle w:val="BodyText"/>
        <w:spacing w:line="249" w:lineRule="auto"/>
        <w:ind w:left="107" w:right="58"/>
      </w:pPr>
      <w:r>
        <w:rPr/>
        <w:t>The</w:t>
      </w:r>
      <w:r>
        <w:rPr>
          <w:spacing w:val="-16"/>
        </w:rPr>
        <w:t> </w:t>
      </w:r>
      <w:r>
        <w:rPr/>
        <w:t>School</w:t>
      </w:r>
      <w:r>
        <w:rPr>
          <w:spacing w:val="-16"/>
        </w:rPr>
        <w:t> </w:t>
      </w:r>
      <w:r>
        <w:rPr/>
        <w:t>Research</w:t>
      </w:r>
      <w:r>
        <w:rPr>
          <w:spacing w:val="-16"/>
        </w:rPr>
        <w:t> </w:t>
      </w:r>
      <w:r>
        <w:rPr/>
        <w:t>Plan</w:t>
      </w:r>
      <w:r>
        <w:rPr>
          <w:spacing w:val="-16"/>
        </w:rPr>
        <w:t> </w:t>
      </w:r>
      <w:r>
        <w:rPr/>
        <w:t>focuses</w:t>
      </w:r>
      <w:r>
        <w:rPr>
          <w:spacing w:val="-16"/>
        </w:rPr>
        <w:t> </w:t>
      </w:r>
      <w:r>
        <w:rPr/>
        <w:t>on</w:t>
      </w:r>
      <w:r>
        <w:rPr>
          <w:spacing w:val="-16"/>
        </w:rPr>
        <w:t> </w:t>
      </w:r>
      <w:r>
        <w:rPr/>
        <w:t>five</w:t>
      </w:r>
      <w:r>
        <w:rPr>
          <w:spacing w:val="-16"/>
        </w:rPr>
        <w:t> </w:t>
      </w:r>
      <w:r>
        <w:rPr/>
        <w:t>key themes: Digital social science for an online world;</w:t>
      </w:r>
      <w:r>
        <w:rPr>
          <w:spacing w:val="-24"/>
        </w:rPr>
        <w:t> </w:t>
      </w:r>
      <w:r>
        <w:rPr/>
        <w:t>future</w:t>
      </w:r>
      <w:r>
        <w:rPr>
          <w:spacing w:val="-24"/>
        </w:rPr>
        <w:t> </w:t>
      </w:r>
      <w:r>
        <w:rPr/>
        <w:t>urban</w:t>
      </w:r>
      <w:r>
        <w:rPr>
          <w:spacing w:val="-24"/>
        </w:rPr>
        <w:t> </w:t>
      </w:r>
      <w:r>
        <w:rPr/>
        <w:t>living;</w:t>
      </w:r>
      <w:r>
        <w:rPr>
          <w:spacing w:val="-24"/>
        </w:rPr>
        <w:t> </w:t>
      </w:r>
      <w:r>
        <w:rPr/>
        <w:t>cities</w:t>
      </w:r>
      <w:r>
        <w:rPr>
          <w:spacing w:val="-24"/>
        </w:rPr>
        <w:t> </w:t>
      </w:r>
      <w:r>
        <w:rPr/>
        <w:t>of</w:t>
      </w:r>
      <w:r>
        <w:rPr>
          <w:spacing w:val="-24"/>
        </w:rPr>
        <w:t> </w:t>
      </w:r>
      <w:r>
        <w:rPr/>
        <w:t>difference, diversity</w:t>
      </w:r>
      <w:r>
        <w:rPr>
          <w:spacing w:val="-16"/>
        </w:rPr>
        <w:t> </w:t>
      </w:r>
      <w:r>
        <w:rPr/>
        <w:t>and</w:t>
      </w:r>
      <w:r>
        <w:rPr>
          <w:spacing w:val="-16"/>
        </w:rPr>
        <w:t> </w:t>
      </w:r>
      <w:r>
        <w:rPr/>
        <w:t>inequality;</w:t>
      </w:r>
      <w:r>
        <w:rPr>
          <w:spacing w:val="-16"/>
        </w:rPr>
        <w:t> </w:t>
      </w:r>
      <w:r>
        <w:rPr/>
        <w:t>psychology</w:t>
      </w:r>
      <w:r>
        <w:rPr>
          <w:spacing w:val="-16"/>
        </w:rPr>
        <w:t> </w:t>
      </w:r>
      <w:r>
        <w:rPr/>
        <w:t>of</w:t>
      </w:r>
      <w:r>
        <w:rPr>
          <w:spacing w:val="-16"/>
        </w:rPr>
        <w:t> </w:t>
      </w:r>
      <w:r>
        <w:rPr/>
        <w:t>health aging and learning; and mental health and wellbeing</w:t>
      </w:r>
      <w:r>
        <w:rPr>
          <w:spacing w:val="-23"/>
        </w:rPr>
        <w:t> </w:t>
      </w:r>
      <w:r>
        <w:rPr/>
        <w:t>in</w:t>
      </w:r>
      <w:r>
        <w:rPr>
          <w:spacing w:val="-23"/>
        </w:rPr>
        <w:t> </w:t>
      </w:r>
      <w:r>
        <w:rPr/>
        <w:t>the</w:t>
      </w:r>
      <w:r>
        <w:rPr>
          <w:spacing w:val="-23"/>
        </w:rPr>
        <w:t> </w:t>
      </w:r>
      <w:r>
        <w:rPr/>
        <w:t>new</w:t>
      </w:r>
      <w:r>
        <w:rPr>
          <w:spacing w:val="-23"/>
        </w:rPr>
        <w:t> </w:t>
      </w:r>
      <w:r>
        <w:rPr/>
        <w:t>millennium.</w:t>
      </w:r>
    </w:p>
    <w:p>
      <w:pPr>
        <w:pStyle w:val="BodyText"/>
        <w:rPr>
          <w:sz w:val="14"/>
        </w:rPr>
      </w:pPr>
    </w:p>
    <w:p>
      <w:pPr>
        <w:pStyle w:val="BodyText"/>
        <w:spacing w:line="249" w:lineRule="auto"/>
        <w:ind w:left="107" w:right="199"/>
      </w:pPr>
      <w:r>
        <w:rPr/>
        <w:t>The</w:t>
      </w:r>
      <w:r>
        <w:rPr>
          <w:spacing w:val="-24"/>
        </w:rPr>
        <w:t> </w:t>
      </w:r>
      <w:r>
        <w:rPr/>
        <w:t>results</w:t>
      </w:r>
      <w:r>
        <w:rPr>
          <w:spacing w:val="-24"/>
        </w:rPr>
        <w:t> </w:t>
      </w:r>
      <w:r>
        <w:rPr/>
        <w:t>of</w:t>
      </w:r>
      <w:r>
        <w:rPr>
          <w:spacing w:val="-24"/>
        </w:rPr>
        <w:t> </w:t>
      </w:r>
      <w:r>
        <w:rPr/>
        <w:t>the</w:t>
      </w:r>
      <w:r>
        <w:rPr>
          <w:spacing w:val="-24"/>
        </w:rPr>
        <w:t> </w:t>
      </w:r>
      <w:r>
        <w:rPr/>
        <w:t>third</w:t>
      </w:r>
      <w:r>
        <w:rPr>
          <w:spacing w:val="-24"/>
        </w:rPr>
        <w:t> </w:t>
      </w:r>
      <w:r>
        <w:rPr/>
        <w:t>round</w:t>
      </w:r>
      <w:r>
        <w:rPr>
          <w:spacing w:val="-24"/>
        </w:rPr>
        <w:t> </w:t>
      </w:r>
      <w:r>
        <w:rPr/>
        <w:t>of</w:t>
      </w:r>
      <w:r>
        <w:rPr>
          <w:spacing w:val="-24"/>
        </w:rPr>
        <w:t> </w:t>
      </w:r>
      <w:r>
        <w:rPr/>
        <w:t>Excellence in</w:t>
      </w:r>
      <w:r>
        <w:rPr>
          <w:spacing w:val="-27"/>
        </w:rPr>
        <w:t> </w:t>
      </w:r>
      <w:r>
        <w:rPr/>
        <w:t>Research</w:t>
      </w:r>
      <w:r>
        <w:rPr>
          <w:spacing w:val="-27"/>
        </w:rPr>
        <w:t> </w:t>
      </w:r>
      <w:r>
        <w:rPr/>
        <w:t>Australia</w:t>
      </w:r>
      <w:r>
        <w:rPr>
          <w:spacing w:val="-27"/>
        </w:rPr>
        <w:t> </w:t>
      </w:r>
      <w:r>
        <w:rPr/>
        <w:t>(ERA)</w:t>
      </w:r>
      <w:r>
        <w:rPr>
          <w:spacing w:val="-27"/>
        </w:rPr>
        <w:t> </w:t>
      </w:r>
      <w:r>
        <w:rPr/>
        <w:t>were</w:t>
      </w:r>
      <w:r>
        <w:rPr>
          <w:spacing w:val="-27"/>
        </w:rPr>
        <w:t> </w:t>
      </w:r>
      <w:r>
        <w:rPr/>
        <w:t>released</w:t>
      </w:r>
      <w:r>
        <w:rPr>
          <w:spacing w:val="-27"/>
        </w:rPr>
        <w:t> </w:t>
      </w:r>
      <w:r>
        <w:rPr/>
        <w:t>in </w:t>
      </w:r>
      <w:r>
        <w:rPr>
          <w:w w:val="98"/>
        </w:rPr>
        <w:t>December </w:t>
      </w:r>
      <w:r>
        <w:rPr>
          <w:w w:val="84"/>
        </w:rPr>
        <w:t>2015. </w:t>
      </w:r>
      <w:r>
        <w:rPr>
          <w:w w:val="94"/>
        </w:rPr>
        <w:t>The </w:t>
      </w:r>
      <w:r>
        <w:rPr>
          <w:w w:val="98"/>
        </w:rPr>
        <w:t>School </w:t>
      </w:r>
      <w:r>
        <w:rPr>
          <w:w w:val="98"/>
        </w:rPr>
        <w:t>performed </w:t>
      </w:r>
      <w:r>
        <w:rPr>
          <w:spacing w:val="-1"/>
          <w:w w:val="90"/>
        </w:rPr>
        <w:t>well,</w:t>
      </w:r>
      <w:r>
        <w:rPr>
          <w:spacing w:val="1"/>
          <w:w w:val="90"/>
        </w:rPr>
        <w:t> </w:t>
      </w:r>
      <w:r>
        <w:rPr/>
        <w:t>maintaining</w:t>
      </w:r>
      <w:r>
        <w:rPr>
          <w:spacing w:val="-25"/>
        </w:rPr>
        <w:t> </w:t>
      </w:r>
      <w:r>
        <w:rPr/>
        <w:t>its</w:t>
      </w:r>
      <w:r>
        <w:rPr>
          <w:spacing w:val="-25"/>
        </w:rPr>
        <w:t> </w:t>
      </w:r>
      <w:r>
        <w:rPr/>
        <w:t>World</w:t>
      </w:r>
      <w:r>
        <w:rPr>
          <w:spacing w:val="-25"/>
        </w:rPr>
        <w:t> </w:t>
      </w:r>
      <w:r>
        <w:rPr/>
        <w:t>Standard</w:t>
      </w:r>
      <w:r>
        <w:rPr>
          <w:spacing w:val="-25"/>
        </w:rPr>
        <w:t> </w:t>
      </w:r>
      <w:r>
        <w:rPr/>
        <w:t>rating</w:t>
      </w:r>
      <w:r>
        <w:rPr>
          <w:spacing w:val="-25"/>
        </w:rPr>
        <w:t> </w:t>
      </w:r>
      <w:r>
        <w:rPr/>
        <w:t>of</w:t>
      </w:r>
      <w:r>
        <w:rPr>
          <w:spacing w:val="-25"/>
        </w:rPr>
        <w:t> </w:t>
      </w:r>
      <w:r>
        <w:rPr/>
        <w:t>3</w:t>
      </w:r>
      <w:r>
        <w:rPr>
          <w:spacing w:val="-25"/>
        </w:rPr>
        <w:t> </w:t>
      </w:r>
      <w:r>
        <w:rPr/>
        <w:t>in the</w:t>
      </w:r>
      <w:r>
        <w:rPr>
          <w:spacing w:val="-26"/>
        </w:rPr>
        <w:t> </w:t>
      </w:r>
      <w:r>
        <w:rPr/>
        <w:t>broad</w:t>
      </w:r>
      <w:r>
        <w:rPr>
          <w:spacing w:val="-26"/>
        </w:rPr>
        <w:t> </w:t>
      </w:r>
      <w:r>
        <w:rPr/>
        <w:t>area</w:t>
      </w:r>
      <w:r>
        <w:rPr>
          <w:spacing w:val="-26"/>
        </w:rPr>
        <w:t> </w:t>
      </w:r>
      <w:r>
        <w:rPr/>
        <w:t>of</w:t>
      </w:r>
      <w:r>
        <w:rPr>
          <w:spacing w:val="-26"/>
        </w:rPr>
        <w:t> </w:t>
      </w:r>
      <w:r>
        <w:rPr/>
        <w:t>Studies</w:t>
      </w:r>
      <w:r>
        <w:rPr>
          <w:spacing w:val="-26"/>
        </w:rPr>
        <w:t> </w:t>
      </w:r>
      <w:r>
        <w:rPr/>
        <w:t>in</w:t>
      </w:r>
      <w:r>
        <w:rPr>
          <w:spacing w:val="-26"/>
        </w:rPr>
        <w:t> </w:t>
      </w:r>
      <w:r>
        <w:rPr/>
        <w:t>Human</w:t>
      </w:r>
      <w:r>
        <w:rPr>
          <w:spacing w:val="-26"/>
        </w:rPr>
        <w:t> </w:t>
      </w:r>
      <w:r>
        <w:rPr/>
        <w:t>Society</w:t>
      </w:r>
    </w:p>
    <w:p>
      <w:pPr>
        <w:pStyle w:val="BodyText"/>
        <w:spacing w:line="249" w:lineRule="auto"/>
        <w:ind w:left="107"/>
      </w:pPr>
      <w:r>
        <w:rPr/>
        <w:t>(16) and moved up to World Standard for Psychology and Cognitive Sciences (17). The World</w:t>
      </w:r>
      <w:r>
        <w:rPr>
          <w:spacing w:val="-24"/>
        </w:rPr>
        <w:t> </w:t>
      </w:r>
      <w:r>
        <w:rPr/>
        <w:t>Standard</w:t>
      </w:r>
      <w:r>
        <w:rPr>
          <w:spacing w:val="-24"/>
        </w:rPr>
        <w:t> </w:t>
      </w:r>
      <w:r>
        <w:rPr/>
        <w:t>rating</w:t>
      </w:r>
      <w:r>
        <w:rPr>
          <w:spacing w:val="-24"/>
        </w:rPr>
        <w:t> </w:t>
      </w:r>
      <w:r>
        <w:rPr/>
        <w:t>in</w:t>
      </w:r>
      <w:r>
        <w:rPr>
          <w:spacing w:val="-24"/>
        </w:rPr>
        <w:t> </w:t>
      </w:r>
      <w:r>
        <w:rPr/>
        <w:t>17</w:t>
      </w:r>
      <w:r>
        <w:rPr>
          <w:spacing w:val="-24"/>
        </w:rPr>
        <w:t> </w:t>
      </w:r>
      <w:r>
        <w:rPr/>
        <w:t>was</w:t>
      </w:r>
      <w:r>
        <w:rPr>
          <w:spacing w:val="-24"/>
        </w:rPr>
        <w:t> </w:t>
      </w:r>
      <w:r>
        <w:rPr/>
        <w:t>driven</w:t>
      </w:r>
      <w:r>
        <w:rPr>
          <w:spacing w:val="-24"/>
        </w:rPr>
        <w:t> </w:t>
      </w:r>
      <w:r>
        <w:rPr/>
        <w:t>by</w:t>
      </w:r>
      <w:r>
        <w:rPr>
          <w:spacing w:val="-24"/>
        </w:rPr>
        <w:t> </w:t>
      </w:r>
      <w:r>
        <w:rPr/>
        <w:t>an </w:t>
      </w:r>
      <w:r>
        <w:rPr>
          <w:spacing w:val="-1"/>
          <w:w w:val="98"/>
        </w:rPr>
        <w:t>improvement</w:t>
      </w:r>
      <w:r>
        <w:rPr>
          <w:spacing w:val="-13"/>
          <w:w w:val="98"/>
        </w:rPr>
        <w:t> </w:t>
      </w:r>
      <w:r>
        <w:rPr>
          <w:spacing w:val="-1"/>
          <w:w w:val="99"/>
        </w:rPr>
        <w:t>of</w:t>
      </w:r>
      <w:r>
        <w:rPr>
          <w:spacing w:val="-14"/>
          <w:w w:val="99"/>
        </w:rPr>
        <w:t> </w:t>
      </w:r>
      <w:r>
        <w:rPr>
          <w:spacing w:val="-1"/>
          <w:w w:val="99"/>
        </w:rPr>
        <w:t>Cognitive</w:t>
      </w:r>
      <w:r>
        <w:rPr>
          <w:spacing w:val="-14"/>
          <w:w w:val="99"/>
        </w:rPr>
        <w:t> </w:t>
      </w:r>
      <w:r>
        <w:rPr>
          <w:w w:val="97"/>
        </w:rPr>
        <w:t>Sciences</w:t>
      </w:r>
      <w:r>
        <w:rPr>
          <w:spacing w:val="-13"/>
          <w:w w:val="97"/>
        </w:rPr>
        <w:t> </w:t>
      </w:r>
      <w:r>
        <w:rPr>
          <w:spacing w:val="-1"/>
          <w:w w:val="90"/>
        </w:rPr>
        <w:t>(1702)</w:t>
      </w:r>
      <w:r>
        <w:rPr>
          <w:spacing w:val="-9"/>
          <w:w w:val="90"/>
        </w:rPr>
        <w:t> </w:t>
      </w:r>
      <w:r>
        <w:rPr>
          <w:spacing w:val="-1"/>
          <w:w w:val="98"/>
        </w:rPr>
        <w:t>from</w:t>
      </w:r>
      <w:r>
        <w:rPr>
          <w:w w:val="98"/>
        </w:rPr>
        <w:t> </w:t>
      </w:r>
      <w:r>
        <w:rPr/>
        <w:t>below World Standard (2) to World Standard (3),</w:t>
      </w:r>
      <w:r>
        <w:rPr>
          <w:spacing w:val="-21"/>
        </w:rPr>
        <w:t> </w:t>
      </w:r>
      <w:r>
        <w:rPr/>
        <w:t>and</w:t>
      </w:r>
      <w:r>
        <w:rPr>
          <w:spacing w:val="-21"/>
        </w:rPr>
        <w:t> </w:t>
      </w:r>
      <w:r>
        <w:rPr/>
        <w:t>Psychology</w:t>
      </w:r>
      <w:r>
        <w:rPr>
          <w:spacing w:val="-21"/>
        </w:rPr>
        <w:t> </w:t>
      </w:r>
      <w:r>
        <w:rPr/>
        <w:t>moved</w:t>
      </w:r>
      <w:r>
        <w:rPr>
          <w:spacing w:val="-21"/>
        </w:rPr>
        <w:t> </w:t>
      </w:r>
      <w:r>
        <w:rPr/>
        <w:t>from</w:t>
      </w:r>
      <w:r>
        <w:rPr>
          <w:spacing w:val="-21"/>
        </w:rPr>
        <w:t> </w:t>
      </w:r>
      <w:r>
        <w:rPr/>
        <w:t>below</w:t>
      </w:r>
      <w:r>
        <w:rPr>
          <w:spacing w:val="-21"/>
        </w:rPr>
        <w:t> </w:t>
      </w:r>
      <w:r>
        <w:rPr/>
        <w:t>World Standard (2) to Above World Standard </w:t>
      </w:r>
      <w:r>
        <w:rPr>
          <w:spacing w:val="-5"/>
        </w:rPr>
        <w:t>(4). </w:t>
      </w:r>
      <w:r>
        <w:rPr/>
        <w:t>Within</w:t>
      </w:r>
      <w:r>
        <w:rPr>
          <w:spacing w:val="-27"/>
        </w:rPr>
        <w:t> </w:t>
      </w:r>
      <w:r>
        <w:rPr/>
        <w:t>discipline</w:t>
      </w:r>
      <w:r>
        <w:rPr>
          <w:spacing w:val="-27"/>
        </w:rPr>
        <w:t> </w:t>
      </w:r>
      <w:r>
        <w:rPr/>
        <w:t>16,</w:t>
      </w:r>
      <w:r>
        <w:rPr>
          <w:spacing w:val="-27"/>
        </w:rPr>
        <w:t> </w:t>
      </w:r>
      <w:r>
        <w:rPr/>
        <w:t>Human</w:t>
      </w:r>
      <w:r>
        <w:rPr>
          <w:spacing w:val="-27"/>
        </w:rPr>
        <w:t> </w:t>
      </w:r>
      <w:r>
        <w:rPr/>
        <w:t>Geography</w:t>
      </w:r>
      <w:r>
        <w:rPr>
          <w:spacing w:val="-27"/>
        </w:rPr>
        <w:t> </w:t>
      </w:r>
      <w:r>
        <w:rPr/>
        <w:t>move to</w:t>
      </w:r>
      <w:r>
        <w:rPr>
          <w:spacing w:val="-21"/>
        </w:rPr>
        <w:t> </w:t>
      </w:r>
      <w:r>
        <w:rPr/>
        <w:t>Above</w:t>
      </w:r>
      <w:r>
        <w:rPr>
          <w:spacing w:val="-21"/>
        </w:rPr>
        <w:t> </w:t>
      </w:r>
      <w:r>
        <w:rPr/>
        <w:t>World</w:t>
      </w:r>
      <w:r>
        <w:rPr>
          <w:spacing w:val="-21"/>
        </w:rPr>
        <w:t> </w:t>
      </w:r>
      <w:r>
        <w:rPr/>
        <w:t>Standard</w:t>
      </w:r>
      <w:r>
        <w:rPr>
          <w:spacing w:val="-21"/>
        </w:rPr>
        <w:t> </w:t>
      </w:r>
      <w:r>
        <w:rPr>
          <w:spacing w:val="-5"/>
        </w:rPr>
        <w:t>(4),</w:t>
      </w:r>
      <w:r>
        <w:rPr>
          <w:spacing w:val="-21"/>
        </w:rPr>
        <w:t> </w:t>
      </w:r>
      <w:r>
        <w:rPr/>
        <w:t>and</w:t>
      </w:r>
      <w:r>
        <w:rPr>
          <w:spacing w:val="-21"/>
        </w:rPr>
        <w:t> </w:t>
      </w:r>
      <w:r>
        <w:rPr/>
        <w:t>Criminology moved from not being listed to a World Standard ranking (3). Sociology and Other Studies in Human Society (which includes gender</w:t>
      </w:r>
      <w:r>
        <w:rPr>
          <w:spacing w:val="-28"/>
        </w:rPr>
        <w:t> </w:t>
      </w:r>
      <w:r>
        <w:rPr/>
        <w:t>research)</w:t>
      </w:r>
      <w:r>
        <w:rPr>
          <w:spacing w:val="-28"/>
        </w:rPr>
        <w:t> </w:t>
      </w:r>
      <w:r>
        <w:rPr/>
        <w:t>maintained</w:t>
      </w:r>
      <w:r>
        <w:rPr>
          <w:spacing w:val="-28"/>
        </w:rPr>
        <w:t> </w:t>
      </w:r>
      <w:r>
        <w:rPr/>
        <w:t>World</w:t>
      </w:r>
      <w:r>
        <w:rPr>
          <w:spacing w:val="-28"/>
        </w:rPr>
        <w:t> </w:t>
      </w:r>
      <w:r>
        <w:rPr/>
        <w:t>Standard. In Religion and Religious Studies (2204), the School</w:t>
      </w:r>
      <w:r>
        <w:rPr>
          <w:spacing w:val="-31"/>
        </w:rPr>
        <w:t> </w:t>
      </w:r>
      <w:r>
        <w:rPr/>
        <w:t>maintained</w:t>
      </w:r>
      <w:r>
        <w:rPr>
          <w:spacing w:val="-31"/>
        </w:rPr>
        <w:t> </w:t>
      </w:r>
      <w:r>
        <w:rPr/>
        <w:t>its</w:t>
      </w:r>
      <w:r>
        <w:rPr>
          <w:spacing w:val="-31"/>
        </w:rPr>
        <w:t> </w:t>
      </w:r>
      <w:r>
        <w:rPr/>
        <w:t>World</w:t>
      </w:r>
      <w:r>
        <w:rPr>
          <w:spacing w:val="-31"/>
        </w:rPr>
        <w:t> </w:t>
      </w:r>
      <w:r>
        <w:rPr/>
        <w:t>Standard</w:t>
      </w:r>
      <w:r>
        <w:rPr>
          <w:spacing w:val="-31"/>
        </w:rPr>
        <w:t> </w:t>
      </w:r>
      <w:r>
        <w:rPr/>
        <w:t>ranking.</w:t>
      </w:r>
    </w:p>
    <w:p>
      <w:pPr>
        <w:pStyle w:val="BodyText"/>
        <w:rPr>
          <w:sz w:val="14"/>
        </w:rPr>
      </w:pPr>
    </w:p>
    <w:p>
      <w:pPr>
        <w:pStyle w:val="BodyText"/>
        <w:spacing w:line="249" w:lineRule="auto"/>
        <w:ind w:left="107" w:right="198"/>
      </w:pPr>
      <w:r>
        <w:rPr/>
        <w:t>The Higher Education Research Data </w:t>
      </w:r>
      <w:r>
        <w:rPr>
          <w:w w:val="98"/>
        </w:rPr>
        <w:t>Collection </w:t>
      </w:r>
      <w:r>
        <w:rPr>
          <w:w w:val="88"/>
        </w:rPr>
        <w:t>2015 </w:t>
      </w:r>
      <w:r>
        <w:rPr>
          <w:w w:val="96"/>
        </w:rPr>
        <w:t>return </w:t>
      </w:r>
      <w:r>
        <w:rPr>
          <w:w w:val="97"/>
        </w:rPr>
        <w:t>shows </w:t>
      </w:r>
      <w:r>
        <w:rPr>
          <w:w w:val="98"/>
        </w:rPr>
        <w:t>that </w:t>
      </w:r>
      <w:r>
        <w:rPr>
          <w:w w:val="98"/>
        </w:rPr>
        <w:t>academic </w:t>
      </w:r>
      <w:r>
        <w:rPr/>
        <w:t>staff in the School of Social Sciences and</w:t>
      </w:r>
    </w:p>
    <w:p>
      <w:pPr>
        <w:pStyle w:val="BodyText"/>
        <w:spacing w:before="9"/>
      </w:pPr>
      <w:r>
        <w:rPr/>
        <w:br w:type="column"/>
      </w:r>
      <w:r>
        <w:rPr/>
      </w:r>
    </w:p>
    <w:p>
      <w:pPr>
        <w:pStyle w:val="BodyText"/>
        <w:spacing w:line="249" w:lineRule="auto" w:before="1"/>
        <w:ind w:left="107" w:right="29"/>
      </w:pPr>
      <w:r>
        <w:rPr/>
        <w:t>Psychology produced </w:t>
      </w:r>
      <w:r>
        <w:rPr>
          <w:spacing w:val="2"/>
        </w:rPr>
        <w:t>13.9 </w:t>
      </w:r>
      <w:r>
        <w:rPr/>
        <w:t>per cent of the books brought out by the Western Sydney University, 15 per cent of the chapters, 7.88 per</w:t>
      </w:r>
      <w:r>
        <w:rPr>
          <w:spacing w:val="-23"/>
        </w:rPr>
        <w:t> </w:t>
      </w:r>
      <w:r>
        <w:rPr/>
        <w:t>cent</w:t>
      </w:r>
      <w:r>
        <w:rPr>
          <w:spacing w:val="-23"/>
        </w:rPr>
        <w:t> </w:t>
      </w:r>
      <w:r>
        <w:rPr/>
        <w:t>of</w:t>
      </w:r>
      <w:r>
        <w:rPr>
          <w:spacing w:val="-23"/>
        </w:rPr>
        <w:t> </w:t>
      </w:r>
      <w:r>
        <w:rPr/>
        <w:t>refereed</w:t>
      </w:r>
      <w:r>
        <w:rPr>
          <w:spacing w:val="-23"/>
        </w:rPr>
        <w:t> </w:t>
      </w:r>
      <w:r>
        <w:rPr/>
        <w:t>journal</w:t>
      </w:r>
      <w:r>
        <w:rPr>
          <w:spacing w:val="-23"/>
        </w:rPr>
        <w:t> </w:t>
      </w:r>
      <w:r>
        <w:rPr/>
        <w:t>articles</w:t>
      </w:r>
      <w:r>
        <w:rPr>
          <w:spacing w:val="-23"/>
        </w:rPr>
        <w:t> </w:t>
      </w:r>
      <w:r>
        <w:rPr/>
        <w:t>and</w:t>
      </w:r>
      <w:r>
        <w:rPr>
          <w:spacing w:val="-23"/>
        </w:rPr>
        <w:t> </w:t>
      </w:r>
      <w:r>
        <w:rPr/>
        <w:t>17.45 per cent of the research reports and creative works.</w:t>
      </w:r>
      <w:r>
        <w:rPr>
          <w:spacing w:val="-18"/>
        </w:rPr>
        <w:t> </w:t>
      </w:r>
      <w:r>
        <w:rPr/>
        <w:t>In</w:t>
      </w:r>
      <w:r>
        <w:rPr>
          <w:spacing w:val="-18"/>
        </w:rPr>
        <w:t> </w:t>
      </w:r>
      <w:r>
        <w:rPr/>
        <w:t>all,</w:t>
      </w:r>
      <w:r>
        <w:rPr>
          <w:spacing w:val="-18"/>
        </w:rPr>
        <w:t> </w:t>
      </w:r>
      <w:r>
        <w:rPr/>
        <w:t>the</w:t>
      </w:r>
      <w:r>
        <w:rPr>
          <w:spacing w:val="-18"/>
        </w:rPr>
        <w:t> </w:t>
      </w:r>
      <w:r>
        <w:rPr/>
        <w:t>School</w:t>
      </w:r>
      <w:r>
        <w:rPr>
          <w:spacing w:val="-18"/>
        </w:rPr>
        <w:t> </w:t>
      </w:r>
      <w:r>
        <w:rPr/>
        <w:t>contributed</w:t>
      </w:r>
      <w:r>
        <w:rPr>
          <w:spacing w:val="-18"/>
        </w:rPr>
        <w:t> </w:t>
      </w:r>
      <w:r>
        <w:rPr/>
        <w:t>9.69</w:t>
      </w:r>
      <w:r>
        <w:rPr>
          <w:spacing w:val="-18"/>
        </w:rPr>
        <w:t> </w:t>
      </w:r>
      <w:r>
        <w:rPr/>
        <w:t>per cent</w:t>
      </w:r>
      <w:r>
        <w:rPr>
          <w:spacing w:val="-17"/>
        </w:rPr>
        <w:t> </w:t>
      </w:r>
      <w:r>
        <w:rPr/>
        <w:t>of</w:t>
      </w:r>
      <w:r>
        <w:rPr>
          <w:spacing w:val="-17"/>
        </w:rPr>
        <w:t> </w:t>
      </w:r>
      <w:r>
        <w:rPr/>
        <w:t>the</w:t>
      </w:r>
      <w:r>
        <w:rPr>
          <w:spacing w:val="-17"/>
        </w:rPr>
        <w:t> </w:t>
      </w:r>
      <w:r>
        <w:rPr/>
        <w:t>University’s</w:t>
      </w:r>
      <w:r>
        <w:rPr>
          <w:spacing w:val="-17"/>
        </w:rPr>
        <w:t> </w:t>
      </w:r>
      <w:r>
        <w:rPr/>
        <w:t>weighted</w:t>
      </w:r>
      <w:r>
        <w:rPr>
          <w:spacing w:val="-17"/>
        </w:rPr>
        <w:t> </w:t>
      </w:r>
      <w:r>
        <w:rPr/>
        <w:t>publications.</w:t>
      </w:r>
    </w:p>
    <w:p>
      <w:pPr>
        <w:pStyle w:val="BodyText"/>
        <w:rPr>
          <w:sz w:val="14"/>
        </w:rPr>
      </w:pPr>
    </w:p>
    <w:p>
      <w:pPr>
        <w:pStyle w:val="BodyText"/>
        <w:spacing w:line="249" w:lineRule="auto"/>
        <w:ind w:left="107" w:right="62"/>
      </w:pPr>
      <w:r>
        <w:rPr/>
        <w:t>Several members of staff published books in </w:t>
      </w:r>
      <w:r>
        <w:rPr>
          <w:w w:val="84"/>
        </w:rPr>
        <w:t>2015.</w:t>
      </w:r>
    </w:p>
    <w:p>
      <w:pPr>
        <w:pStyle w:val="BodyText"/>
        <w:spacing w:before="11"/>
        <w:rPr>
          <w:sz w:val="13"/>
        </w:rPr>
      </w:pPr>
    </w:p>
    <w:p>
      <w:pPr>
        <w:spacing w:line="244" w:lineRule="auto" w:before="0"/>
        <w:ind w:left="333" w:right="259" w:hanging="227"/>
        <w:jc w:val="both"/>
        <w:rPr>
          <w:sz w:val="16"/>
        </w:rPr>
      </w:pPr>
      <w:r>
        <w:rPr>
          <w:rFonts w:ascii="Century Gothic" w:hAnsi="Century Gothic"/>
          <w:b/>
          <w:w w:val="95"/>
          <w:sz w:val="16"/>
        </w:rPr>
        <w:t>≥</w:t>
      </w:r>
      <w:r>
        <w:rPr>
          <w:rFonts w:ascii="Century Gothic" w:hAnsi="Century Gothic"/>
          <w:b/>
          <w:spacing w:val="-5"/>
          <w:w w:val="95"/>
          <w:sz w:val="16"/>
        </w:rPr>
        <w:t> </w:t>
      </w:r>
      <w:r>
        <w:rPr>
          <w:rFonts w:ascii="Century Gothic" w:hAnsi="Century Gothic"/>
          <w:i/>
          <w:w w:val="95"/>
          <w:sz w:val="16"/>
        </w:rPr>
        <w:t>Contemporary</w:t>
      </w:r>
      <w:r>
        <w:rPr>
          <w:rFonts w:ascii="Century Gothic" w:hAnsi="Century Gothic"/>
          <w:i/>
          <w:spacing w:val="-28"/>
          <w:w w:val="95"/>
          <w:sz w:val="16"/>
        </w:rPr>
        <w:t> </w:t>
      </w:r>
      <w:r>
        <w:rPr>
          <w:rFonts w:ascii="Century Gothic" w:hAnsi="Century Gothic"/>
          <w:i/>
          <w:w w:val="95"/>
          <w:sz w:val="16"/>
        </w:rPr>
        <w:t>Islamic</w:t>
      </w:r>
      <w:r>
        <w:rPr>
          <w:rFonts w:ascii="Century Gothic" w:hAnsi="Century Gothic"/>
          <w:i/>
          <w:spacing w:val="-28"/>
          <w:w w:val="95"/>
          <w:sz w:val="16"/>
        </w:rPr>
        <w:t> </w:t>
      </w:r>
      <w:r>
        <w:rPr>
          <w:rFonts w:ascii="Century Gothic" w:hAnsi="Century Gothic"/>
          <w:i/>
          <w:w w:val="95"/>
          <w:sz w:val="16"/>
        </w:rPr>
        <w:t>Law</w:t>
      </w:r>
      <w:r>
        <w:rPr>
          <w:rFonts w:ascii="Century Gothic" w:hAnsi="Century Gothic"/>
          <w:i/>
          <w:spacing w:val="-28"/>
          <w:w w:val="95"/>
          <w:sz w:val="16"/>
        </w:rPr>
        <w:t> </w:t>
      </w:r>
      <w:r>
        <w:rPr>
          <w:rFonts w:ascii="Century Gothic" w:hAnsi="Century Gothic"/>
          <w:i/>
          <w:w w:val="95"/>
          <w:sz w:val="16"/>
        </w:rPr>
        <w:t>in</w:t>
      </w:r>
      <w:r>
        <w:rPr>
          <w:rFonts w:ascii="Century Gothic" w:hAnsi="Century Gothic"/>
          <w:i/>
          <w:spacing w:val="-28"/>
          <w:w w:val="95"/>
          <w:sz w:val="16"/>
        </w:rPr>
        <w:t> </w:t>
      </w:r>
      <w:r>
        <w:rPr>
          <w:rFonts w:ascii="Century Gothic" w:hAnsi="Century Gothic"/>
          <w:i/>
          <w:w w:val="95"/>
          <w:sz w:val="16"/>
        </w:rPr>
        <w:t>Indonesia: </w:t>
      </w:r>
      <w:r>
        <w:rPr>
          <w:rFonts w:ascii="Century Gothic" w:hAnsi="Century Gothic"/>
          <w:i/>
          <w:w w:val="95"/>
          <w:sz w:val="16"/>
        </w:rPr>
        <w:t>Sharia</w:t>
      </w:r>
      <w:r>
        <w:rPr>
          <w:rFonts w:ascii="Century Gothic" w:hAnsi="Century Gothic"/>
          <w:i/>
          <w:spacing w:val="-14"/>
          <w:w w:val="95"/>
          <w:sz w:val="16"/>
        </w:rPr>
        <w:t> </w:t>
      </w:r>
      <w:r>
        <w:rPr>
          <w:rFonts w:ascii="Century Gothic" w:hAnsi="Century Gothic"/>
          <w:i/>
          <w:w w:val="95"/>
          <w:sz w:val="16"/>
        </w:rPr>
        <w:t>and</w:t>
      </w:r>
      <w:r>
        <w:rPr>
          <w:rFonts w:ascii="Century Gothic" w:hAnsi="Century Gothic"/>
          <w:i/>
          <w:spacing w:val="-14"/>
          <w:w w:val="95"/>
          <w:sz w:val="16"/>
        </w:rPr>
        <w:t> </w:t>
      </w:r>
      <w:r>
        <w:rPr>
          <w:rFonts w:ascii="Century Gothic" w:hAnsi="Century Gothic"/>
          <w:i/>
          <w:w w:val="95"/>
          <w:sz w:val="16"/>
        </w:rPr>
        <w:t>Legal</w:t>
      </w:r>
      <w:r>
        <w:rPr>
          <w:rFonts w:ascii="Century Gothic" w:hAnsi="Century Gothic"/>
          <w:i/>
          <w:spacing w:val="-14"/>
          <w:w w:val="95"/>
          <w:sz w:val="16"/>
        </w:rPr>
        <w:t> </w:t>
      </w:r>
      <w:r>
        <w:rPr>
          <w:rFonts w:ascii="Century Gothic" w:hAnsi="Century Gothic"/>
          <w:i/>
          <w:w w:val="95"/>
          <w:sz w:val="16"/>
        </w:rPr>
        <w:t>Pluralism</w:t>
      </w:r>
      <w:r>
        <w:rPr>
          <w:rFonts w:ascii="Century Gothic" w:hAnsi="Century Gothic"/>
          <w:i/>
          <w:spacing w:val="-14"/>
          <w:w w:val="95"/>
          <w:sz w:val="16"/>
        </w:rPr>
        <w:t> </w:t>
      </w:r>
      <w:r>
        <w:rPr>
          <w:w w:val="95"/>
          <w:sz w:val="16"/>
        </w:rPr>
        <w:t>by</w:t>
      </w:r>
      <w:r>
        <w:rPr>
          <w:spacing w:val="-19"/>
          <w:w w:val="95"/>
          <w:sz w:val="16"/>
        </w:rPr>
        <w:t> </w:t>
      </w:r>
      <w:r>
        <w:rPr>
          <w:w w:val="95"/>
          <w:sz w:val="16"/>
        </w:rPr>
        <w:t>Dr</w:t>
      </w:r>
      <w:r>
        <w:rPr>
          <w:spacing w:val="-19"/>
          <w:w w:val="95"/>
          <w:sz w:val="16"/>
        </w:rPr>
        <w:t> </w:t>
      </w:r>
      <w:r>
        <w:rPr>
          <w:w w:val="95"/>
          <w:sz w:val="16"/>
        </w:rPr>
        <w:t>Arskal </w:t>
      </w:r>
      <w:r>
        <w:rPr>
          <w:sz w:val="16"/>
        </w:rPr>
        <w:t>Salim</w:t>
      </w:r>
      <w:r>
        <w:rPr>
          <w:spacing w:val="-20"/>
          <w:sz w:val="16"/>
        </w:rPr>
        <w:t> </w:t>
      </w:r>
      <w:r>
        <w:rPr>
          <w:sz w:val="16"/>
        </w:rPr>
        <w:t>(Edinburgh</w:t>
      </w:r>
      <w:r>
        <w:rPr>
          <w:spacing w:val="-20"/>
          <w:sz w:val="16"/>
        </w:rPr>
        <w:t> </w:t>
      </w:r>
      <w:r>
        <w:rPr>
          <w:sz w:val="16"/>
        </w:rPr>
        <w:t>University</w:t>
      </w:r>
      <w:r>
        <w:rPr>
          <w:spacing w:val="-20"/>
          <w:sz w:val="16"/>
        </w:rPr>
        <w:t> </w:t>
      </w:r>
      <w:r>
        <w:rPr>
          <w:sz w:val="16"/>
        </w:rPr>
        <w:t>Press)</w:t>
      </w:r>
    </w:p>
    <w:p>
      <w:pPr>
        <w:spacing w:line="247" w:lineRule="auto" w:before="58"/>
        <w:ind w:left="333" w:right="58" w:hanging="227"/>
        <w:jc w:val="left"/>
        <w:rPr>
          <w:sz w:val="16"/>
        </w:rPr>
      </w:pPr>
      <w:r>
        <w:rPr>
          <w:rFonts w:ascii="Century Gothic" w:hAnsi="Century Gothic"/>
          <w:b/>
          <w:w w:val="95"/>
          <w:sz w:val="16"/>
        </w:rPr>
        <w:t>≥ </w:t>
      </w:r>
      <w:r>
        <w:rPr>
          <w:rFonts w:ascii="Century Gothic" w:hAnsi="Century Gothic"/>
          <w:i/>
          <w:w w:val="95"/>
          <w:sz w:val="16"/>
        </w:rPr>
        <w:t>Why Current Affairs Needs Social Theory </w:t>
      </w:r>
      <w:r>
        <w:rPr>
          <w:sz w:val="16"/>
        </w:rPr>
        <w:t>by Professor Rob Stones (Bloomsbury Academic)</w:t>
      </w:r>
    </w:p>
    <w:p>
      <w:pPr>
        <w:spacing w:line="244" w:lineRule="auto" w:before="57"/>
        <w:ind w:left="333" w:right="417" w:hanging="227"/>
        <w:jc w:val="left"/>
        <w:rPr>
          <w:sz w:val="16"/>
        </w:rPr>
      </w:pPr>
      <w:r>
        <w:rPr>
          <w:rFonts w:ascii="Century Gothic" w:hAnsi="Century Gothic"/>
          <w:b/>
          <w:w w:val="115"/>
          <w:sz w:val="16"/>
        </w:rPr>
        <w:t>≥ </w:t>
      </w:r>
      <w:r>
        <w:rPr>
          <w:rFonts w:ascii="Century Gothic" w:hAnsi="Century Gothic"/>
          <w:i/>
          <w:sz w:val="16"/>
        </w:rPr>
        <w:t>Why Men Buy Sex </w:t>
      </w:r>
      <w:r>
        <w:rPr>
          <w:sz w:val="16"/>
        </w:rPr>
        <w:t>by Mr Philip Birch (Routledge)</w:t>
      </w:r>
    </w:p>
    <w:p>
      <w:pPr>
        <w:spacing w:line="244" w:lineRule="auto" w:before="58"/>
        <w:ind w:left="333" w:right="201" w:hanging="227"/>
        <w:jc w:val="left"/>
        <w:rPr>
          <w:sz w:val="16"/>
        </w:rPr>
      </w:pPr>
      <w:r>
        <w:rPr>
          <w:rFonts w:ascii="Century Gothic" w:hAnsi="Century Gothic"/>
          <w:b/>
          <w:w w:val="95"/>
          <w:sz w:val="16"/>
        </w:rPr>
        <w:t>≥ </w:t>
      </w:r>
      <w:r>
        <w:rPr>
          <w:rFonts w:ascii="Century Gothic" w:hAnsi="Century Gothic"/>
          <w:i/>
          <w:w w:val="95"/>
          <w:sz w:val="16"/>
        </w:rPr>
        <w:t>Dialogues of Sustainable Urbanisation: </w:t>
      </w:r>
      <w:r>
        <w:rPr>
          <w:rFonts w:ascii="Century Gothic" w:hAnsi="Century Gothic"/>
          <w:i/>
          <w:w w:val="90"/>
          <w:sz w:val="16"/>
        </w:rPr>
        <w:t>Social Science Research and Transitions </w:t>
      </w:r>
      <w:r>
        <w:rPr>
          <w:rFonts w:ascii="Century Gothic" w:hAnsi="Century Gothic"/>
          <w:i/>
          <w:w w:val="95"/>
          <w:sz w:val="16"/>
        </w:rPr>
        <w:t>to Urban Contexts edited </w:t>
      </w:r>
      <w:r>
        <w:rPr>
          <w:w w:val="95"/>
          <w:sz w:val="16"/>
        </w:rPr>
        <w:t>by Dr Jenna</w:t>
      </w:r>
    </w:p>
    <w:p>
      <w:pPr>
        <w:pStyle w:val="BodyText"/>
        <w:spacing w:line="249" w:lineRule="auto"/>
        <w:ind w:left="333" w:right="6"/>
      </w:pPr>
      <w:r>
        <w:rPr/>
        <w:t>Condie and Dr Anna Cooper (University of Western Sydney)</w:t>
      </w:r>
    </w:p>
    <w:p>
      <w:pPr>
        <w:spacing w:line="247" w:lineRule="auto" w:before="55"/>
        <w:ind w:left="333" w:right="59" w:hanging="227"/>
        <w:jc w:val="both"/>
        <w:rPr>
          <w:sz w:val="16"/>
        </w:rPr>
      </w:pPr>
      <w:r>
        <w:rPr>
          <w:rFonts w:ascii="Century Gothic" w:hAnsi="Century Gothic"/>
          <w:b/>
          <w:w w:val="115"/>
          <w:sz w:val="16"/>
        </w:rPr>
        <w:t>≥</w:t>
      </w:r>
      <w:r>
        <w:rPr>
          <w:rFonts w:ascii="Century Gothic" w:hAnsi="Century Gothic"/>
          <w:b/>
          <w:spacing w:val="-17"/>
          <w:w w:val="115"/>
          <w:sz w:val="16"/>
        </w:rPr>
        <w:t> </w:t>
      </w:r>
      <w:r>
        <w:rPr>
          <w:rFonts w:ascii="Century Gothic" w:hAnsi="Century Gothic"/>
          <w:i/>
          <w:sz w:val="16"/>
        </w:rPr>
        <w:t>Sex,</w:t>
      </w:r>
      <w:r>
        <w:rPr>
          <w:rFonts w:ascii="Century Gothic" w:hAnsi="Century Gothic"/>
          <w:i/>
          <w:spacing w:val="-31"/>
          <w:sz w:val="16"/>
        </w:rPr>
        <w:t> </w:t>
      </w:r>
      <w:r>
        <w:rPr>
          <w:rFonts w:ascii="Century Gothic" w:hAnsi="Century Gothic"/>
          <w:i/>
          <w:sz w:val="16"/>
        </w:rPr>
        <w:t>Ethics</w:t>
      </w:r>
      <w:r>
        <w:rPr>
          <w:rFonts w:ascii="Century Gothic" w:hAnsi="Century Gothic"/>
          <w:i/>
          <w:spacing w:val="-31"/>
          <w:sz w:val="16"/>
        </w:rPr>
        <w:t> </w:t>
      </w:r>
      <w:r>
        <w:rPr>
          <w:rFonts w:ascii="Century Gothic" w:hAnsi="Century Gothic"/>
          <w:i/>
          <w:sz w:val="16"/>
        </w:rPr>
        <w:t>and</w:t>
      </w:r>
      <w:r>
        <w:rPr>
          <w:rFonts w:ascii="Century Gothic" w:hAnsi="Century Gothic"/>
          <w:i/>
          <w:spacing w:val="-31"/>
          <w:sz w:val="16"/>
        </w:rPr>
        <w:t> </w:t>
      </w:r>
      <w:r>
        <w:rPr>
          <w:rFonts w:ascii="Century Gothic" w:hAnsi="Century Gothic"/>
          <w:i/>
          <w:sz w:val="16"/>
        </w:rPr>
        <w:t>Young</w:t>
      </w:r>
      <w:r>
        <w:rPr>
          <w:rFonts w:ascii="Century Gothic" w:hAnsi="Century Gothic"/>
          <w:i/>
          <w:spacing w:val="-31"/>
          <w:sz w:val="16"/>
        </w:rPr>
        <w:t> </w:t>
      </w:r>
      <w:r>
        <w:rPr>
          <w:rFonts w:ascii="Century Gothic" w:hAnsi="Century Gothic"/>
          <w:i/>
          <w:sz w:val="16"/>
        </w:rPr>
        <w:t>People</w:t>
      </w:r>
      <w:r>
        <w:rPr>
          <w:rFonts w:ascii="Century Gothic" w:hAnsi="Century Gothic"/>
          <w:i/>
          <w:spacing w:val="-31"/>
          <w:sz w:val="16"/>
        </w:rPr>
        <w:t> </w:t>
      </w:r>
      <w:r>
        <w:rPr>
          <w:sz w:val="16"/>
        </w:rPr>
        <w:t>by</w:t>
      </w:r>
      <w:r>
        <w:rPr>
          <w:spacing w:val="-37"/>
          <w:sz w:val="16"/>
        </w:rPr>
        <w:t> </w:t>
      </w:r>
      <w:r>
        <w:rPr>
          <w:sz w:val="16"/>
        </w:rPr>
        <w:t>Professor Moira</w:t>
      </w:r>
      <w:r>
        <w:rPr>
          <w:spacing w:val="-16"/>
          <w:sz w:val="16"/>
        </w:rPr>
        <w:t> </w:t>
      </w:r>
      <w:r>
        <w:rPr>
          <w:sz w:val="16"/>
        </w:rPr>
        <w:t>Carmody</w:t>
      </w:r>
      <w:r>
        <w:rPr>
          <w:spacing w:val="-16"/>
          <w:sz w:val="16"/>
        </w:rPr>
        <w:t> </w:t>
      </w:r>
      <w:r>
        <w:rPr>
          <w:sz w:val="16"/>
        </w:rPr>
        <w:t>(Palgrave</w:t>
      </w:r>
      <w:r>
        <w:rPr>
          <w:spacing w:val="-16"/>
          <w:sz w:val="16"/>
        </w:rPr>
        <w:t> </w:t>
      </w:r>
      <w:r>
        <w:rPr>
          <w:sz w:val="16"/>
        </w:rPr>
        <w:t>Macmillan,</w:t>
      </w:r>
      <w:r>
        <w:rPr>
          <w:spacing w:val="-16"/>
          <w:sz w:val="16"/>
        </w:rPr>
        <w:t> </w:t>
      </w:r>
      <w:r>
        <w:rPr>
          <w:sz w:val="16"/>
        </w:rPr>
        <w:t>New York)</w:t>
      </w:r>
    </w:p>
    <w:p>
      <w:pPr>
        <w:spacing w:line="244" w:lineRule="auto" w:before="57"/>
        <w:ind w:left="333" w:right="-6" w:hanging="227"/>
        <w:jc w:val="left"/>
        <w:rPr>
          <w:sz w:val="16"/>
        </w:rPr>
      </w:pPr>
      <w:r>
        <w:rPr>
          <w:rFonts w:ascii="Century Gothic" w:hAnsi="Century Gothic"/>
          <w:b/>
          <w:w w:val="115"/>
          <w:sz w:val="16"/>
        </w:rPr>
        <w:t>≥ </w:t>
      </w:r>
      <w:r>
        <w:rPr>
          <w:rFonts w:ascii="Century Gothic" w:hAnsi="Century Gothic"/>
          <w:i/>
          <w:sz w:val="16"/>
        </w:rPr>
        <w:t>Restorative</w:t>
      </w:r>
      <w:r>
        <w:rPr>
          <w:rFonts w:ascii="Century Gothic" w:hAnsi="Century Gothic"/>
          <w:i/>
          <w:spacing w:val="-25"/>
          <w:sz w:val="16"/>
        </w:rPr>
        <w:t> </w:t>
      </w:r>
      <w:r>
        <w:rPr>
          <w:rFonts w:ascii="Century Gothic" w:hAnsi="Century Gothic"/>
          <w:i/>
          <w:sz w:val="16"/>
        </w:rPr>
        <w:t>Justice</w:t>
      </w:r>
      <w:r>
        <w:rPr>
          <w:rFonts w:ascii="Century Gothic" w:hAnsi="Century Gothic"/>
          <w:i/>
          <w:spacing w:val="-25"/>
          <w:sz w:val="16"/>
        </w:rPr>
        <w:t> </w:t>
      </w:r>
      <w:r>
        <w:rPr>
          <w:rFonts w:ascii="Century Gothic" w:hAnsi="Century Gothic"/>
          <w:i/>
          <w:sz w:val="16"/>
        </w:rPr>
        <w:t>in</w:t>
      </w:r>
      <w:r>
        <w:rPr>
          <w:rFonts w:ascii="Century Gothic" w:hAnsi="Century Gothic"/>
          <w:i/>
          <w:spacing w:val="-25"/>
          <w:sz w:val="16"/>
        </w:rPr>
        <w:t> </w:t>
      </w:r>
      <w:r>
        <w:rPr>
          <w:rFonts w:ascii="Century Gothic" w:hAnsi="Century Gothic"/>
          <w:i/>
          <w:sz w:val="16"/>
        </w:rPr>
        <w:t>Transition</w:t>
      </w:r>
      <w:r>
        <w:rPr>
          <w:rFonts w:ascii="Century Gothic" w:hAnsi="Century Gothic"/>
          <w:i/>
          <w:spacing w:val="-25"/>
          <w:sz w:val="16"/>
        </w:rPr>
        <w:t> </w:t>
      </w:r>
      <w:r>
        <w:rPr>
          <w:sz w:val="16"/>
        </w:rPr>
        <w:t>by</w:t>
      </w:r>
      <w:r>
        <w:rPr>
          <w:spacing w:val="-31"/>
          <w:sz w:val="16"/>
        </w:rPr>
        <w:t> </w:t>
      </w:r>
      <w:r>
        <w:rPr>
          <w:sz w:val="16"/>
        </w:rPr>
        <w:t>Dr</w:t>
      </w:r>
      <w:r>
        <w:rPr>
          <w:spacing w:val="-31"/>
          <w:sz w:val="16"/>
        </w:rPr>
        <w:t> </w:t>
      </w:r>
      <w:r>
        <w:rPr>
          <w:sz w:val="16"/>
        </w:rPr>
        <w:t>Kerry Clamp</w:t>
      </w:r>
      <w:r>
        <w:rPr>
          <w:spacing w:val="-32"/>
          <w:sz w:val="16"/>
        </w:rPr>
        <w:t> </w:t>
      </w:r>
      <w:r>
        <w:rPr>
          <w:sz w:val="16"/>
        </w:rPr>
        <w:t>(Routledge).</w:t>
      </w:r>
    </w:p>
    <w:p>
      <w:pPr>
        <w:pStyle w:val="BodyText"/>
        <w:spacing w:before="4"/>
        <w:rPr>
          <w:sz w:val="14"/>
        </w:rPr>
      </w:pPr>
    </w:p>
    <w:p>
      <w:pPr>
        <w:pStyle w:val="BodyText"/>
        <w:spacing w:line="249" w:lineRule="auto"/>
        <w:ind w:left="107" w:right="7"/>
      </w:pPr>
      <w:r>
        <w:rPr/>
        <w:t>The</w:t>
      </w:r>
      <w:r>
        <w:rPr>
          <w:spacing w:val="-20"/>
        </w:rPr>
        <w:t> </w:t>
      </w:r>
      <w:r>
        <w:rPr/>
        <w:t>School</w:t>
      </w:r>
      <w:r>
        <w:rPr>
          <w:spacing w:val="-20"/>
        </w:rPr>
        <w:t> </w:t>
      </w:r>
      <w:r>
        <w:rPr/>
        <w:t>of</w:t>
      </w:r>
      <w:r>
        <w:rPr>
          <w:spacing w:val="-20"/>
        </w:rPr>
        <w:t> </w:t>
      </w:r>
      <w:r>
        <w:rPr/>
        <w:t>Social</w:t>
      </w:r>
      <w:r>
        <w:rPr>
          <w:spacing w:val="-20"/>
        </w:rPr>
        <w:t> </w:t>
      </w:r>
      <w:r>
        <w:rPr/>
        <w:t>Sciences</w:t>
      </w:r>
      <w:r>
        <w:rPr>
          <w:spacing w:val="-20"/>
        </w:rPr>
        <w:t> </w:t>
      </w:r>
      <w:r>
        <w:rPr/>
        <w:t>and</w:t>
      </w:r>
      <w:r>
        <w:rPr>
          <w:spacing w:val="-20"/>
        </w:rPr>
        <w:t> </w:t>
      </w:r>
      <w:r>
        <w:rPr/>
        <w:t>Psychology won numerous prestigious and competitive </w:t>
      </w:r>
      <w:r>
        <w:rPr>
          <w:w w:val="97"/>
        </w:rPr>
        <w:t>grants </w:t>
      </w:r>
      <w:r>
        <w:rPr>
          <w:spacing w:val="-1"/>
          <w:w w:val="95"/>
        </w:rPr>
        <w:t>in</w:t>
      </w:r>
      <w:r>
        <w:rPr>
          <w:w w:val="95"/>
        </w:rPr>
        <w:t> </w:t>
      </w:r>
      <w:r>
        <w:rPr>
          <w:w w:val="84"/>
        </w:rPr>
        <w:t>2015. </w:t>
      </w:r>
      <w:r>
        <w:rPr>
          <w:w w:val="94"/>
        </w:rPr>
        <w:t>The </w:t>
      </w:r>
      <w:r>
        <w:rPr>
          <w:spacing w:val="-1"/>
          <w:w w:val="98"/>
        </w:rPr>
        <w:t>School’s</w:t>
      </w:r>
      <w:r>
        <w:rPr>
          <w:w w:val="98"/>
        </w:rPr>
        <w:t> </w:t>
      </w:r>
      <w:r>
        <w:rPr>
          <w:w w:val="97"/>
        </w:rPr>
        <w:t>staff </w:t>
      </w:r>
      <w:r>
        <w:rPr>
          <w:spacing w:val="-1"/>
          <w:w w:val="98"/>
        </w:rPr>
        <w:t>participated</w:t>
      </w:r>
      <w:r>
        <w:rPr>
          <w:w w:val="98"/>
        </w:rPr>
        <w:t> </w:t>
      </w:r>
      <w:r>
        <w:rPr/>
        <w:t>in</w:t>
      </w:r>
      <w:r>
        <w:rPr>
          <w:spacing w:val="-29"/>
        </w:rPr>
        <w:t> </w:t>
      </w:r>
      <w:r>
        <w:rPr/>
        <w:t>three</w:t>
      </w:r>
      <w:r>
        <w:rPr>
          <w:spacing w:val="-29"/>
        </w:rPr>
        <w:t> </w:t>
      </w:r>
      <w:r>
        <w:rPr/>
        <w:t>successful</w:t>
      </w:r>
      <w:r>
        <w:rPr>
          <w:spacing w:val="-29"/>
        </w:rPr>
        <w:t> </w:t>
      </w:r>
      <w:r>
        <w:rPr/>
        <w:t>Australian</w:t>
      </w:r>
      <w:r>
        <w:rPr>
          <w:spacing w:val="-29"/>
        </w:rPr>
        <w:t> </w:t>
      </w:r>
      <w:r>
        <w:rPr/>
        <w:t>Research</w:t>
      </w:r>
      <w:r>
        <w:rPr>
          <w:spacing w:val="-29"/>
        </w:rPr>
        <w:t> </w:t>
      </w:r>
      <w:r>
        <w:rPr/>
        <w:t>Council (ARC)</w:t>
      </w:r>
      <w:r>
        <w:rPr>
          <w:spacing w:val="-22"/>
        </w:rPr>
        <w:t> </w:t>
      </w:r>
      <w:r>
        <w:rPr/>
        <w:t>Discovery</w:t>
      </w:r>
      <w:r>
        <w:rPr>
          <w:spacing w:val="-22"/>
        </w:rPr>
        <w:t> </w:t>
      </w:r>
      <w:r>
        <w:rPr/>
        <w:t>applications</w:t>
      </w:r>
      <w:r>
        <w:rPr>
          <w:spacing w:val="-22"/>
        </w:rPr>
        <w:t> </w:t>
      </w:r>
      <w:r>
        <w:rPr/>
        <w:t>for</w:t>
      </w:r>
      <w:r>
        <w:rPr>
          <w:spacing w:val="-22"/>
        </w:rPr>
        <w:t> </w:t>
      </w:r>
      <w:r>
        <w:rPr/>
        <w:t>work</w:t>
      </w:r>
      <w:r>
        <w:rPr>
          <w:spacing w:val="-22"/>
        </w:rPr>
        <w:t> </w:t>
      </w:r>
      <w:r>
        <w:rPr/>
        <w:t>that</w:t>
      </w:r>
      <w:r>
        <w:rPr>
          <w:spacing w:val="-22"/>
        </w:rPr>
        <w:t> </w:t>
      </w:r>
      <w:r>
        <w:rPr/>
        <w:t>will </w:t>
      </w:r>
      <w:r>
        <w:rPr>
          <w:w w:val="97"/>
        </w:rPr>
        <w:t>start</w:t>
      </w:r>
      <w:r>
        <w:rPr>
          <w:spacing w:val="-9"/>
          <w:w w:val="97"/>
        </w:rPr>
        <w:t> </w:t>
      </w:r>
      <w:r>
        <w:rPr>
          <w:spacing w:val="-1"/>
          <w:w w:val="95"/>
        </w:rPr>
        <w:t>in</w:t>
      </w:r>
      <w:r>
        <w:rPr>
          <w:spacing w:val="-8"/>
          <w:w w:val="95"/>
        </w:rPr>
        <w:t> </w:t>
      </w:r>
      <w:r>
        <w:rPr>
          <w:w w:val="90"/>
        </w:rPr>
        <w:t>2016</w:t>
      </w:r>
      <w:r>
        <w:rPr>
          <w:spacing w:val="-5"/>
          <w:w w:val="90"/>
        </w:rPr>
        <w:t> </w:t>
      </w:r>
      <w:r>
        <w:rPr>
          <w:spacing w:val="-1"/>
          <w:w w:val="97"/>
        </w:rPr>
        <w:t>(Professor</w:t>
      </w:r>
      <w:r>
        <w:rPr>
          <w:spacing w:val="-9"/>
          <w:w w:val="97"/>
        </w:rPr>
        <w:t> </w:t>
      </w:r>
      <w:r>
        <w:rPr>
          <w:spacing w:val="-1"/>
          <w:w w:val="97"/>
        </w:rPr>
        <w:t>Phillip</w:t>
      </w:r>
      <w:r>
        <w:rPr>
          <w:spacing w:val="-9"/>
          <w:w w:val="97"/>
        </w:rPr>
        <w:t> </w:t>
      </w:r>
      <w:r>
        <w:rPr>
          <w:w w:val="93"/>
        </w:rPr>
        <w:t>O’Neill,</w:t>
      </w:r>
      <w:r>
        <w:rPr>
          <w:spacing w:val="-7"/>
          <w:w w:val="93"/>
        </w:rPr>
        <w:t> </w:t>
      </w:r>
      <w:r>
        <w:rPr>
          <w:spacing w:val="-1"/>
          <w:w w:val="97"/>
        </w:rPr>
        <w:t>Professor</w:t>
      </w:r>
      <w:r>
        <w:rPr>
          <w:w w:val="97"/>
        </w:rPr>
        <w:t> </w:t>
      </w:r>
      <w:r>
        <w:rPr/>
        <w:t>Craig McGarty, Dr Andrew Gorman-Murray), one National Health and Medical Research Council</w:t>
      </w:r>
      <w:r>
        <w:rPr>
          <w:spacing w:val="-23"/>
        </w:rPr>
        <w:t> </w:t>
      </w:r>
      <w:r>
        <w:rPr/>
        <w:t>(NHMRC)</w:t>
      </w:r>
      <w:r>
        <w:rPr>
          <w:spacing w:val="-23"/>
        </w:rPr>
        <w:t> </w:t>
      </w:r>
      <w:r>
        <w:rPr/>
        <w:t>application</w:t>
      </w:r>
      <w:r>
        <w:rPr>
          <w:spacing w:val="-23"/>
        </w:rPr>
        <w:t> </w:t>
      </w:r>
      <w:r>
        <w:rPr/>
        <w:t>(Professor</w:t>
      </w:r>
      <w:r>
        <w:rPr>
          <w:spacing w:val="-23"/>
        </w:rPr>
        <w:t> </w:t>
      </w:r>
      <w:r>
        <w:rPr/>
        <w:t>Andre Renzaho), two Endeavour Scholarships (Dr Dallas Rogers and Miss Rhonda Itaoui), the Ramaciotti Health Investment Grant (Smith) and a German Academic Exchange Service </w:t>
      </w:r>
      <w:r>
        <w:rPr>
          <w:w w:val="95"/>
        </w:rPr>
        <w:t>Fellowship Grant</w:t>
      </w:r>
      <w:r>
        <w:rPr>
          <w:spacing w:val="7"/>
          <w:w w:val="95"/>
        </w:rPr>
        <w:t> </w:t>
      </w:r>
      <w:r>
        <w:rPr>
          <w:w w:val="95"/>
        </w:rPr>
        <w:t>(Watson).</w:t>
      </w:r>
    </w:p>
    <w:p>
      <w:pPr>
        <w:pStyle w:val="BodyText"/>
        <w:rPr>
          <w:sz w:val="14"/>
        </w:rPr>
      </w:pPr>
    </w:p>
    <w:p>
      <w:pPr>
        <w:pStyle w:val="BodyText"/>
        <w:spacing w:line="249" w:lineRule="auto"/>
        <w:ind w:left="107" w:right="41"/>
      </w:pPr>
      <w:r>
        <w:rPr/>
        <w:t>Several staff also won research grants from the following government and industry sources: Western Sydney Community Forum (Leonard,</w:t>
      </w:r>
      <w:r>
        <w:rPr>
          <w:spacing w:val="-20"/>
        </w:rPr>
        <w:t> </w:t>
      </w:r>
      <w:r>
        <w:rPr/>
        <w:t>Horsfall,</w:t>
      </w:r>
      <w:r>
        <w:rPr>
          <w:spacing w:val="-20"/>
        </w:rPr>
        <w:t> </w:t>
      </w:r>
      <w:r>
        <w:rPr/>
        <w:t>Reedy</w:t>
      </w:r>
      <w:r>
        <w:rPr>
          <w:spacing w:val="-20"/>
        </w:rPr>
        <w:t> </w:t>
      </w:r>
      <w:r>
        <w:rPr/>
        <w:t>and</w:t>
      </w:r>
      <w:r>
        <w:rPr>
          <w:spacing w:val="-20"/>
        </w:rPr>
        <w:t> </w:t>
      </w:r>
      <w:r>
        <w:rPr/>
        <w:t>Laing),</w:t>
      </w:r>
      <w:r>
        <w:rPr>
          <w:spacing w:val="-20"/>
        </w:rPr>
        <w:t> </w:t>
      </w:r>
      <w:r>
        <w:rPr/>
        <w:t>Catholic Community</w:t>
      </w:r>
      <w:r>
        <w:rPr>
          <w:spacing w:val="-27"/>
        </w:rPr>
        <w:t> </w:t>
      </w:r>
      <w:r>
        <w:rPr/>
        <w:t>Services</w:t>
      </w:r>
      <w:r>
        <w:rPr>
          <w:spacing w:val="-27"/>
        </w:rPr>
        <w:t> </w:t>
      </w:r>
      <w:r>
        <w:rPr/>
        <w:t>(Narchal,</w:t>
      </w:r>
      <w:r>
        <w:rPr>
          <w:spacing w:val="-27"/>
        </w:rPr>
        <w:t> </w:t>
      </w:r>
      <w:r>
        <w:rPr>
          <w:spacing w:val="2"/>
        </w:rPr>
        <w:t>Moustafa,</w:t>
      </w:r>
    </w:p>
    <w:p>
      <w:pPr>
        <w:pStyle w:val="BodyText"/>
        <w:spacing w:line="249" w:lineRule="auto"/>
        <w:ind w:left="107"/>
      </w:pPr>
      <w:r>
        <w:rPr/>
        <w:t>and Mukuria), Grant </w:t>
      </w:r>
      <w:r>
        <w:rPr>
          <w:spacing w:val="2"/>
        </w:rPr>
        <w:t>Henry </w:t>
      </w:r>
      <w:r>
        <w:rPr/>
        <w:t>Halloran Trust, University of Sydney (Rogers, Schatz, </w:t>
      </w:r>
      <w:r>
        <w:rPr>
          <w:spacing w:val="2"/>
        </w:rPr>
        <w:t>McManus,</w:t>
      </w:r>
      <w:r>
        <w:rPr>
          <w:spacing w:val="-27"/>
        </w:rPr>
        <w:t> </w:t>
      </w:r>
      <w:r>
        <w:rPr/>
        <w:t>Piracha</w:t>
      </w:r>
      <w:r>
        <w:rPr>
          <w:spacing w:val="-27"/>
        </w:rPr>
        <w:t> </w:t>
      </w:r>
      <w:r>
        <w:rPr/>
        <w:t>and</w:t>
      </w:r>
      <w:r>
        <w:rPr>
          <w:spacing w:val="-27"/>
        </w:rPr>
        <w:t> </w:t>
      </w:r>
      <w:r>
        <w:rPr/>
        <w:t>McAuliffe),</w:t>
      </w:r>
      <w:r>
        <w:rPr>
          <w:spacing w:val="-27"/>
        </w:rPr>
        <w:t> </w:t>
      </w:r>
      <w:r>
        <w:rPr/>
        <w:t>Department</w:t>
      </w:r>
    </w:p>
    <w:p>
      <w:pPr>
        <w:pStyle w:val="BodyText"/>
        <w:spacing w:before="9"/>
      </w:pPr>
      <w:r>
        <w:rPr/>
        <w:br w:type="column"/>
      </w:r>
      <w:r>
        <w:rPr/>
      </w:r>
    </w:p>
    <w:p>
      <w:pPr>
        <w:pStyle w:val="BodyText"/>
        <w:spacing w:line="249" w:lineRule="auto"/>
        <w:ind w:left="107" w:right="127"/>
      </w:pPr>
      <w:r>
        <w:rPr/>
        <w:t>of Family and Community Services – Housing NSW (Drake), Benevolent Society (Horsfall and Carrington), Australian Museum (Ravulo), Blacktown and Marrickville councils (McAuliffe) and Safe Schools Coalition</w:t>
      </w:r>
    </w:p>
    <w:p>
      <w:pPr>
        <w:pStyle w:val="BodyText"/>
        <w:spacing w:line="249" w:lineRule="auto"/>
        <w:ind w:left="107" w:right="116"/>
        <w:jc w:val="both"/>
      </w:pPr>
      <w:r>
        <w:rPr/>
        <w:t>Australia</w:t>
      </w:r>
      <w:r>
        <w:rPr>
          <w:spacing w:val="-20"/>
        </w:rPr>
        <w:t> </w:t>
      </w:r>
      <w:r>
        <w:rPr/>
        <w:t>(Robinson</w:t>
      </w:r>
      <w:r>
        <w:rPr>
          <w:spacing w:val="-20"/>
        </w:rPr>
        <w:t> </w:t>
      </w:r>
      <w:r>
        <w:rPr/>
        <w:t>and</w:t>
      </w:r>
      <w:r>
        <w:rPr>
          <w:spacing w:val="-20"/>
        </w:rPr>
        <w:t> </w:t>
      </w:r>
      <w:r>
        <w:rPr/>
        <w:t>Ullman).</w:t>
      </w:r>
      <w:r>
        <w:rPr>
          <w:spacing w:val="-20"/>
        </w:rPr>
        <w:t> </w:t>
      </w:r>
      <w:r>
        <w:rPr/>
        <w:t>These</w:t>
      </w:r>
      <w:r>
        <w:rPr>
          <w:spacing w:val="-20"/>
        </w:rPr>
        <w:t> </w:t>
      </w:r>
      <w:r>
        <w:rPr/>
        <w:t>grants illustrate</w:t>
      </w:r>
      <w:r>
        <w:rPr>
          <w:spacing w:val="-18"/>
        </w:rPr>
        <w:t> </w:t>
      </w:r>
      <w:r>
        <w:rPr/>
        <w:t>the</w:t>
      </w:r>
      <w:r>
        <w:rPr>
          <w:spacing w:val="-18"/>
        </w:rPr>
        <w:t> </w:t>
      </w:r>
      <w:r>
        <w:rPr/>
        <w:t>research</w:t>
      </w:r>
      <w:r>
        <w:rPr>
          <w:spacing w:val="-18"/>
        </w:rPr>
        <w:t> </w:t>
      </w:r>
      <w:r>
        <w:rPr/>
        <w:t>excellence</w:t>
      </w:r>
      <w:r>
        <w:rPr>
          <w:spacing w:val="-18"/>
        </w:rPr>
        <w:t> </w:t>
      </w:r>
      <w:r>
        <w:rPr/>
        <w:t>of</w:t>
      </w:r>
      <w:r>
        <w:rPr>
          <w:spacing w:val="-18"/>
        </w:rPr>
        <w:t> </w:t>
      </w:r>
      <w:r>
        <w:rPr/>
        <w:t>the</w:t>
      </w:r>
      <w:r>
        <w:rPr>
          <w:spacing w:val="-18"/>
        </w:rPr>
        <w:t> </w:t>
      </w:r>
      <w:r>
        <w:rPr/>
        <w:t>School and</w:t>
      </w:r>
      <w:r>
        <w:rPr>
          <w:spacing w:val="-19"/>
        </w:rPr>
        <w:t> </w:t>
      </w:r>
      <w:r>
        <w:rPr/>
        <w:t>the</w:t>
      </w:r>
      <w:r>
        <w:rPr>
          <w:spacing w:val="-19"/>
        </w:rPr>
        <w:t> </w:t>
      </w:r>
      <w:r>
        <w:rPr/>
        <w:t>engaging</w:t>
      </w:r>
      <w:r>
        <w:rPr>
          <w:spacing w:val="-19"/>
        </w:rPr>
        <w:t> </w:t>
      </w:r>
      <w:r>
        <w:rPr/>
        <w:t>nature</w:t>
      </w:r>
      <w:r>
        <w:rPr>
          <w:spacing w:val="-19"/>
        </w:rPr>
        <w:t> </w:t>
      </w:r>
      <w:r>
        <w:rPr/>
        <w:t>of</w:t>
      </w:r>
      <w:r>
        <w:rPr>
          <w:spacing w:val="-19"/>
        </w:rPr>
        <w:t> </w:t>
      </w:r>
      <w:r>
        <w:rPr/>
        <w:t>its</w:t>
      </w:r>
      <w:r>
        <w:rPr>
          <w:spacing w:val="-19"/>
        </w:rPr>
        <w:t> </w:t>
      </w:r>
      <w:r>
        <w:rPr/>
        <w:t>scholarship.</w:t>
      </w:r>
    </w:p>
    <w:p>
      <w:pPr>
        <w:pStyle w:val="BodyText"/>
        <w:rPr>
          <w:sz w:val="14"/>
        </w:rPr>
      </w:pPr>
    </w:p>
    <w:p>
      <w:pPr>
        <w:pStyle w:val="BodyText"/>
        <w:spacing w:line="249" w:lineRule="auto"/>
        <w:ind w:left="107" w:right="453"/>
      </w:pPr>
      <w:r>
        <w:rPr>
          <w:spacing w:val="1"/>
          <w:w w:val="80"/>
        </w:rPr>
        <w:t>In</w:t>
      </w:r>
      <w:r>
        <w:rPr>
          <w:w w:val="80"/>
        </w:rPr>
        <w:t> </w:t>
      </w:r>
      <w:r>
        <w:rPr>
          <w:spacing w:val="1"/>
          <w:w w:val="84"/>
        </w:rPr>
        <w:t>2015,</w:t>
      </w:r>
      <w:r>
        <w:rPr>
          <w:w w:val="84"/>
        </w:rPr>
        <w:t> </w:t>
      </w:r>
      <w:r>
        <w:rPr>
          <w:w w:val="97"/>
        </w:rPr>
        <w:t>the </w:t>
      </w:r>
      <w:r>
        <w:rPr>
          <w:spacing w:val="1"/>
          <w:w w:val="98"/>
        </w:rPr>
        <w:t>School</w:t>
      </w:r>
      <w:r>
        <w:rPr>
          <w:w w:val="98"/>
        </w:rPr>
        <w:t> </w:t>
      </w:r>
      <w:r>
        <w:rPr>
          <w:spacing w:val="1"/>
          <w:w w:val="97"/>
        </w:rPr>
        <w:t>generated</w:t>
      </w:r>
      <w:r>
        <w:rPr>
          <w:w w:val="97"/>
        </w:rPr>
        <w:t> </w:t>
      </w:r>
      <w:r>
        <w:rPr>
          <w:w w:val="94"/>
        </w:rPr>
        <w:t>a </w:t>
      </w:r>
      <w:r>
        <w:rPr>
          <w:spacing w:val="1"/>
          <w:w w:val="97"/>
        </w:rPr>
        <w:t>number</w:t>
      </w:r>
      <w:r>
        <w:rPr>
          <w:w w:val="97"/>
        </w:rPr>
        <w:t> </w:t>
      </w:r>
      <w:r>
        <w:rPr/>
        <w:t>of</w:t>
      </w:r>
      <w:r>
        <w:rPr>
          <w:spacing w:val="-15"/>
        </w:rPr>
        <w:t> </w:t>
      </w:r>
      <w:r>
        <w:rPr/>
        <w:t>reports</w:t>
      </w:r>
      <w:r>
        <w:rPr>
          <w:spacing w:val="-15"/>
        </w:rPr>
        <w:t> </w:t>
      </w:r>
      <w:r>
        <w:rPr/>
        <w:t>including:</w:t>
      </w:r>
      <w:r>
        <w:rPr>
          <w:spacing w:val="-15"/>
        </w:rPr>
        <w:t> </w:t>
      </w:r>
      <w:r>
        <w:rPr/>
        <w:t>Pacific</w:t>
      </w:r>
      <w:r>
        <w:rPr>
          <w:spacing w:val="-15"/>
        </w:rPr>
        <w:t> </w:t>
      </w:r>
      <w:r>
        <w:rPr/>
        <w:t>Communities in</w:t>
      </w:r>
      <w:r>
        <w:rPr>
          <w:spacing w:val="-21"/>
        </w:rPr>
        <w:t> </w:t>
      </w:r>
      <w:r>
        <w:rPr/>
        <w:t>Australia</w:t>
      </w:r>
      <w:r>
        <w:rPr>
          <w:spacing w:val="-21"/>
        </w:rPr>
        <w:t> </w:t>
      </w:r>
      <w:r>
        <w:rPr/>
        <w:t>(Ravulo),</w:t>
      </w:r>
      <w:r>
        <w:rPr>
          <w:spacing w:val="-21"/>
        </w:rPr>
        <w:t> </w:t>
      </w:r>
      <w:r>
        <w:rPr/>
        <w:t>End</w:t>
      </w:r>
      <w:r>
        <w:rPr>
          <w:spacing w:val="-21"/>
        </w:rPr>
        <w:t> </w:t>
      </w:r>
      <w:r>
        <w:rPr/>
        <w:t>of</w:t>
      </w:r>
      <w:r>
        <w:rPr>
          <w:spacing w:val="-21"/>
        </w:rPr>
        <w:t> </w:t>
      </w:r>
      <w:r>
        <w:rPr/>
        <w:t>Life</w:t>
      </w:r>
      <w:r>
        <w:rPr>
          <w:spacing w:val="-21"/>
        </w:rPr>
        <w:t> </w:t>
      </w:r>
      <w:r>
        <w:rPr/>
        <w:t>at</w:t>
      </w:r>
      <w:r>
        <w:rPr>
          <w:spacing w:val="-21"/>
        </w:rPr>
        <w:t> </w:t>
      </w:r>
      <w:r>
        <w:rPr/>
        <w:t>Home: Co-Creating</w:t>
      </w:r>
      <w:r>
        <w:rPr>
          <w:spacing w:val="-13"/>
        </w:rPr>
        <w:t> </w:t>
      </w:r>
      <w:r>
        <w:rPr/>
        <w:t>an</w:t>
      </w:r>
      <w:r>
        <w:rPr>
          <w:spacing w:val="-13"/>
        </w:rPr>
        <w:t> </w:t>
      </w:r>
      <w:r>
        <w:rPr/>
        <w:t>Ecology</w:t>
      </w:r>
      <w:r>
        <w:rPr>
          <w:spacing w:val="-13"/>
        </w:rPr>
        <w:t> </w:t>
      </w:r>
      <w:r>
        <w:rPr/>
        <w:t>of</w:t>
      </w:r>
      <w:r>
        <w:rPr>
          <w:spacing w:val="-13"/>
        </w:rPr>
        <w:t> </w:t>
      </w:r>
      <w:r>
        <w:rPr/>
        <w:t>Care</w:t>
      </w:r>
      <w:r>
        <w:rPr>
          <w:spacing w:val="-13"/>
        </w:rPr>
        <w:t> </w:t>
      </w:r>
      <w:r>
        <w:rPr/>
        <w:t>(Horsfall, D.,</w:t>
      </w:r>
      <w:r>
        <w:rPr>
          <w:spacing w:val="-33"/>
        </w:rPr>
        <w:t> </w:t>
      </w:r>
      <w:r>
        <w:rPr/>
        <w:t>Yardley,</w:t>
      </w:r>
      <w:r>
        <w:rPr>
          <w:spacing w:val="-33"/>
        </w:rPr>
        <w:t> </w:t>
      </w:r>
      <w:r>
        <w:rPr>
          <w:spacing w:val="3"/>
        </w:rPr>
        <w:t>A.,</w:t>
      </w:r>
      <w:r>
        <w:rPr>
          <w:spacing w:val="-33"/>
        </w:rPr>
        <w:t> </w:t>
      </w:r>
      <w:r>
        <w:rPr/>
        <w:t>Leonard,</w:t>
      </w:r>
      <w:r>
        <w:rPr>
          <w:spacing w:val="-33"/>
        </w:rPr>
        <w:t> </w:t>
      </w:r>
      <w:r>
        <w:rPr>
          <w:spacing w:val="2"/>
        </w:rPr>
        <w:t>R.,</w:t>
      </w:r>
      <w:r>
        <w:rPr>
          <w:spacing w:val="-33"/>
        </w:rPr>
        <w:t> </w:t>
      </w:r>
      <w:r>
        <w:rPr>
          <w:spacing w:val="2"/>
        </w:rPr>
        <w:t>Noonan,</w:t>
      </w:r>
      <w:r>
        <w:rPr>
          <w:spacing w:val="-33"/>
        </w:rPr>
        <w:t> </w:t>
      </w:r>
      <w:r>
        <w:rPr>
          <w:spacing w:val="3"/>
        </w:rPr>
        <w:t>K.,</w:t>
      </w:r>
      <w:r>
        <w:rPr>
          <w:spacing w:val="-33"/>
        </w:rPr>
        <w:t> </w:t>
      </w:r>
      <w:r>
        <w:rPr/>
        <w:t>&amp; Rosenberg,</w:t>
      </w:r>
      <w:r>
        <w:rPr>
          <w:spacing w:val="-24"/>
        </w:rPr>
        <w:t> </w:t>
      </w:r>
      <w:r>
        <w:rPr/>
        <w:t>J.</w:t>
      </w:r>
      <w:r>
        <w:rPr>
          <w:spacing w:val="-24"/>
        </w:rPr>
        <w:t> </w:t>
      </w:r>
      <w:r>
        <w:rPr/>
        <w:t>P),</w:t>
      </w:r>
      <w:r>
        <w:rPr>
          <w:spacing w:val="-24"/>
        </w:rPr>
        <w:t> </w:t>
      </w:r>
      <w:r>
        <w:rPr/>
        <w:t>and</w:t>
      </w:r>
      <w:r>
        <w:rPr>
          <w:spacing w:val="-24"/>
        </w:rPr>
        <w:t> </w:t>
      </w:r>
      <w:r>
        <w:rPr/>
        <w:t>The</w:t>
      </w:r>
      <w:r>
        <w:rPr>
          <w:spacing w:val="-24"/>
        </w:rPr>
        <w:t> </w:t>
      </w:r>
      <w:r>
        <w:rPr/>
        <w:t>resilience</w:t>
      </w:r>
      <w:r>
        <w:rPr>
          <w:spacing w:val="-24"/>
        </w:rPr>
        <w:t> </w:t>
      </w:r>
      <w:r>
        <w:rPr/>
        <w:t>and</w:t>
      </w:r>
    </w:p>
    <w:p>
      <w:pPr>
        <w:pStyle w:val="BodyText"/>
        <w:spacing w:line="249" w:lineRule="auto"/>
        <w:ind w:left="107" w:right="169"/>
      </w:pPr>
      <w:r>
        <w:rPr/>
        <w:t>ordinariness of Australian Muslims: Attitudes and experiences of Muslims Report (Dunn, Atie, Mapedzahama, Ozalp, Aydogan).</w:t>
      </w:r>
    </w:p>
    <w:p>
      <w:pPr>
        <w:pStyle w:val="BodyText"/>
        <w:rPr>
          <w:sz w:val="14"/>
        </w:rPr>
      </w:pPr>
    </w:p>
    <w:p>
      <w:pPr>
        <w:pStyle w:val="BodyText"/>
        <w:ind w:left="107" w:right="112"/>
      </w:pPr>
      <w:r>
        <w:rPr/>
        <w:t>Other research included:</w:t>
      </w:r>
    </w:p>
    <w:p>
      <w:pPr>
        <w:pStyle w:val="BodyText"/>
        <w:spacing w:before="7"/>
        <w:rPr>
          <w:sz w:val="14"/>
        </w:rPr>
      </w:pPr>
    </w:p>
    <w:p>
      <w:pPr>
        <w:pStyle w:val="BodyText"/>
        <w:spacing w:line="247" w:lineRule="auto"/>
        <w:ind w:left="333" w:right="26" w:hanging="227"/>
      </w:pPr>
      <w:r>
        <w:rPr>
          <w:rFonts w:ascii="Century Gothic" w:hAnsi="Century Gothic"/>
          <w:b/>
          <w:w w:val="115"/>
        </w:rPr>
        <w:t>≥ </w:t>
      </w:r>
      <w:r>
        <w:rPr/>
        <w:t>The School, in partnership with the University’s MARCS Institute, hosted the official launch of the Kingswood ‘Baby Lab’ for infant testing.</w:t>
      </w:r>
    </w:p>
    <w:p>
      <w:pPr>
        <w:pStyle w:val="BodyText"/>
        <w:spacing w:line="247" w:lineRule="auto" w:before="57"/>
        <w:ind w:left="333" w:right="22" w:hanging="227"/>
      </w:pPr>
      <w:r>
        <w:rPr>
          <w:rFonts w:ascii="Century Gothic" w:hAnsi="Century Gothic"/>
          <w:b/>
          <w:w w:val="115"/>
        </w:rPr>
        <w:t>≥ </w:t>
      </w:r>
      <w:r>
        <w:rPr/>
        <w:t>The School took a leading role in work leading to the signing of a Memorandum of Understanding with FACS Western Sydney. Since the signing of the MoU, the School has set up two new research partnerships with FACS, one on Squalor and Hoarding and another in development on the ‘Parental Care Responsibility Programme.</w:t>
      </w:r>
    </w:p>
    <w:p>
      <w:pPr>
        <w:pStyle w:val="BodyText"/>
        <w:spacing w:line="247" w:lineRule="auto" w:before="57"/>
        <w:ind w:left="333" w:right="258" w:hanging="227"/>
      </w:pPr>
      <w:r>
        <w:rPr>
          <w:rFonts w:ascii="Century Gothic" w:hAnsi="Century Gothic"/>
          <w:b/>
          <w:w w:val="115"/>
        </w:rPr>
        <w:t>≥ </w:t>
      </w:r>
      <w:r>
        <w:rPr/>
        <w:t>Dr Gabrielle Drake was awarded the Norma Parker Award for her article ‘The transinstitutionalisation of people living in licensed boarding houses in Sydney.’</w:t>
      </w:r>
    </w:p>
    <w:p>
      <w:pPr>
        <w:pStyle w:val="BodyText"/>
        <w:spacing w:line="249" w:lineRule="auto" w:before="1"/>
        <w:ind w:left="333" w:right="125"/>
      </w:pPr>
      <w:r>
        <w:rPr/>
        <w:t>Professor Andre Renzaho awarded a prize </w:t>
      </w:r>
      <w:r>
        <w:rPr>
          <w:w w:val="95"/>
        </w:rPr>
        <w:t>in </w:t>
      </w:r>
      <w:r>
        <w:rPr>
          <w:w w:val="97"/>
        </w:rPr>
        <w:t>the </w:t>
      </w:r>
      <w:r>
        <w:rPr>
          <w:w w:val="101"/>
        </w:rPr>
        <w:t>NSW </w:t>
      </w:r>
      <w:r>
        <w:rPr>
          <w:w w:val="88"/>
        </w:rPr>
        <w:t>2015 </w:t>
      </w:r>
      <w:r>
        <w:rPr>
          <w:w w:val="97"/>
        </w:rPr>
        <w:t>Multicultural </w:t>
      </w:r>
      <w:r>
        <w:rPr>
          <w:w w:val="96"/>
        </w:rPr>
        <w:t>Health </w:t>
      </w:r>
      <w:r>
        <w:rPr/>
        <w:t>Communication Awards for Blood From Everyone, For Everyone: Information</w:t>
      </w:r>
    </w:p>
    <w:p>
      <w:pPr>
        <w:pStyle w:val="BodyText"/>
        <w:spacing w:line="249" w:lineRule="auto"/>
        <w:ind w:left="333" w:right="275"/>
      </w:pPr>
      <w:r>
        <w:rPr/>
        <w:t>for the African Community about blood donation in Australia. This work was a result of an ARC Linkage Grant with the Australian Red Cross Blood Service.</w:t>
      </w:r>
    </w:p>
    <w:p>
      <w:pPr>
        <w:pStyle w:val="BodyText"/>
        <w:spacing w:line="247" w:lineRule="auto" w:before="55"/>
        <w:ind w:left="333" w:right="232" w:hanging="227"/>
      </w:pPr>
      <w:r>
        <w:rPr>
          <w:rFonts w:ascii="Century Gothic" w:hAnsi="Century Gothic"/>
          <w:b/>
          <w:w w:val="115"/>
        </w:rPr>
        <w:t>≥ </w:t>
      </w:r>
      <w:r>
        <w:rPr/>
        <w:t>The School’s Challenging Racism Project released four videos through YouTube that encourage bystander action against</w:t>
      </w:r>
    </w:p>
    <w:p>
      <w:pPr>
        <w:pStyle w:val="BodyText"/>
        <w:spacing w:line="249" w:lineRule="auto" w:before="1"/>
        <w:ind w:left="333" w:right="112"/>
      </w:pPr>
      <w:r>
        <w:rPr/>
        <w:t>racism.</w:t>
      </w:r>
      <w:r>
        <w:rPr>
          <w:spacing w:val="-22"/>
        </w:rPr>
        <w:t> </w:t>
      </w:r>
      <w:r>
        <w:rPr/>
        <w:t>These</w:t>
      </w:r>
      <w:r>
        <w:rPr>
          <w:spacing w:val="-22"/>
        </w:rPr>
        <w:t> </w:t>
      </w:r>
      <w:r>
        <w:rPr/>
        <w:t>were</w:t>
      </w:r>
      <w:r>
        <w:rPr>
          <w:spacing w:val="-22"/>
        </w:rPr>
        <w:t> </w:t>
      </w:r>
      <w:r>
        <w:rPr/>
        <w:t>funded</w:t>
      </w:r>
      <w:r>
        <w:rPr>
          <w:spacing w:val="-22"/>
        </w:rPr>
        <w:t> </w:t>
      </w:r>
      <w:r>
        <w:rPr/>
        <w:t>through</w:t>
      </w:r>
      <w:r>
        <w:rPr>
          <w:spacing w:val="-22"/>
        </w:rPr>
        <w:t> </w:t>
      </w:r>
      <w:r>
        <w:rPr/>
        <w:t>an</w:t>
      </w:r>
      <w:r>
        <w:rPr>
          <w:spacing w:val="-22"/>
        </w:rPr>
        <w:t> </w:t>
      </w:r>
      <w:r>
        <w:rPr/>
        <w:t>ARC Linkage Project grant, and on Facebook, the</w:t>
      </w:r>
      <w:r>
        <w:rPr>
          <w:spacing w:val="-23"/>
        </w:rPr>
        <w:t> </w:t>
      </w:r>
      <w:r>
        <w:rPr/>
        <w:t>first</w:t>
      </w:r>
      <w:r>
        <w:rPr>
          <w:spacing w:val="-23"/>
        </w:rPr>
        <w:t> </w:t>
      </w:r>
      <w:r>
        <w:rPr/>
        <w:t>video</w:t>
      </w:r>
      <w:r>
        <w:rPr>
          <w:spacing w:val="-23"/>
        </w:rPr>
        <w:t> </w:t>
      </w:r>
      <w:r>
        <w:rPr/>
        <w:t>was</w:t>
      </w:r>
      <w:r>
        <w:rPr>
          <w:spacing w:val="-23"/>
        </w:rPr>
        <w:t> </w:t>
      </w:r>
      <w:r>
        <w:rPr/>
        <w:t>viewed</w:t>
      </w:r>
      <w:r>
        <w:rPr>
          <w:spacing w:val="-23"/>
        </w:rPr>
        <w:t> </w:t>
      </w:r>
      <w:r>
        <w:rPr>
          <w:spacing w:val="2"/>
        </w:rPr>
        <w:t>1.8</w:t>
      </w:r>
      <w:r>
        <w:rPr>
          <w:spacing w:val="-23"/>
        </w:rPr>
        <w:t> </w:t>
      </w:r>
      <w:r>
        <w:rPr/>
        <w:t>million</w:t>
      </w:r>
      <w:r>
        <w:rPr>
          <w:spacing w:val="-23"/>
        </w:rPr>
        <w:t> </w:t>
      </w:r>
      <w:r>
        <w:rPr/>
        <w:t>times within</w:t>
      </w:r>
      <w:r>
        <w:rPr>
          <w:spacing w:val="-24"/>
        </w:rPr>
        <w:t> </w:t>
      </w:r>
      <w:r>
        <w:rPr/>
        <w:t>two</w:t>
      </w:r>
      <w:r>
        <w:rPr>
          <w:spacing w:val="-24"/>
        </w:rPr>
        <w:t> </w:t>
      </w:r>
      <w:r>
        <w:rPr/>
        <w:t>weeks</w:t>
      </w:r>
      <w:r>
        <w:rPr>
          <w:spacing w:val="-24"/>
        </w:rPr>
        <w:t> </w:t>
      </w:r>
      <w:r>
        <w:rPr/>
        <w:t>of</w:t>
      </w:r>
      <w:r>
        <w:rPr>
          <w:spacing w:val="-24"/>
        </w:rPr>
        <w:t> </w:t>
      </w:r>
      <w:r>
        <w:rPr/>
        <w:t>its</w:t>
      </w:r>
      <w:r>
        <w:rPr>
          <w:spacing w:val="-24"/>
        </w:rPr>
        <w:t> </w:t>
      </w:r>
      <w:r>
        <w:rPr/>
        <w:t>release.</w:t>
      </w:r>
    </w:p>
    <w:p>
      <w:pPr>
        <w:spacing w:after="0" w:line="249" w:lineRule="auto"/>
        <w:sectPr>
          <w:type w:val="continuous"/>
          <w:pgSz w:w="11910" w:h="16840"/>
          <w:pgMar w:top="1580" w:bottom="280" w:left="800" w:right="800"/>
          <w:cols w:num="3" w:equalWidth="0">
            <w:col w:w="3316" w:space="124"/>
            <w:col w:w="3320" w:space="119"/>
            <w:col w:w="3431"/>
          </w:cols>
        </w:sectPr>
      </w:pPr>
    </w:p>
    <w:p>
      <w:pPr>
        <w:pStyle w:val="BodyText"/>
        <w:spacing w:before="10"/>
        <w:rPr>
          <w:sz w:val="28"/>
        </w:rPr>
      </w:pPr>
    </w:p>
    <w:p>
      <w:pPr>
        <w:pStyle w:val="Heading2"/>
        <w:ind w:right="7953"/>
        <w:rPr>
          <w:b w:val="0"/>
        </w:rPr>
      </w:pPr>
      <w:bookmarkStart w:name="_TOC_250008" w:id="17"/>
      <w:r>
        <w:rPr>
          <w:b w:val="0"/>
        </w:rPr>
        <w:t>Learning </w:t>
      </w:r>
      <w:r>
        <w:rPr>
          <w:b w:val="0"/>
          <w:spacing w:val="-3"/>
        </w:rPr>
        <w:t>and</w:t>
      </w:r>
      <w:r>
        <w:rPr>
          <w:b w:val="0"/>
          <w:spacing w:val="-2"/>
        </w:rPr>
        <w:t> </w:t>
      </w:r>
      <w:bookmarkEnd w:id="17"/>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Heading5"/>
        <w:spacing w:before="197"/>
        <w:ind w:right="-17"/>
      </w:pPr>
      <w:bookmarkStart w:name="_TOC_250007" w:id="18"/>
      <w:bookmarkEnd w:id="18"/>
      <w:r>
        <w:rPr>
          <w:w w:val="95"/>
        </w:rPr>
        <w:t>PRIORITY AREAS</w:t>
      </w:r>
    </w:p>
    <w:p>
      <w:pPr>
        <w:pStyle w:val="BodyText"/>
        <w:spacing w:line="249" w:lineRule="auto" w:before="209"/>
        <w:ind w:left="107" w:right="-17"/>
      </w:pPr>
      <w:r>
        <w:rPr/>
        <w:t>The Pro Vice-Chancellor (Education)</w:t>
      </w:r>
      <w:r>
        <w:rPr>
          <w:spacing w:val="-36"/>
        </w:rPr>
        <w:t> </w:t>
      </w:r>
      <w:r>
        <w:rPr/>
        <w:t>portfolio was</w:t>
      </w:r>
      <w:r>
        <w:rPr>
          <w:spacing w:val="-15"/>
        </w:rPr>
        <w:t> </w:t>
      </w:r>
      <w:r>
        <w:rPr/>
        <w:t>responsible</w:t>
      </w:r>
      <w:r>
        <w:rPr>
          <w:spacing w:val="-15"/>
        </w:rPr>
        <w:t> </w:t>
      </w:r>
      <w:r>
        <w:rPr/>
        <w:t>for</w:t>
      </w:r>
      <w:r>
        <w:rPr>
          <w:spacing w:val="-15"/>
        </w:rPr>
        <w:t> </w:t>
      </w:r>
      <w:r>
        <w:rPr/>
        <w:t>key</w:t>
      </w:r>
      <w:r>
        <w:rPr>
          <w:spacing w:val="-15"/>
        </w:rPr>
        <w:t> </w:t>
      </w:r>
      <w:r>
        <w:rPr/>
        <w:t>academic</w:t>
      </w:r>
      <w:r>
        <w:rPr>
          <w:spacing w:val="-15"/>
        </w:rPr>
        <w:t> </w:t>
      </w:r>
      <w:r>
        <w:rPr/>
        <w:t>functions</w:t>
      </w:r>
      <w:r>
        <w:rPr>
          <w:spacing w:val="-15"/>
        </w:rPr>
        <w:t> </w:t>
      </w:r>
      <w:r>
        <w:rPr/>
        <w:t>in </w:t>
      </w:r>
      <w:r>
        <w:rPr>
          <w:spacing w:val="1"/>
          <w:w w:val="84"/>
        </w:rPr>
        <w:t>2015,</w:t>
      </w:r>
      <w:r>
        <w:rPr>
          <w:w w:val="84"/>
        </w:rPr>
        <w:t> </w:t>
      </w:r>
      <w:r>
        <w:rPr>
          <w:spacing w:val="1"/>
          <w:w w:val="97"/>
        </w:rPr>
        <w:t>including</w:t>
      </w:r>
      <w:r>
        <w:rPr>
          <w:w w:val="97"/>
        </w:rPr>
        <w:t> </w:t>
      </w:r>
      <w:r>
        <w:rPr>
          <w:spacing w:val="1"/>
          <w:w w:val="97"/>
        </w:rPr>
        <w:t>overseeing</w:t>
      </w:r>
      <w:r>
        <w:rPr>
          <w:w w:val="97"/>
        </w:rPr>
        <w:t> </w:t>
      </w:r>
      <w:r>
        <w:rPr>
          <w:w w:val="97"/>
        </w:rPr>
        <w:t>the </w:t>
      </w:r>
      <w:r>
        <w:rPr>
          <w:spacing w:val="1"/>
          <w:w w:val="98"/>
        </w:rPr>
        <w:t>Offices</w:t>
      </w:r>
      <w:r>
        <w:rPr>
          <w:w w:val="98"/>
        </w:rPr>
        <w:t> </w:t>
      </w:r>
      <w:r>
        <w:rPr>
          <w:w w:val="99"/>
        </w:rPr>
        <w:t>of </w:t>
      </w:r>
      <w:r>
        <w:rPr>
          <w:w w:val="97"/>
        </w:rPr>
        <w:t>the </w:t>
      </w:r>
      <w:r>
        <w:rPr/>
        <w:t>Associate Pro Vice-Chancellors (Education); the</w:t>
      </w:r>
      <w:r>
        <w:rPr>
          <w:spacing w:val="-22"/>
        </w:rPr>
        <w:t> </w:t>
      </w:r>
      <w:r>
        <w:rPr/>
        <w:t>Learning</w:t>
      </w:r>
      <w:r>
        <w:rPr>
          <w:spacing w:val="-22"/>
        </w:rPr>
        <w:t> </w:t>
      </w:r>
      <w:r>
        <w:rPr/>
        <w:t>and</w:t>
      </w:r>
      <w:r>
        <w:rPr>
          <w:spacing w:val="-22"/>
        </w:rPr>
        <w:t> </w:t>
      </w:r>
      <w:r>
        <w:rPr/>
        <w:t>Teaching</w:t>
      </w:r>
      <w:r>
        <w:rPr>
          <w:spacing w:val="-22"/>
        </w:rPr>
        <w:t> </w:t>
      </w:r>
      <w:r>
        <w:rPr/>
        <w:t>Unit;</w:t>
      </w:r>
      <w:r>
        <w:rPr>
          <w:spacing w:val="-22"/>
        </w:rPr>
        <w:t> </w:t>
      </w:r>
      <w:r>
        <w:rPr/>
        <w:t>the</w:t>
      </w:r>
      <w:r>
        <w:rPr>
          <w:spacing w:val="-22"/>
        </w:rPr>
        <w:t> </w:t>
      </w:r>
      <w:r>
        <w:rPr/>
        <w:t>Office</w:t>
      </w:r>
    </w:p>
    <w:p>
      <w:pPr>
        <w:pStyle w:val="BodyText"/>
        <w:spacing w:line="249" w:lineRule="auto"/>
        <w:ind w:left="107" w:right="15"/>
      </w:pPr>
      <w:r>
        <w:rPr/>
        <w:t>of Sustainability; the Student Transition, Retention and Success (STaRS) project; and Tertiary</w:t>
      </w:r>
      <w:r>
        <w:rPr>
          <w:spacing w:val="-18"/>
        </w:rPr>
        <w:t> </w:t>
      </w:r>
      <w:r>
        <w:rPr/>
        <w:t>Education</w:t>
      </w:r>
      <w:r>
        <w:rPr>
          <w:spacing w:val="-18"/>
        </w:rPr>
        <w:t> </w:t>
      </w:r>
      <w:r>
        <w:rPr/>
        <w:t>Pathways</w:t>
      </w:r>
      <w:r>
        <w:rPr>
          <w:spacing w:val="-18"/>
        </w:rPr>
        <w:t> </w:t>
      </w:r>
      <w:r>
        <w:rPr/>
        <w:t>and</w:t>
      </w:r>
      <w:r>
        <w:rPr>
          <w:spacing w:val="-18"/>
        </w:rPr>
        <w:t> </w:t>
      </w:r>
      <w:r>
        <w:rPr/>
        <w:t>Partnerships (TEPP).</w:t>
      </w:r>
      <w:r>
        <w:rPr>
          <w:spacing w:val="-18"/>
        </w:rPr>
        <w:t> </w:t>
      </w:r>
      <w:r>
        <w:rPr/>
        <w:t>It</w:t>
      </w:r>
      <w:r>
        <w:rPr>
          <w:spacing w:val="-18"/>
        </w:rPr>
        <w:t> </w:t>
      </w:r>
      <w:r>
        <w:rPr/>
        <w:t>has</w:t>
      </w:r>
      <w:r>
        <w:rPr>
          <w:spacing w:val="-18"/>
        </w:rPr>
        <w:t> </w:t>
      </w:r>
      <w:r>
        <w:rPr/>
        <w:t>strong</w:t>
      </w:r>
      <w:r>
        <w:rPr>
          <w:spacing w:val="-18"/>
        </w:rPr>
        <w:t> </w:t>
      </w:r>
      <w:r>
        <w:rPr/>
        <w:t>links</w:t>
      </w:r>
      <w:r>
        <w:rPr>
          <w:spacing w:val="-18"/>
        </w:rPr>
        <w:t> </w:t>
      </w:r>
      <w:r>
        <w:rPr/>
        <w:t>with</w:t>
      </w:r>
      <w:r>
        <w:rPr>
          <w:spacing w:val="-18"/>
        </w:rPr>
        <w:t> </w:t>
      </w:r>
      <w:r>
        <w:rPr/>
        <w:t>the</w:t>
      </w:r>
      <w:r>
        <w:rPr>
          <w:spacing w:val="-18"/>
        </w:rPr>
        <w:t> </w:t>
      </w:r>
      <w:r>
        <w:rPr/>
        <w:t>Badanami Centre for Indigenous Education and the Library. Together, these areas support the academic</w:t>
      </w:r>
      <w:r>
        <w:rPr>
          <w:spacing w:val="-16"/>
        </w:rPr>
        <w:t> </w:t>
      </w:r>
      <w:r>
        <w:rPr/>
        <w:t>program</w:t>
      </w:r>
      <w:r>
        <w:rPr>
          <w:spacing w:val="-16"/>
        </w:rPr>
        <w:t> </w:t>
      </w:r>
      <w:r>
        <w:rPr/>
        <w:t>of</w:t>
      </w:r>
      <w:r>
        <w:rPr>
          <w:spacing w:val="-16"/>
        </w:rPr>
        <w:t> </w:t>
      </w:r>
      <w:r>
        <w:rPr/>
        <w:t>the</w:t>
      </w:r>
      <w:r>
        <w:rPr>
          <w:spacing w:val="-16"/>
        </w:rPr>
        <w:t> </w:t>
      </w:r>
      <w:r>
        <w:rPr/>
        <w:t>University,</w:t>
      </w:r>
      <w:r>
        <w:rPr>
          <w:spacing w:val="-16"/>
        </w:rPr>
        <w:t> </w:t>
      </w:r>
      <w:r>
        <w:rPr/>
        <w:t>including contributing to policy development and supporting quality learning, teaching, and curriculum</w:t>
      </w:r>
      <w:r>
        <w:rPr>
          <w:spacing w:val="-24"/>
        </w:rPr>
        <w:t> </w:t>
      </w:r>
      <w:r>
        <w:rPr/>
        <w:t>design</w:t>
      </w:r>
      <w:r>
        <w:rPr>
          <w:spacing w:val="-24"/>
        </w:rPr>
        <w:t> </w:t>
      </w:r>
      <w:r>
        <w:rPr/>
        <w:t>and</w:t>
      </w:r>
      <w:r>
        <w:rPr>
          <w:spacing w:val="-24"/>
        </w:rPr>
        <w:t> </w:t>
      </w:r>
      <w:r>
        <w:rPr/>
        <w:t>assessment.</w:t>
      </w:r>
    </w:p>
    <w:p>
      <w:pPr>
        <w:pStyle w:val="BodyText"/>
        <w:spacing w:before="7"/>
        <w:rPr>
          <w:sz w:val="21"/>
        </w:rPr>
      </w:pPr>
    </w:p>
    <w:p>
      <w:pPr>
        <w:pStyle w:val="Heading8"/>
        <w:ind w:right="-17"/>
      </w:pPr>
      <w:r>
        <w:rPr>
          <w:w w:val="95"/>
        </w:rPr>
        <w:t>CURRICULUM DESIGN AND DEVELOPMENT</w:t>
      </w:r>
    </w:p>
    <w:p>
      <w:pPr>
        <w:pStyle w:val="BodyText"/>
        <w:spacing w:line="249" w:lineRule="auto" w:before="86"/>
        <w:ind w:left="107" w:right="156"/>
      </w:pPr>
      <w:r>
        <w:rPr>
          <w:spacing w:val="1"/>
          <w:w w:val="80"/>
        </w:rPr>
        <w:t>In</w:t>
      </w:r>
      <w:r>
        <w:rPr>
          <w:w w:val="80"/>
        </w:rPr>
        <w:t> </w:t>
      </w:r>
      <w:r>
        <w:rPr>
          <w:spacing w:val="1"/>
          <w:w w:val="84"/>
        </w:rPr>
        <w:t>2015,</w:t>
      </w:r>
      <w:r>
        <w:rPr>
          <w:w w:val="84"/>
        </w:rPr>
        <w:t> </w:t>
      </w:r>
      <w:r>
        <w:rPr>
          <w:w w:val="97"/>
        </w:rPr>
        <w:t>the </w:t>
      </w:r>
      <w:r>
        <w:rPr>
          <w:spacing w:val="1"/>
          <w:w w:val="98"/>
        </w:rPr>
        <w:t>Office</w:t>
      </w:r>
      <w:r>
        <w:rPr>
          <w:w w:val="98"/>
        </w:rPr>
        <w:t> </w:t>
      </w:r>
      <w:r>
        <w:rPr>
          <w:spacing w:val="1"/>
          <w:w w:val="98"/>
        </w:rPr>
        <w:t>continued</w:t>
      </w:r>
      <w:r>
        <w:rPr>
          <w:w w:val="98"/>
        </w:rPr>
        <w:t> </w:t>
      </w:r>
      <w:r>
        <w:rPr>
          <w:spacing w:val="1"/>
          <w:w w:val="98"/>
        </w:rPr>
        <w:t>working</w:t>
      </w:r>
      <w:r>
        <w:rPr>
          <w:w w:val="98"/>
        </w:rPr>
        <w:t> </w:t>
      </w:r>
      <w:r>
        <w:rPr>
          <w:spacing w:val="-1"/>
          <w:w w:val="101"/>
        </w:rPr>
        <w:t>to</w:t>
      </w:r>
      <w:r>
        <w:rPr>
          <w:w w:val="101"/>
        </w:rPr>
        <w:t> </w:t>
      </w:r>
      <w:r>
        <w:rPr/>
        <w:t>ensure</w:t>
      </w:r>
      <w:r>
        <w:rPr>
          <w:spacing w:val="-21"/>
        </w:rPr>
        <w:t> </w:t>
      </w:r>
      <w:r>
        <w:rPr/>
        <w:t>that</w:t>
      </w:r>
      <w:r>
        <w:rPr>
          <w:spacing w:val="-21"/>
        </w:rPr>
        <w:t> </w:t>
      </w:r>
      <w:r>
        <w:rPr/>
        <w:t>the</w:t>
      </w:r>
      <w:r>
        <w:rPr>
          <w:spacing w:val="-21"/>
        </w:rPr>
        <w:t> </w:t>
      </w:r>
      <w:r>
        <w:rPr/>
        <w:t>University</w:t>
      </w:r>
      <w:r>
        <w:rPr>
          <w:spacing w:val="-21"/>
        </w:rPr>
        <w:t> </w:t>
      </w:r>
      <w:r>
        <w:rPr/>
        <w:t>offers</w:t>
      </w:r>
      <w:r>
        <w:rPr>
          <w:spacing w:val="-21"/>
        </w:rPr>
        <w:t> </w:t>
      </w:r>
      <w:r>
        <w:rPr/>
        <w:t>innovative, future-focused courses that are attractive to</w:t>
      </w:r>
      <w:r>
        <w:rPr>
          <w:spacing w:val="-16"/>
        </w:rPr>
        <w:t> </w:t>
      </w:r>
      <w:r>
        <w:rPr/>
        <w:t>students</w:t>
      </w:r>
      <w:r>
        <w:rPr>
          <w:spacing w:val="-16"/>
        </w:rPr>
        <w:t> </w:t>
      </w:r>
      <w:r>
        <w:rPr/>
        <w:t>and</w:t>
      </w:r>
      <w:r>
        <w:rPr>
          <w:spacing w:val="-16"/>
        </w:rPr>
        <w:t> </w:t>
      </w:r>
      <w:r>
        <w:rPr/>
        <w:t>employers.</w:t>
      </w:r>
      <w:r>
        <w:rPr>
          <w:spacing w:val="-16"/>
        </w:rPr>
        <w:t> </w:t>
      </w:r>
      <w:r>
        <w:rPr/>
        <w:t>Multidisciplinary and</w:t>
      </w:r>
      <w:r>
        <w:rPr>
          <w:spacing w:val="-18"/>
        </w:rPr>
        <w:t> </w:t>
      </w:r>
      <w:r>
        <w:rPr/>
        <w:t>flexible</w:t>
      </w:r>
      <w:r>
        <w:rPr>
          <w:spacing w:val="-18"/>
        </w:rPr>
        <w:t> </w:t>
      </w:r>
      <w:r>
        <w:rPr/>
        <w:t>courses,</w:t>
      </w:r>
      <w:r>
        <w:rPr>
          <w:spacing w:val="-18"/>
        </w:rPr>
        <w:t> </w:t>
      </w:r>
      <w:r>
        <w:rPr/>
        <w:t>such</w:t>
      </w:r>
      <w:r>
        <w:rPr>
          <w:spacing w:val="-18"/>
        </w:rPr>
        <w:t> </w:t>
      </w:r>
      <w:r>
        <w:rPr/>
        <w:t>as</w:t>
      </w:r>
      <w:r>
        <w:rPr>
          <w:spacing w:val="-18"/>
        </w:rPr>
        <w:t> </w:t>
      </w:r>
      <w:r>
        <w:rPr/>
        <w:t>the</w:t>
      </w:r>
      <w:r>
        <w:rPr>
          <w:spacing w:val="-18"/>
        </w:rPr>
        <w:t> </w:t>
      </w:r>
      <w:r>
        <w:rPr/>
        <w:t>Bachelor</w:t>
      </w:r>
    </w:p>
    <w:p>
      <w:pPr>
        <w:pStyle w:val="BodyText"/>
        <w:spacing w:line="249" w:lineRule="auto"/>
        <w:ind w:left="107" w:right="175"/>
      </w:pPr>
      <w:r>
        <w:rPr/>
        <w:t>of Applied Leadership and Critical Thinking and Bachelor of Sustainable Agriculture and Food Security, continued to be in high demand. The University also developed new multidisciplinary courses including</w:t>
      </w:r>
    </w:p>
    <w:p>
      <w:pPr>
        <w:pStyle w:val="BodyText"/>
        <w:spacing w:line="249" w:lineRule="auto"/>
        <w:ind w:left="107" w:right="-2"/>
      </w:pPr>
      <w:r>
        <w:rPr/>
        <w:t>the Bachelor of </w:t>
      </w:r>
      <w:r>
        <w:rPr>
          <w:spacing w:val="2"/>
        </w:rPr>
        <w:t>Business, </w:t>
      </w:r>
      <w:r>
        <w:rPr/>
        <w:t>Bachelor of Humanitarian and Development Studies, Bachelor of Anthropology, Bachelor of Data Science</w:t>
      </w:r>
      <w:r>
        <w:rPr>
          <w:spacing w:val="-20"/>
        </w:rPr>
        <w:t> </w:t>
      </w:r>
      <w:r>
        <w:rPr/>
        <w:t>and</w:t>
      </w:r>
      <w:r>
        <w:rPr>
          <w:spacing w:val="-20"/>
        </w:rPr>
        <w:t> </w:t>
      </w:r>
      <w:r>
        <w:rPr/>
        <w:t>Master</w:t>
      </w:r>
      <w:r>
        <w:rPr>
          <w:spacing w:val="-20"/>
        </w:rPr>
        <w:t> </w:t>
      </w:r>
      <w:r>
        <w:rPr/>
        <w:t>of</w:t>
      </w:r>
      <w:r>
        <w:rPr>
          <w:spacing w:val="-20"/>
        </w:rPr>
        <w:t> </w:t>
      </w:r>
      <w:r>
        <w:rPr/>
        <w:t>Data</w:t>
      </w:r>
      <w:r>
        <w:rPr>
          <w:spacing w:val="-20"/>
        </w:rPr>
        <w:t> </w:t>
      </w:r>
      <w:r>
        <w:rPr/>
        <w:t>Science.</w:t>
      </w:r>
      <w:r>
        <w:rPr>
          <w:spacing w:val="-20"/>
        </w:rPr>
        <w:t> </w:t>
      </w:r>
      <w:r>
        <w:rPr/>
        <w:t>In</w:t>
      </w:r>
      <w:r>
        <w:rPr>
          <w:spacing w:val="-20"/>
        </w:rPr>
        <w:t> </w:t>
      </w:r>
      <w:r>
        <w:rPr/>
        <w:t>all,</w:t>
      </w:r>
      <w:r>
        <w:rPr>
          <w:spacing w:val="-20"/>
        </w:rPr>
        <w:t> </w:t>
      </w:r>
      <w:r>
        <w:rPr/>
        <w:t>the University</w:t>
      </w:r>
      <w:r>
        <w:rPr>
          <w:spacing w:val="-20"/>
        </w:rPr>
        <w:t> </w:t>
      </w:r>
      <w:r>
        <w:rPr/>
        <w:t>approved</w:t>
      </w:r>
      <w:r>
        <w:rPr>
          <w:spacing w:val="-20"/>
        </w:rPr>
        <w:t> </w:t>
      </w:r>
      <w:r>
        <w:rPr/>
        <w:t>13</w:t>
      </w:r>
      <w:r>
        <w:rPr>
          <w:spacing w:val="-20"/>
        </w:rPr>
        <w:t> </w:t>
      </w:r>
      <w:r>
        <w:rPr/>
        <w:t>new</w:t>
      </w:r>
      <w:r>
        <w:rPr>
          <w:spacing w:val="-20"/>
        </w:rPr>
        <w:t> </w:t>
      </w:r>
      <w:r>
        <w:rPr/>
        <w:t>postgraduate</w:t>
      </w:r>
      <w:r>
        <w:rPr>
          <w:spacing w:val="-20"/>
        </w:rPr>
        <w:t> </w:t>
      </w:r>
      <w:r>
        <w:rPr/>
        <w:t>and </w:t>
      </w:r>
      <w:r>
        <w:rPr>
          <w:spacing w:val="1"/>
          <w:w w:val="74"/>
        </w:rPr>
        <w:t>13</w:t>
      </w:r>
      <w:r>
        <w:rPr>
          <w:w w:val="74"/>
        </w:rPr>
        <w:t> </w:t>
      </w:r>
      <w:r>
        <w:rPr>
          <w:spacing w:val="1"/>
          <w:w w:val="97"/>
        </w:rPr>
        <w:t>undergraduate</w:t>
      </w:r>
      <w:r>
        <w:rPr>
          <w:w w:val="97"/>
        </w:rPr>
        <w:t> </w:t>
      </w:r>
      <w:r>
        <w:rPr>
          <w:spacing w:val="1"/>
          <w:w w:val="97"/>
        </w:rPr>
        <w:t>courses</w:t>
      </w:r>
      <w:r>
        <w:rPr>
          <w:w w:val="97"/>
        </w:rPr>
        <w:t> </w:t>
      </w:r>
      <w:r>
        <w:rPr>
          <w:w w:val="98"/>
        </w:rPr>
        <w:t>for </w:t>
      </w:r>
      <w:r>
        <w:rPr>
          <w:w w:val="98"/>
        </w:rPr>
        <w:t>teaching </w:t>
      </w:r>
      <w:r>
        <w:rPr>
          <w:w w:val="95"/>
        </w:rPr>
        <w:t>in</w:t>
      </w:r>
      <w:r>
        <w:rPr>
          <w:spacing w:val="-31"/>
          <w:w w:val="95"/>
        </w:rPr>
        <w:t> </w:t>
      </w:r>
      <w:r>
        <w:rPr>
          <w:spacing w:val="2"/>
          <w:w w:val="85"/>
        </w:rPr>
        <w:t>2016.</w:t>
      </w:r>
    </w:p>
    <w:p>
      <w:pPr>
        <w:pStyle w:val="BodyText"/>
        <w:rPr>
          <w:sz w:val="14"/>
        </w:rPr>
      </w:pPr>
    </w:p>
    <w:p>
      <w:pPr>
        <w:pStyle w:val="BodyText"/>
        <w:spacing w:line="249" w:lineRule="auto"/>
        <w:ind w:left="107" w:right="44"/>
      </w:pPr>
      <w:r>
        <w:rPr>
          <w:w w:val="112"/>
        </w:rPr>
        <w:t>A </w:t>
      </w:r>
      <w:r>
        <w:rPr>
          <w:w w:val="98"/>
        </w:rPr>
        <w:t>key </w:t>
      </w:r>
      <w:r>
        <w:rPr>
          <w:w w:val="97"/>
        </w:rPr>
        <w:t>initiative </w:t>
      </w:r>
      <w:r>
        <w:rPr>
          <w:w w:val="95"/>
        </w:rPr>
        <w:t>in </w:t>
      </w:r>
      <w:r>
        <w:rPr>
          <w:w w:val="88"/>
        </w:rPr>
        <w:t>2015 </w:t>
      </w:r>
      <w:r>
        <w:rPr>
          <w:w w:val="96"/>
        </w:rPr>
        <w:t>was </w:t>
      </w:r>
      <w:r>
        <w:rPr>
          <w:w w:val="97"/>
        </w:rPr>
        <w:t>the </w:t>
      </w:r>
      <w:r>
        <w:rPr>
          <w:w w:val="98"/>
        </w:rPr>
        <w:t>development </w:t>
      </w:r>
      <w:r>
        <w:rPr/>
        <w:t>of the Curriculum Mapping Tool (CMT). It</w:t>
      </w:r>
    </w:p>
    <w:p>
      <w:pPr>
        <w:pStyle w:val="BodyText"/>
        <w:spacing w:line="249" w:lineRule="auto"/>
        <w:ind w:left="107" w:right="13"/>
      </w:pPr>
      <w:r>
        <w:rPr/>
        <w:t>is now used across the University to map curricula to show alignment with intended learning, scaffolding of learning and assessment</w:t>
      </w:r>
      <w:r>
        <w:rPr>
          <w:spacing w:val="-16"/>
        </w:rPr>
        <w:t> </w:t>
      </w:r>
      <w:r>
        <w:rPr/>
        <w:t>results.</w:t>
      </w:r>
      <w:r>
        <w:rPr>
          <w:spacing w:val="-16"/>
        </w:rPr>
        <w:t> </w:t>
      </w:r>
      <w:r>
        <w:rPr/>
        <w:t>All</w:t>
      </w:r>
      <w:r>
        <w:rPr>
          <w:spacing w:val="-16"/>
        </w:rPr>
        <w:t> </w:t>
      </w:r>
      <w:r>
        <w:rPr/>
        <w:t>Schools</w:t>
      </w:r>
      <w:r>
        <w:rPr>
          <w:spacing w:val="-16"/>
        </w:rPr>
        <w:t> </w:t>
      </w:r>
      <w:r>
        <w:rPr/>
        <w:t>use</w:t>
      </w:r>
      <w:r>
        <w:rPr>
          <w:spacing w:val="-16"/>
        </w:rPr>
        <w:t> </w:t>
      </w:r>
      <w:r>
        <w:rPr/>
        <w:t>the</w:t>
      </w:r>
      <w:r>
        <w:rPr>
          <w:spacing w:val="-16"/>
        </w:rPr>
        <w:t> </w:t>
      </w:r>
      <w:r>
        <w:rPr/>
        <w:t>tool</w:t>
      </w:r>
      <w:r>
        <w:rPr>
          <w:spacing w:val="-16"/>
        </w:rPr>
        <w:t> </w:t>
      </w:r>
      <w:r>
        <w:rPr/>
        <w:t>to help</w:t>
      </w:r>
      <w:r>
        <w:rPr>
          <w:spacing w:val="-19"/>
        </w:rPr>
        <w:t> </w:t>
      </w:r>
      <w:r>
        <w:rPr/>
        <w:t>with</w:t>
      </w:r>
      <w:r>
        <w:rPr>
          <w:spacing w:val="-19"/>
        </w:rPr>
        <w:t> </w:t>
      </w:r>
      <w:r>
        <w:rPr/>
        <w:t>curriculum</w:t>
      </w:r>
      <w:r>
        <w:rPr>
          <w:spacing w:val="-19"/>
        </w:rPr>
        <w:t> </w:t>
      </w:r>
      <w:r>
        <w:rPr/>
        <w:t>design</w:t>
      </w:r>
      <w:r>
        <w:rPr>
          <w:spacing w:val="-19"/>
        </w:rPr>
        <w:t> </w:t>
      </w:r>
      <w:r>
        <w:rPr/>
        <w:t>and</w:t>
      </w:r>
      <w:r>
        <w:rPr>
          <w:spacing w:val="-19"/>
        </w:rPr>
        <w:t> </w:t>
      </w:r>
      <w:r>
        <w:rPr/>
        <w:t>renewal.</w:t>
      </w:r>
      <w:r>
        <w:rPr>
          <w:spacing w:val="-19"/>
        </w:rPr>
        <w:t> </w:t>
      </w:r>
      <w:r>
        <w:rPr/>
        <w:t>It</w:t>
      </w:r>
      <w:r>
        <w:rPr>
          <w:spacing w:val="-19"/>
        </w:rPr>
        <w:t> </w:t>
      </w:r>
      <w:r>
        <w:rPr/>
        <w:t>is also used to map professional standards (i.e. requirements of professional accreditation bodies) and to help develop documentation required</w:t>
      </w:r>
      <w:r>
        <w:rPr>
          <w:spacing w:val="-18"/>
        </w:rPr>
        <w:t> </w:t>
      </w:r>
      <w:r>
        <w:rPr/>
        <w:t>for</w:t>
      </w:r>
      <w:r>
        <w:rPr>
          <w:spacing w:val="-18"/>
        </w:rPr>
        <w:t> </w:t>
      </w:r>
      <w:r>
        <w:rPr/>
        <w:t>course</w:t>
      </w:r>
      <w:r>
        <w:rPr>
          <w:spacing w:val="-18"/>
        </w:rPr>
        <w:t> </w:t>
      </w:r>
      <w:r>
        <w:rPr/>
        <w:t>accreditation.</w:t>
      </w:r>
      <w:r>
        <w:rPr>
          <w:spacing w:val="-18"/>
        </w:rPr>
        <w:t> </w:t>
      </w:r>
      <w:r>
        <w:rPr/>
        <w:t>The</w:t>
      </w:r>
      <w:r>
        <w:rPr>
          <w:spacing w:val="-18"/>
        </w:rPr>
        <w:t> </w:t>
      </w:r>
      <w:r>
        <w:rPr/>
        <w:t>tool</w:t>
      </w:r>
      <w:r>
        <w:rPr>
          <w:spacing w:val="-18"/>
        </w:rPr>
        <w:t> </w:t>
      </w:r>
      <w:r>
        <w:rPr/>
        <w:t>has received positive feedback from a range of professional</w:t>
      </w:r>
      <w:r>
        <w:rPr>
          <w:spacing w:val="-27"/>
        </w:rPr>
        <w:t> </w:t>
      </w:r>
      <w:r>
        <w:rPr/>
        <w:t>bodies.</w:t>
      </w:r>
    </w:p>
    <w:p>
      <w:pPr>
        <w:pStyle w:val="BodyText"/>
        <w:rPr>
          <w:sz w:val="14"/>
        </w:rPr>
      </w:pPr>
    </w:p>
    <w:p>
      <w:pPr>
        <w:pStyle w:val="BodyText"/>
        <w:spacing w:line="249" w:lineRule="auto"/>
        <w:ind w:left="107" w:right="215"/>
      </w:pPr>
      <w:r>
        <w:rPr/>
        <w:t>The</w:t>
      </w:r>
      <w:r>
        <w:rPr>
          <w:spacing w:val="-21"/>
        </w:rPr>
        <w:t> </w:t>
      </w:r>
      <w:r>
        <w:rPr/>
        <w:t>Learning</w:t>
      </w:r>
      <w:r>
        <w:rPr>
          <w:spacing w:val="-21"/>
        </w:rPr>
        <w:t> </w:t>
      </w:r>
      <w:r>
        <w:rPr/>
        <w:t>and</w:t>
      </w:r>
      <w:r>
        <w:rPr>
          <w:spacing w:val="-21"/>
        </w:rPr>
        <w:t> </w:t>
      </w:r>
      <w:r>
        <w:rPr/>
        <w:t>Teaching</w:t>
      </w:r>
      <w:r>
        <w:rPr>
          <w:spacing w:val="-21"/>
        </w:rPr>
        <w:t> </w:t>
      </w:r>
      <w:r>
        <w:rPr/>
        <w:t>team</w:t>
      </w:r>
      <w:r>
        <w:rPr>
          <w:spacing w:val="-21"/>
        </w:rPr>
        <w:t> </w:t>
      </w:r>
      <w:r>
        <w:rPr/>
        <w:t>continued assisting academic staff members with curriculum</w:t>
      </w:r>
      <w:r>
        <w:rPr>
          <w:spacing w:val="-22"/>
        </w:rPr>
        <w:t> </w:t>
      </w:r>
      <w:r>
        <w:rPr/>
        <w:t>design</w:t>
      </w:r>
      <w:r>
        <w:rPr>
          <w:spacing w:val="-22"/>
        </w:rPr>
        <w:t> </w:t>
      </w:r>
      <w:r>
        <w:rPr/>
        <w:t>and</w:t>
      </w:r>
      <w:r>
        <w:rPr>
          <w:spacing w:val="-22"/>
        </w:rPr>
        <w:t> </w:t>
      </w:r>
      <w:r>
        <w:rPr/>
        <w:t>innovation.</w:t>
      </w:r>
      <w:r>
        <w:rPr>
          <w:spacing w:val="-22"/>
        </w:rPr>
        <w:t> </w:t>
      </w:r>
      <w:r>
        <w:rPr/>
        <w:t>The</w:t>
      </w:r>
    </w:p>
    <w:p>
      <w:pPr>
        <w:pStyle w:val="BodyText"/>
        <w:spacing w:before="9"/>
      </w:pPr>
      <w:r>
        <w:rPr/>
        <w:br w:type="column"/>
      </w:r>
      <w:r>
        <w:rPr/>
      </w:r>
    </w:p>
    <w:p>
      <w:pPr>
        <w:pStyle w:val="BodyText"/>
        <w:spacing w:line="249" w:lineRule="auto" w:before="1"/>
        <w:ind w:left="107"/>
      </w:pPr>
      <w:r>
        <w:rPr/>
        <w:t>Blended Learning Designers and Advisors </w:t>
      </w:r>
      <w:r>
        <w:rPr>
          <w:w w:val="99"/>
        </w:rPr>
        <w:t>moved </w:t>
      </w:r>
      <w:r>
        <w:rPr>
          <w:w w:val="98"/>
        </w:rPr>
        <w:t>into </w:t>
      </w:r>
      <w:r>
        <w:rPr>
          <w:w w:val="97"/>
        </w:rPr>
        <w:t>the </w:t>
      </w:r>
      <w:r>
        <w:rPr>
          <w:w w:val="98"/>
        </w:rPr>
        <w:t>Schools </w:t>
      </w:r>
      <w:r>
        <w:rPr>
          <w:w w:val="95"/>
        </w:rPr>
        <w:t>in </w:t>
      </w:r>
      <w:r>
        <w:rPr>
          <w:w w:val="97"/>
        </w:rPr>
        <w:t>late </w:t>
      </w:r>
      <w:r>
        <w:rPr>
          <w:w w:val="88"/>
        </w:rPr>
        <w:t>2015 </w:t>
      </w:r>
      <w:r>
        <w:rPr>
          <w:w w:val="101"/>
        </w:rPr>
        <w:t>to </w:t>
      </w:r>
      <w:r>
        <w:rPr/>
        <w:t>continue providing practical, discipline-based advice on curriculum and assessment design using technology-enhanced approaches</w:t>
      </w:r>
    </w:p>
    <w:p>
      <w:pPr>
        <w:pStyle w:val="BodyText"/>
        <w:spacing w:line="249" w:lineRule="auto"/>
        <w:ind w:left="107" w:right="264"/>
      </w:pPr>
      <w:r>
        <w:rPr/>
        <w:t>to engage and support students. Schools continued working with the Curriculum and Course Quality Officers to ensure all of our courses comply with the Australian</w:t>
      </w:r>
    </w:p>
    <w:p>
      <w:pPr>
        <w:pStyle w:val="BodyText"/>
        <w:spacing w:line="249" w:lineRule="auto"/>
        <w:ind w:left="107"/>
      </w:pPr>
      <w:r>
        <w:rPr/>
        <w:t>Qualifications Framework (AQF). Dedicated Curriculum Advisors also helped Schools develop new curriculum and renew existing </w:t>
      </w:r>
      <w:r>
        <w:rPr>
          <w:w w:val="95"/>
        </w:rPr>
        <w:t>courses and assessments.</w:t>
      </w:r>
    </w:p>
    <w:p>
      <w:pPr>
        <w:pStyle w:val="BodyText"/>
        <w:spacing w:before="7"/>
        <w:rPr>
          <w:sz w:val="21"/>
        </w:rPr>
      </w:pPr>
    </w:p>
    <w:p>
      <w:pPr>
        <w:pStyle w:val="Heading8"/>
      </w:pPr>
      <w:r>
        <w:rPr>
          <w:w w:val="95"/>
        </w:rPr>
        <w:t>TECHNOLOGY-ENHANCED LEARNING</w:t>
      </w:r>
    </w:p>
    <w:p>
      <w:pPr>
        <w:pStyle w:val="BodyText"/>
        <w:spacing w:line="249" w:lineRule="auto" w:before="86"/>
        <w:ind w:left="107" w:right="137"/>
      </w:pPr>
      <w:r>
        <w:rPr/>
        <w:t>The University continued using digital technology to engage students in learning that can be accessed any time, anywhere </w:t>
      </w:r>
      <w:r>
        <w:rPr>
          <w:spacing w:val="1"/>
          <w:w w:val="97"/>
        </w:rPr>
        <w:t>and</w:t>
      </w:r>
      <w:r>
        <w:rPr>
          <w:spacing w:val="-7"/>
          <w:w w:val="97"/>
        </w:rPr>
        <w:t> </w:t>
      </w:r>
      <w:r>
        <w:rPr>
          <w:spacing w:val="1"/>
          <w:w w:val="98"/>
        </w:rPr>
        <w:t>on</w:t>
      </w:r>
      <w:r>
        <w:rPr>
          <w:spacing w:val="-7"/>
          <w:w w:val="98"/>
        </w:rPr>
        <w:t> </w:t>
      </w:r>
      <w:r>
        <w:rPr>
          <w:w w:val="97"/>
        </w:rPr>
        <w:t>any</w:t>
      </w:r>
      <w:r>
        <w:rPr>
          <w:spacing w:val="-7"/>
          <w:w w:val="97"/>
        </w:rPr>
        <w:t> </w:t>
      </w:r>
      <w:r>
        <w:rPr>
          <w:w w:val="94"/>
        </w:rPr>
        <w:t>device.</w:t>
      </w:r>
      <w:r>
        <w:rPr>
          <w:spacing w:val="-6"/>
          <w:w w:val="94"/>
        </w:rPr>
        <w:t> </w:t>
      </w:r>
      <w:r>
        <w:rPr>
          <w:w w:val="97"/>
        </w:rPr>
        <w:t>Since</w:t>
      </w:r>
      <w:r>
        <w:rPr>
          <w:spacing w:val="-7"/>
          <w:w w:val="97"/>
        </w:rPr>
        <w:t> </w:t>
      </w:r>
      <w:r>
        <w:rPr>
          <w:spacing w:val="1"/>
          <w:w w:val="84"/>
        </w:rPr>
        <w:t>2013,</w:t>
      </w:r>
      <w:r>
        <w:rPr>
          <w:spacing w:val="-1"/>
          <w:w w:val="84"/>
        </w:rPr>
        <w:t> </w:t>
      </w:r>
      <w:r>
        <w:rPr>
          <w:w w:val="97"/>
        </w:rPr>
        <w:t>the</w:t>
      </w:r>
      <w:r>
        <w:rPr>
          <w:spacing w:val="-7"/>
          <w:w w:val="97"/>
        </w:rPr>
        <w:t> </w:t>
      </w:r>
      <w:r>
        <w:rPr>
          <w:spacing w:val="1"/>
          <w:w w:val="97"/>
        </w:rPr>
        <w:t>University</w:t>
      </w:r>
      <w:r>
        <w:rPr>
          <w:w w:val="97"/>
        </w:rPr>
        <w:t> </w:t>
      </w:r>
      <w:r>
        <w:rPr/>
        <w:t>has given iPads to all incoming first-year undergraduates and continuing academic staff. Over the last three years, more than </w:t>
      </w:r>
      <w:r>
        <w:rPr>
          <w:spacing w:val="2"/>
        </w:rPr>
        <w:t>45,000 </w:t>
      </w:r>
      <w:r>
        <w:rPr/>
        <w:t>iPads have become </w:t>
      </w:r>
      <w:r>
        <w:rPr>
          <w:spacing w:val="2"/>
        </w:rPr>
        <w:t>part </w:t>
      </w:r>
      <w:r>
        <w:rPr/>
        <w:t>of the </w:t>
      </w:r>
      <w:r>
        <w:rPr>
          <w:spacing w:val="1"/>
          <w:w w:val="96"/>
        </w:rPr>
        <w:t>learning</w:t>
      </w:r>
      <w:r>
        <w:rPr>
          <w:w w:val="96"/>
        </w:rPr>
        <w:t> </w:t>
      </w:r>
      <w:r>
        <w:rPr>
          <w:spacing w:val="1"/>
          <w:w w:val="97"/>
        </w:rPr>
        <w:t>and</w:t>
      </w:r>
      <w:r>
        <w:rPr>
          <w:w w:val="97"/>
        </w:rPr>
        <w:t> </w:t>
      </w:r>
      <w:r>
        <w:rPr>
          <w:w w:val="98"/>
        </w:rPr>
        <w:t>teaching </w:t>
      </w:r>
      <w:r>
        <w:rPr>
          <w:spacing w:val="1"/>
          <w:w w:val="94"/>
        </w:rPr>
        <w:t>landscape.</w:t>
      </w:r>
      <w:r>
        <w:rPr>
          <w:w w:val="94"/>
        </w:rPr>
        <w:t> </w:t>
      </w:r>
      <w:r>
        <w:rPr>
          <w:spacing w:val="1"/>
          <w:w w:val="80"/>
        </w:rPr>
        <w:t>In</w:t>
      </w:r>
      <w:r>
        <w:rPr>
          <w:w w:val="80"/>
        </w:rPr>
        <w:t> </w:t>
      </w:r>
      <w:r>
        <w:rPr>
          <w:spacing w:val="2"/>
          <w:w w:val="85"/>
        </w:rPr>
        <w:t>2016,</w:t>
      </w:r>
      <w:r>
        <w:rPr>
          <w:w w:val="85"/>
        </w:rPr>
        <w:t> </w:t>
      </w:r>
      <w:r>
        <w:rPr/>
        <w:t>the University will move to a multi-device strategy to further support students’ digital requirements.</w:t>
      </w:r>
    </w:p>
    <w:p>
      <w:pPr>
        <w:pStyle w:val="BodyText"/>
        <w:rPr>
          <w:sz w:val="14"/>
        </w:rPr>
      </w:pPr>
    </w:p>
    <w:p>
      <w:pPr>
        <w:pStyle w:val="BodyText"/>
        <w:spacing w:line="249" w:lineRule="auto"/>
        <w:ind w:left="107" w:right="64"/>
      </w:pPr>
      <w:r>
        <w:rPr/>
        <w:t>Western Sydney Online was a key initiative </w:t>
      </w:r>
      <w:r>
        <w:rPr>
          <w:spacing w:val="1"/>
          <w:w w:val="97"/>
        </w:rPr>
        <w:t>launched</w:t>
      </w:r>
      <w:r>
        <w:rPr>
          <w:w w:val="97"/>
        </w:rPr>
        <w:t> </w:t>
      </w:r>
      <w:r>
        <w:rPr>
          <w:w w:val="95"/>
        </w:rPr>
        <w:t>in </w:t>
      </w:r>
      <w:r>
        <w:rPr>
          <w:spacing w:val="1"/>
          <w:w w:val="97"/>
        </w:rPr>
        <w:t>autumn</w:t>
      </w:r>
      <w:r>
        <w:rPr>
          <w:w w:val="97"/>
        </w:rPr>
        <w:t> </w:t>
      </w:r>
      <w:r>
        <w:rPr>
          <w:spacing w:val="1"/>
          <w:w w:val="84"/>
        </w:rPr>
        <w:t>2015,</w:t>
      </w:r>
      <w:r>
        <w:rPr>
          <w:w w:val="84"/>
        </w:rPr>
        <w:t> </w:t>
      </w:r>
      <w:r>
        <w:rPr>
          <w:w w:val="99"/>
        </w:rPr>
        <w:t>providing </w:t>
      </w:r>
      <w:r>
        <w:rPr>
          <w:w w:val="94"/>
        </w:rPr>
        <w:t>a </w:t>
      </w:r>
      <w:r>
        <w:rPr>
          <w:spacing w:val="1"/>
          <w:w w:val="98"/>
        </w:rPr>
        <w:t>blend</w:t>
      </w:r>
      <w:r>
        <w:rPr>
          <w:w w:val="98"/>
        </w:rPr>
        <w:t> </w:t>
      </w:r>
      <w:r>
        <w:rPr/>
        <w:t>of</w:t>
      </w:r>
      <w:r>
        <w:rPr>
          <w:spacing w:val="-14"/>
        </w:rPr>
        <w:t> </w:t>
      </w:r>
      <w:r>
        <w:rPr/>
        <w:t>‘homegrown’</w:t>
      </w:r>
      <w:r>
        <w:rPr>
          <w:spacing w:val="-14"/>
        </w:rPr>
        <w:t> </w:t>
      </w:r>
      <w:r>
        <w:rPr/>
        <w:t>and</w:t>
      </w:r>
      <w:r>
        <w:rPr>
          <w:spacing w:val="-14"/>
        </w:rPr>
        <w:t> </w:t>
      </w:r>
      <w:r>
        <w:rPr/>
        <w:t>Open</w:t>
      </w:r>
      <w:r>
        <w:rPr>
          <w:spacing w:val="-14"/>
        </w:rPr>
        <w:t> </w:t>
      </w:r>
      <w:r>
        <w:rPr/>
        <w:t>University–derived courses. Three undergraduate and 30 postgraduate</w:t>
      </w:r>
      <w:r>
        <w:rPr>
          <w:spacing w:val="-15"/>
        </w:rPr>
        <w:t> </w:t>
      </w:r>
      <w:r>
        <w:rPr/>
        <w:t>courses</w:t>
      </w:r>
      <w:r>
        <w:rPr>
          <w:spacing w:val="-15"/>
        </w:rPr>
        <w:t> </w:t>
      </w:r>
      <w:r>
        <w:rPr/>
        <w:t>formed</w:t>
      </w:r>
      <w:r>
        <w:rPr>
          <w:spacing w:val="-15"/>
        </w:rPr>
        <w:t> </w:t>
      </w:r>
      <w:r>
        <w:rPr/>
        <w:t>the</w:t>
      </w:r>
      <w:r>
        <w:rPr>
          <w:spacing w:val="-15"/>
        </w:rPr>
        <w:t> </w:t>
      </w:r>
      <w:r>
        <w:rPr/>
        <w:t>foundation of Western Sydney Online, attracting more </w:t>
      </w:r>
      <w:r>
        <w:rPr>
          <w:spacing w:val="1"/>
          <w:w w:val="97"/>
        </w:rPr>
        <w:t>than</w:t>
      </w:r>
      <w:r>
        <w:rPr>
          <w:w w:val="97"/>
        </w:rPr>
        <w:t> </w:t>
      </w:r>
      <w:r>
        <w:rPr>
          <w:spacing w:val="-1"/>
          <w:w w:val="85"/>
        </w:rPr>
        <w:t>170</w:t>
      </w:r>
      <w:r>
        <w:rPr>
          <w:w w:val="85"/>
        </w:rPr>
        <w:t> </w:t>
      </w:r>
      <w:r>
        <w:rPr>
          <w:spacing w:val="1"/>
          <w:w w:val="97"/>
        </w:rPr>
        <w:t>students</w:t>
      </w:r>
      <w:r>
        <w:rPr>
          <w:w w:val="97"/>
        </w:rPr>
        <w:t> </w:t>
      </w:r>
      <w:r>
        <w:rPr>
          <w:w w:val="95"/>
        </w:rPr>
        <w:t>in </w:t>
      </w:r>
      <w:r>
        <w:rPr>
          <w:spacing w:val="1"/>
          <w:w w:val="97"/>
        </w:rPr>
        <w:t>its</w:t>
      </w:r>
      <w:r>
        <w:rPr>
          <w:w w:val="97"/>
        </w:rPr>
        <w:t> </w:t>
      </w:r>
      <w:r>
        <w:rPr>
          <w:spacing w:val="1"/>
          <w:w w:val="97"/>
        </w:rPr>
        <w:t>first</w:t>
      </w:r>
      <w:r>
        <w:rPr>
          <w:w w:val="97"/>
        </w:rPr>
        <w:t> </w:t>
      </w:r>
      <w:r>
        <w:rPr>
          <w:spacing w:val="-1"/>
          <w:w w:val="91"/>
        </w:rPr>
        <w:t>year.</w:t>
      </w:r>
      <w:r>
        <w:rPr>
          <w:w w:val="91"/>
        </w:rPr>
        <w:t> </w:t>
      </w:r>
      <w:r>
        <w:rPr>
          <w:spacing w:val="1"/>
          <w:w w:val="94"/>
        </w:rPr>
        <w:t>The</w:t>
      </w:r>
      <w:r>
        <w:rPr>
          <w:w w:val="94"/>
        </w:rPr>
        <w:t> </w:t>
      </w:r>
      <w:r>
        <w:rPr>
          <w:spacing w:val="1"/>
          <w:w w:val="96"/>
        </w:rPr>
        <w:t>Master</w:t>
      </w:r>
      <w:r>
        <w:rPr>
          <w:w w:val="96"/>
        </w:rPr>
        <w:t> </w:t>
      </w:r>
      <w:r>
        <w:rPr/>
        <w:t>of</w:t>
      </w:r>
      <w:r>
        <w:rPr>
          <w:spacing w:val="-18"/>
        </w:rPr>
        <w:t> </w:t>
      </w:r>
      <w:r>
        <w:rPr/>
        <w:t>Nursing,</w:t>
      </w:r>
      <w:r>
        <w:rPr>
          <w:spacing w:val="-18"/>
        </w:rPr>
        <w:t> </w:t>
      </w:r>
      <w:r>
        <w:rPr/>
        <w:t>Master</w:t>
      </w:r>
      <w:r>
        <w:rPr>
          <w:spacing w:val="-18"/>
        </w:rPr>
        <w:t> </w:t>
      </w:r>
      <w:r>
        <w:rPr/>
        <w:t>of</w:t>
      </w:r>
      <w:r>
        <w:rPr>
          <w:spacing w:val="-18"/>
        </w:rPr>
        <w:t> </w:t>
      </w:r>
      <w:r>
        <w:rPr/>
        <w:t>Mental</w:t>
      </w:r>
      <w:r>
        <w:rPr>
          <w:spacing w:val="-18"/>
        </w:rPr>
        <w:t> </w:t>
      </w:r>
      <w:r>
        <w:rPr/>
        <w:t>Health</w:t>
      </w:r>
      <w:r>
        <w:rPr>
          <w:spacing w:val="-18"/>
        </w:rPr>
        <w:t> </w:t>
      </w:r>
      <w:r>
        <w:rPr/>
        <w:t>Nursing, and Bachelor of Business Administration attracted the highest number of enrolments. The Bachelor of Communication, the first homegrown</w:t>
      </w:r>
      <w:r>
        <w:rPr>
          <w:spacing w:val="-19"/>
        </w:rPr>
        <w:t> </w:t>
      </w:r>
      <w:r>
        <w:rPr/>
        <w:t>fully</w:t>
      </w:r>
      <w:r>
        <w:rPr>
          <w:spacing w:val="-19"/>
        </w:rPr>
        <w:t> </w:t>
      </w:r>
      <w:r>
        <w:rPr/>
        <w:t>online</w:t>
      </w:r>
      <w:r>
        <w:rPr>
          <w:spacing w:val="-19"/>
        </w:rPr>
        <w:t> </w:t>
      </w:r>
      <w:r>
        <w:rPr/>
        <w:t>course,</w:t>
      </w:r>
      <w:r>
        <w:rPr>
          <w:spacing w:val="-19"/>
        </w:rPr>
        <w:t> </w:t>
      </w:r>
      <w:r>
        <w:rPr/>
        <w:t>grew</w:t>
      </w:r>
      <w:r>
        <w:rPr>
          <w:spacing w:val="-19"/>
        </w:rPr>
        <w:t> </w:t>
      </w:r>
      <w:r>
        <w:rPr/>
        <w:t>in</w:t>
      </w:r>
    </w:p>
    <w:p>
      <w:pPr>
        <w:pStyle w:val="BodyText"/>
        <w:spacing w:line="249" w:lineRule="auto"/>
        <w:ind w:left="107" w:right="-3"/>
      </w:pPr>
      <w:r>
        <w:rPr/>
        <w:t>popularity</w:t>
      </w:r>
      <w:r>
        <w:rPr>
          <w:spacing w:val="-20"/>
        </w:rPr>
        <w:t> </w:t>
      </w:r>
      <w:r>
        <w:rPr/>
        <w:t>from</w:t>
      </w:r>
      <w:r>
        <w:rPr>
          <w:spacing w:val="-20"/>
        </w:rPr>
        <w:t> </w:t>
      </w:r>
      <w:r>
        <w:rPr/>
        <w:t>session</w:t>
      </w:r>
      <w:r>
        <w:rPr>
          <w:spacing w:val="-20"/>
        </w:rPr>
        <w:t> </w:t>
      </w:r>
      <w:r>
        <w:rPr>
          <w:w w:val="95"/>
        </w:rPr>
        <w:t>1</w:t>
      </w:r>
      <w:r>
        <w:rPr>
          <w:spacing w:val="-17"/>
          <w:w w:val="95"/>
        </w:rPr>
        <w:t> </w:t>
      </w:r>
      <w:r>
        <w:rPr/>
        <w:t>to</w:t>
      </w:r>
      <w:r>
        <w:rPr>
          <w:spacing w:val="-20"/>
        </w:rPr>
        <w:t> </w:t>
      </w:r>
      <w:r>
        <w:rPr/>
        <w:t>session</w:t>
      </w:r>
      <w:r>
        <w:rPr>
          <w:spacing w:val="-20"/>
        </w:rPr>
        <w:t> </w:t>
      </w:r>
      <w:r>
        <w:rPr/>
        <w:t>2</w:t>
      </w:r>
      <w:r>
        <w:rPr>
          <w:spacing w:val="-20"/>
        </w:rPr>
        <w:t> </w:t>
      </w:r>
      <w:r>
        <w:rPr/>
        <w:t>and</w:t>
      </w:r>
      <w:r>
        <w:rPr>
          <w:spacing w:val="-20"/>
        </w:rPr>
        <w:t> </w:t>
      </w:r>
      <w:r>
        <w:rPr/>
        <w:t>set</w:t>
      </w:r>
      <w:r>
        <w:rPr>
          <w:spacing w:val="-20"/>
        </w:rPr>
        <w:t> </w:t>
      </w:r>
      <w:r>
        <w:rPr/>
        <w:t>a high</w:t>
      </w:r>
      <w:r>
        <w:rPr>
          <w:spacing w:val="-17"/>
        </w:rPr>
        <w:t> </w:t>
      </w:r>
      <w:r>
        <w:rPr/>
        <w:t>standard</w:t>
      </w:r>
      <w:r>
        <w:rPr>
          <w:spacing w:val="-17"/>
        </w:rPr>
        <w:t> </w:t>
      </w:r>
      <w:r>
        <w:rPr/>
        <w:t>for</w:t>
      </w:r>
      <w:r>
        <w:rPr>
          <w:spacing w:val="-17"/>
        </w:rPr>
        <w:t> </w:t>
      </w:r>
      <w:r>
        <w:rPr/>
        <w:t>future</w:t>
      </w:r>
      <w:r>
        <w:rPr>
          <w:spacing w:val="-17"/>
        </w:rPr>
        <w:t> </w:t>
      </w:r>
      <w:r>
        <w:rPr/>
        <w:t>course</w:t>
      </w:r>
      <w:r>
        <w:rPr>
          <w:spacing w:val="-17"/>
        </w:rPr>
        <w:t> </w:t>
      </w:r>
      <w:r>
        <w:rPr/>
        <w:t>development. In addition, another 370 undergraduate units have been converted to digital or blended learning mode, mostly Level 3 units. Since </w:t>
      </w:r>
      <w:r>
        <w:rPr>
          <w:spacing w:val="1"/>
          <w:w w:val="84"/>
        </w:rPr>
        <w:t>2013,</w:t>
      </w:r>
      <w:r>
        <w:rPr>
          <w:w w:val="84"/>
        </w:rPr>
        <w:t> </w:t>
      </w:r>
      <w:r>
        <w:rPr>
          <w:spacing w:val="2"/>
          <w:w w:val="76"/>
        </w:rPr>
        <w:t>1,146</w:t>
      </w:r>
      <w:r>
        <w:rPr>
          <w:w w:val="76"/>
        </w:rPr>
        <w:t> </w:t>
      </w:r>
      <w:r>
        <w:rPr>
          <w:spacing w:val="1"/>
          <w:w w:val="96"/>
        </w:rPr>
        <w:t>units</w:t>
      </w:r>
      <w:r>
        <w:rPr>
          <w:w w:val="96"/>
        </w:rPr>
        <w:t> </w:t>
      </w:r>
      <w:r>
        <w:rPr>
          <w:w w:val="96"/>
        </w:rPr>
        <w:t>have </w:t>
      </w:r>
      <w:r>
        <w:rPr>
          <w:spacing w:val="1"/>
          <w:w w:val="97"/>
        </w:rPr>
        <w:t>been</w:t>
      </w:r>
      <w:r>
        <w:rPr>
          <w:w w:val="97"/>
        </w:rPr>
        <w:t> </w:t>
      </w:r>
      <w:r>
        <w:rPr>
          <w:w w:val="99"/>
        </w:rPr>
        <w:t>converted </w:t>
      </w:r>
      <w:r>
        <w:rPr>
          <w:spacing w:val="-1"/>
          <w:w w:val="101"/>
        </w:rPr>
        <w:t>to</w:t>
      </w:r>
      <w:r>
        <w:rPr>
          <w:w w:val="101"/>
        </w:rPr>
        <w:t> </w:t>
      </w:r>
      <w:r>
        <w:rPr/>
        <w:t>blended</w:t>
      </w:r>
      <w:r>
        <w:rPr>
          <w:spacing w:val="-12"/>
        </w:rPr>
        <w:t> </w:t>
      </w:r>
      <w:r>
        <w:rPr/>
        <w:t>or</w:t>
      </w:r>
      <w:r>
        <w:rPr>
          <w:spacing w:val="-12"/>
        </w:rPr>
        <w:t> </w:t>
      </w:r>
      <w:r>
        <w:rPr/>
        <w:t>online</w:t>
      </w:r>
      <w:r>
        <w:rPr>
          <w:spacing w:val="-12"/>
        </w:rPr>
        <w:t> </w:t>
      </w:r>
      <w:r>
        <w:rPr/>
        <w:t>mode</w:t>
      </w:r>
      <w:r>
        <w:rPr>
          <w:spacing w:val="-12"/>
        </w:rPr>
        <w:t> </w:t>
      </w:r>
      <w:r>
        <w:rPr/>
        <w:t>and</w:t>
      </w:r>
      <w:r>
        <w:rPr>
          <w:spacing w:val="-12"/>
        </w:rPr>
        <w:t> </w:t>
      </w:r>
      <w:r>
        <w:rPr/>
        <w:t>some</w:t>
      </w:r>
      <w:r>
        <w:rPr>
          <w:spacing w:val="-12"/>
        </w:rPr>
        <w:t> </w:t>
      </w:r>
      <w:r>
        <w:rPr/>
        <w:t>Schools</w:t>
      </w:r>
    </w:p>
    <w:p>
      <w:pPr>
        <w:pStyle w:val="BodyText"/>
        <w:spacing w:line="249" w:lineRule="auto"/>
        <w:ind w:left="107" w:right="328"/>
      </w:pPr>
      <w:r>
        <w:rPr/>
        <w:t>are</w:t>
      </w:r>
      <w:r>
        <w:rPr>
          <w:spacing w:val="-15"/>
        </w:rPr>
        <w:t> </w:t>
      </w:r>
      <w:r>
        <w:rPr/>
        <w:t>now</w:t>
      </w:r>
      <w:r>
        <w:rPr>
          <w:spacing w:val="-15"/>
        </w:rPr>
        <w:t> </w:t>
      </w:r>
      <w:r>
        <w:rPr/>
        <w:t>working</w:t>
      </w:r>
      <w:r>
        <w:rPr>
          <w:spacing w:val="-15"/>
        </w:rPr>
        <w:t> </w:t>
      </w:r>
      <w:r>
        <w:rPr/>
        <w:t>on</w:t>
      </w:r>
      <w:r>
        <w:rPr>
          <w:spacing w:val="-15"/>
        </w:rPr>
        <w:t> </w:t>
      </w:r>
      <w:r>
        <w:rPr/>
        <w:t>blending</w:t>
      </w:r>
      <w:r>
        <w:rPr>
          <w:spacing w:val="-15"/>
        </w:rPr>
        <w:t> </w:t>
      </w:r>
      <w:r>
        <w:rPr/>
        <w:t>a</w:t>
      </w:r>
      <w:r>
        <w:rPr>
          <w:spacing w:val="-15"/>
        </w:rPr>
        <w:t> </w:t>
      </w:r>
      <w:r>
        <w:rPr/>
        <w:t>number</w:t>
      </w:r>
      <w:r>
        <w:rPr>
          <w:spacing w:val="-15"/>
        </w:rPr>
        <w:t> </w:t>
      </w:r>
      <w:r>
        <w:rPr/>
        <w:t>of postgraduate</w:t>
      </w:r>
      <w:r>
        <w:rPr>
          <w:spacing w:val="-21"/>
        </w:rPr>
        <w:t> </w:t>
      </w:r>
      <w:r>
        <w:rPr/>
        <w:t>units</w:t>
      </w:r>
      <w:r>
        <w:rPr>
          <w:spacing w:val="-21"/>
        </w:rPr>
        <w:t> </w:t>
      </w:r>
      <w:r>
        <w:rPr/>
        <w:t>and</w:t>
      </w:r>
      <w:r>
        <w:rPr>
          <w:spacing w:val="-21"/>
        </w:rPr>
        <w:t> </w:t>
      </w:r>
      <w:r>
        <w:rPr/>
        <w:t>courses.</w:t>
      </w:r>
    </w:p>
    <w:p>
      <w:pPr>
        <w:pStyle w:val="BodyText"/>
        <w:rPr>
          <w:sz w:val="14"/>
        </w:rPr>
      </w:pPr>
    </w:p>
    <w:p>
      <w:pPr>
        <w:pStyle w:val="BodyText"/>
        <w:spacing w:line="249" w:lineRule="auto"/>
        <w:ind w:left="107" w:right="37"/>
      </w:pPr>
      <w:r>
        <w:rPr>
          <w:w w:val="80"/>
        </w:rPr>
        <w:t>In </w:t>
      </w:r>
      <w:r>
        <w:rPr>
          <w:w w:val="84"/>
        </w:rPr>
        <w:t>2015, </w:t>
      </w:r>
      <w:r>
        <w:rPr>
          <w:w w:val="97"/>
        </w:rPr>
        <w:t>planning </w:t>
      </w:r>
      <w:r>
        <w:rPr>
          <w:w w:val="101"/>
        </w:rPr>
        <w:t>to </w:t>
      </w:r>
      <w:r>
        <w:rPr>
          <w:w w:val="96"/>
        </w:rPr>
        <w:t>establish </w:t>
      </w:r>
      <w:r>
        <w:rPr>
          <w:w w:val="97"/>
        </w:rPr>
        <w:t>innovative </w:t>
      </w:r>
      <w:r>
        <w:rPr/>
        <w:t>technology-rich collaborative learning spaces at the One Parramatta Square campus led</w:t>
      </w:r>
    </w:p>
    <w:p>
      <w:pPr>
        <w:pStyle w:val="BodyText"/>
        <w:spacing w:line="192" w:lineRule="exact"/>
        <w:ind w:left="107"/>
      </w:pPr>
      <w:r>
        <w:rPr/>
        <w:t>to the design and building of a prototype</w:t>
      </w:r>
    </w:p>
    <w:p>
      <w:pPr>
        <w:pStyle w:val="BodyText"/>
        <w:spacing w:before="9"/>
      </w:pPr>
      <w:r>
        <w:rPr/>
        <w:br w:type="column"/>
      </w:r>
      <w:r>
        <w:rPr/>
      </w:r>
    </w:p>
    <w:p>
      <w:pPr>
        <w:pStyle w:val="BodyText"/>
        <w:spacing w:line="249" w:lineRule="auto"/>
        <w:ind w:left="107" w:right="112"/>
      </w:pPr>
      <w:r>
        <w:rPr/>
        <w:t>teaching space at the Kingswood campus. New</w:t>
      </w:r>
      <w:r>
        <w:rPr>
          <w:spacing w:val="-27"/>
        </w:rPr>
        <w:t> </w:t>
      </w:r>
      <w:r>
        <w:rPr/>
        <w:t>professional</w:t>
      </w:r>
      <w:r>
        <w:rPr>
          <w:spacing w:val="-27"/>
        </w:rPr>
        <w:t> </w:t>
      </w:r>
      <w:r>
        <w:rPr/>
        <w:t>development</w:t>
      </w:r>
      <w:r>
        <w:rPr>
          <w:spacing w:val="-27"/>
        </w:rPr>
        <w:t> </w:t>
      </w:r>
      <w:r>
        <w:rPr/>
        <w:t>resources</w:t>
      </w:r>
      <w:r>
        <w:rPr>
          <w:spacing w:val="-27"/>
        </w:rPr>
        <w:t> </w:t>
      </w:r>
      <w:r>
        <w:rPr/>
        <w:t>were produced to support staff members in these new spaces. </w:t>
      </w:r>
      <w:r>
        <w:rPr>
          <w:spacing w:val="-5"/>
        </w:rPr>
        <w:t>To </w:t>
      </w:r>
      <w:r>
        <w:rPr/>
        <w:t>complement the prototype teaching</w:t>
      </w:r>
      <w:r>
        <w:rPr>
          <w:spacing w:val="-20"/>
        </w:rPr>
        <w:t> </w:t>
      </w:r>
      <w:r>
        <w:rPr/>
        <w:t>space,</w:t>
      </w:r>
      <w:r>
        <w:rPr>
          <w:spacing w:val="-20"/>
        </w:rPr>
        <w:t> </w:t>
      </w:r>
      <w:r>
        <w:rPr/>
        <w:t>a</w:t>
      </w:r>
      <w:r>
        <w:rPr>
          <w:spacing w:val="-20"/>
        </w:rPr>
        <w:t> </w:t>
      </w:r>
      <w:r>
        <w:rPr/>
        <w:t>technology</w:t>
      </w:r>
      <w:r>
        <w:rPr>
          <w:spacing w:val="-20"/>
        </w:rPr>
        <w:t> </w:t>
      </w:r>
      <w:r>
        <w:rPr/>
        <w:t>incubator</w:t>
      </w:r>
      <w:r>
        <w:rPr>
          <w:spacing w:val="-20"/>
        </w:rPr>
        <w:t> </w:t>
      </w:r>
      <w:r>
        <w:rPr/>
        <w:t>space and two self-service video laboratories for academic</w:t>
      </w:r>
      <w:r>
        <w:rPr>
          <w:spacing w:val="-19"/>
        </w:rPr>
        <w:t> </w:t>
      </w:r>
      <w:r>
        <w:rPr/>
        <w:t>staff</w:t>
      </w:r>
      <w:r>
        <w:rPr>
          <w:spacing w:val="-19"/>
        </w:rPr>
        <w:t> </w:t>
      </w:r>
      <w:r>
        <w:rPr/>
        <w:t>members</w:t>
      </w:r>
      <w:r>
        <w:rPr>
          <w:spacing w:val="-19"/>
        </w:rPr>
        <w:t> </w:t>
      </w:r>
      <w:r>
        <w:rPr/>
        <w:t>were</w:t>
      </w:r>
      <w:r>
        <w:rPr>
          <w:spacing w:val="-19"/>
        </w:rPr>
        <w:t> </w:t>
      </w:r>
      <w:r>
        <w:rPr/>
        <w:t>also</w:t>
      </w:r>
      <w:r>
        <w:rPr>
          <w:spacing w:val="-19"/>
        </w:rPr>
        <w:t> </w:t>
      </w:r>
      <w:r>
        <w:rPr/>
        <w:t>developed </w:t>
      </w:r>
      <w:r>
        <w:rPr>
          <w:spacing w:val="1"/>
          <w:w w:val="97"/>
        </w:rPr>
        <w:t>and</w:t>
      </w:r>
      <w:r>
        <w:rPr>
          <w:spacing w:val="-10"/>
          <w:w w:val="97"/>
        </w:rPr>
        <w:t> </w:t>
      </w:r>
      <w:r>
        <w:rPr>
          <w:w w:val="97"/>
        </w:rPr>
        <w:t>will</w:t>
      </w:r>
      <w:r>
        <w:rPr>
          <w:spacing w:val="-10"/>
          <w:w w:val="97"/>
        </w:rPr>
        <w:t> </w:t>
      </w:r>
      <w:r>
        <w:rPr>
          <w:w w:val="99"/>
        </w:rPr>
        <w:t>be</w:t>
      </w:r>
      <w:r>
        <w:rPr>
          <w:spacing w:val="-10"/>
          <w:w w:val="99"/>
        </w:rPr>
        <w:t> </w:t>
      </w:r>
      <w:r>
        <w:rPr>
          <w:w w:val="96"/>
        </w:rPr>
        <w:t>available</w:t>
      </w:r>
      <w:r>
        <w:rPr>
          <w:spacing w:val="-9"/>
          <w:w w:val="96"/>
        </w:rPr>
        <w:t> </w:t>
      </w:r>
      <w:r>
        <w:rPr>
          <w:w w:val="95"/>
        </w:rPr>
        <w:t>in</w:t>
      </w:r>
      <w:r>
        <w:rPr>
          <w:spacing w:val="-9"/>
          <w:w w:val="95"/>
        </w:rPr>
        <w:t> </w:t>
      </w:r>
      <w:r>
        <w:rPr>
          <w:w w:val="96"/>
        </w:rPr>
        <w:t>early</w:t>
      </w:r>
      <w:r>
        <w:rPr>
          <w:spacing w:val="-9"/>
          <w:w w:val="96"/>
        </w:rPr>
        <w:t> </w:t>
      </w:r>
      <w:r>
        <w:rPr>
          <w:spacing w:val="1"/>
          <w:w w:val="85"/>
        </w:rPr>
        <w:t>2016.</w:t>
      </w:r>
    </w:p>
    <w:p>
      <w:pPr>
        <w:pStyle w:val="BodyText"/>
        <w:spacing w:before="7"/>
        <w:rPr>
          <w:sz w:val="21"/>
        </w:rPr>
      </w:pPr>
    </w:p>
    <w:p>
      <w:pPr>
        <w:pStyle w:val="Heading8"/>
        <w:spacing w:line="249" w:lineRule="auto"/>
        <w:ind w:right="112"/>
      </w:pPr>
      <w:r>
        <w:rPr>
          <w:w w:val="95"/>
        </w:rPr>
        <w:t>POLICY DEVELOPMENT AND </w:t>
      </w:r>
      <w:r>
        <w:rPr/>
        <w:t>IMPLEMENTATION</w:t>
      </w:r>
    </w:p>
    <w:p>
      <w:pPr>
        <w:pStyle w:val="BodyText"/>
        <w:spacing w:line="249" w:lineRule="auto" w:before="79"/>
        <w:ind w:left="107" w:right="47"/>
      </w:pPr>
      <w:r>
        <w:rPr/>
        <w:t>The Senate Assessment Committee continued overseeing assessments to ensure they meet the Higher Education Standards Framework. Assessment practices and outcomes were monitored across Schools using regular reports, and quality assurance practices, including peer review, moderation and benchmarking, were enhanced. The Academic Policy Advisory Group completed the first phase of a review of the Assessment Policy</w:t>
      </w:r>
    </w:p>
    <w:p>
      <w:pPr>
        <w:pStyle w:val="BodyText"/>
        <w:spacing w:line="249" w:lineRule="auto"/>
        <w:ind w:left="107" w:right="12"/>
      </w:pPr>
      <w:r>
        <w:rPr/>
        <w:t>– Criteria and Standards-based Assessment, focusing on developing University-wide understanding and consistency in applying grades. A further review of assessment practices and procedures, as well as processes for recording grades, will form phase 2 of</w:t>
      </w:r>
    </w:p>
    <w:p>
      <w:pPr>
        <w:pStyle w:val="BodyText"/>
        <w:spacing w:line="249" w:lineRule="auto"/>
        <w:ind w:left="107" w:right="115"/>
      </w:pPr>
      <w:r>
        <w:rPr>
          <w:w w:val="97"/>
        </w:rPr>
        <w:t>the </w:t>
      </w:r>
      <w:r>
        <w:rPr>
          <w:w w:val="93"/>
        </w:rPr>
        <w:t>review, </w:t>
      </w:r>
      <w:r>
        <w:rPr>
          <w:w w:val="98"/>
        </w:rPr>
        <w:t>commencing </w:t>
      </w:r>
      <w:r>
        <w:rPr>
          <w:w w:val="95"/>
        </w:rPr>
        <w:t>in </w:t>
      </w:r>
      <w:r>
        <w:rPr>
          <w:w w:val="98"/>
        </w:rPr>
        <w:t>January </w:t>
      </w:r>
      <w:r>
        <w:rPr>
          <w:w w:val="85"/>
        </w:rPr>
        <w:t>2016. </w:t>
      </w:r>
      <w:r>
        <w:rPr>
          <w:w w:val="112"/>
        </w:rPr>
        <w:t>A </w:t>
      </w:r>
      <w:r>
        <w:rPr/>
        <w:t>University-wide Academic Integrity Working Party combined the University’s Academic Misconduct and Non-Academic Misconduct Policies to produce a Student Misconduct Rule, reflecting our robust approach to </w:t>
      </w:r>
      <w:r>
        <w:rPr>
          <w:w w:val="98"/>
        </w:rPr>
        <w:t>academic </w:t>
      </w:r>
      <w:r>
        <w:rPr>
          <w:w w:val="95"/>
        </w:rPr>
        <w:t>integrity. </w:t>
      </w:r>
      <w:r>
        <w:rPr>
          <w:w w:val="80"/>
        </w:rPr>
        <w:t>In </w:t>
      </w:r>
      <w:r>
        <w:rPr>
          <w:w w:val="84"/>
        </w:rPr>
        <w:t>2015, </w:t>
      </w:r>
      <w:r>
        <w:rPr>
          <w:w w:val="97"/>
        </w:rPr>
        <w:t>the </w:t>
      </w:r>
      <w:r>
        <w:rPr>
          <w:w w:val="97"/>
        </w:rPr>
        <w:t>University </w:t>
      </w:r>
      <w:r>
        <w:rPr/>
        <w:t>completed a full review of the Award Courses and Units Approval Policy, amended the associate documents for Course and Unit Delegations and Standing Committees</w:t>
      </w:r>
    </w:p>
    <w:p>
      <w:pPr>
        <w:pStyle w:val="BodyText"/>
        <w:spacing w:line="249" w:lineRule="auto"/>
        <w:ind w:left="107" w:right="216"/>
      </w:pPr>
      <w:r>
        <w:rPr/>
        <w:t>of Senate, and revised all course and unit approvals documentation. After extensive consultation with Deputy Deans and Deans, the Academic Senate streamlined the approval process and amended committee structures, approving the changes at a </w:t>
      </w:r>
      <w:r>
        <w:rPr>
          <w:w w:val="98"/>
        </w:rPr>
        <w:t>meeting </w:t>
      </w:r>
      <w:r>
        <w:rPr>
          <w:w w:val="95"/>
        </w:rPr>
        <w:t>in </w:t>
      </w:r>
      <w:r>
        <w:rPr>
          <w:w w:val="98"/>
        </w:rPr>
        <w:t>December </w:t>
      </w:r>
      <w:r>
        <w:rPr>
          <w:w w:val="84"/>
        </w:rPr>
        <w:t>2015.</w:t>
      </w:r>
    </w:p>
    <w:p>
      <w:pPr>
        <w:pStyle w:val="BodyText"/>
        <w:spacing w:before="7"/>
        <w:rPr>
          <w:sz w:val="21"/>
        </w:rPr>
      </w:pPr>
    </w:p>
    <w:p>
      <w:pPr>
        <w:pStyle w:val="Heading8"/>
        <w:spacing w:line="249" w:lineRule="auto"/>
        <w:ind w:right="65"/>
      </w:pPr>
      <w:r>
        <w:rPr/>
        <w:t>QUALITY INDICATORS FOR LEARNING AND TEACHING</w:t>
      </w:r>
    </w:p>
    <w:p>
      <w:pPr>
        <w:pStyle w:val="BodyText"/>
        <w:spacing w:line="249" w:lineRule="auto" w:before="79"/>
        <w:ind w:left="107" w:right="328"/>
      </w:pPr>
      <w:r>
        <w:rPr/>
        <w:t>The</w:t>
      </w:r>
      <w:r>
        <w:rPr>
          <w:spacing w:val="-20"/>
        </w:rPr>
        <w:t> </w:t>
      </w:r>
      <w:r>
        <w:rPr/>
        <w:t>national</w:t>
      </w:r>
      <w:r>
        <w:rPr>
          <w:spacing w:val="-20"/>
        </w:rPr>
        <w:t> </w:t>
      </w:r>
      <w:r>
        <w:rPr/>
        <w:t>Quality</w:t>
      </w:r>
      <w:r>
        <w:rPr>
          <w:spacing w:val="-20"/>
        </w:rPr>
        <w:t> </w:t>
      </w:r>
      <w:r>
        <w:rPr/>
        <w:t>Indicators</w:t>
      </w:r>
      <w:r>
        <w:rPr>
          <w:spacing w:val="-20"/>
        </w:rPr>
        <w:t> </w:t>
      </w:r>
      <w:r>
        <w:rPr/>
        <w:t>for</w:t>
      </w:r>
      <w:r>
        <w:rPr>
          <w:spacing w:val="-20"/>
        </w:rPr>
        <w:t> </w:t>
      </w:r>
      <w:r>
        <w:rPr/>
        <w:t>Learning and</w:t>
      </w:r>
      <w:r>
        <w:rPr>
          <w:spacing w:val="-23"/>
        </w:rPr>
        <w:t> </w:t>
      </w:r>
      <w:r>
        <w:rPr/>
        <w:t>Teaching</w:t>
      </w:r>
      <w:r>
        <w:rPr>
          <w:spacing w:val="-23"/>
        </w:rPr>
        <w:t> </w:t>
      </w:r>
      <w:r>
        <w:rPr/>
        <w:t>(QILT)</w:t>
      </w:r>
      <w:r>
        <w:rPr>
          <w:spacing w:val="-23"/>
        </w:rPr>
        <w:t> </w:t>
      </w:r>
      <w:r>
        <w:rPr/>
        <w:t>website</w:t>
      </w:r>
      <w:r>
        <w:rPr>
          <w:spacing w:val="-23"/>
        </w:rPr>
        <w:t> </w:t>
      </w:r>
      <w:r>
        <w:rPr/>
        <w:t>was</w:t>
      </w:r>
      <w:r>
        <w:rPr>
          <w:spacing w:val="-23"/>
        </w:rPr>
        <w:t> </w:t>
      </w:r>
      <w:r>
        <w:rPr/>
        <w:t>launched by the Australian Government in August </w:t>
      </w:r>
      <w:r>
        <w:rPr>
          <w:spacing w:val="1"/>
          <w:w w:val="84"/>
        </w:rPr>
        <w:t>2015.</w:t>
      </w:r>
      <w:r>
        <w:rPr>
          <w:w w:val="84"/>
        </w:rPr>
        <w:t> </w:t>
      </w:r>
      <w:r>
        <w:rPr>
          <w:spacing w:val="1"/>
          <w:w w:val="94"/>
        </w:rPr>
        <w:t>The</w:t>
      </w:r>
      <w:r>
        <w:rPr>
          <w:w w:val="94"/>
        </w:rPr>
        <w:t> </w:t>
      </w:r>
      <w:r>
        <w:rPr>
          <w:spacing w:val="-1"/>
          <w:w w:val="97"/>
        </w:rPr>
        <w:t>site</w:t>
      </w:r>
      <w:r>
        <w:rPr>
          <w:w w:val="97"/>
        </w:rPr>
        <w:t> </w:t>
      </w:r>
      <w:r>
        <w:rPr>
          <w:spacing w:val="1"/>
          <w:w w:val="97"/>
        </w:rPr>
        <w:t>presents</w:t>
      </w:r>
      <w:r>
        <w:rPr>
          <w:w w:val="97"/>
        </w:rPr>
        <w:t> </w:t>
      </w:r>
      <w:r>
        <w:rPr>
          <w:spacing w:val="1"/>
          <w:w w:val="98"/>
        </w:rPr>
        <w:t>student</w:t>
      </w:r>
      <w:r>
        <w:rPr>
          <w:w w:val="98"/>
        </w:rPr>
        <w:t> </w:t>
      </w:r>
      <w:r>
        <w:rPr>
          <w:spacing w:val="1"/>
          <w:w w:val="98"/>
        </w:rPr>
        <w:t>feedback</w:t>
      </w:r>
      <w:r>
        <w:rPr>
          <w:w w:val="98"/>
        </w:rPr>
        <w:t> </w:t>
      </w:r>
      <w:r>
        <w:rPr/>
        <w:t>and</w:t>
      </w:r>
      <w:r>
        <w:rPr>
          <w:spacing w:val="-10"/>
        </w:rPr>
        <w:t> </w:t>
      </w:r>
      <w:r>
        <w:rPr/>
        <w:t>performance</w:t>
      </w:r>
      <w:r>
        <w:rPr>
          <w:spacing w:val="-10"/>
        </w:rPr>
        <w:t> </w:t>
      </w:r>
      <w:r>
        <w:rPr/>
        <w:t>data</w:t>
      </w:r>
      <w:r>
        <w:rPr>
          <w:spacing w:val="-10"/>
        </w:rPr>
        <w:t> </w:t>
      </w:r>
      <w:r>
        <w:rPr/>
        <w:t>for</w:t>
      </w:r>
      <w:r>
        <w:rPr>
          <w:spacing w:val="-10"/>
        </w:rPr>
        <w:t> </w:t>
      </w:r>
      <w:r>
        <w:rPr/>
        <w:t>40</w:t>
      </w:r>
      <w:r>
        <w:rPr>
          <w:spacing w:val="-10"/>
        </w:rPr>
        <w:t> </w:t>
      </w:r>
      <w:r>
        <w:rPr/>
        <w:t>Australian</w:t>
      </w:r>
    </w:p>
    <w:p>
      <w:pPr>
        <w:spacing w:after="0" w:line="249" w:lineRule="auto"/>
        <w:sectPr>
          <w:type w:val="continuous"/>
          <w:pgSz w:w="11910" w:h="16840"/>
          <w:pgMar w:top="1580" w:bottom="280" w:left="800" w:right="800"/>
          <w:cols w:num="3" w:equalWidth="0">
            <w:col w:w="3311" w:space="128"/>
            <w:col w:w="3320" w:space="120"/>
            <w:col w:w="3431"/>
          </w:cols>
        </w:sectPr>
      </w:pPr>
    </w:p>
    <w:p>
      <w:pPr>
        <w:pStyle w:val="BodyText"/>
        <w:spacing w:before="10"/>
        <w:rPr>
          <w:sz w:val="28"/>
        </w:rPr>
      </w:pPr>
    </w:p>
    <w:p>
      <w:pPr>
        <w:pStyle w:val="Heading2"/>
        <w:ind w:right="7953"/>
        <w:rPr>
          <w:b w:val="0"/>
        </w:rPr>
      </w:pPr>
      <w:r>
        <w:rPr>
          <w:b w:val="0"/>
        </w:rPr>
        <w:t>Learning </w:t>
      </w:r>
      <w:r>
        <w:rPr>
          <w:b w:val="0"/>
          <w:spacing w:val="-3"/>
        </w:rPr>
        <w:t>and</w:t>
      </w:r>
      <w:r>
        <w:rPr>
          <w:b w:val="0"/>
          <w:spacing w:val="-2"/>
        </w:rPr>
        <w:t> </w:t>
      </w:r>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9" w:lineRule="auto"/>
        <w:ind w:left="107" w:right="277"/>
      </w:pPr>
      <w:r>
        <w:rPr/>
        <w:t>higher education institutions, drawn from the University Experience Survey, Course</w:t>
      </w:r>
    </w:p>
    <w:p>
      <w:pPr>
        <w:pStyle w:val="BodyText"/>
        <w:spacing w:line="249" w:lineRule="auto"/>
        <w:ind w:left="107" w:right="-2"/>
      </w:pPr>
      <w:r>
        <w:rPr/>
        <w:t>Experience</w:t>
      </w:r>
      <w:r>
        <w:rPr>
          <w:spacing w:val="-20"/>
        </w:rPr>
        <w:t> </w:t>
      </w:r>
      <w:r>
        <w:rPr/>
        <w:t>Questionnaire</w:t>
      </w:r>
      <w:r>
        <w:rPr>
          <w:spacing w:val="-20"/>
        </w:rPr>
        <w:t> </w:t>
      </w:r>
      <w:r>
        <w:rPr/>
        <w:t>(CEQ)</w:t>
      </w:r>
      <w:r>
        <w:rPr>
          <w:spacing w:val="-20"/>
        </w:rPr>
        <w:t> </w:t>
      </w:r>
      <w:r>
        <w:rPr/>
        <w:t>and</w:t>
      </w:r>
      <w:r>
        <w:rPr>
          <w:spacing w:val="-20"/>
        </w:rPr>
        <w:t> </w:t>
      </w:r>
      <w:r>
        <w:rPr/>
        <w:t>Graduate Destination Survey. Overall, Western Sydney University performs well compared with our local competitors in the areas of Learner Engagement; Learning Resources; Student Support</w:t>
      </w:r>
      <w:r>
        <w:rPr>
          <w:spacing w:val="-16"/>
        </w:rPr>
        <w:t> </w:t>
      </w:r>
      <w:r>
        <w:rPr/>
        <w:t>and</w:t>
      </w:r>
      <w:r>
        <w:rPr>
          <w:spacing w:val="-16"/>
        </w:rPr>
        <w:t> </w:t>
      </w:r>
      <w:r>
        <w:rPr/>
        <w:t>Skills</w:t>
      </w:r>
      <w:r>
        <w:rPr>
          <w:spacing w:val="-16"/>
        </w:rPr>
        <w:t> </w:t>
      </w:r>
      <w:r>
        <w:rPr/>
        <w:t>Development.</w:t>
      </w:r>
      <w:r>
        <w:rPr>
          <w:spacing w:val="-16"/>
        </w:rPr>
        <w:t> </w:t>
      </w:r>
      <w:r>
        <w:rPr/>
        <w:t>Local</w:t>
      </w:r>
    </w:p>
    <w:p>
      <w:pPr>
        <w:pStyle w:val="BodyText"/>
        <w:spacing w:line="249" w:lineRule="auto"/>
        <w:ind w:left="107"/>
      </w:pPr>
      <w:r>
        <w:rPr/>
        <w:t>and International student feedback is less favourable for overall quality of educational experience and teaching quality. A similar trend is noted in the International Student Barometer</w:t>
      </w:r>
      <w:r>
        <w:rPr>
          <w:spacing w:val="-19"/>
        </w:rPr>
        <w:t> </w:t>
      </w:r>
      <w:r>
        <w:rPr/>
        <w:t>results.</w:t>
      </w:r>
      <w:r>
        <w:rPr>
          <w:spacing w:val="-19"/>
        </w:rPr>
        <w:t> </w:t>
      </w:r>
      <w:r>
        <w:rPr/>
        <w:t>The</w:t>
      </w:r>
      <w:r>
        <w:rPr>
          <w:spacing w:val="-19"/>
        </w:rPr>
        <w:t> </w:t>
      </w:r>
      <w:r>
        <w:rPr/>
        <w:t>University’s</w:t>
      </w:r>
      <w:r>
        <w:rPr>
          <w:spacing w:val="-19"/>
        </w:rPr>
        <w:t> </w:t>
      </w:r>
      <w:r>
        <w:rPr/>
        <w:t>CEQ</w:t>
      </w:r>
      <w:r>
        <w:rPr>
          <w:spacing w:val="-19"/>
        </w:rPr>
        <w:t> </w:t>
      </w:r>
      <w:r>
        <w:rPr/>
        <w:t>rating </w:t>
      </w:r>
      <w:r>
        <w:rPr>
          <w:w w:val="98"/>
        </w:rPr>
        <w:t>for </w:t>
      </w:r>
      <w:r>
        <w:rPr>
          <w:w w:val="97"/>
        </w:rPr>
        <w:t>overall </w:t>
      </w:r>
      <w:r>
        <w:rPr>
          <w:spacing w:val="1"/>
          <w:w w:val="97"/>
        </w:rPr>
        <w:t>satisfaction</w:t>
      </w:r>
      <w:r>
        <w:rPr>
          <w:w w:val="97"/>
        </w:rPr>
        <w:t> </w:t>
      </w:r>
      <w:r>
        <w:rPr>
          <w:w w:val="95"/>
        </w:rPr>
        <w:t>in </w:t>
      </w:r>
      <w:r>
        <w:rPr>
          <w:spacing w:val="1"/>
          <w:w w:val="90"/>
        </w:rPr>
        <w:t>2014</w:t>
      </w:r>
      <w:r>
        <w:rPr>
          <w:w w:val="90"/>
        </w:rPr>
        <w:t> </w:t>
      </w:r>
      <w:r>
        <w:rPr>
          <w:w w:val="96"/>
        </w:rPr>
        <w:t>was </w:t>
      </w:r>
      <w:r>
        <w:rPr>
          <w:spacing w:val="3"/>
          <w:w w:val="93"/>
        </w:rPr>
        <w:t>84.4</w:t>
      </w:r>
      <w:r>
        <w:rPr>
          <w:w w:val="93"/>
        </w:rPr>
        <w:t> </w:t>
      </w:r>
      <w:r>
        <w:rPr>
          <w:spacing w:val="1"/>
          <w:w w:val="97"/>
        </w:rPr>
        <w:t>per</w:t>
      </w:r>
      <w:r>
        <w:rPr>
          <w:w w:val="97"/>
        </w:rPr>
        <w:t> </w:t>
      </w:r>
      <w:r>
        <w:rPr>
          <w:w w:val="92"/>
        </w:rPr>
        <w:t>cent,</w:t>
      </w:r>
      <w:r>
        <w:rPr>
          <w:spacing w:val="-5"/>
          <w:w w:val="92"/>
        </w:rPr>
        <w:t> </w:t>
      </w:r>
      <w:r>
        <w:rPr>
          <w:w w:val="98"/>
        </w:rPr>
        <w:t>up</w:t>
      </w:r>
      <w:r>
        <w:rPr>
          <w:spacing w:val="-8"/>
          <w:w w:val="98"/>
        </w:rPr>
        <w:t> </w:t>
      </w:r>
      <w:r>
        <w:rPr>
          <w:spacing w:val="1"/>
          <w:w w:val="98"/>
        </w:rPr>
        <w:t>from</w:t>
      </w:r>
      <w:r>
        <w:rPr>
          <w:spacing w:val="-8"/>
          <w:w w:val="98"/>
        </w:rPr>
        <w:t> </w:t>
      </w:r>
      <w:r>
        <w:rPr>
          <w:spacing w:val="3"/>
          <w:w w:val="90"/>
        </w:rPr>
        <w:t>83.6</w:t>
      </w:r>
      <w:r>
        <w:rPr>
          <w:spacing w:val="-4"/>
          <w:w w:val="90"/>
        </w:rPr>
        <w:t> </w:t>
      </w:r>
      <w:r>
        <w:rPr>
          <w:spacing w:val="1"/>
          <w:w w:val="97"/>
        </w:rPr>
        <w:t>per</w:t>
      </w:r>
      <w:r>
        <w:rPr>
          <w:spacing w:val="-8"/>
          <w:w w:val="97"/>
        </w:rPr>
        <w:t> </w:t>
      </w:r>
      <w:r>
        <w:rPr>
          <w:w w:val="99"/>
        </w:rPr>
        <w:t>cent</w:t>
      </w:r>
      <w:r>
        <w:rPr>
          <w:spacing w:val="-8"/>
          <w:w w:val="99"/>
        </w:rPr>
        <w:t> </w:t>
      </w:r>
      <w:r>
        <w:rPr>
          <w:w w:val="95"/>
        </w:rPr>
        <w:t>in</w:t>
      </w:r>
      <w:r>
        <w:rPr>
          <w:spacing w:val="-7"/>
          <w:w w:val="95"/>
        </w:rPr>
        <w:t> </w:t>
      </w:r>
      <w:r>
        <w:rPr>
          <w:spacing w:val="1"/>
          <w:w w:val="84"/>
        </w:rPr>
        <w:t>2013,</w:t>
      </w:r>
      <w:r>
        <w:rPr>
          <w:spacing w:val="-1"/>
          <w:w w:val="84"/>
        </w:rPr>
        <w:t> </w:t>
      </w:r>
      <w:r>
        <w:rPr>
          <w:spacing w:val="1"/>
          <w:w w:val="98"/>
        </w:rPr>
        <w:t>once</w:t>
      </w:r>
      <w:r>
        <w:rPr>
          <w:spacing w:val="-8"/>
          <w:w w:val="98"/>
        </w:rPr>
        <w:t> </w:t>
      </w:r>
      <w:r>
        <w:rPr>
          <w:spacing w:val="1"/>
          <w:w w:val="96"/>
        </w:rPr>
        <w:t>again</w:t>
      </w:r>
      <w:r>
        <w:rPr>
          <w:w w:val="96"/>
        </w:rPr>
        <w:t> </w:t>
      </w:r>
      <w:r>
        <w:rPr/>
        <w:t>above the sector average, which was 83 per cent.</w:t>
      </w:r>
      <w:r>
        <w:rPr>
          <w:spacing w:val="-17"/>
        </w:rPr>
        <w:t> </w:t>
      </w:r>
      <w:r>
        <w:rPr/>
        <w:t>A</w:t>
      </w:r>
      <w:r>
        <w:rPr>
          <w:spacing w:val="-17"/>
        </w:rPr>
        <w:t> </w:t>
      </w:r>
      <w:r>
        <w:rPr/>
        <w:t>similar</w:t>
      </w:r>
      <w:r>
        <w:rPr>
          <w:spacing w:val="-17"/>
        </w:rPr>
        <w:t> </w:t>
      </w:r>
      <w:r>
        <w:rPr/>
        <w:t>positive</w:t>
      </w:r>
      <w:r>
        <w:rPr>
          <w:spacing w:val="-17"/>
        </w:rPr>
        <w:t> </w:t>
      </w:r>
      <w:r>
        <w:rPr/>
        <w:t>trend</w:t>
      </w:r>
      <w:r>
        <w:rPr>
          <w:spacing w:val="-17"/>
        </w:rPr>
        <w:t> </w:t>
      </w:r>
      <w:r>
        <w:rPr/>
        <w:t>was</w:t>
      </w:r>
      <w:r>
        <w:rPr>
          <w:spacing w:val="-17"/>
        </w:rPr>
        <w:t> </w:t>
      </w:r>
      <w:r>
        <w:rPr/>
        <w:t>recorded</w:t>
      </w:r>
    </w:p>
    <w:p>
      <w:pPr>
        <w:pStyle w:val="BodyText"/>
        <w:spacing w:line="249" w:lineRule="auto"/>
        <w:ind w:left="107" w:right="67"/>
      </w:pPr>
      <w:r>
        <w:rPr/>
        <w:t>in data from our Student Feedback on Units (SFU)</w:t>
      </w:r>
      <w:r>
        <w:rPr>
          <w:spacing w:val="-16"/>
        </w:rPr>
        <w:t> </w:t>
      </w:r>
      <w:r>
        <w:rPr/>
        <w:t>with</w:t>
      </w:r>
      <w:r>
        <w:rPr>
          <w:spacing w:val="-16"/>
        </w:rPr>
        <w:t> </w:t>
      </w:r>
      <w:r>
        <w:rPr/>
        <w:t>89.7</w:t>
      </w:r>
      <w:r>
        <w:rPr>
          <w:spacing w:val="-16"/>
        </w:rPr>
        <w:t> </w:t>
      </w:r>
      <w:r>
        <w:rPr/>
        <w:t>per</w:t>
      </w:r>
      <w:r>
        <w:rPr>
          <w:spacing w:val="-16"/>
        </w:rPr>
        <w:t> </w:t>
      </w:r>
      <w:r>
        <w:rPr/>
        <w:t>cent</w:t>
      </w:r>
      <w:r>
        <w:rPr>
          <w:spacing w:val="-16"/>
        </w:rPr>
        <w:t> </w:t>
      </w:r>
      <w:r>
        <w:rPr/>
        <w:t>of</w:t>
      </w:r>
      <w:r>
        <w:rPr>
          <w:spacing w:val="-16"/>
        </w:rPr>
        <w:t> </w:t>
      </w:r>
      <w:r>
        <w:rPr/>
        <w:t>units</w:t>
      </w:r>
      <w:r>
        <w:rPr>
          <w:spacing w:val="-16"/>
        </w:rPr>
        <w:t> </w:t>
      </w:r>
      <w:r>
        <w:rPr/>
        <w:t>recording</w:t>
      </w:r>
      <w:r>
        <w:rPr>
          <w:spacing w:val="-16"/>
        </w:rPr>
        <w:t> </w:t>
      </w:r>
      <w:r>
        <w:rPr/>
        <w:t>an average</w:t>
      </w:r>
      <w:r>
        <w:rPr>
          <w:spacing w:val="-18"/>
        </w:rPr>
        <w:t> </w:t>
      </w:r>
      <w:r>
        <w:rPr/>
        <w:t>score</w:t>
      </w:r>
      <w:r>
        <w:rPr>
          <w:spacing w:val="-18"/>
        </w:rPr>
        <w:t> </w:t>
      </w:r>
      <w:r>
        <w:rPr/>
        <w:t>of</w:t>
      </w:r>
      <w:r>
        <w:rPr>
          <w:spacing w:val="-18"/>
        </w:rPr>
        <w:t> </w:t>
      </w:r>
      <w:r>
        <w:rPr/>
        <w:t>greater</w:t>
      </w:r>
      <w:r>
        <w:rPr>
          <w:spacing w:val="-18"/>
        </w:rPr>
        <w:t> </w:t>
      </w:r>
      <w:r>
        <w:rPr/>
        <w:t>than</w:t>
      </w:r>
      <w:r>
        <w:rPr>
          <w:spacing w:val="-18"/>
        </w:rPr>
        <w:t> </w:t>
      </w:r>
      <w:r>
        <w:rPr/>
        <w:t>or</w:t>
      </w:r>
      <w:r>
        <w:rPr>
          <w:spacing w:val="-18"/>
        </w:rPr>
        <w:t> </w:t>
      </w:r>
      <w:r>
        <w:rPr/>
        <w:t>equal</w:t>
      </w:r>
      <w:r>
        <w:rPr>
          <w:spacing w:val="-18"/>
        </w:rPr>
        <w:t> </w:t>
      </w:r>
      <w:r>
        <w:rPr/>
        <w:t>to</w:t>
      </w:r>
      <w:r>
        <w:rPr>
          <w:spacing w:val="-18"/>
        </w:rPr>
        <w:t> </w:t>
      </w:r>
      <w:r>
        <w:rPr>
          <w:spacing w:val="3"/>
        </w:rPr>
        <w:t>3.5 </w:t>
      </w:r>
      <w:r>
        <w:rPr>
          <w:w w:val="98"/>
        </w:rPr>
        <w:t>for </w:t>
      </w:r>
      <w:r>
        <w:rPr>
          <w:w w:val="97"/>
        </w:rPr>
        <w:t>overall </w:t>
      </w:r>
      <w:r>
        <w:rPr>
          <w:spacing w:val="1"/>
          <w:w w:val="97"/>
        </w:rPr>
        <w:t>experience</w:t>
      </w:r>
      <w:r>
        <w:rPr>
          <w:w w:val="97"/>
        </w:rPr>
        <w:t> </w:t>
      </w:r>
      <w:r>
        <w:rPr>
          <w:w w:val="95"/>
        </w:rPr>
        <w:t>in </w:t>
      </w:r>
      <w:r>
        <w:rPr>
          <w:spacing w:val="1"/>
          <w:w w:val="84"/>
        </w:rPr>
        <w:t>2015,</w:t>
      </w:r>
      <w:r>
        <w:rPr>
          <w:w w:val="84"/>
        </w:rPr>
        <w:t> </w:t>
      </w:r>
      <w:r>
        <w:rPr>
          <w:w w:val="98"/>
        </w:rPr>
        <w:t>up </w:t>
      </w:r>
      <w:r>
        <w:rPr>
          <w:spacing w:val="1"/>
          <w:w w:val="98"/>
        </w:rPr>
        <w:t>from</w:t>
      </w:r>
      <w:r>
        <w:rPr>
          <w:w w:val="98"/>
        </w:rPr>
        <w:t> </w:t>
      </w:r>
      <w:r>
        <w:rPr>
          <w:spacing w:val="3"/>
          <w:w w:val="91"/>
        </w:rPr>
        <w:t>88.6</w:t>
      </w:r>
      <w:r>
        <w:rPr>
          <w:w w:val="91"/>
        </w:rPr>
        <w:t> </w:t>
      </w:r>
      <w:r>
        <w:rPr>
          <w:spacing w:val="1"/>
          <w:w w:val="97"/>
        </w:rPr>
        <w:t>per</w:t>
      </w:r>
      <w:r>
        <w:rPr>
          <w:w w:val="97"/>
        </w:rPr>
        <w:t> </w:t>
      </w:r>
      <w:r>
        <w:rPr>
          <w:w w:val="99"/>
        </w:rPr>
        <w:t>cent </w:t>
      </w:r>
      <w:r>
        <w:rPr>
          <w:w w:val="95"/>
        </w:rPr>
        <w:t>in</w:t>
      </w:r>
      <w:r>
        <w:rPr>
          <w:spacing w:val="-19"/>
          <w:w w:val="95"/>
        </w:rPr>
        <w:t> </w:t>
      </w:r>
      <w:r>
        <w:rPr>
          <w:spacing w:val="1"/>
          <w:w w:val="86"/>
        </w:rPr>
        <w:t>2014.</w:t>
      </w:r>
    </w:p>
    <w:p>
      <w:pPr>
        <w:pStyle w:val="BodyText"/>
        <w:spacing w:before="7"/>
        <w:rPr>
          <w:sz w:val="21"/>
        </w:rPr>
      </w:pPr>
    </w:p>
    <w:p>
      <w:pPr>
        <w:pStyle w:val="Heading8"/>
      </w:pPr>
      <w:r>
        <w:rPr>
          <w:w w:val="95"/>
        </w:rPr>
        <w:t>PATHWAYS TO LEARNING</w:t>
      </w:r>
    </w:p>
    <w:p>
      <w:pPr>
        <w:pStyle w:val="BodyText"/>
        <w:spacing w:line="249" w:lineRule="auto" w:before="86"/>
        <w:ind w:left="107" w:right="295"/>
      </w:pPr>
      <w:r>
        <w:rPr>
          <w:w w:val="80"/>
        </w:rPr>
        <w:t>In </w:t>
      </w:r>
      <w:r>
        <w:rPr>
          <w:w w:val="84"/>
        </w:rPr>
        <w:t>2015, </w:t>
      </w:r>
      <w:r>
        <w:rPr>
          <w:w w:val="97"/>
        </w:rPr>
        <w:t>the </w:t>
      </w:r>
      <w:r>
        <w:rPr>
          <w:w w:val="97"/>
        </w:rPr>
        <w:t>University </w:t>
      </w:r>
      <w:r>
        <w:rPr>
          <w:w w:val="98"/>
        </w:rPr>
        <w:t>offered </w:t>
      </w:r>
      <w:r>
        <w:rPr>
          <w:w w:val="97"/>
        </w:rPr>
        <w:t>places </w:t>
      </w:r>
      <w:r>
        <w:rPr>
          <w:w w:val="101"/>
        </w:rPr>
        <w:t>to </w:t>
      </w:r>
      <w:r>
        <w:rPr/>
        <w:t>3,482 students for Vocational Education and Training (VET) studies, with many commencing studies via one of the 200 formalised articulation pathways offering</w:t>
      </w:r>
    </w:p>
    <w:p>
      <w:pPr>
        <w:pStyle w:val="BodyText"/>
        <w:spacing w:line="249" w:lineRule="auto"/>
        <w:ind w:left="107" w:right="111"/>
      </w:pPr>
      <w:r>
        <w:rPr/>
        <w:t>guaranteed</w:t>
      </w:r>
      <w:r>
        <w:rPr>
          <w:spacing w:val="-19"/>
        </w:rPr>
        <w:t> </w:t>
      </w:r>
      <w:r>
        <w:rPr/>
        <w:t>entry</w:t>
      </w:r>
      <w:r>
        <w:rPr>
          <w:spacing w:val="-19"/>
        </w:rPr>
        <w:t> </w:t>
      </w:r>
      <w:r>
        <w:rPr/>
        <w:t>and</w:t>
      </w:r>
      <w:r>
        <w:rPr>
          <w:spacing w:val="-19"/>
        </w:rPr>
        <w:t> </w:t>
      </w:r>
      <w:r>
        <w:rPr/>
        <w:t>agreed</w:t>
      </w:r>
      <w:r>
        <w:rPr>
          <w:spacing w:val="-19"/>
        </w:rPr>
        <w:t> </w:t>
      </w:r>
      <w:r>
        <w:rPr/>
        <w:t>credit</w:t>
      </w:r>
      <w:r>
        <w:rPr>
          <w:spacing w:val="-19"/>
        </w:rPr>
        <w:t> </w:t>
      </w:r>
      <w:r>
        <w:rPr/>
        <w:t>transfer. The TEPP team maintained its involvement in student events, contributing expertise on pathway</w:t>
      </w:r>
      <w:r>
        <w:rPr>
          <w:spacing w:val="-14"/>
        </w:rPr>
        <w:t> </w:t>
      </w:r>
      <w:r>
        <w:rPr/>
        <w:t>options</w:t>
      </w:r>
      <w:r>
        <w:rPr>
          <w:spacing w:val="-14"/>
        </w:rPr>
        <w:t> </w:t>
      </w:r>
      <w:r>
        <w:rPr/>
        <w:t>for</w:t>
      </w:r>
      <w:r>
        <w:rPr>
          <w:spacing w:val="-14"/>
        </w:rPr>
        <w:t> </w:t>
      </w:r>
      <w:r>
        <w:rPr/>
        <w:t>University</w:t>
      </w:r>
      <w:r>
        <w:rPr>
          <w:spacing w:val="-14"/>
        </w:rPr>
        <w:t> </w:t>
      </w:r>
      <w:r>
        <w:rPr/>
        <w:t>activities</w:t>
      </w:r>
      <w:r>
        <w:rPr>
          <w:spacing w:val="-14"/>
        </w:rPr>
        <w:t> </w:t>
      </w:r>
      <w:r>
        <w:rPr/>
        <w:t>and </w:t>
      </w:r>
      <w:r>
        <w:rPr>
          <w:spacing w:val="1"/>
          <w:w w:val="99"/>
        </w:rPr>
        <w:t>community</w:t>
      </w:r>
      <w:r>
        <w:rPr>
          <w:w w:val="99"/>
        </w:rPr>
        <w:t> </w:t>
      </w:r>
      <w:r>
        <w:rPr>
          <w:spacing w:val="1"/>
          <w:w w:val="97"/>
        </w:rPr>
        <w:t>forums</w:t>
      </w:r>
      <w:r>
        <w:rPr>
          <w:w w:val="97"/>
        </w:rPr>
        <w:t> </w:t>
      </w:r>
      <w:r>
        <w:rPr>
          <w:spacing w:val="1"/>
          <w:w w:val="98"/>
        </w:rPr>
        <w:t>throughout</w:t>
      </w:r>
      <w:r>
        <w:rPr>
          <w:w w:val="98"/>
        </w:rPr>
        <w:t> </w:t>
      </w:r>
      <w:r>
        <w:rPr>
          <w:spacing w:val="1"/>
          <w:w w:val="84"/>
        </w:rPr>
        <w:t>2015.</w:t>
      </w:r>
      <w:r>
        <w:rPr>
          <w:w w:val="84"/>
        </w:rPr>
        <w:t> </w:t>
      </w:r>
      <w:r>
        <w:rPr>
          <w:spacing w:val="1"/>
          <w:w w:val="94"/>
        </w:rPr>
        <w:t>These</w:t>
      </w:r>
      <w:r>
        <w:rPr>
          <w:w w:val="94"/>
        </w:rPr>
        <w:t> </w:t>
      </w:r>
      <w:r>
        <w:rPr/>
        <w:t>included</w:t>
      </w:r>
      <w:r>
        <w:rPr>
          <w:spacing w:val="-17"/>
        </w:rPr>
        <w:t> </w:t>
      </w:r>
      <w:r>
        <w:rPr/>
        <w:t>Western</w:t>
      </w:r>
      <w:r>
        <w:rPr>
          <w:spacing w:val="-17"/>
        </w:rPr>
        <w:t> </w:t>
      </w:r>
      <w:r>
        <w:rPr/>
        <w:t>U</w:t>
      </w:r>
      <w:r>
        <w:rPr>
          <w:spacing w:val="-17"/>
        </w:rPr>
        <w:t> </w:t>
      </w:r>
      <w:r>
        <w:rPr/>
        <w:t>days,</w:t>
      </w:r>
      <w:r>
        <w:rPr>
          <w:spacing w:val="-17"/>
        </w:rPr>
        <w:t> </w:t>
      </w:r>
      <w:r>
        <w:rPr/>
        <w:t>open</w:t>
      </w:r>
      <w:r>
        <w:rPr>
          <w:spacing w:val="-17"/>
        </w:rPr>
        <w:t> </w:t>
      </w:r>
      <w:r>
        <w:rPr/>
        <w:t>days,</w:t>
      </w:r>
      <w:r>
        <w:rPr>
          <w:spacing w:val="-17"/>
        </w:rPr>
        <w:t> </w:t>
      </w:r>
      <w:r>
        <w:rPr/>
        <w:t>partner forums</w:t>
      </w:r>
      <w:r>
        <w:rPr>
          <w:spacing w:val="-17"/>
        </w:rPr>
        <w:t> </w:t>
      </w:r>
      <w:r>
        <w:rPr/>
        <w:t>and</w:t>
      </w:r>
      <w:r>
        <w:rPr>
          <w:spacing w:val="-17"/>
        </w:rPr>
        <w:t> </w:t>
      </w:r>
      <w:r>
        <w:rPr/>
        <w:t>local</w:t>
      </w:r>
      <w:r>
        <w:rPr>
          <w:spacing w:val="-17"/>
        </w:rPr>
        <w:t> </w:t>
      </w:r>
      <w:r>
        <w:rPr/>
        <w:t>government</w:t>
      </w:r>
      <w:r>
        <w:rPr>
          <w:spacing w:val="-17"/>
        </w:rPr>
        <w:t> </w:t>
      </w:r>
      <w:r>
        <w:rPr/>
        <w:t>initiatives</w:t>
      </w:r>
      <w:r>
        <w:rPr>
          <w:spacing w:val="-17"/>
        </w:rPr>
        <w:t> </w:t>
      </w:r>
      <w:r>
        <w:rPr/>
        <w:t>such as</w:t>
      </w:r>
      <w:r>
        <w:rPr>
          <w:spacing w:val="-17"/>
        </w:rPr>
        <w:t> </w:t>
      </w:r>
      <w:r>
        <w:rPr/>
        <w:t>jobs</w:t>
      </w:r>
      <w:r>
        <w:rPr>
          <w:spacing w:val="-17"/>
        </w:rPr>
        <w:t> </w:t>
      </w:r>
      <w:r>
        <w:rPr/>
        <w:t>and</w:t>
      </w:r>
      <w:r>
        <w:rPr>
          <w:spacing w:val="-17"/>
        </w:rPr>
        <w:t> </w:t>
      </w:r>
      <w:r>
        <w:rPr/>
        <w:t>training</w:t>
      </w:r>
      <w:r>
        <w:rPr>
          <w:spacing w:val="-17"/>
        </w:rPr>
        <w:t> </w:t>
      </w:r>
      <w:r>
        <w:rPr/>
        <w:t>expos</w:t>
      </w:r>
      <w:r>
        <w:rPr>
          <w:spacing w:val="-17"/>
        </w:rPr>
        <w:t> </w:t>
      </w:r>
      <w:r>
        <w:rPr/>
        <w:t>held</w:t>
      </w:r>
      <w:r>
        <w:rPr>
          <w:spacing w:val="-17"/>
        </w:rPr>
        <w:t> </w:t>
      </w:r>
      <w:r>
        <w:rPr/>
        <w:t>at</w:t>
      </w:r>
      <w:r>
        <w:rPr>
          <w:spacing w:val="-17"/>
        </w:rPr>
        <w:t> </w:t>
      </w:r>
      <w:r>
        <w:rPr/>
        <w:t>Technical and</w:t>
      </w:r>
      <w:r>
        <w:rPr>
          <w:spacing w:val="-10"/>
        </w:rPr>
        <w:t> </w:t>
      </w:r>
      <w:r>
        <w:rPr/>
        <w:t>Further</w:t>
      </w:r>
      <w:r>
        <w:rPr>
          <w:spacing w:val="-10"/>
        </w:rPr>
        <w:t> </w:t>
      </w:r>
      <w:r>
        <w:rPr/>
        <w:t>Education</w:t>
      </w:r>
      <w:r>
        <w:rPr>
          <w:spacing w:val="-10"/>
        </w:rPr>
        <w:t> </w:t>
      </w:r>
      <w:r>
        <w:rPr/>
        <w:t>(TAFE)</w:t>
      </w:r>
      <w:r>
        <w:rPr>
          <w:spacing w:val="-10"/>
        </w:rPr>
        <w:t> </w:t>
      </w:r>
      <w:r>
        <w:rPr/>
        <w:t>colleges</w:t>
      </w:r>
    </w:p>
    <w:p>
      <w:pPr>
        <w:pStyle w:val="BodyText"/>
        <w:spacing w:line="249" w:lineRule="auto"/>
        <w:ind w:left="107" w:right="197"/>
      </w:pPr>
      <w:r>
        <w:rPr/>
        <w:t>and community centres across Western and</w:t>
      </w:r>
      <w:r>
        <w:rPr>
          <w:spacing w:val="-18"/>
        </w:rPr>
        <w:t> </w:t>
      </w:r>
      <w:r>
        <w:rPr/>
        <w:t>South-Western</w:t>
      </w:r>
      <w:r>
        <w:rPr>
          <w:spacing w:val="-18"/>
        </w:rPr>
        <w:t> </w:t>
      </w:r>
      <w:r>
        <w:rPr/>
        <w:t>Sydney.</w:t>
      </w:r>
      <w:r>
        <w:rPr>
          <w:spacing w:val="-18"/>
        </w:rPr>
        <w:t> </w:t>
      </w:r>
      <w:r>
        <w:rPr/>
        <w:t>TEPP</w:t>
      </w:r>
      <w:r>
        <w:rPr>
          <w:spacing w:val="-18"/>
        </w:rPr>
        <w:t> </w:t>
      </w:r>
      <w:r>
        <w:rPr/>
        <w:t>was</w:t>
      </w:r>
      <w:r>
        <w:rPr>
          <w:spacing w:val="-18"/>
        </w:rPr>
        <w:t> </w:t>
      </w:r>
      <w:r>
        <w:rPr/>
        <w:t>also involved</w:t>
      </w:r>
      <w:r>
        <w:rPr>
          <w:spacing w:val="-14"/>
        </w:rPr>
        <w:t> </w:t>
      </w:r>
      <w:r>
        <w:rPr/>
        <w:t>in</w:t>
      </w:r>
      <w:r>
        <w:rPr>
          <w:spacing w:val="-14"/>
        </w:rPr>
        <w:t> </w:t>
      </w:r>
      <w:r>
        <w:rPr/>
        <w:t>a</w:t>
      </w:r>
      <w:r>
        <w:rPr>
          <w:spacing w:val="-14"/>
        </w:rPr>
        <w:t> </w:t>
      </w:r>
      <w:r>
        <w:rPr/>
        <w:t>Higher</w:t>
      </w:r>
      <w:r>
        <w:rPr>
          <w:spacing w:val="-14"/>
        </w:rPr>
        <w:t> </w:t>
      </w:r>
      <w:r>
        <w:rPr/>
        <w:t>Education</w:t>
      </w:r>
      <w:r>
        <w:rPr>
          <w:spacing w:val="-14"/>
        </w:rPr>
        <w:t> </w:t>
      </w:r>
      <w:r>
        <w:rPr/>
        <w:t>Participation Programme-funded project</w:t>
      </w:r>
      <w:r>
        <w:rPr>
          <w:spacing w:val="-16"/>
        </w:rPr>
        <w:t> </w:t>
      </w:r>
      <w:r>
        <w:rPr/>
        <w:t>throughout</w:t>
      </w:r>
    </w:p>
    <w:p>
      <w:pPr>
        <w:pStyle w:val="BodyText"/>
        <w:spacing w:line="249" w:lineRule="auto"/>
        <w:ind w:left="107" w:right="40"/>
      </w:pPr>
      <w:r>
        <w:rPr>
          <w:spacing w:val="1"/>
          <w:w w:val="84"/>
        </w:rPr>
        <w:t>2015,</w:t>
      </w:r>
      <w:r>
        <w:rPr>
          <w:w w:val="84"/>
        </w:rPr>
        <w:t> </w:t>
      </w:r>
      <w:r>
        <w:rPr>
          <w:w w:val="97"/>
        </w:rPr>
        <w:t>delivering </w:t>
      </w:r>
      <w:r>
        <w:rPr>
          <w:spacing w:val="1"/>
          <w:w w:val="97"/>
        </w:rPr>
        <w:t>presentations</w:t>
      </w:r>
      <w:r>
        <w:rPr>
          <w:w w:val="97"/>
        </w:rPr>
        <w:t> </w:t>
      </w:r>
      <w:r>
        <w:rPr>
          <w:spacing w:val="1"/>
          <w:w w:val="97"/>
        </w:rPr>
        <w:t>and</w:t>
      </w:r>
      <w:r>
        <w:rPr>
          <w:w w:val="97"/>
        </w:rPr>
        <w:t> </w:t>
      </w:r>
      <w:r>
        <w:rPr>
          <w:spacing w:val="1"/>
          <w:w w:val="97"/>
        </w:rPr>
        <w:t>individual</w:t>
      </w:r>
      <w:r>
        <w:rPr>
          <w:w w:val="97"/>
        </w:rPr>
        <w:t> </w:t>
      </w:r>
      <w:r>
        <w:rPr/>
        <w:t>consultations for non-current school leavers on</w:t>
      </w:r>
      <w:r>
        <w:rPr>
          <w:spacing w:val="-15"/>
        </w:rPr>
        <w:t> </w:t>
      </w:r>
      <w:r>
        <w:rPr/>
        <w:t>pathway</w:t>
      </w:r>
      <w:r>
        <w:rPr>
          <w:spacing w:val="-15"/>
        </w:rPr>
        <w:t> </w:t>
      </w:r>
      <w:r>
        <w:rPr/>
        <w:t>and</w:t>
      </w:r>
      <w:r>
        <w:rPr>
          <w:spacing w:val="-15"/>
        </w:rPr>
        <w:t> </w:t>
      </w:r>
      <w:r>
        <w:rPr/>
        <w:t>career</w:t>
      </w:r>
      <w:r>
        <w:rPr>
          <w:spacing w:val="-15"/>
        </w:rPr>
        <w:t> </w:t>
      </w:r>
      <w:r>
        <w:rPr/>
        <w:t>options</w:t>
      </w:r>
      <w:r>
        <w:rPr>
          <w:spacing w:val="-15"/>
        </w:rPr>
        <w:t> </w:t>
      </w:r>
      <w:r>
        <w:rPr/>
        <w:t>at</w:t>
      </w:r>
      <w:r>
        <w:rPr>
          <w:spacing w:val="-15"/>
        </w:rPr>
        <w:t> </w:t>
      </w:r>
      <w:r>
        <w:rPr/>
        <w:t>The</w:t>
      </w:r>
      <w:r>
        <w:rPr>
          <w:spacing w:val="-15"/>
        </w:rPr>
        <w:t> </w:t>
      </w:r>
      <w:r>
        <w:rPr/>
        <w:t>College on</w:t>
      </w:r>
      <w:r>
        <w:rPr>
          <w:spacing w:val="-20"/>
        </w:rPr>
        <w:t> </w:t>
      </w:r>
      <w:r>
        <w:rPr/>
        <w:t>the</w:t>
      </w:r>
      <w:r>
        <w:rPr>
          <w:spacing w:val="-20"/>
        </w:rPr>
        <w:t> </w:t>
      </w:r>
      <w:r>
        <w:rPr/>
        <w:t>Lithgow</w:t>
      </w:r>
      <w:r>
        <w:rPr>
          <w:spacing w:val="-20"/>
        </w:rPr>
        <w:t> </w:t>
      </w:r>
      <w:r>
        <w:rPr>
          <w:spacing w:val="2"/>
        </w:rPr>
        <w:t>campus.</w:t>
      </w:r>
    </w:p>
    <w:p>
      <w:pPr>
        <w:pStyle w:val="BodyText"/>
        <w:rPr>
          <w:sz w:val="14"/>
        </w:rPr>
      </w:pPr>
    </w:p>
    <w:p>
      <w:pPr>
        <w:pStyle w:val="BodyText"/>
        <w:spacing w:line="249" w:lineRule="auto"/>
        <w:ind w:left="107"/>
      </w:pPr>
      <w:r>
        <w:rPr/>
        <w:t>The</w:t>
      </w:r>
      <w:r>
        <w:rPr>
          <w:spacing w:val="-28"/>
        </w:rPr>
        <w:t> </w:t>
      </w:r>
      <w:r>
        <w:rPr/>
        <w:t>integrated</w:t>
      </w:r>
      <w:r>
        <w:rPr>
          <w:spacing w:val="-28"/>
        </w:rPr>
        <w:t> </w:t>
      </w:r>
      <w:r>
        <w:rPr/>
        <w:t>pathway</w:t>
      </w:r>
      <w:r>
        <w:rPr>
          <w:spacing w:val="-28"/>
        </w:rPr>
        <w:t> </w:t>
      </w:r>
      <w:r>
        <w:rPr/>
        <w:t>program</w:t>
      </w:r>
      <w:r>
        <w:rPr>
          <w:spacing w:val="-28"/>
        </w:rPr>
        <w:t> </w:t>
      </w:r>
      <w:r>
        <w:rPr/>
        <w:t>Diploma</w:t>
      </w:r>
      <w:r>
        <w:rPr>
          <w:spacing w:val="-28"/>
        </w:rPr>
        <w:t> </w:t>
      </w:r>
      <w:r>
        <w:rPr/>
        <w:t>Plus continued collaborating with </w:t>
      </w:r>
      <w:r>
        <w:rPr>
          <w:spacing w:val="-3"/>
        </w:rPr>
        <w:t>TAFE </w:t>
      </w:r>
      <w:r>
        <w:rPr/>
        <w:t>Western Sydney Institute (WSI) and </w:t>
      </w:r>
      <w:r>
        <w:rPr>
          <w:spacing w:val="-3"/>
        </w:rPr>
        <w:t>TAFE </w:t>
      </w:r>
      <w:r>
        <w:rPr/>
        <w:t>South- Western</w:t>
      </w:r>
      <w:r>
        <w:rPr>
          <w:spacing w:val="-25"/>
        </w:rPr>
        <w:t> </w:t>
      </w:r>
      <w:r>
        <w:rPr/>
        <w:t>Sydney</w:t>
      </w:r>
      <w:r>
        <w:rPr>
          <w:spacing w:val="-25"/>
        </w:rPr>
        <w:t> </w:t>
      </w:r>
      <w:r>
        <w:rPr/>
        <w:t>Institute</w:t>
      </w:r>
      <w:r>
        <w:rPr>
          <w:spacing w:val="-25"/>
        </w:rPr>
        <w:t> </w:t>
      </w:r>
      <w:r>
        <w:rPr/>
        <w:t>(SWSi)</w:t>
      </w:r>
      <w:r>
        <w:rPr>
          <w:spacing w:val="-25"/>
        </w:rPr>
        <w:t> </w:t>
      </w:r>
      <w:r>
        <w:rPr/>
        <w:t>on</w:t>
      </w:r>
      <w:r>
        <w:rPr>
          <w:spacing w:val="-25"/>
        </w:rPr>
        <w:t> </w:t>
      </w:r>
      <w:r>
        <w:rPr/>
        <w:t>a</w:t>
      </w:r>
      <w:r>
        <w:rPr>
          <w:spacing w:val="-25"/>
        </w:rPr>
        <w:t> </w:t>
      </w:r>
      <w:r>
        <w:rPr/>
        <w:t>second </w:t>
      </w:r>
      <w:r>
        <w:rPr>
          <w:spacing w:val="-1"/>
          <w:w w:val="99"/>
        </w:rPr>
        <w:t>pilot</w:t>
      </w:r>
      <w:r>
        <w:rPr>
          <w:spacing w:val="-11"/>
          <w:w w:val="99"/>
        </w:rPr>
        <w:t> </w:t>
      </w:r>
      <w:r>
        <w:rPr>
          <w:spacing w:val="-1"/>
          <w:w w:val="98"/>
        </w:rPr>
        <w:t>program</w:t>
      </w:r>
      <w:r>
        <w:rPr>
          <w:spacing w:val="-11"/>
          <w:w w:val="98"/>
        </w:rPr>
        <w:t> </w:t>
      </w:r>
      <w:r>
        <w:rPr>
          <w:spacing w:val="-1"/>
          <w:w w:val="95"/>
        </w:rPr>
        <w:t>in</w:t>
      </w:r>
      <w:r>
        <w:rPr>
          <w:spacing w:val="-9"/>
          <w:w w:val="95"/>
        </w:rPr>
        <w:t> </w:t>
      </w:r>
      <w:r>
        <w:rPr>
          <w:w w:val="84"/>
        </w:rPr>
        <w:t>2015.</w:t>
      </w:r>
      <w:r>
        <w:rPr>
          <w:spacing w:val="-4"/>
          <w:w w:val="84"/>
        </w:rPr>
        <w:t> </w:t>
      </w:r>
      <w:r>
        <w:rPr>
          <w:w w:val="97"/>
        </w:rPr>
        <w:t>Because</w:t>
      </w:r>
      <w:r>
        <w:rPr>
          <w:spacing w:val="-10"/>
          <w:w w:val="97"/>
        </w:rPr>
        <w:t> </w:t>
      </w:r>
      <w:r>
        <w:rPr>
          <w:spacing w:val="-1"/>
          <w:w w:val="99"/>
        </w:rPr>
        <w:t>of</w:t>
      </w:r>
      <w:r>
        <w:rPr>
          <w:spacing w:val="-11"/>
          <w:w w:val="99"/>
        </w:rPr>
        <w:t> </w:t>
      </w:r>
      <w:r>
        <w:rPr>
          <w:spacing w:val="-1"/>
          <w:w w:val="97"/>
        </w:rPr>
        <w:t>this</w:t>
      </w:r>
      <w:r>
        <w:rPr>
          <w:spacing w:val="-10"/>
          <w:w w:val="97"/>
        </w:rPr>
        <w:t> </w:t>
      </w:r>
      <w:r>
        <w:rPr>
          <w:w w:val="94"/>
        </w:rPr>
        <w:t>program, </w:t>
      </w:r>
      <w:r>
        <w:rPr/>
        <w:t>33 students will receive a direct offer and credit</w:t>
      </w:r>
      <w:r>
        <w:rPr>
          <w:spacing w:val="-27"/>
        </w:rPr>
        <w:t> </w:t>
      </w:r>
      <w:r>
        <w:rPr/>
        <w:t>transfer</w:t>
      </w:r>
      <w:r>
        <w:rPr>
          <w:spacing w:val="-27"/>
        </w:rPr>
        <w:t> </w:t>
      </w:r>
      <w:r>
        <w:rPr/>
        <w:t>to</w:t>
      </w:r>
      <w:r>
        <w:rPr>
          <w:spacing w:val="-27"/>
        </w:rPr>
        <w:t> </w:t>
      </w:r>
      <w:r>
        <w:rPr/>
        <w:t>one</w:t>
      </w:r>
      <w:r>
        <w:rPr>
          <w:spacing w:val="-27"/>
        </w:rPr>
        <w:t> </w:t>
      </w:r>
      <w:r>
        <w:rPr/>
        <w:t>of</w:t>
      </w:r>
      <w:r>
        <w:rPr>
          <w:spacing w:val="-27"/>
        </w:rPr>
        <w:t> </w:t>
      </w:r>
      <w:r>
        <w:rPr/>
        <w:t>three</w:t>
      </w:r>
      <w:r>
        <w:rPr>
          <w:spacing w:val="-27"/>
        </w:rPr>
        <w:t> </w:t>
      </w:r>
      <w:r>
        <w:rPr/>
        <w:t>Western</w:t>
      </w:r>
      <w:r>
        <w:rPr>
          <w:spacing w:val="-27"/>
        </w:rPr>
        <w:t> </w:t>
      </w:r>
      <w:r>
        <w:rPr/>
        <w:t>Sydney</w:t>
      </w:r>
    </w:p>
    <w:p>
      <w:pPr>
        <w:pStyle w:val="BodyText"/>
        <w:spacing w:before="9"/>
      </w:pPr>
      <w:r>
        <w:rPr/>
        <w:br w:type="column"/>
      </w:r>
      <w:r>
        <w:rPr/>
      </w:r>
    </w:p>
    <w:p>
      <w:pPr>
        <w:pStyle w:val="BodyText"/>
        <w:spacing w:line="249" w:lineRule="auto" w:before="1"/>
        <w:ind w:left="107" w:right="5"/>
      </w:pPr>
      <w:r>
        <w:rPr>
          <w:spacing w:val="-1"/>
          <w:w w:val="97"/>
        </w:rPr>
        <w:t>University</w:t>
      </w:r>
      <w:r>
        <w:rPr>
          <w:w w:val="97"/>
        </w:rPr>
        <w:t> </w:t>
      </w:r>
      <w:r>
        <w:rPr>
          <w:w w:val="97"/>
        </w:rPr>
        <w:t>degrees </w:t>
      </w:r>
      <w:r>
        <w:rPr>
          <w:spacing w:val="-1"/>
          <w:w w:val="98"/>
        </w:rPr>
        <w:t>for</w:t>
      </w:r>
      <w:r>
        <w:rPr>
          <w:w w:val="98"/>
        </w:rPr>
        <w:t> </w:t>
      </w:r>
      <w:r>
        <w:rPr>
          <w:w w:val="85"/>
        </w:rPr>
        <w:t>2016. </w:t>
      </w:r>
      <w:r>
        <w:rPr>
          <w:w w:val="94"/>
        </w:rPr>
        <w:t>The </w:t>
      </w:r>
      <w:r>
        <w:rPr>
          <w:spacing w:val="-1"/>
          <w:w w:val="98"/>
        </w:rPr>
        <w:t>‘Growing</w:t>
      </w:r>
      <w:r>
        <w:rPr>
          <w:w w:val="98"/>
        </w:rPr>
        <w:t> </w:t>
      </w:r>
      <w:r>
        <w:rPr/>
        <w:t>Agriculture’ Exceptional Merit Pathway (EMP) </w:t>
      </w:r>
      <w:r>
        <w:rPr>
          <w:w w:val="96"/>
        </w:rPr>
        <w:t>was</w:t>
      </w:r>
      <w:r>
        <w:rPr>
          <w:spacing w:val="-13"/>
          <w:w w:val="96"/>
        </w:rPr>
        <w:t> </w:t>
      </w:r>
      <w:r>
        <w:rPr>
          <w:w w:val="97"/>
        </w:rPr>
        <w:t>launched</w:t>
      </w:r>
      <w:r>
        <w:rPr>
          <w:spacing w:val="-13"/>
          <w:w w:val="97"/>
        </w:rPr>
        <w:t> </w:t>
      </w:r>
      <w:r>
        <w:rPr>
          <w:spacing w:val="-1"/>
          <w:w w:val="95"/>
        </w:rPr>
        <w:t>in</w:t>
      </w:r>
      <w:r>
        <w:rPr>
          <w:spacing w:val="-12"/>
          <w:w w:val="95"/>
        </w:rPr>
        <w:t> </w:t>
      </w:r>
      <w:r>
        <w:rPr>
          <w:w w:val="88"/>
        </w:rPr>
        <w:t>2015</w:t>
      </w:r>
      <w:r>
        <w:rPr>
          <w:spacing w:val="-9"/>
          <w:w w:val="88"/>
        </w:rPr>
        <w:t> </w:t>
      </w:r>
      <w:r>
        <w:rPr>
          <w:spacing w:val="-1"/>
          <w:w w:val="98"/>
        </w:rPr>
        <w:t>with</w:t>
      </w:r>
      <w:r>
        <w:rPr>
          <w:spacing w:val="-14"/>
          <w:w w:val="98"/>
        </w:rPr>
        <w:t> </w:t>
      </w:r>
      <w:r>
        <w:rPr>
          <w:spacing w:val="-1"/>
          <w:w w:val="96"/>
        </w:rPr>
        <w:t>six</w:t>
      </w:r>
      <w:r>
        <w:rPr>
          <w:spacing w:val="-13"/>
          <w:w w:val="96"/>
        </w:rPr>
        <w:t> </w:t>
      </w:r>
      <w:r>
        <w:rPr>
          <w:w w:val="97"/>
        </w:rPr>
        <w:t>local</w:t>
      </w:r>
      <w:r>
        <w:rPr>
          <w:spacing w:val="-13"/>
          <w:w w:val="97"/>
        </w:rPr>
        <w:t> </w:t>
      </w:r>
      <w:r>
        <w:rPr>
          <w:spacing w:val="-1"/>
          <w:w w:val="97"/>
        </w:rPr>
        <w:t>high</w:t>
      </w:r>
      <w:r>
        <w:rPr>
          <w:spacing w:val="-13"/>
          <w:w w:val="97"/>
        </w:rPr>
        <w:t> </w:t>
      </w:r>
      <w:r>
        <w:rPr>
          <w:w w:val="97"/>
        </w:rPr>
        <w:t>schools </w:t>
      </w:r>
      <w:r>
        <w:rPr/>
        <w:t>participating in the pilot. This pathway is offered</w:t>
      </w:r>
      <w:r>
        <w:rPr>
          <w:spacing w:val="-32"/>
        </w:rPr>
        <w:t> </w:t>
      </w:r>
      <w:r>
        <w:rPr/>
        <w:t>to</w:t>
      </w:r>
      <w:r>
        <w:rPr>
          <w:spacing w:val="-32"/>
        </w:rPr>
        <w:t> </w:t>
      </w:r>
      <w:r>
        <w:rPr>
          <w:spacing w:val="-3"/>
        </w:rPr>
        <w:t>Year</w:t>
      </w:r>
      <w:r>
        <w:rPr>
          <w:spacing w:val="-32"/>
        </w:rPr>
        <w:t> </w:t>
      </w:r>
      <w:r>
        <w:rPr/>
        <w:t>12</w:t>
      </w:r>
      <w:r>
        <w:rPr>
          <w:spacing w:val="-32"/>
        </w:rPr>
        <w:t> </w:t>
      </w:r>
      <w:r>
        <w:rPr/>
        <w:t>students</w:t>
      </w:r>
      <w:r>
        <w:rPr>
          <w:spacing w:val="-32"/>
        </w:rPr>
        <w:t> </w:t>
      </w:r>
      <w:r>
        <w:rPr/>
        <w:t>studying</w:t>
      </w:r>
      <w:r>
        <w:rPr>
          <w:spacing w:val="-32"/>
        </w:rPr>
        <w:t> </w:t>
      </w:r>
      <w:r>
        <w:rPr/>
        <w:t>agriculture in</w:t>
      </w:r>
      <w:r>
        <w:rPr>
          <w:spacing w:val="-27"/>
        </w:rPr>
        <w:t> </w:t>
      </w:r>
      <w:r>
        <w:rPr/>
        <w:t>their</w:t>
      </w:r>
      <w:r>
        <w:rPr>
          <w:spacing w:val="-27"/>
        </w:rPr>
        <w:t> </w:t>
      </w:r>
      <w:r>
        <w:rPr/>
        <w:t>Higher</w:t>
      </w:r>
      <w:r>
        <w:rPr>
          <w:spacing w:val="-27"/>
        </w:rPr>
        <w:t> </w:t>
      </w:r>
      <w:r>
        <w:rPr/>
        <w:t>School</w:t>
      </w:r>
      <w:r>
        <w:rPr>
          <w:spacing w:val="-27"/>
        </w:rPr>
        <w:t> </w:t>
      </w:r>
      <w:r>
        <w:rPr/>
        <w:t>Certificate</w:t>
      </w:r>
      <w:r>
        <w:rPr>
          <w:spacing w:val="-27"/>
        </w:rPr>
        <w:t> </w:t>
      </w:r>
      <w:r>
        <w:rPr/>
        <w:t>and</w:t>
      </w:r>
      <w:r>
        <w:rPr>
          <w:spacing w:val="-27"/>
        </w:rPr>
        <w:t> </w:t>
      </w:r>
      <w:r>
        <w:rPr/>
        <w:t>integrates a university learning experience using vUWS modules</w:t>
      </w:r>
      <w:r>
        <w:rPr>
          <w:spacing w:val="-26"/>
        </w:rPr>
        <w:t> </w:t>
      </w:r>
      <w:r>
        <w:rPr/>
        <w:t>and</w:t>
      </w:r>
      <w:r>
        <w:rPr>
          <w:spacing w:val="-26"/>
        </w:rPr>
        <w:t> </w:t>
      </w:r>
      <w:r>
        <w:rPr/>
        <w:t>on-campus</w:t>
      </w:r>
      <w:r>
        <w:rPr>
          <w:spacing w:val="-26"/>
        </w:rPr>
        <w:t> </w:t>
      </w:r>
      <w:r>
        <w:rPr/>
        <w:t>workshops.</w:t>
      </w:r>
      <w:r>
        <w:rPr>
          <w:spacing w:val="-26"/>
        </w:rPr>
        <w:t> </w:t>
      </w:r>
      <w:r>
        <w:rPr/>
        <w:t>Students successfully</w:t>
      </w:r>
      <w:r>
        <w:rPr>
          <w:spacing w:val="-23"/>
        </w:rPr>
        <w:t> </w:t>
      </w:r>
      <w:r>
        <w:rPr/>
        <w:t>completing</w:t>
      </w:r>
      <w:r>
        <w:rPr>
          <w:spacing w:val="-23"/>
        </w:rPr>
        <w:t> </w:t>
      </w:r>
      <w:r>
        <w:rPr/>
        <w:t>the</w:t>
      </w:r>
      <w:r>
        <w:rPr>
          <w:spacing w:val="-23"/>
        </w:rPr>
        <w:t> </w:t>
      </w:r>
      <w:r>
        <w:rPr/>
        <w:t>EMP</w:t>
      </w:r>
      <w:r>
        <w:rPr>
          <w:spacing w:val="-23"/>
        </w:rPr>
        <w:t> </w:t>
      </w:r>
      <w:r>
        <w:rPr/>
        <w:t>will</w:t>
      </w:r>
      <w:r>
        <w:rPr>
          <w:spacing w:val="-23"/>
        </w:rPr>
        <w:t> </w:t>
      </w:r>
      <w:r>
        <w:rPr/>
        <w:t>receive</w:t>
      </w:r>
      <w:r>
        <w:rPr>
          <w:spacing w:val="-23"/>
        </w:rPr>
        <w:t> </w:t>
      </w:r>
      <w:r>
        <w:rPr/>
        <w:t>a conditional</w:t>
      </w:r>
      <w:r>
        <w:rPr>
          <w:spacing w:val="-25"/>
        </w:rPr>
        <w:t> </w:t>
      </w:r>
      <w:r>
        <w:rPr/>
        <w:t>offer</w:t>
      </w:r>
      <w:r>
        <w:rPr>
          <w:spacing w:val="-25"/>
        </w:rPr>
        <w:t> </w:t>
      </w:r>
      <w:r>
        <w:rPr/>
        <w:t>to</w:t>
      </w:r>
      <w:r>
        <w:rPr>
          <w:spacing w:val="-25"/>
        </w:rPr>
        <w:t> </w:t>
      </w:r>
      <w:r>
        <w:rPr/>
        <w:t>the</w:t>
      </w:r>
      <w:r>
        <w:rPr>
          <w:spacing w:val="-25"/>
        </w:rPr>
        <w:t> </w:t>
      </w:r>
      <w:r>
        <w:rPr/>
        <w:t>Bachelor</w:t>
      </w:r>
      <w:r>
        <w:rPr>
          <w:spacing w:val="-25"/>
        </w:rPr>
        <w:t> </w:t>
      </w:r>
      <w:r>
        <w:rPr/>
        <w:t>of</w:t>
      </w:r>
      <w:r>
        <w:rPr>
          <w:spacing w:val="-25"/>
        </w:rPr>
        <w:t> </w:t>
      </w:r>
      <w:r>
        <w:rPr/>
        <w:t>Sustainable Agriculture and Food Security degree for </w:t>
      </w:r>
      <w:r>
        <w:rPr>
          <w:spacing w:val="-1"/>
          <w:w w:val="97"/>
        </w:rPr>
        <w:t>enrolment</w:t>
      </w:r>
      <w:r>
        <w:rPr>
          <w:w w:val="97"/>
        </w:rPr>
        <w:t> </w:t>
      </w:r>
      <w:r>
        <w:rPr>
          <w:spacing w:val="-1"/>
          <w:w w:val="95"/>
        </w:rPr>
        <w:t>in</w:t>
      </w:r>
      <w:r>
        <w:rPr>
          <w:spacing w:val="-14"/>
          <w:w w:val="95"/>
        </w:rPr>
        <w:t> </w:t>
      </w:r>
      <w:r>
        <w:rPr>
          <w:spacing w:val="-3"/>
          <w:w w:val="83"/>
        </w:rPr>
        <w:t>2017.</w:t>
      </w:r>
    </w:p>
    <w:p>
      <w:pPr>
        <w:pStyle w:val="BodyText"/>
        <w:rPr>
          <w:sz w:val="14"/>
        </w:rPr>
      </w:pPr>
    </w:p>
    <w:p>
      <w:pPr>
        <w:pStyle w:val="BodyText"/>
        <w:spacing w:line="249" w:lineRule="auto"/>
        <w:ind w:left="107" w:right="5"/>
      </w:pPr>
      <w:r>
        <w:rPr>
          <w:spacing w:val="1"/>
          <w:w w:val="80"/>
        </w:rPr>
        <w:t>In</w:t>
      </w:r>
      <w:r>
        <w:rPr>
          <w:w w:val="80"/>
        </w:rPr>
        <w:t> </w:t>
      </w:r>
      <w:r>
        <w:rPr>
          <w:spacing w:val="1"/>
          <w:w w:val="100"/>
        </w:rPr>
        <w:t>July</w:t>
      </w:r>
      <w:r>
        <w:rPr>
          <w:w w:val="100"/>
        </w:rPr>
        <w:t> </w:t>
      </w:r>
      <w:r>
        <w:rPr>
          <w:spacing w:val="1"/>
          <w:w w:val="84"/>
        </w:rPr>
        <w:t>2015,</w:t>
      </w:r>
      <w:r>
        <w:rPr>
          <w:w w:val="84"/>
        </w:rPr>
        <w:t> </w:t>
      </w:r>
      <w:r>
        <w:rPr>
          <w:w w:val="97"/>
        </w:rPr>
        <w:t>the </w:t>
      </w:r>
      <w:r>
        <w:rPr>
          <w:w w:val="95"/>
        </w:rPr>
        <w:t>University, </w:t>
      </w:r>
      <w:r>
        <w:rPr>
          <w:w w:val="95"/>
        </w:rPr>
        <w:t>in </w:t>
      </w:r>
      <w:r>
        <w:rPr>
          <w:spacing w:val="1"/>
          <w:w w:val="96"/>
        </w:rPr>
        <w:t>conjunction</w:t>
      </w:r>
      <w:r>
        <w:rPr>
          <w:w w:val="96"/>
        </w:rPr>
        <w:t>  </w:t>
      </w:r>
      <w:r>
        <w:rPr/>
        <w:t>with WSI and SWSi, co-hosted the National Centre for Vocational Education Research (NCVER)</w:t>
      </w:r>
      <w:r>
        <w:rPr>
          <w:spacing w:val="-14"/>
        </w:rPr>
        <w:t> </w:t>
      </w:r>
      <w:r>
        <w:rPr/>
        <w:t>annual</w:t>
      </w:r>
      <w:r>
        <w:rPr>
          <w:spacing w:val="-14"/>
        </w:rPr>
        <w:t> </w:t>
      </w:r>
      <w:r>
        <w:rPr>
          <w:spacing w:val="2"/>
        </w:rPr>
        <w:t>‘No</w:t>
      </w:r>
      <w:r>
        <w:rPr>
          <w:spacing w:val="-14"/>
        </w:rPr>
        <w:t> </w:t>
      </w:r>
      <w:r>
        <w:rPr/>
        <w:t>Frills’</w:t>
      </w:r>
      <w:r>
        <w:rPr>
          <w:spacing w:val="-14"/>
        </w:rPr>
        <w:t> </w:t>
      </w:r>
      <w:r>
        <w:rPr/>
        <w:t>conference</w:t>
      </w:r>
      <w:r>
        <w:rPr>
          <w:spacing w:val="-14"/>
        </w:rPr>
        <w:t> </w:t>
      </w:r>
      <w:r>
        <w:rPr/>
        <w:t>with</w:t>
      </w:r>
      <w:r>
        <w:rPr>
          <w:spacing w:val="-14"/>
        </w:rPr>
        <w:t> </w:t>
      </w:r>
      <w:r>
        <w:rPr/>
        <w:t>the theme</w:t>
      </w:r>
      <w:r>
        <w:rPr>
          <w:spacing w:val="-22"/>
        </w:rPr>
        <w:t> </w:t>
      </w:r>
      <w:r>
        <w:rPr/>
        <w:t>‘Youth,</w:t>
      </w:r>
      <w:r>
        <w:rPr>
          <w:spacing w:val="-22"/>
        </w:rPr>
        <w:t> </w:t>
      </w:r>
      <w:r>
        <w:rPr/>
        <w:t>Pathways,</w:t>
      </w:r>
      <w:r>
        <w:rPr>
          <w:spacing w:val="-22"/>
        </w:rPr>
        <w:t> </w:t>
      </w:r>
      <w:r>
        <w:rPr/>
        <w:t>Skills’.</w:t>
      </w:r>
      <w:r>
        <w:rPr>
          <w:spacing w:val="-22"/>
        </w:rPr>
        <w:t> </w:t>
      </w:r>
      <w:r>
        <w:rPr/>
        <w:t>More</w:t>
      </w:r>
      <w:r>
        <w:rPr>
          <w:spacing w:val="-22"/>
        </w:rPr>
        <w:t> </w:t>
      </w:r>
      <w:r>
        <w:rPr/>
        <w:t>than</w:t>
      </w:r>
      <w:r>
        <w:rPr>
          <w:spacing w:val="-22"/>
        </w:rPr>
        <w:t> </w:t>
      </w:r>
      <w:r>
        <w:rPr>
          <w:spacing w:val="2"/>
        </w:rPr>
        <w:t>300 </w:t>
      </w:r>
      <w:r>
        <w:rPr/>
        <w:t>national and international delegates attended Parramatta</w:t>
      </w:r>
      <w:r>
        <w:rPr>
          <w:spacing w:val="-16"/>
        </w:rPr>
        <w:t> </w:t>
      </w:r>
      <w:r>
        <w:rPr/>
        <w:t>South</w:t>
      </w:r>
      <w:r>
        <w:rPr>
          <w:spacing w:val="-16"/>
        </w:rPr>
        <w:t> </w:t>
      </w:r>
      <w:r>
        <w:rPr/>
        <w:t>campus</w:t>
      </w:r>
      <w:r>
        <w:rPr>
          <w:spacing w:val="-16"/>
        </w:rPr>
        <w:t> </w:t>
      </w:r>
      <w:r>
        <w:rPr/>
        <w:t>for</w:t>
      </w:r>
      <w:r>
        <w:rPr>
          <w:spacing w:val="-16"/>
        </w:rPr>
        <w:t> </w:t>
      </w:r>
      <w:r>
        <w:rPr/>
        <w:t>this</w:t>
      </w:r>
      <w:r>
        <w:rPr>
          <w:spacing w:val="-16"/>
        </w:rPr>
        <w:t> </w:t>
      </w:r>
      <w:r>
        <w:rPr/>
        <w:t>event,</w:t>
      </w:r>
      <w:r>
        <w:rPr>
          <w:spacing w:val="-16"/>
        </w:rPr>
        <w:t> </w:t>
      </w:r>
      <w:r>
        <w:rPr/>
        <w:t>with highlights</w:t>
      </w:r>
      <w:r>
        <w:rPr>
          <w:spacing w:val="-18"/>
        </w:rPr>
        <w:t> </w:t>
      </w:r>
      <w:r>
        <w:rPr/>
        <w:t>including</w:t>
      </w:r>
      <w:r>
        <w:rPr>
          <w:spacing w:val="-18"/>
        </w:rPr>
        <w:t> </w:t>
      </w:r>
      <w:r>
        <w:rPr/>
        <w:t>an</w:t>
      </w:r>
      <w:r>
        <w:rPr>
          <w:spacing w:val="-18"/>
        </w:rPr>
        <w:t> </w:t>
      </w:r>
      <w:r>
        <w:rPr>
          <w:spacing w:val="2"/>
        </w:rPr>
        <w:t>on-campus</w:t>
      </w:r>
      <w:r>
        <w:rPr>
          <w:spacing w:val="-18"/>
        </w:rPr>
        <w:t> </w:t>
      </w:r>
      <w:r>
        <w:rPr/>
        <w:t>conference dinner in the Janice Reid Pavilion. Now Minister for Education and Training, Senator the </w:t>
      </w:r>
      <w:r>
        <w:rPr>
          <w:spacing w:val="2"/>
        </w:rPr>
        <w:t>Hon. </w:t>
      </w:r>
      <w:r>
        <w:rPr/>
        <w:t>Simon Birmingham, delivered a keynote address on the first morning of the conference, and Chancellor Professor Peter Shergold, AC and Vice-Chancellor Professor Barney</w:t>
      </w:r>
      <w:r>
        <w:rPr>
          <w:spacing w:val="-17"/>
        </w:rPr>
        <w:t> </w:t>
      </w:r>
      <w:r>
        <w:rPr/>
        <w:t>Glover</w:t>
      </w:r>
      <w:r>
        <w:rPr>
          <w:spacing w:val="-17"/>
        </w:rPr>
        <w:t> </w:t>
      </w:r>
      <w:r>
        <w:rPr/>
        <w:t>also</w:t>
      </w:r>
      <w:r>
        <w:rPr>
          <w:spacing w:val="-17"/>
        </w:rPr>
        <w:t> </w:t>
      </w:r>
      <w:r>
        <w:rPr/>
        <w:t>addressed</w:t>
      </w:r>
      <w:r>
        <w:rPr>
          <w:spacing w:val="-17"/>
        </w:rPr>
        <w:t> </w:t>
      </w:r>
      <w:r>
        <w:rPr/>
        <w:t>delegates.</w:t>
      </w:r>
    </w:p>
    <w:p>
      <w:pPr>
        <w:pStyle w:val="BodyText"/>
        <w:rPr>
          <w:sz w:val="14"/>
        </w:rPr>
      </w:pPr>
    </w:p>
    <w:p>
      <w:pPr>
        <w:pStyle w:val="BodyText"/>
        <w:spacing w:line="249" w:lineRule="auto"/>
        <w:ind w:left="107"/>
      </w:pPr>
      <w:r>
        <w:rPr>
          <w:spacing w:val="1"/>
          <w:w w:val="80"/>
        </w:rPr>
        <w:t>In</w:t>
      </w:r>
      <w:r>
        <w:rPr>
          <w:w w:val="80"/>
        </w:rPr>
        <w:t> </w:t>
      </w:r>
      <w:r>
        <w:rPr>
          <w:spacing w:val="1"/>
          <w:w w:val="98"/>
        </w:rPr>
        <w:t>September</w:t>
      </w:r>
      <w:r>
        <w:rPr>
          <w:w w:val="98"/>
        </w:rPr>
        <w:t> </w:t>
      </w:r>
      <w:r>
        <w:rPr>
          <w:spacing w:val="1"/>
          <w:w w:val="84"/>
        </w:rPr>
        <w:t>2015,</w:t>
      </w:r>
      <w:r>
        <w:rPr>
          <w:w w:val="84"/>
        </w:rPr>
        <w:t> </w:t>
      </w:r>
      <w:r>
        <w:rPr>
          <w:w w:val="97"/>
        </w:rPr>
        <w:t>the </w:t>
      </w:r>
      <w:r>
        <w:rPr>
          <w:spacing w:val="1"/>
          <w:w w:val="97"/>
        </w:rPr>
        <w:t>first</w:t>
      </w:r>
      <w:r>
        <w:rPr>
          <w:w w:val="97"/>
        </w:rPr>
        <w:t> </w:t>
      </w:r>
      <w:r>
        <w:rPr>
          <w:w w:val="98"/>
        </w:rPr>
        <w:t>Private </w:t>
      </w:r>
      <w:r>
        <w:rPr>
          <w:w w:val="98"/>
        </w:rPr>
        <w:t>Providers </w:t>
      </w:r>
      <w:r>
        <w:rPr/>
        <w:t>forum</w:t>
      </w:r>
      <w:r>
        <w:rPr>
          <w:spacing w:val="-15"/>
        </w:rPr>
        <w:t> </w:t>
      </w:r>
      <w:r>
        <w:rPr/>
        <w:t>was</w:t>
      </w:r>
      <w:r>
        <w:rPr>
          <w:spacing w:val="-15"/>
        </w:rPr>
        <w:t> </w:t>
      </w:r>
      <w:r>
        <w:rPr/>
        <w:t>held</w:t>
      </w:r>
      <w:r>
        <w:rPr>
          <w:spacing w:val="-15"/>
        </w:rPr>
        <w:t> </w:t>
      </w:r>
      <w:r>
        <w:rPr/>
        <w:t>at</w:t>
      </w:r>
      <w:r>
        <w:rPr>
          <w:spacing w:val="-15"/>
        </w:rPr>
        <w:t> </w:t>
      </w:r>
      <w:r>
        <w:rPr/>
        <w:t>the</w:t>
      </w:r>
      <w:r>
        <w:rPr>
          <w:spacing w:val="-15"/>
        </w:rPr>
        <w:t> </w:t>
      </w:r>
      <w:r>
        <w:rPr/>
        <w:t>Bankstown</w:t>
      </w:r>
      <w:r>
        <w:rPr>
          <w:spacing w:val="-15"/>
        </w:rPr>
        <w:t> </w:t>
      </w:r>
      <w:r>
        <w:rPr/>
        <w:t>campus</w:t>
      </w:r>
      <w:r>
        <w:rPr>
          <w:spacing w:val="-15"/>
        </w:rPr>
        <w:t> </w:t>
      </w:r>
      <w:r>
        <w:rPr/>
        <w:t>and all</w:t>
      </w:r>
      <w:r>
        <w:rPr>
          <w:spacing w:val="-21"/>
        </w:rPr>
        <w:t> </w:t>
      </w:r>
      <w:r>
        <w:rPr/>
        <w:t>current</w:t>
      </w:r>
      <w:r>
        <w:rPr>
          <w:spacing w:val="-21"/>
        </w:rPr>
        <w:t> </w:t>
      </w:r>
      <w:r>
        <w:rPr>
          <w:spacing w:val="2"/>
        </w:rPr>
        <w:t>VET</w:t>
      </w:r>
      <w:r>
        <w:rPr>
          <w:spacing w:val="-21"/>
        </w:rPr>
        <w:t> </w:t>
      </w:r>
      <w:r>
        <w:rPr/>
        <w:t>partners</w:t>
      </w:r>
      <w:r>
        <w:rPr>
          <w:spacing w:val="-21"/>
        </w:rPr>
        <w:t> </w:t>
      </w:r>
      <w:r>
        <w:rPr/>
        <w:t>were</w:t>
      </w:r>
      <w:r>
        <w:rPr>
          <w:spacing w:val="-21"/>
        </w:rPr>
        <w:t> </w:t>
      </w:r>
      <w:r>
        <w:rPr/>
        <w:t>represented.</w:t>
      </w:r>
    </w:p>
    <w:p>
      <w:pPr>
        <w:pStyle w:val="BodyText"/>
        <w:spacing w:line="249" w:lineRule="auto"/>
        <w:ind w:left="107"/>
      </w:pPr>
      <w:r>
        <w:rPr/>
        <w:t>This</w:t>
      </w:r>
      <w:r>
        <w:rPr>
          <w:spacing w:val="-19"/>
        </w:rPr>
        <w:t> </w:t>
      </w:r>
      <w:r>
        <w:rPr/>
        <w:t>forum</w:t>
      </w:r>
      <w:r>
        <w:rPr>
          <w:spacing w:val="-19"/>
        </w:rPr>
        <w:t> </w:t>
      </w:r>
      <w:r>
        <w:rPr/>
        <w:t>was</w:t>
      </w:r>
      <w:r>
        <w:rPr>
          <w:spacing w:val="-19"/>
        </w:rPr>
        <w:t> </w:t>
      </w:r>
      <w:r>
        <w:rPr/>
        <w:t>aimed</w:t>
      </w:r>
      <w:r>
        <w:rPr>
          <w:spacing w:val="-19"/>
        </w:rPr>
        <w:t> </w:t>
      </w:r>
      <w:r>
        <w:rPr/>
        <w:t>at</w:t>
      </w:r>
      <w:r>
        <w:rPr>
          <w:spacing w:val="-19"/>
        </w:rPr>
        <w:t> </w:t>
      </w:r>
      <w:r>
        <w:rPr/>
        <w:t>building</w:t>
      </w:r>
      <w:r>
        <w:rPr>
          <w:spacing w:val="-19"/>
        </w:rPr>
        <w:t> </w:t>
      </w:r>
      <w:r>
        <w:rPr/>
        <w:t>relationships ‘beyond</w:t>
      </w:r>
      <w:r>
        <w:rPr>
          <w:spacing w:val="-16"/>
        </w:rPr>
        <w:t> </w:t>
      </w:r>
      <w:r>
        <w:rPr/>
        <w:t>the</w:t>
      </w:r>
      <w:r>
        <w:rPr>
          <w:spacing w:val="-16"/>
        </w:rPr>
        <w:t> </w:t>
      </w:r>
      <w:r>
        <w:rPr>
          <w:spacing w:val="3"/>
        </w:rPr>
        <w:t>MOU’</w:t>
      </w:r>
      <w:r>
        <w:rPr>
          <w:spacing w:val="-16"/>
        </w:rPr>
        <w:t> </w:t>
      </w:r>
      <w:r>
        <w:rPr/>
        <w:t>and</w:t>
      </w:r>
      <w:r>
        <w:rPr>
          <w:spacing w:val="-16"/>
        </w:rPr>
        <w:t> </w:t>
      </w:r>
      <w:r>
        <w:rPr/>
        <w:t>facilitated</w:t>
      </w:r>
      <w:r>
        <w:rPr>
          <w:spacing w:val="-16"/>
        </w:rPr>
        <w:t> </w:t>
      </w:r>
      <w:r>
        <w:rPr/>
        <w:t>the</w:t>
      </w:r>
      <w:r>
        <w:rPr>
          <w:spacing w:val="-16"/>
        </w:rPr>
        <w:t> </w:t>
      </w:r>
      <w:r>
        <w:rPr/>
        <w:t>theme</w:t>
      </w:r>
    </w:p>
    <w:p>
      <w:pPr>
        <w:pStyle w:val="BodyText"/>
        <w:spacing w:line="247" w:lineRule="auto"/>
        <w:ind w:left="107" w:right="3"/>
      </w:pPr>
      <w:r>
        <w:rPr/>
        <w:t>of sharing information and improving communication. Attendees were also introduced to the University’s rebranding and </w:t>
      </w:r>
      <w:r>
        <w:rPr>
          <w:rFonts w:ascii="Century Gothic" w:hAnsi="Century Gothic"/>
          <w:i/>
          <w:w w:val="90"/>
        </w:rPr>
        <w:t>Securing Success </w:t>
      </w:r>
      <w:r>
        <w:rPr>
          <w:w w:val="90"/>
        </w:rPr>
        <w:t>strategy.</w:t>
      </w:r>
    </w:p>
    <w:p>
      <w:pPr>
        <w:pStyle w:val="BodyText"/>
        <w:spacing w:before="12"/>
        <w:rPr>
          <w:sz w:val="13"/>
        </w:rPr>
      </w:pPr>
    </w:p>
    <w:p>
      <w:pPr>
        <w:pStyle w:val="BodyText"/>
        <w:spacing w:line="249" w:lineRule="auto"/>
        <w:ind w:left="107"/>
      </w:pPr>
      <w:r>
        <w:rPr>
          <w:spacing w:val="1"/>
          <w:w w:val="99"/>
        </w:rPr>
        <w:t>Another</w:t>
      </w:r>
      <w:r>
        <w:rPr>
          <w:w w:val="99"/>
        </w:rPr>
        <w:t> </w:t>
      </w:r>
      <w:r>
        <w:rPr>
          <w:spacing w:val="-1"/>
          <w:w w:val="98"/>
        </w:rPr>
        <w:t>key</w:t>
      </w:r>
      <w:r>
        <w:rPr>
          <w:w w:val="98"/>
        </w:rPr>
        <w:t> </w:t>
      </w:r>
      <w:r>
        <w:rPr>
          <w:w w:val="96"/>
        </w:rPr>
        <w:t>feature </w:t>
      </w:r>
      <w:r>
        <w:rPr>
          <w:w w:val="95"/>
        </w:rPr>
        <w:t>in </w:t>
      </w:r>
      <w:r>
        <w:rPr>
          <w:spacing w:val="1"/>
          <w:w w:val="88"/>
        </w:rPr>
        <w:t>2015</w:t>
      </w:r>
      <w:r>
        <w:rPr>
          <w:w w:val="88"/>
        </w:rPr>
        <w:t> </w:t>
      </w:r>
      <w:r>
        <w:rPr>
          <w:w w:val="96"/>
        </w:rPr>
        <w:t>was </w:t>
      </w:r>
      <w:r>
        <w:rPr>
          <w:w w:val="94"/>
        </w:rPr>
        <w:t>a </w:t>
      </w:r>
      <w:r>
        <w:rPr>
          <w:spacing w:val="1"/>
          <w:w w:val="98"/>
        </w:rPr>
        <w:t>second</w:t>
      </w:r>
      <w:r>
        <w:rPr>
          <w:w w:val="98"/>
        </w:rPr>
        <w:t> </w:t>
      </w:r>
      <w:r>
        <w:rPr/>
        <w:t>Learning</w:t>
      </w:r>
      <w:r>
        <w:rPr>
          <w:spacing w:val="-19"/>
        </w:rPr>
        <w:t> </w:t>
      </w:r>
      <w:r>
        <w:rPr/>
        <w:t>and</w:t>
      </w:r>
      <w:r>
        <w:rPr>
          <w:spacing w:val="-19"/>
        </w:rPr>
        <w:t> </w:t>
      </w:r>
      <w:r>
        <w:rPr/>
        <w:t>Teaching</w:t>
      </w:r>
      <w:r>
        <w:rPr>
          <w:spacing w:val="-19"/>
        </w:rPr>
        <w:t> </w:t>
      </w:r>
      <w:r>
        <w:rPr/>
        <w:t>Professional</w:t>
      </w:r>
      <w:r>
        <w:rPr>
          <w:spacing w:val="-19"/>
        </w:rPr>
        <w:t> </w:t>
      </w:r>
      <w:r>
        <w:rPr/>
        <w:t>Exchange forum designed to allow SWSi, WSI and University teaching specialists to share expertise and experiences, focusing on preparing and transitioning </w:t>
      </w:r>
      <w:r>
        <w:rPr>
          <w:spacing w:val="2"/>
        </w:rPr>
        <w:t>VET </w:t>
      </w:r>
      <w:r>
        <w:rPr/>
        <w:t>students entering</w:t>
      </w:r>
      <w:r>
        <w:rPr>
          <w:spacing w:val="-21"/>
        </w:rPr>
        <w:t> </w:t>
      </w:r>
      <w:r>
        <w:rPr/>
        <w:t>university.</w:t>
      </w:r>
      <w:r>
        <w:rPr>
          <w:spacing w:val="-21"/>
        </w:rPr>
        <w:t> </w:t>
      </w:r>
      <w:r>
        <w:rPr/>
        <w:t>This</w:t>
      </w:r>
      <w:r>
        <w:rPr>
          <w:spacing w:val="-21"/>
        </w:rPr>
        <w:t> </w:t>
      </w:r>
      <w:r>
        <w:rPr/>
        <w:t>Australian</w:t>
      </w:r>
      <w:r>
        <w:rPr>
          <w:spacing w:val="-21"/>
        </w:rPr>
        <w:t> </w:t>
      </w:r>
      <w:r>
        <w:rPr/>
        <w:t>Vocational Education</w:t>
      </w:r>
      <w:r>
        <w:rPr>
          <w:spacing w:val="-10"/>
        </w:rPr>
        <w:t> </w:t>
      </w:r>
      <w:r>
        <w:rPr/>
        <w:t>and</w:t>
      </w:r>
      <w:r>
        <w:rPr>
          <w:spacing w:val="-10"/>
        </w:rPr>
        <w:t> </w:t>
      </w:r>
      <w:r>
        <w:rPr/>
        <w:t>Training</w:t>
      </w:r>
      <w:r>
        <w:rPr>
          <w:spacing w:val="-10"/>
        </w:rPr>
        <w:t> </w:t>
      </w:r>
      <w:r>
        <w:rPr/>
        <w:t>Association</w:t>
      </w:r>
      <w:r>
        <w:rPr>
          <w:spacing w:val="-10"/>
        </w:rPr>
        <w:t> </w:t>
      </w:r>
      <w:r>
        <w:rPr/>
        <w:t>(AVETRA) forum in October included students sharing their stories and academics and professional staff</w:t>
      </w:r>
      <w:r>
        <w:rPr>
          <w:spacing w:val="-22"/>
        </w:rPr>
        <w:t> </w:t>
      </w:r>
      <w:r>
        <w:rPr/>
        <w:t>members</w:t>
      </w:r>
      <w:r>
        <w:rPr>
          <w:spacing w:val="-22"/>
        </w:rPr>
        <w:t> </w:t>
      </w:r>
      <w:r>
        <w:rPr/>
        <w:t>sharing</w:t>
      </w:r>
      <w:r>
        <w:rPr>
          <w:spacing w:val="-22"/>
        </w:rPr>
        <w:t> </w:t>
      </w:r>
      <w:r>
        <w:rPr/>
        <w:t>their</w:t>
      </w:r>
      <w:r>
        <w:rPr>
          <w:spacing w:val="-22"/>
        </w:rPr>
        <w:t> </w:t>
      </w:r>
      <w:r>
        <w:rPr/>
        <w:t>experiences,</w:t>
      </w:r>
    </w:p>
    <w:p>
      <w:pPr>
        <w:pStyle w:val="BodyText"/>
        <w:spacing w:line="249" w:lineRule="auto"/>
        <w:ind w:left="107" w:right="139"/>
      </w:pPr>
      <w:r>
        <w:rPr/>
        <w:t>as well as interactive exchanges. The day resulted in a new initiative for engaging TAFE Tertiary Preparation Certificate (TPC)</w:t>
      </w:r>
    </w:p>
    <w:p>
      <w:pPr>
        <w:pStyle w:val="BodyText"/>
        <w:spacing w:line="249" w:lineRule="auto"/>
        <w:ind w:left="107"/>
      </w:pPr>
      <w:r>
        <w:rPr/>
        <w:t>students</w:t>
      </w:r>
      <w:r>
        <w:rPr>
          <w:spacing w:val="-18"/>
        </w:rPr>
        <w:t> </w:t>
      </w:r>
      <w:r>
        <w:rPr/>
        <w:t>using</w:t>
      </w:r>
      <w:r>
        <w:rPr>
          <w:spacing w:val="-18"/>
        </w:rPr>
        <w:t> </w:t>
      </w:r>
      <w:r>
        <w:rPr/>
        <w:t>integrated</w:t>
      </w:r>
      <w:r>
        <w:rPr>
          <w:spacing w:val="-18"/>
        </w:rPr>
        <w:t> </w:t>
      </w:r>
      <w:r>
        <w:rPr/>
        <w:t>learning</w:t>
      </w:r>
      <w:r>
        <w:rPr>
          <w:spacing w:val="-18"/>
        </w:rPr>
        <w:t> </w:t>
      </w:r>
      <w:r>
        <w:rPr/>
        <w:t>during</w:t>
      </w:r>
      <w:r>
        <w:rPr>
          <w:spacing w:val="-18"/>
        </w:rPr>
        <w:t> </w:t>
      </w:r>
      <w:r>
        <w:rPr/>
        <w:t>their </w:t>
      </w:r>
      <w:r>
        <w:rPr>
          <w:spacing w:val="2"/>
          <w:w w:val="100"/>
        </w:rPr>
        <w:t>VET</w:t>
      </w:r>
      <w:r>
        <w:rPr>
          <w:w w:val="100"/>
        </w:rPr>
        <w:t> </w:t>
      </w:r>
      <w:r>
        <w:rPr>
          <w:spacing w:val="1"/>
          <w:w w:val="97"/>
        </w:rPr>
        <w:t>studies</w:t>
      </w:r>
      <w:r>
        <w:rPr>
          <w:w w:val="97"/>
        </w:rPr>
        <w:t> </w:t>
      </w:r>
      <w:r>
        <w:rPr>
          <w:w w:val="95"/>
        </w:rPr>
        <w:t>in</w:t>
      </w:r>
      <w:r>
        <w:rPr>
          <w:spacing w:val="-19"/>
          <w:w w:val="95"/>
        </w:rPr>
        <w:t> </w:t>
      </w:r>
      <w:r>
        <w:rPr>
          <w:spacing w:val="2"/>
          <w:w w:val="85"/>
        </w:rPr>
        <w:t>2016.</w:t>
      </w:r>
    </w:p>
    <w:p>
      <w:pPr>
        <w:pStyle w:val="BodyText"/>
        <w:spacing w:before="9"/>
      </w:pPr>
      <w:r>
        <w:rPr/>
        <w:br w:type="column"/>
      </w:r>
      <w:r>
        <w:rPr/>
      </w:r>
    </w:p>
    <w:p>
      <w:pPr>
        <w:pStyle w:val="BodyText"/>
        <w:spacing w:line="247" w:lineRule="auto"/>
        <w:ind w:left="107" w:right="154"/>
      </w:pPr>
      <w:r>
        <w:rPr/>
        <w:t>The third annual preparation seminar </w:t>
      </w:r>
      <w:r>
        <w:rPr>
          <w:rFonts w:ascii="Century Gothic" w:hAnsi="Century Gothic"/>
          <w:i/>
        </w:rPr>
        <w:t>Let’s </w:t>
      </w:r>
      <w:r>
        <w:rPr>
          <w:rFonts w:ascii="Century Gothic" w:hAnsi="Century Gothic"/>
          <w:i/>
        </w:rPr>
        <w:t>Talk Uni </w:t>
      </w:r>
      <w:r>
        <w:rPr/>
        <w:t>was held in November, targeting business,</w:t>
      </w:r>
      <w:r>
        <w:rPr>
          <w:spacing w:val="-17"/>
        </w:rPr>
        <w:t> </w:t>
      </w:r>
      <w:r>
        <w:rPr/>
        <w:t>nursing</w:t>
      </w:r>
      <w:r>
        <w:rPr>
          <w:spacing w:val="-17"/>
        </w:rPr>
        <w:t> </w:t>
      </w:r>
      <w:r>
        <w:rPr/>
        <w:t>and</w:t>
      </w:r>
      <w:r>
        <w:rPr>
          <w:spacing w:val="-17"/>
        </w:rPr>
        <w:t> </w:t>
      </w:r>
      <w:r>
        <w:rPr/>
        <w:t>social</w:t>
      </w:r>
      <w:r>
        <w:rPr>
          <w:spacing w:val="-17"/>
        </w:rPr>
        <w:t> </w:t>
      </w:r>
      <w:r>
        <w:rPr/>
        <w:t>work/community welfare applicants who base their entry on their </w:t>
      </w:r>
      <w:r>
        <w:rPr>
          <w:spacing w:val="2"/>
        </w:rPr>
        <w:t>VET </w:t>
      </w:r>
      <w:r>
        <w:rPr/>
        <w:t>studies. This valuable seminar offered students sessions and workshops designed</w:t>
      </w:r>
      <w:r>
        <w:rPr>
          <w:spacing w:val="-19"/>
        </w:rPr>
        <w:t> </w:t>
      </w:r>
      <w:r>
        <w:rPr/>
        <w:t>to</w:t>
      </w:r>
      <w:r>
        <w:rPr>
          <w:spacing w:val="-19"/>
        </w:rPr>
        <w:t> </w:t>
      </w:r>
      <w:r>
        <w:rPr/>
        <w:t>help</w:t>
      </w:r>
      <w:r>
        <w:rPr>
          <w:spacing w:val="-19"/>
        </w:rPr>
        <w:t> </w:t>
      </w:r>
      <w:r>
        <w:rPr/>
        <w:t>them</w:t>
      </w:r>
      <w:r>
        <w:rPr>
          <w:spacing w:val="-19"/>
        </w:rPr>
        <w:t> </w:t>
      </w:r>
      <w:r>
        <w:rPr/>
        <w:t>transition</w:t>
      </w:r>
      <w:r>
        <w:rPr>
          <w:spacing w:val="-19"/>
        </w:rPr>
        <w:t> </w:t>
      </w:r>
      <w:r>
        <w:rPr/>
        <w:t>to</w:t>
      </w:r>
      <w:r>
        <w:rPr>
          <w:spacing w:val="-19"/>
        </w:rPr>
        <w:t> </w:t>
      </w:r>
      <w:r>
        <w:rPr/>
        <w:t>university. Current Western Sydney students offered first-hand accounts of their journeys, transition and university experiences, along with useful tips and strategies. A highlight of the</w:t>
      </w:r>
      <w:r>
        <w:rPr>
          <w:spacing w:val="-18"/>
        </w:rPr>
        <w:t> </w:t>
      </w:r>
      <w:r>
        <w:rPr/>
        <w:t>seminar</w:t>
      </w:r>
      <w:r>
        <w:rPr>
          <w:spacing w:val="-18"/>
        </w:rPr>
        <w:t> </w:t>
      </w:r>
      <w:r>
        <w:rPr/>
        <w:t>was</w:t>
      </w:r>
      <w:r>
        <w:rPr>
          <w:spacing w:val="-18"/>
        </w:rPr>
        <w:t> </w:t>
      </w:r>
      <w:r>
        <w:rPr/>
        <w:t>the</w:t>
      </w:r>
      <w:r>
        <w:rPr>
          <w:spacing w:val="-18"/>
        </w:rPr>
        <w:t> </w:t>
      </w:r>
      <w:r>
        <w:rPr/>
        <w:t>keynote</w:t>
      </w:r>
      <w:r>
        <w:rPr>
          <w:spacing w:val="-18"/>
        </w:rPr>
        <w:t> </w:t>
      </w:r>
      <w:r>
        <w:rPr/>
        <w:t>address</w:t>
      </w:r>
      <w:r>
        <w:rPr>
          <w:spacing w:val="-18"/>
        </w:rPr>
        <w:t> </w:t>
      </w:r>
      <w:r>
        <w:rPr/>
        <w:t>by</w:t>
      </w:r>
      <w:r>
        <w:rPr>
          <w:spacing w:val="-18"/>
        </w:rPr>
        <w:t> </w:t>
      </w:r>
      <w:r>
        <w:rPr/>
        <w:t>Dean of</w:t>
      </w:r>
      <w:r>
        <w:rPr>
          <w:spacing w:val="-14"/>
        </w:rPr>
        <w:t> </w:t>
      </w:r>
      <w:r>
        <w:rPr/>
        <w:t>the</w:t>
      </w:r>
      <w:r>
        <w:rPr>
          <w:spacing w:val="-14"/>
        </w:rPr>
        <w:t> </w:t>
      </w:r>
      <w:r>
        <w:rPr/>
        <w:t>School</w:t>
      </w:r>
      <w:r>
        <w:rPr>
          <w:spacing w:val="-14"/>
        </w:rPr>
        <w:t> </w:t>
      </w:r>
      <w:r>
        <w:rPr/>
        <w:t>of</w:t>
      </w:r>
      <w:r>
        <w:rPr>
          <w:spacing w:val="-14"/>
        </w:rPr>
        <w:t> </w:t>
      </w:r>
      <w:r>
        <w:rPr/>
        <w:t>Education,</w:t>
      </w:r>
      <w:r>
        <w:rPr>
          <w:spacing w:val="-14"/>
        </w:rPr>
        <w:t> </w:t>
      </w:r>
      <w:r>
        <w:rPr/>
        <w:t>Professor</w:t>
      </w:r>
      <w:r>
        <w:rPr>
          <w:spacing w:val="-14"/>
        </w:rPr>
        <w:t> </w:t>
      </w:r>
      <w:r>
        <w:rPr/>
        <w:t>Michele Simons, who delivered a powerful </w:t>
      </w:r>
      <w:r>
        <w:rPr>
          <w:spacing w:val="2"/>
        </w:rPr>
        <w:t>message </w:t>
      </w:r>
      <w:r>
        <w:rPr/>
        <w:t>about resilience, determination and success. Several key sessions and a series of student interviews were professionally recorded for posting on TEPP</w:t>
      </w:r>
      <w:r>
        <w:rPr>
          <w:spacing w:val="-33"/>
        </w:rPr>
        <w:t> </w:t>
      </w:r>
      <w:r>
        <w:rPr/>
        <w:t>webpages.</w:t>
      </w:r>
    </w:p>
    <w:p>
      <w:pPr>
        <w:pStyle w:val="BodyText"/>
        <w:spacing w:before="9"/>
        <w:rPr>
          <w:sz w:val="21"/>
        </w:rPr>
      </w:pPr>
    </w:p>
    <w:p>
      <w:pPr>
        <w:pStyle w:val="Heading8"/>
        <w:ind w:right="287"/>
      </w:pPr>
      <w:r>
        <w:rPr>
          <w:w w:val="95"/>
        </w:rPr>
        <w:t>TRANSITION TO UNIVERSITY LEARNING</w:t>
      </w:r>
    </w:p>
    <w:p>
      <w:pPr>
        <w:pStyle w:val="BodyText"/>
        <w:spacing w:line="249" w:lineRule="auto" w:before="86"/>
        <w:ind w:left="107" w:right="174"/>
      </w:pPr>
      <w:r>
        <w:rPr/>
        <w:t>The development of a University-wide approach to improving the first-year student experience and retention rate continued </w:t>
      </w:r>
      <w:r>
        <w:rPr>
          <w:w w:val="98"/>
        </w:rPr>
        <w:t>throughout </w:t>
      </w:r>
      <w:r>
        <w:rPr>
          <w:w w:val="88"/>
        </w:rPr>
        <w:t>2015 </w:t>
      </w:r>
      <w:r>
        <w:rPr>
          <w:w w:val="97"/>
        </w:rPr>
        <w:t>under </w:t>
      </w:r>
      <w:r>
        <w:rPr>
          <w:w w:val="97"/>
        </w:rPr>
        <w:t>the </w:t>
      </w:r>
      <w:r>
        <w:rPr>
          <w:w w:val="96"/>
        </w:rPr>
        <w:t>STaRS </w:t>
      </w:r>
      <w:r>
        <w:rPr>
          <w:w w:val="93"/>
        </w:rPr>
        <w:t>project. </w:t>
      </w:r>
      <w:r>
        <w:rPr/>
        <w:t>Strategies introduced across all schools include:</w:t>
      </w:r>
    </w:p>
    <w:p>
      <w:pPr>
        <w:pStyle w:val="BodyText"/>
        <w:spacing w:before="11"/>
        <w:rPr>
          <w:sz w:val="13"/>
        </w:rPr>
      </w:pPr>
    </w:p>
    <w:p>
      <w:pPr>
        <w:pStyle w:val="BodyText"/>
        <w:spacing w:line="247" w:lineRule="auto"/>
        <w:ind w:left="333" w:right="62" w:hanging="227"/>
      </w:pPr>
      <w:r>
        <w:rPr>
          <w:rFonts w:ascii="Century Gothic" w:hAnsi="Century Gothic"/>
          <w:b/>
          <w:w w:val="115"/>
        </w:rPr>
        <w:t>≥ </w:t>
      </w:r>
      <w:r>
        <w:rPr/>
        <w:t>appointing academic and professional STaRS coordinators, Starting @ WS Events coordinators and First Year School Contact Officers on every campus</w:t>
      </w:r>
    </w:p>
    <w:p>
      <w:pPr>
        <w:pStyle w:val="BodyText"/>
        <w:spacing w:line="247" w:lineRule="auto" w:before="57"/>
        <w:ind w:left="333" w:right="43" w:hanging="227"/>
      </w:pPr>
      <w:r>
        <w:rPr>
          <w:rFonts w:ascii="Century Gothic" w:hAnsi="Century Gothic"/>
          <w:b/>
          <w:w w:val="115"/>
        </w:rPr>
        <w:t>≥ </w:t>
      </w:r>
      <w:r>
        <w:rPr/>
        <w:t>ensuring interaction between senior students and new students studying the same course (this occurs for most courses)</w:t>
      </w:r>
    </w:p>
    <w:p>
      <w:pPr>
        <w:pStyle w:val="BodyText"/>
        <w:spacing w:line="247" w:lineRule="auto" w:before="57"/>
        <w:ind w:left="333" w:right="95" w:hanging="227"/>
      </w:pPr>
      <w:r>
        <w:rPr>
          <w:rFonts w:ascii="Century Gothic" w:hAnsi="Century Gothic"/>
          <w:b/>
          <w:w w:val="115"/>
        </w:rPr>
        <w:t>≥ </w:t>
      </w:r>
      <w:r>
        <w:rPr/>
        <w:t>focusing on introducing best-practice principles in first-year assessments, with reporting to and monitoring by the Senate Education Committee</w:t>
      </w:r>
    </w:p>
    <w:p>
      <w:pPr>
        <w:pStyle w:val="BodyText"/>
        <w:spacing w:line="247" w:lineRule="auto" w:before="57"/>
        <w:ind w:left="333" w:right="116" w:hanging="227"/>
      </w:pPr>
      <w:r>
        <w:rPr>
          <w:rFonts w:ascii="Century Gothic" w:hAnsi="Century Gothic"/>
          <w:b/>
          <w:w w:val="115"/>
        </w:rPr>
        <w:t>≥ </w:t>
      </w:r>
      <w:r>
        <w:rPr/>
        <w:t>introducing just-in-time transition messages for identified ‘transition’ units in all undergraduate courses.</w:t>
      </w:r>
    </w:p>
    <w:p>
      <w:pPr>
        <w:pStyle w:val="BodyText"/>
        <w:spacing w:before="2"/>
        <w:rPr>
          <w:sz w:val="14"/>
        </w:rPr>
      </w:pPr>
    </w:p>
    <w:p>
      <w:pPr>
        <w:pStyle w:val="BodyText"/>
        <w:spacing w:line="249" w:lineRule="auto"/>
        <w:ind w:left="107" w:right="303"/>
      </w:pPr>
      <w:r>
        <w:rPr/>
        <w:t>This coordinated and holistic approach to first-year</w:t>
      </w:r>
      <w:r>
        <w:rPr>
          <w:spacing w:val="-20"/>
        </w:rPr>
        <w:t> </w:t>
      </w:r>
      <w:r>
        <w:rPr/>
        <w:t>student</w:t>
      </w:r>
      <w:r>
        <w:rPr>
          <w:spacing w:val="-20"/>
        </w:rPr>
        <w:t> </w:t>
      </w:r>
      <w:r>
        <w:rPr/>
        <w:t>transition</w:t>
      </w:r>
      <w:r>
        <w:rPr>
          <w:spacing w:val="-20"/>
        </w:rPr>
        <w:t> </w:t>
      </w:r>
      <w:r>
        <w:rPr/>
        <w:t>resulted</w:t>
      </w:r>
      <w:r>
        <w:rPr>
          <w:spacing w:val="-20"/>
        </w:rPr>
        <w:t> </w:t>
      </w:r>
      <w:r>
        <w:rPr/>
        <w:t>in</w:t>
      </w:r>
      <w:r>
        <w:rPr>
          <w:spacing w:val="-20"/>
        </w:rPr>
        <w:t> </w:t>
      </w:r>
      <w:r>
        <w:rPr/>
        <w:t>a</w:t>
      </w:r>
      <w:r>
        <w:rPr>
          <w:spacing w:val="-20"/>
        </w:rPr>
        <w:t> </w:t>
      </w:r>
      <w:r>
        <w:rPr/>
        <w:t>0.7 per cent improvement in student retention </w:t>
      </w:r>
      <w:r>
        <w:rPr>
          <w:w w:val="95"/>
        </w:rPr>
        <w:t>in</w:t>
      </w:r>
      <w:r>
        <w:rPr>
          <w:spacing w:val="-6"/>
          <w:w w:val="95"/>
        </w:rPr>
        <w:t> </w:t>
      </w:r>
      <w:r>
        <w:rPr>
          <w:spacing w:val="1"/>
          <w:w w:val="86"/>
        </w:rPr>
        <w:t>2014,</w:t>
      </w:r>
      <w:r>
        <w:rPr>
          <w:spacing w:val="-1"/>
          <w:w w:val="86"/>
        </w:rPr>
        <w:t> </w:t>
      </w:r>
      <w:r>
        <w:rPr>
          <w:spacing w:val="1"/>
          <w:w w:val="98"/>
        </w:rPr>
        <w:t>from</w:t>
      </w:r>
      <w:r>
        <w:rPr>
          <w:spacing w:val="-7"/>
          <w:w w:val="98"/>
        </w:rPr>
        <w:t> </w:t>
      </w:r>
      <w:r>
        <w:rPr>
          <w:spacing w:val="1"/>
          <w:w w:val="87"/>
        </w:rPr>
        <w:t>78.7</w:t>
      </w:r>
      <w:r>
        <w:rPr>
          <w:spacing w:val="-2"/>
          <w:w w:val="87"/>
        </w:rPr>
        <w:t> </w:t>
      </w:r>
      <w:r>
        <w:rPr>
          <w:spacing w:val="1"/>
          <w:w w:val="97"/>
        </w:rPr>
        <w:t>per</w:t>
      </w:r>
      <w:r>
        <w:rPr>
          <w:spacing w:val="-7"/>
          <w:w w:val="97"/>
        </w:rPr>
        <w:t> </w:t>
      </w:r>
      <w:r>
        <w:rPr>
          <w:w w:val="99"/>
        </w:rPr>
        <w:t>cent</w:t>
      </w:r>
      <w:r>
        <w:rPr>
          <w:spacing w:val="-7"/>
          <w:w w:val="99"/>
        </w:rPr>
        <w:t> </w:t>
      </w:r>
      <w:r>
        <w:rPr>
          <w:spacing w:val="-1"/>
          <w:w w:val="101"/>
        </w:rPr>
        <w:t>to</w:t>
      </w:r>
      <w:r>
        <w:rPr>
          <w:spacing w:val="-8"/>
          <w:w w:val="101"/>
        </w:rPr>
        <w:t> </w:t>
      </w:r>
      <w:r>
        <w:rPr>
          <w:spacing w:val="1"/>
          <w:w w:val="91"/>
        </w:rPr>
        <w:t>79.4</w:t>
      </w:r>
      <w:r>
        <w:rPr>
          <w:spacing w:val="-3"/>
          <w:w w:val="91"/>
        </w:rPr>
        <w:t> </w:t>
      </w:r>
      <w:r>
        <w:rPr>
          <w:spacing w:val="1"/>
          <w:w w:val="97"/>
        </w:rPr>
        <w:t>per</w:t>
      </w:r>
      <w:r>
        <w:rPr>
          <w:spacing w:val="-7"/>
          <w:w w:val="97"/>
        </w:rPr>
        <w:t> </w:t>
      </w:r>
      <w:r>
        <w:rPr>
          <w:w w:val="92"/>
        </w:rPr>
        <w:t>cent,</w:t>
      </w:r>
    </w:p>
    <w:p>
      <w:pPr>
        <w:pStyle w:val="BodyText"/>
        <w:spacing w:line="249" w:lineRule="auto"/>
        <w:ind w:left="107" w:right="121"/>
      </w:pPr>
      <w:r>
        <w:rPr/>
        <w:t>following</w:t>
      </w:r>
      <w:r>
        <w:rPr>
          <w:spacing w:val="-19"/>
        </w:rPr>
        <w:t> </w:t>
      </w:r>
      <w:r>
        <w:rPr/>
        <w:t>an</w:t>
      </w:r>
      <w:r>
        <w:rPr>
          <w:spacing w:val="-19"/>
        </w:rPr>
        <w:t> </w:t>
      </w:r>
      <w:r>
        <w:rPr/>
        <w:t>annual</w:t>
      </w:r>
      <w:r>
        <w:rPr>
          <w:spacing w:val="-19"/>
        </w:rPr>
        <w:t> </w:t>
      </w:r>
      <w:r>
        <w:rPr/>
        <w:t>decline</w:t>
      </w:r>
      <w:r>
        <w:rPr>
          <w:spacing w:val="-19"/>
        </w:rPr>
        <w:t> </w:t>
      </w:r>
      <w:r>
        <w:rPr/>
        <w:t>of</w:t>
      </w:r>
      <w:r>
        <w:rPr>
          <w:spacing w:val="-19"/>
        </w:rPr>
        <w:t> </w:t>
      </w:r>
      <w:r>
        <w:rPr/>
        <w:t>about</w:t>
      </w:r>
      <w:r>
        <w:rPr>
          <w:spacing w:val="-19"/>
        </w:rPr>
        <w:t> </w:t>
      </w:r>
      <w:r>
        <w:rPr>
          <w:w w:val="95"/>
        </w:rPr>
        <w:t>1</w:t>
      </w:r>
      <w:r>
        <w:rPr>
          <w:spacing w:val="-16"/>
          <w:w w:val="95"/>
        </w:rPr>
        <w:t> </w:t>
      </w:r>
      <w:r>
        <w:rPr/>
        <w:t>per</w:t>
      </w:r>
      <w:r>
        <w:rPr>
          <w:spacing w:val="-19"/>
        </w:rPr>
        <w:t> </w:t>
      </w:r>
      <w:r>
        <w:rPr/>
        <w:t>cent for the previous four years. In comparison, commencing student retention continued to decline at the national (down </w:t>
      </w:r>
      <w:r>
        <w:rPr>
          <w:spacing w:val="3"/>
        </w:rPr>
        <w:t>1.34 </w:t>
      </w:r>
      <w:r>
        <w:rPr/>
        <w:t>per cent) and state (down 0.95 per cent) levels, with Western Sydney being one of only three universities</w:t>
      </w:r>
      <w:r>
        <w:rPr>
          <w:spacing w:val="-17"/>
        </w:rPr>
        <w:t> </w:t>
      </w:r>
      <w:r>
        <w:rPr/>
        <w:t>in</w:t>
      </w:r>
      <w:r>
        <w:rPr>
          <w:spacing w:val="-17"/>
        </w:rPr>
        <w:t> </w:t>
      </w:r>
      <w:r>
        <w:rPr/>
        <w:t>NSW</w:t>
      </w:r>
      <w:r>
        <w:rPr>
          <w:spacing w:val="-17"/>
        </w:rPr>
        <w:t> </w:t>
      </w:r>
      <w:r>
        <w:rPr/>
        <w:t>to</w:t>
      </w:r>
      <w:r>
        <w:rPr>
          <w:spacing w:val="-17"/>
        </w:rPr>
        <w:t> </w:t>
      </w:r>
      <w:r>
        <w:rPr/>
        <w:t>improve</w:t>
      </w:r>
      <w:r>
        <w:rPr>
          <w:spacing w:val="-17"/>
        </w:rPr>
        <w:t> </w:t>
      </w:r>
      <w:r>
        <w:rPr/>
        <w:t>its</w:t>
      </w:r>
      <w:r>
        <w:rPr>
          <w:spacing w:val="-17"/>
        </w:rPr>
        <w:t> </w:t>
      </w:r>
      <w:r>
        <w:rPr/>
        <w:t>retention</w:t>
      </w:r>
    </w:p>
    <w:p>
      <w:pPr>
        <w:spacing w:after="0" w:line="249" w:lineRule="auto"/>
        <w:sectPr>
          <w:type w:val="continuous"/>
          <w:pgSz w:w="11910" w:h="16840"/>
          <w:pgMar w:top="1580" w:bottom="280" w:left="800" w:right="800"/>
          <w:cols w:num="3" w:equalWidth="0">
            <w:col w:w="3320" w:space="119"/>
            <w:col w:w="3320" w:space="11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ind w:left="107" w:right="-11"/>
      </w:pPr>
      <w:r>
        <w:rPr>
          <w:spacing w:val="1"/>
          <w:w w:val="95"/>
        </w:rPr>
        <w:t>i</w:t>
      </w:r>
      <w:r>
        <w:rPr>
          <w:w w:val="95"/>
        </w:rPr>
        <w:t>n</w:t>
      </w:r>
      <w:r>
        <w:rPr>
          <w:spacing w:val="-12"/>
        </w:rPr>
        <w:t> </w:t>
      </w:r>
      <w:r>
        <w:rPr>
          <w:spacing w:val="2"/>
          <w:w w:val="93"/>
        </w:rPr>
        <w:t>2</w:t>
      </w:r>
      <w:r>
        <w:rPr>
          <w:spacing w:val="1"/>
          <w:w w:val="111"/>
        </w:rPr>
        <w:t>0</w:t>
      </w:r>
      <w:r>
        <w:rPr>
          <w:spacing w:val="2"/>
          <w:w w:val="54"/>
        </w:rPr>
        <w:t>1</w:t>
      </w:r>
      <w:r>
        <w:rPr>
          <w:spacing w:val="4"/>
          <w:w w:val="103"/>
        </w:rPr>
        <w:t>4</w:t>
      </w:r>
      <w:r>
        <w:rPr>
          <w:w w:val="68"/>
        </w:rPr>
        <w:t>.</w:t>
      </w:r>
      <w:r>
        <w:rPr>
          <w:spacing w:val="-12"/>
        </w:rPr>
        <w:t> </w:t>
      </w:r>
      <w:r>
        <w:rPr>
          <w:spacing w:val="-2"/>
          <w:w w:val="100"/>
        </w:rPr>
        <w:t>E</w:t>
      </w:r>
      <w:r>
        <w:rPr>
          <w:spacing w:val="1"/>
          <w:w w:val="101"/>
        </w:rPr>
        <w:t>v</w:t>
      </w:r>
      <w:r>
        <w:rPr>
          <w:spacing w:val="2"/>
          <w:w w:val="94"/>
        </w:rPr>
        <w:t>a</w:t>
      </w:r>
      <w:r>
        <w:rPr>
          <w:spacing w:val="1"/>
          <w:w w:val="95"/>
        </w:rPr>
        <w:t>l</w:t>
      </w:r>
      <w:r>
        <w:rPr>
          <w:spacing w:val="2"/>
          <w:w w:val="95"/>
        </w:rPr>
        <w:t>u</w:t>
      </w:r>
      <w:r>
        <w:rPr>
          <w:w w:val="94"/>
        </w:rPr>
        <w:t>a</w:t>
      </w:r>
      <w:r>
        <w:rPr>
          <w:w w:val="102"/>
        </w:rPr>
        <w:t>t</w:t>
      </w:r>
      <w:r>
        <w:rPr>
          <w:spacing w:val="1"/>
          <w:w w:val="95"/>
        </w:rPr>
        <w:t>i</w:t>
      </w:r>
      <w:r>
        <w:rPr>
          <w:spacing w:val="2"/>
          <w:w w:val="100"/>
        </w:rPr>
        <w:t>o</w:t>
      </w:r>
      <w:r>
        <w:rPr>
          <w:w w:val="95"/>
        </w:rPr>
        <w:t>n</w:t>
      </w:r>
      <w:r>
        <w:rPr>
          <w:spacing w:val="-12"/>
        </w:rPr>
        <w:t> </w:t>
      </w:r>
      <w:r>
        <w:rPr>
          <w:w w:val="100"/>
        </w:rPr>
        <w:t>o</w:t>
      </w:r>
      <w:r>
        <w:rPr>
          <w:w w:val="98"/>
        </w:rPr>
        <w:t>f</w:t>
      </w:r>
      <w:r>
        <w:rPr>
          <w:spacing w:val="-12"/>
        </w:rPr>
        <w:t> </w:t>
      </w:r>
      <w:r>
        <w:rPr>
          <w:w w:val="102"/>
        </w:rPr>
        <w:t>t</w:t>
      </w:r>
      <w:r>
        <w:rPr>
          <w:spacing w:val="2"/>
          <w:w w:val="95"/>
        </w:rPr>
        <w:t>h</w:t>
      </w:r>
      <w:r>
        <w:rPr>
          <w:w w:val="95"/>
        </w:rPr>
        <w:t>e</w:t>
      </w:r>
      <w:r>
        <w:rPr>
          <w:spacing w:val="-12"/>
        </w:rPr>
        <w:t> </w:t>
      </w:r>
      <w:r>
        <w:rPr>
          <w:spacing w:val="3"/>
          <w:w w:val="96"/>
        </w:rPr>
        <w:t>H</w:t>
      </w:r>
      <w:r>
        <w:rPr>
          <w:spacing w:val="2"/>
          <w:w w:val="100"/>
        </w:rPr>
        <w:t>o</w:t>
      </w:r>
      <w:r>
        <w:rPr>
          <w:w w:val="95"/>
        </w:rPr>
        <w:t>l</w:t>
      </w:r>
      <w:r>
        <w:rPr>
          <w:spacing w:val="1"/>
          <w:w w:val="95"/>
        </w:rPr>
        <w:t>i</w:t>
      </w:r>
      <w:r>
        <w:rPr>
          <w:spacing w:val="3"/>
          <w:w w:val="95"/>
        </w:rPr>
        <w:t>s</w:t>
      </w:r>
      <w:r>
        <w:rPr>
          <w:w w:val="102"/>
        </w:rPr>
        <w:t>t</w:t>
      </w:r>
      <w:r>
        <w:rPr>
          <w:spacing w:val="1"/>
          <w:w w:val="95"/>
        </w:rPr>
        <w:t>i</w:t>
      </w:r>
      <w:r>
        <w:rPr>
          <w:spacing w:val="3"/>
          <w:w w:val="102"/>
        </w:rPr>
        <w:t>c</w:t>
      </w:r>
      <w:r>
        <w:rPr>
          <w:w w:val="68"/>
        </w:rPr>
        <w:t>,</w:t>
      </w:r>
      <w:r>
        <w:rPr>
          <w:spacing w:val="-12"/>
        </w:rPr>
        <w:t> </w:t>
      </w:r>
      <w:r>
        <w:rPr>
          <w:spacing w:val="2"/>
          <w:w w:val="64"/>
        </w:rPr>
        <w:t>I</w:t>
      </w:r>
      <w:r>
        <w:rPr>
          <w:w w:val="95"/>
        </w:rPr>
        <w:t>n</w:t>
      </w:r>
      <w:r>
        <w:rPr>
          <w:spacing w:val="-2"/>
          <w:w w:val="102"/>
        </w:rPr>
        <w:t>t</w:t>
      </w:r>
      <w:r>
        <w:rPr>
          <w:spacing w:val="3"/>
          <w:w w:val="95"/>
        </w:rPr>
        <w:t>e</w:t>
      </w:r>
      <w:r>
        <w:rPr>
          <w:spacing w:val="2"/>
          <w:w w:val="102"/>
        </w:rPr>
        <w:t>g</w:t>
      </w:r>
      <w:r>
        <w:rPr>
          <w:spacing w:val="2"/>
          <w:w w:val="95"/>
        </w:rPr>
        <w:t>r</w:t>
      </w:r>
      <w:r>
        <w:rPr>
          <w:w w:val="94"/>
        </w:rPr>
        <w:t>a</w:t>
      </w:r>
      <w:r>
        <w:rPr>
          <w:spacing w:val="-2"/>
          <w:w w:val="102"/>
        </w:rPr>
        <w:t>t</w:t>
      </w:r>
      <w:r>
        <w:rPr>
          <w:spacing w:val="3"/>
          <w:w w:val="95"/>
        </w:rPr>
        <w:t>e</w:t>
      </w:r>
      <w:r>
        <w:rPr>
          <w:spacing w:val="3"/>
          <w:w w:val="102"/>
        </w:rPr>
        <w:t>d</w:t>
      </w:r>
      <w:r>
        <w:rPr>
          <w:w w:val="68"/>
        </w:rPr>
        <w:t>,</w:t>
      </w:r>
    </w:p>
    <w:p>
      <w:pPr>
        <w:pStyle w:val="BodyText"/>
        <w:spacing w:line="249" w:lineRule="auto" w:before="7"/>
        <w:ind w:left="107" w:right="308"/>
      </w:pPr>
      <w:r>
        <w:rPr/>
        <w:t>Planning</w:t>
      </w:r>
      <w:r>
        <w:rPr>
          <w:spacing w:val="-24"/>
        </w:rPr>
        <w:t> </w:t>
      </w:r>
      <w:r>
        <w:rPr/>
        <w:t>for</w:t>
      </w:r>
      <w:r>
        <w:rPr>
          <w:spacing w:val="-24"/>
        </w:rPr>
        <w:t> </w:t>
      </w:r>
      <w:r>
        <w:rPr/>
        <w:t>Student</w:t>
      </w:r>
      <w:r>
        <w:rPr>
          <w:spacing w:val="-24"/>
        </w:rPr>
        <w:t> </w:t>
      </w:r>
      <w:r>
        <w:rPr/>
        <w:t>Transition,</w:t>
      </w:r>
      <w:r>
        <w:rPr>
          <w:spacing w:val="-24"/>
        </w:rPr>
        <w:t> </w:t>
      </w:r>
      <w:r>
        <w:rPr/>
        <w:t>Retention &amp;</w:t>
      </w:r>
      <w:r>
        <w:rPr>
          <w:spacing w:val="-22"/>
        </w:rPr>
        <w:t> </w:t>
      </w:r>
      <w:r>
        <w:rPr/>
        <w:t>Success</w:t>
      </w:r>
      <w:r>
        <w:rPr>
          <w:spacing w:val="-22"/>
        </w:rPr>
        <w:t> </w:t>
      </w:r>
      <w:r>
        <w:rPr/>
        <w:t>(HIPSTaRS)</w:t>
      </w:r>
      <w:r>
        <w:rPr>
          <w:spacing w:val="-22"/>
        </w:rPr>
        <w:t> </w:t>
      </w:r>
      <w:r>
        <w:rPr/>
        <w:t>pilot</w:t>
      </w:r>
      <w:r>
        <w:rPr>
          <w:spacing w:val="-22"/>
        </w:rPr>
        <w:t> </w:t>
      </w:r>
      <w:r>
        <w:rPr/>
        <w:t>project</w:t>
      </w:r>
      <w:r>
        <w:rPr>
          <w:spacing w:val="-22"/>
        </w:rPr>
        <w:t> </w:t>
      </w:r>
      <w:r>
        <w:rPr/>
        <w:t>has</w:t>
      </w:r>
    </w:p>
    <w:p>
      <w:pPr>
        <w:pStyle w:val="BodyText"/>
        <w:spacing w:line="249" w:lineRule="auto"/>
        <w:ind w:left="107" w:right="-11"/>
      </w:pPr>
      <w:r>
        <w:rPr/>
        <w:t>shown</w:t>
      </w:r>
      <w:r>
        <w:rPr>
          <w:spacing w:val="-18"/>
        </w:rPr>
        <w:t> </w:t>
      </w:r>
      <w:r>
        <w:rPr/>
        <w:t>the</w:t>
      </w:r>
      <w:r>
        <w:rPr>
          <w:spacing w:val="-18"/>
        </w:rPr>
        <w:t> </w:t>
      </w:r>
      <w:r>
        <w:rPr/>
        <w:t>improvement</w:t>
      </w:r>
      <w:r>
        <w:rPr>
          <w:spacing w:val="-18"/>
        </w:rPr>
        <w:t> </w:t>
      </w:r>
      <w:r>
        <w:rPr/>
        <w:t>in</w:t>
      </w:r>
      <w:r>
        <w:rPr>
          <w:spacing w:val="-18"/>
        </w:rPr>
        <w:t> </w:t>
      </w:r>
      <w:r>
        <w:rPr/>
        <w:t>student</w:t>
      </w:r>
      <w:r>
        <w:rPr>
          <w:spacing w:val="-18"/>
        </w:rPr>
        <w:t> </w:t>
      </w:r>
      <w:r>
        <w:rPr/>
        <w:t>retention, particularly for the Bachelor of Engineering </w:t>
      </w:r>
      <w:r>
        <w:rPr>
          <w:spacing w:val="-3"/>
        </w:rPr>
        <w:t>(up</w:t>
      </w:r>
      <w:r>
        <w:rPr>
          <w:spacing w:val="-22"/>
        </w:rPr>
        <w:t> </w:t>
      </w:r>
      <w:r>
        <w:rPr/>
        <w:t>9.1</w:t>
      </w:r>
      <w:r>
        <w:rPr>
          <w:spacing w:val="-22"/>
        </w:rPr>
        <w:t> </w:t>
      </w:r>
      <w:r>
        <w:rPr/>
        <w:t>per</w:t>
      </w:r>
      <w:r>
        <w:rPr>
          <w:spacing w:val="-22"/>
        </w:rPr>
        <w:t> </w:t>
      </w:r>
      <w:r>
        <w:rPr/>
        <w:t>cent)</w:t>
      </w:r>
      <w:r>
        <w:rPr>
          <w:spacing w:val="-22"/>
        </w:rPr>
        <w:t> </w:t>
      </w:r>
      <w:r>
        <w:rPr/>
        <w:t>following</w:t>
      </w:r>
      <w:r>
        <w:rPr>
          <w:spacing w:val="-22"/>
        </w:rPr>
        <w:t> </w:t>
      </w:r>
      <w:r>
        <w:rPr/>
        <w:t>annual</w:t>
      </w:r>
      <w:r>
        <w:rPr>
          <w:spacing w:val="-22"/>
        </w:rPr>
        <w:t> </w:t>
      </w:r>
      <w:r>
        <w:rPr/>
        <w:t>declines</w:t>
      </w:r>
      <w:r>
        <w:rPr>
          <w:spacing w:val="-22"/>
        </w:rPr>
        <w:t> </w:t>
      </w:r>
      <w:r>
        <w:rPr/>
        <w:t>and the</w:t>
      </w:r>
      <w:r>
        <w:rPr>
          <w:spacing w:val="-13"/>
        </w:rPr>
        <w:t> </w:t>
      </w:r>
      <w:r>
        <w:rPr/>
        <w:t>Bachelor</w:t>
      </w:r>
      <w:r>
        <w:rPr>
          <w:spacing w:val="-13"/>
        </w:rPr>
        <w:t> </w:t>
      </w:r>
      <w:r>
        <w:rPr/>
        <w:t>of</w:t>
      </w:r>
      <w:r>
        <w:rPr>
          <w:spacing w:val="-13"/>
        </w:rPr>
        <w:t> </w:t>
      </w:r>
      <w:r>
        <w:rPr/>
        <w:t>Construction</w:t>
      </w:r>
      <w:r>
        <w:rPr>
          <w:spacing w:val="-13"/>
        </w:rPr>
        <w:t> </w:t>
      </w:r>
      <w:r>
        <w:rPr/>
        <w:t>Management</w:t>
      </w:r>
      <w:r>
        <w:rPr>
          <w:spacing w:val="-13"/>
        </w:rPr>
        <w:t> </w:t>
      </w:r>
      <w:r>
        <w:rPr/>
        <w:t>(its 2</w:t>
      </w:r>
      <w:r>
        <w:rPr>
          <w:spacing w:val="-18"/>
        </w:rPr>
        <w:t> </w:t>
      </w:r>
      <w:r>
        <w:rPr/>
        <w:t>per</w:t>
      </w:r>
      <w:r>
        <w:rPr>
          <w:spacing w:val="-18"/>
        </w:rPr>
        <w:t> </w:t>
      </w:r>
      <w:r>
        <w:rPr/>
        <w:t>cent</w:t>
      </w:r>
      <w:r>
        <w:rPr>
          <w:spacing w:val="-18"/>
        </w:rPr>
        <w:t> </w:t>
      </w:r>
      <w:r>
        <w:rPr/>
        <w:t>dropout</w:t>
      </w:r>
      <w:r>
        <w:rPr>
          <w:spacing w:val="-18"/>
        </w:rPr>
        <w:t> </w:t>
      </w:r>
      <w:r>
        <w:rPr/>
        <w:t>rate</w:t>
      </w:r>
      <w:r>
        <w:rPr>
          <w:spacing w:val="-18"/>
        </w:rPr>
        <w:t> </w:t>
      </w:r>
      <w:r>
        <w:rPr/>
        <w:t>has</w:t>
      </w:r>
      <w:r>
        <w:rPr>
          <w:spacing w:val="-18"/>
        </w:rPr>
        <w:t> </w:t>
      </w:r>
      <w:r>
        <w:rPr/>
        <w:t>been</w:t>
      </w:r>
      <w:r>
        <w:rPr>
          <w:spacing w:val="-18"/>
        </w:rPr>
        <w:t> </w:t>
      </w:r>
      <w:r>
        <w:rPr/>
        <w:t>halted).</w:t>
      </w:r>
    </w:p>
    <w:p>
      <w:pPr>
        <w:pStyle w:val="BodyText"/>
        <w:spacing w:before="7"/>
        <w:rPr>
          <w:sz w:val="21"/>
        </w:rPr>
      </w:pPr>
    </w:p>
    <w:p>
      <w:pPr>
        <w:pStyle w:val="Heading8"/>
        <w:ind w:right="-11"/>
      </w:pPr>
      <w:r>
        <w:rPr>
          <w:w w:val="95"/>
        </w:rPr>
        <w:t>LITERACY AND NUMERACY SUPPORT</w:t>
      </w:r>
    </w:p>
    <w:p>
      <w:pPr>
        <w:pStyle w:val="BodyText"/>
        <w:spacing w:line="249" w:lineRule="auto" w:before="86"/>
        <w:ind w:left="107" w:right="-11"/>
      </w:pPr>
      <w:r>
        <w:rPr/>
        <w:t>Pro</w:t>
      </w:r>
      <w:r>
        <w:rPr>
          <w:spacing w:val="-16"/>
        </w:rPr>
        <w:t> </w:t>
      </w:r>
      <w:r>
        <w:rPr/>
        <w:t>Vice-Chancellor</w:t>
      </w:r>
      <w:r>
        <w:rPr>
          <w:spacing w:val="-16"/>
        </w:rPr>
        <w:t> </w:t>
      </w:r>
      <w:r>
        <w:rPr/>
        <w:t>(Education)</w:t>
      </w:r>
      <w:r>
        <w:rPr>
          <w:spacing w:val="-16"/>
        </w:rPr>
        <w:t> </w:t>
      </w:r>
      <w:r>
        <w:rPr/>
        <w:t>portfolio</w:t>
      </w:r>
      <w:r>
        <w:rPr>
          <w:spacing w:val="-16"/>
        </w:rPr>
        <w:t> </w:t>
      </w:r>
      <w:r>
        <w:rPr/>
        <w:t>staff members continued working with Schools to deliver curriculum-embedded strategies for literacy</w:t>
      </w:r>
      <w:r>
        <w:rPr>
          <w:spacing w:val="-27"/>
        </w:rPr>
        <w:t> </w:t>
      </w:r>
      <w:r>
        <w:rPr/>
        <w:t>skills</w:t>
      </w:r>
      <w:r>
        <w:rPr>
          <w:spacing w:val="-27"/>
        </w:rPr>
        <w:t> </w:t>
      </w:r>
      <w:r>
        <w:rPr/>
        <w:t>development</w:t>
      </w:r>
      <w:r>
        <w:rPr>
          <w:spacing w:val="-27"/>
        </w:rPr>
        <w:t> </w:t>
      </w:r>
      <w:r>
        <w:rPr/>
        <w:t>and</w:t>
      </w:r>
      <w:r>
        <w:rPr>
          <w:spacing w:val="-27"/>
        </w:rPr>
        <w:t> </w:t>
      </w:r>
      <w:r>
        <w:rPr/>
        <w:t>assessment.</w:t>
      </w:r>
      <w:r>
        <w:rPr>
          <w:spacing w:val="-27"/>
        </w:rPr>
        <w:t> </w:t>
      </w:r>
      <w:r>
        <w:rPr/>
        <w:t>In </w:t>
      </w:r>
      <w:r>
        <w:rPr>
          <w:spacing w:val="1"/>
          <w:w w:val="84"/>
        </w:rPr>
        <w:t>2015,</w:t>
      </w:r>
      <w:r>
        <w:rPr>
          <w:w w:val="84"/>
        </w:rPr>
        <w:t> </w:t>
      </w:r>
      <w:r>
        <w:rPr>
          <w:w w:val="97"/>
        </w:rPr>
        <w:t>this </w:t>
      </w:r>
      <w:r>
        <w:rPr>
          <w:w w:val="98"/>
        </w:rPr>
        <w:t>work </w:t>
      </w:r>
      <w:r>
        <w:rPr>
          <w:w w:val="98"/>
        </w:rPr>
        <w:t>included </w:t>
      </w:r>
      <w:r>
        <w:rPr>
          <w:w w:val="98"/>
        </w:rPr>
        <w:t>developing </w:t>
      </w:r>
      <w:r>
        <w:rPr>
          <w:w w:val="98"/>
        </w:rPr>
        <w:t>diagnostic </w:t>
      </w:r>
      <w:r>
        <w:rPr/>
        <w:t>assessments</w:t>
      </w:r>
      <w:r>
        <w:rPr>
          <w:spacing w:val="-28"/>
        </w:rPr>
        <w:t> </w:t>
      </w:r>
      <w:r>
        <w:rPr/>
        <w:t>and</w:t>
      </w:r>
      <w:r>
        <w:rPr>
          <w:spacing w:val="-28"/>
        </w:rPr>
        <w:t> </w:t>
      </w:r>
      <w:r>
        <w:rPr/>
        <w:t>support</w:t>
      </w:r>
      <w:r>
        <w:rPr>
          <w:spacing w:val="-28"/>
        </w:rPr>
        <w:t> </w:t>
      </w:r>
      <w:r>
        <w:rPr/>
        <w:t>strategies,</w:t>
      </w:r>
      <w:r>
        <w:rPr>
          <w:spacing w:val="-28"/>
        </w:rPr>
        <w:t> </w:t>
      </w:r>
      <w:r>
        <w:rPr/>
        <w:t>reviewing learning</w:t>
      </w:r>
      <w:r>
        <w:rPr>
          <w:spacing w:val="-23"/>
        </w:rPr>
        <w:t> </w:t>
      </w:r>
      <w:r>
        <w:rPr/>
        <w:t>guides,</w:t>
      </w:r>
      <w:r>
        <w:rPr>
          <w:spacing w:val="-23"/>
        </w:rPr>
        <w:t> </w:t>
      </w:r>
      <w:r>
        <w:rPr/>
        <w:t>providing</w:t>
      </w:r>
      <w:r>
        <w:rPr>
          <w:spacing w:val="-23"/>
        </w:rPr>
        <w:t> </w:t>
      </w:r>
      <w:r>
        <w:rPr/>
        <w:t>literacy</w:t>
      </w:r>
      <w:r>
        <w:rPr>
          <w:spacing w:val="-23"/>
        </w:rPr>
        <w:t> </w:t>
      </w:r>
      <w:r>
        <w:rPr/>
        <w:t>lectures</w:t>
      </w:r>
      <w:r>
        <w:rPr>
          <w:spacing w:val="-23"/>
        </w:rPr>
        <w:t> </w:t>
      </w:r>
      <w:r>
        <w:rPr/>
        <w:t>and academic</w:t>
      </w:r>
      <w:r>
        <w:rPr>
          <w:spacing w:val="-22"/>
        </w:rPr>
        <w:t> </w:t>
      </w:r>
      <w:r>
        <w:rPr/>
        <w:t>literacy</w:t>
      </w:r>
      <w:r>
        <w:rPr>
          <w:spacing w:val="-22"/>
        </w:rPr>
        <w:t> </w:t>
      </w:r>
      <w:r>
        <w:rPr/>
        <w:t>workshops,</w:t>
      </w:r>
      <w:r>
        <w:rPr>
          <w:spacing w:val="-22"/>
        </w:rPr>
        <w:t> </w:t>
      </w:r>
      <w:r>
        <w:rPr/>
        <w:t>giving</w:t>
      </w:r>
      <w:r>
        <w:rPr>
          <w:spacing w:val="-22"/>
        </w:rPr>
        <w:t> </w:t>
      </w:r>
      <w:r>
        <w:rPr/>
        <w:t>individual consultations</w:t>
      </w:r>
      <w:r>
        <w:rPr>
          <w:spacing w:val="-23"/>
        </w:rPr>
        <w:t> </w:t>
      </w:r>
      <w:r>
        <w:rPr/>
        <w:t>to</w:t>
      </w:r>
      <w:r>
        <w:rPr>
          <w:spacing w:val="-23"/>
        </w:rPr>
        <w:t> </w:t>
      </w:r>
      <w:r>
        <w:rPr/>
        <w:t>students</w:t>
      </w:r>
      <w:r>
        <w:rPr>
          <w:spacing w:val="-23"/>
        </w:rPr>
        <w:t> </w:t>
      </w:r>
      <w:r>
        <w:rPr/>
        <w:t>at</w:t>
      </w:r>
      <w:r>
        <w:rPr>
          <w:spacing w:val="-23"/>
        </w:rPr>
        <w:t> </w:t>
      </w:r>
      <w:r>
        <w:rPr/>
        <w:t>risk,</w:t>
      </w:r>
      <w:r>
        <w:rPr>
          <w:spacing w:val="-23"/>
        </w:rPr>
        <w:t> </w:t>
      </w:r>
      <w:r>
        <w:rPr/>
        <w:t>and</w:t>
      </w:r>
      <w:r>
        <w:rPr>
          <w:spacing w:val="-23"/>
        </w:rPr>
        <w:t> </w:t>
      </w:r>
      <w:r>
        <w:rPr/>
        <w:t>providing advice and support to staff members about academic literacy in their curriculum. A particular focus has been collaborative work with the Schools to embed academic literacy support</w:t>
      </w:r>
      <w:r>
        <w:rPr>
          <w:spacing w:val="-25"/>
        </w:rPr>
        <w:t> </w:t>
      </w:r>
      <w:r>
        <w:rPr/>
        <w:t>in</w:t>
      </w:r>
      <w:r>
        <w:rPr>
          <w:spacing w:val="-25"/>
        </w:rPr>
        <w:t> </w:t>
      </w:r>
      <w:r>
        <w:rPr/>
        <w:t>all</w:t>
      </w:r>
      <w:r>
        <w:rPr>
          <w:spacing w:val="-25"/>
        </w:rPr>
        <w:t> </w:t>
      </w:r>
      <w:r>
        <w:rPr/>
        <w:t>first-year</w:t>
      </w:r>
      <w:r>
        <w:rPr>
          <w:spacing w:val="-25"/>
        </w:rPr>
        <w:t> </w:t>
      </w:r>
      <w:r>
        <w:rPr/>
        <w:t>core</w:t>
      </w:r>
      <w:r>
        <w:rPr>
          <w:spacing w:val="-25"/>
        </w:rPr>
        <w:t> </w:t>
      </w:r>
      <w:r>
        <w:rPr/>
        <w:t>units.</w:t>
      </w:r>
    </w:p>
    <w:p>
      <w:pPr>
        <w:pStyle w:val="BodyText"/>
        <w:rPr>
          <w:sz w:val="14"/>
        </w:rPr>
      </w:pPr>
    </w:p>
    <w:p>
      <w:pPr>
        <w:pStyle w:val="BodyText"/>
        <w:spacing w:line="247" w:lineRule="auto"/>
        <w:ind w:left="107" w:right="92"/>
      </w:pPr>
      <w:r>
        <w:rPr/>
        <w:t>Library Roving, managed by the Library, provided one-on-one </w:t>
      </w:r>
      <w:r>
        <w:rPr>
          <w:rFonts w:ascii="Century Gothic"/>
          <w:i/>
        </w:rPr>
        <w:t>Just in time </w:t>
      </w:r>
      <w:r>
        <w:rPr/>
        <w:t>Academic Literacy student support during the year.</w:t>
      </w:r>
    </w:p>
    <w:p>
      <w:pPr>
        <w:pStyle w:val="BodyText"/>
        <w:spacing w:line="249" w:lineRule="auto" w:before="1"/>
        <w:ind w:left="107" w:right="-11"/>
      </w:pPr>
      <w:r>
        <w:rPr>
          <w:w w:val="97"/>
        </w:rPr>
        <w:t>More </w:t>
      </w:r>
      <w:r>
        <w:rPr>
          <w:w w:val="97"/>
        </w:rPr>
        <w:t>than </w:t>
      </w:r>
      <w:r>
        <w:rPr>
          <w:w w:val="87"/>
        </w:rPr>
        <w:t>1,300 </w:t>
      </w:r>
      <w:r>
        <w:rPr>
          <w:w w:val="97"/>
        </w:rPr>
        <w:t>individual </w:t>
      </w:r>
      <w:r>
        <w:rPr>
          <w:w w:val="97"/>
        </w:rPr>
        <w:t>consultations </w:t>
      </w:r>
      <w:r>
        <w:rPr>
          <w:w w:val="97"/>
        </w:rPr>
        <w:t>were </w:t>
      </w:r>
      <w:r>
        <w:rPr/>
        <w:t>provided in five campus libraries across all sessions. Students from all Schools used the service, but the most frequent users were from the School of Nursing and Midwifery, School of Social Science and Psychology, and School of Science and Health. Sixty-one per cent sought support with assessment tasks, most frequently for essay writing. Writing support was given to postgraduate research students through writing circles and other programs.</w:t>
      </w:r>
    </w:p>
    <w:p>
      <w:pPr>
        <w:pStyle w:val="BodyText"/>
        <w:rPr>
          <w:sz w:val="14"/>
        </w:rPr>
      </w:pPr>
    </w:p>
    <w:p>
      <w:pPr>
        <w:pStyle w:val="BodyText"/>
        <w:spacing w:line="249" w:lineRule="auto"/>
        <w:ind w:left="107" w:right="-11"/>
      </w:pPr>
      <w:r>
        <w:rPr/>
        <w:t>Once again, the Mathematics Education Support Hub </w:t>
      </w:r>
      <w:r>
        <w:rPr>
          <w:spacing w:val="2"/>
        </w:rPr>
        <w:t>(MESH) </w:t>
      </w:r>
      <w:r>
        <w:rPr/>
        <w:t>offered programs and support to build students’ mathematical confidence</w:t>
      </w:r>
      <w:r>
        <w:rPr>
          <w:spacing w:val="-17"/>
        </w:rPr>
        <w:t> </w:t>
      </w:r>
      <w:r>
        <w:rPr/>
        <w:t>and</w:t>
      </w:r>
      <w:r>
        <w:rPr>
          <w:spacing w:val="-17"/>
        </w:rPr>
        <w:t> </w:t>
      </w:r>
      <w:r>
        <w:rPr/>
        <w:t>skills.</w:t>
      </w:r>
      <w:r>
        <w:rPr>
          <w:spacing w:val="-17"/>
        </w:rPr>
        <w:t> </w:t>
      </w:r>
      <w:r>
        <w:rPr/>
        <w:t>These</w:t>
      </w:r>
      <w:r>
        <w:rPr>
          <w:spacing w:val="-17"/>
        </w:rPr>
        <w:t> </w:t>
      </w:r>
      <w:r>
        <w:rPr/>
        <w:t>included</w:t>
      </w:r>
      <w:r>
        <w:rPr>
          <w:spacing w:val="-17"/>
        </w:rPr>
        <w:t> </w:t>
      </w:r>
      <w:r>
        <w:rPr/>
        <w:t>face-to- face</w:t>
      </w:r>
      <w:r>
        <w:rPr>
          <w:spacing w:val="-17"/>
        </w:rPr>
        <w:t> </w:t>
      </w:r>
      <w:r>
        <w:rPr/>
        <w:t>and</w:t>
      </w:r>
      <w:r>
        <w:rPr>
          <w:spacing w:val="-17"/>
        </w:rPr>
        <w:t> </w:t>
      </w:r>
      <w:r>
        <w:rPr/>
        <w:t>online</w:t>
      </w:r>
      <w:r>
        <w:rPr>
          <w:spacing w:val="-17"/>
        </w:rPr>
        <w:t> </w:t>
      </w:r>
      <w:r>
        <w:rPr/>
        <w:t>workshops,</w:t>
      </w:r>
      <w:r>
        <w:rPr>
          <w:spacing w:val="-17"/>
        </w:rPr>
        <w:t> </w:t>
      </w:r>
      <w:r>
        <w:rPr/>
        <w:t>Library</w:t>
      </w:r>
      <w:r>
        <w:rPr>
          <w:spacing w:val="-17"/>
        </w:rPr>
        <w:t> </w:t>
      </w:r>
      <w:r>
        <w:rPr/>
        <w:t>Roving,</w:t>
      </w:r>
    </w:p>
    <w:p>
      <w:pPr>
        <w:pStyle w:val="BodyText"/>
        <w:spacing w:line="249" w:lineRule="auto"/>
        <w:ind w:left="107" w:right="207"/>
        <w:jc w:val="both"/>
      </w:pPr>
      <w:r>
        <w:rPr/>
        <w:t>a</w:t>
      </w:r>
      <w:r>
        <w:rPr>
          <w:spacing w:val="-16"/>
        </w:rPr>
        <w:t> </w:t>
      </w:r>
      <w:r>
        <w:rPr/>
        <w:t>student</w:t>
      </w:r>
      <w:r>
        <w:rPr>
          <w:spacing w:val="-16"/>
        </w:rPr>
        <w:t> </w:t>
      </w:r>
      <w:r>
        <w:rPr/>
        <w:t>helpline</w:t>
      </w:r>
      <w:r>
        <w:rPr>
          <w:spacing w:val="-16"/>
        </w:rPr>
        <w:t> </w:t>
      </w:r>
      <w:r>
        <w:rPr/>
        <w:t>and</w:t>
      </w:r>
      <w:r>
        <w:rPr>
          <w:spacing w:val="-16"/>
        </w:rPr>
        <w:t> </w:t>
      </w:r>
      <w:r>
        <w:rPr/>
        <w:t>an</w:t>
      </w:r>
      <w:r>
        <w:rPr>
          <w:spacing w:val="-16"/>
        </w:rPr>
        <w:t> </w:t>
      </w:r>
      <w:r>
        <w:rPr/>
        <w:t>improved</w:t>
      </w:r>
      <w:r>
        <w:rPr>
          <w:spacing w:val="-16"/>
        </w:rPr>
        <w:t> </w:t>
      </w:r>
      <w:r>
        <w:rPr/>
        <w:t>suite</w:t>
      </w:r>
      <w:r>
        <w:rPr>
          <w:spacing w:val="-16"/>
        </w:rPr>
        <w:t> </w:t>
      </w:r>
      <w:r>
        <w:rPr/>
        <w:t>of online</w:t>
      </w:r>
      <w:r>
        <w:rPr>
          <w:spacing w:val="-21"/>
        </w:rPr>
        <w:t> </w:t>
      </w:r>
      <w:r>
        <w:rPr/>
        <w:t>resources.</w:t>
      </w:r>
      <w:r>
        <w:rPr>
          <w:spacing w:val="-21"/>
        </w:rPr>
        <w:t> </w:t>
      </w:r>
      <w:r>
        <w:rPr/>
        <w:t>More</w:t>
      </w:r>
      <w:r>
        <w:rPr>
          <w:spacing w:val="-21"/>
        </w:rPr>
        <w:t> </w:t>
      </w:r>
      <w:r>
        <w:rPr/>
        <w:t>than</w:t>
      </w:r>
      <w:r>
        <w:rPr>
          <w:spacing w:val="-21"/>
        </w:rPr>
        <w:t> </w:t>
      </w:r>
      <w:r>
        <w:rPr>
          <w:spacing w:val="3"/>
        </w:rPr>
        <w:t>2,500</w:t>
      </w:r>
      <w:r>
        <w:rPr>
          <w:spacing w:val="-21"/>
        </w:rPr>
        <w:t> </w:t>
      </w:r>
      <w:r>
        <w:rPr/>
        <w:t>students </w:t>
      </w:r>
      <w:r>
        <w:rPr>
          <w:spacing w:val="1"/>
          <w:w w:val="98"/>
        </w:rPr>
        <w:t>attended</w:t>
      </w:r>
      <w:r>
        <w:rPr>
          <w:w w:val="98"/>
        </w:rPr>
        <w:t> </w:t>
      </w:r>
      <w:r>
        <w:rPr>
          <w:spacing w:val="1"/>
          <w:w w:val="98"/>
        </w:rPr>
        <w:t>workshops</w:t>
      </w:r>
      <w:r>
        <w:rPr>
          <w:w w:val="98"/>
        </w:rPr>
        <w:t> </w:t>
      </w:r>
      <w:r>
        <w:rPr>
          <w:w w:val="95"/>
        </w:rPr>
        <w:t>in </w:t>
      </w:r>
      <w:r>
        <w:rPr>
          <w:spacing w:val="1"/>
          <w:w w:val="84"/>
        </w:rPr>
        <w:t>2015,</w:t>
      </w:r>
      <w:r>
        <w:rPr>
          <w:spacing w:val="-10"/>
          <w:w w:val="84"/>
        </w:rPr>
        <w:t> </w:t>
      </w:r>
      <w:r>
        <w:rPr>
          <w:spacing w:val="1"/>
          <w:w w:val="94"/>
        </w:rPr>
        <w:t>including:</w:t>
      </w:r>
    </w:p>
    <w:p>
      <w:pPr>
        <w:pStyle w:val="BodyText"/>
        <w:spacing w:before="11"/>
        <w:rPr>
          <w:sz w:val="13"/>
        </w:rPr>
      </w:pPr>
    </w:p>
    <w:p>
      <w:pPr>
        <w:pStyle w:val="BodyText"/>
        <w:spacing w:line="244" w:lineRule="auto"/>
        <w:ind w:left="333" w:right="186" w:hanging="227"/>
      </w:pPr>
      <w:r>
        <w:rPr>
          <w:rFonts w:ascii="Century Gothic" w:hAnsi="Century Gothic"/>
          <w:b/>
          <w:w w:val="115"/>
        </w:rPr>
        <w:t>≥</w:t>
      </w:r>
      <w:r>
        <w:rPr>
          <w:rFonts w:ascii="Century Gothic" w:hAnsi="Century Gothic"/>
          <w:b/>
          <w:spacing w:val="12"/>
          <w:w w:val="115"/>
        </w:rPr>
        <w:t> </w:t>
      </w:r>
      <w:r>
        <w:rPr>
          <w:w w:val="105"/>
        </w:rPr>
        <w:t>‘Maths</w:t>
      </w:r>
      <w:r>
        <w:rPr>
          <w:spacing w:val="-28"/>
          <w:w w:val="105"/>
        </w:rPr>
        <w:t> </w:t>
      </w:r>
      <w:r>
        <w:rPr>
          <w:w w:val="105"/>
        </w:rPr>
        <w:t>Start’,</w:t>
      </w:r>
      <w:r>
        <w:rPr>
          <w:spacing w:val="-28"/>
          <w:w w:val="105"/>
        </w:rPr>
        <w:t> </w:t>
      </w:r>
      <w:r>
        <w:rPr>
          <w:w w:val="105"/>
        </w:rPr>
        <w:t>which</w:t>
      </w:r>
      <w:r>
        <w:rPr>
          <w:spacing w:val="-28"/>
          <w:w w:val="105"/>
        </w:rPr>
        <w:t> </w:t>
      </w:r>
      <w:r>
        <w:rPr>
          <w:w w:val="105"/>
        </w:rPr>
        <w:t>ran</w:t>
      </w:r>
      <w:r>
        <w:rPr>
          <w:spacing w:val="-28"/>
          <w:w w:val="105"/>
        </w:rPr>
        <w:t> </w:t>
      </w:r>
      <w:r>
        <w:rPr>
          <w:w w:val="105"/>
        </w:rPr>
        <w:t>for</w:t>
      </w:r>
      <w:r>
        <w:rPr>
          <w:spacing w:val="-28"/>
          <w:w w:val="105"/>
        </w:rPr>
        <w:t> </w:t>
      </w:r>
      <w:r>
        <w:rPr>
          <w:w w:val="105"/>
        </w:rPr>
        <w:t>two</w:t>
      </w:r>
      <w:r>
        <w:rPr>
          <w:spacing w:val="-28"/>
          <w:w w:val="105"/>
        </w:rPr>
        <w:t> </w:t>
      </w:r>
      <w:r>
        <w:rPr>
          <w:w w:val="105"/>
        </w:rPr>
        <w:t>weeks</w:t>
      </w:r>
      <w:r>
        <w:rPr>
          <w:spacing w:val="-28"/>
          <w:w w:val="105"/>
        </w:rPr>
        <w:t> </w:t>
      </w:r>
      <w:r>
        <w:rPr>
          <w:w w:val="105"/>
        </w:rPr>
        <w:t>in February</w:t>
      </w:r>
    </w:p>
    <w:p>
      <w:pPr>
        <w:pStyle w:val="BodyText"/>
        <w:spacing w:line="244" w:lineRule="auto" w:before="58"/>
        <w:ind w:left="333" w:right="-11" w:hanging="227"/>
      </w:pPr>
      <w:r>
        <w:rPr>
          <w:rFonts w:ascii="Century Gothic" w:hAnsi="Century Gothic"/>
          <w:b/>
          <w:w w:val="115"/>
        </w:rPr>
        <w:t>≥ </w:t>
      </w:r>
      <w:r>
        <w:rPr/>
        <w:t>unit-specific sessions, run in autumn for </w:t>
      </w:r>
      <w:r>
        <w:rPr>
          <w:w w:val="98"/>
        </w:rPr>
        <w:t>eight </w:t>
      </w:r>
      <w:r>
        <w:rPr>
          <w:w w:val="96"/>
        </w:rPr>
        <w:t>units </w:t>
      </w:r>
      <w:r>
        <w:rPr>
          <w:w w:val="97"/>
        </w:rPr>
        <w:t>and </w:t>
      </w:r>
      <w:r>
        <w:rPr>
          <w:w w:val="95"/>
        </w:rPr>
        <w:t>in </w:t>
      </w:r>
      <w:r>
        <w:rPr>
          <w:w w:val="97"/>
        </w:rPr>
        <w:t>spring </w:t>
      </w:r>
      <w:r>
        <w:rPr>
          <w:w w:val="98"/>
        </w:rPr>
        <w:t>for </w:t>
      </w:r>
      <w:r>
        <w:rPr>
          <w:w w:val="82"/>
        </w:rPr>
        <w:t>10 </w:t>
      </w:r>
      <w:r>
        <w:rPr>
          <w:w w:val="96"/>
        </w:rPr>
        <w:t>units</w:t>
      </w:r>
    </w:p>
    <w:p>
      <w:pPr>
        <w:pStyle w:val="BodyText"/>
        <w:spacing w:before="1"/>
        <w:rPr>
          <w:sz w:val="20"/>
        </w:rPr>
      </w:pPr>
      <w:r>
        <w:rPr/>
        <w:br w:type="column"/>
      </w:r>
      <w:r>
        <w:rPr>
          <w:sz w:val="20"/>
        </w:rPr>
      </w:r>
    </w:p>
    <w:p>
      <w:pPr>
        <w:pStyle w:val="BodyText"/>
        <w:spacing w:line="247" w:lineRule="auto"/>
        <w:ind w:left="333" w:right="18" w:hanging="227"/>
      </w:pPr>
      <w:r>
        <w:rPr>
          <w:rFonts w:ascii="Century Gothic" w:hAnsi="Century Gothic"/>
          <w:b/>
          <w:w w:val="115"/>
        </w:rPr>
        <w:t>≥ </w:t>
      </w:r>
      <w:r>
        <w:rPr/>
        <w:t>‘Numeracy for Nursing’, run in July for first-year nursing and midwifery students, with 200 students attending across three campuses.</w:t>
      </w:r>
    </w:p>
    <w:p>
      <w:pPr>
        <w:pStyle w:val="BodyText"/>
        <w:spacing w:before="2"/>
        <w:rPr>
          <w:sz w:val="14"/>
        </w:rPr>
      </w:pPr>
    </w:p>
    <w:p>
      <w:pPr>
        <w:pStyle w:val="BodyText"/>
        <w:spacing w:line="247" w:lineRule="auto"/>
        <w:ind w:left="107" w:right="25"/>
      </w:pPr>
      <w:r>
        <w:rPr/>
        <w:t>In</w:t>
      </w:r>
      <w:r>
        <w:rPr>
          <w:spacing w:val="-18"/>
        </w:rPr>
        <w:t> </w:t>
      </w:r>
      <w:r>
        <w:rPr/>
        <w:t>addition</w:t>
      </w:r>
      <w:r>
        <w:rPr>
          <w:spacing w:val="-18"/>
        </w:rPr>
        <w:t> </w:t>
      </w:r>
      <w:r>
        <w:rPr/>
        <w:t>to</w:t>
      </w:r>
      <w:r>
        <w:rPr>
          <w:spacing w:val="-18"/>
        </w:rPr>
        <w:t> </w:t>
      </w:r>
      <w:r>
        <w:rPr/>
        <w:t>targeted</w:t>
      </w:r>
      <w:r>
        <w:rPr>
          <w:spacing w:val="-18"/>
        </w:rPr>
        <w:t> </w:t>
      </w:r>
      <w:r>
        <w:rPr/>
        <w:t>workshops,</w:t>
      </w:r>
      <w:r>
        <w:rPr>
          <w:spacing w:val="-18"/>
        </w:rPr>
        <w:t> </w:t>
      </w:r>
      <w:r>
        <w:rPr>
          <w:spacing w:val="2"/>
        </w:rPr>
        <w:t>MESH</w:t>
      </w:r>
      <w:r>
        <w:rPr>
          <w:spacing w:val="-18"/>
        </w:rPr>
        <w:t> </w:t>
      </w:r>
      <w:r>
        <w:rPr/>
        <w:t>also ran </w:t>
      </w:r>
      <w:r>
        <w:rPr>
          <w:spacing w:val="2"/>
        </w:rPr>
        <w:t>one-on-one </w:t>
      </w:r>
      <w:r>
        <w:rPr>
          <w:rFonts w:ascii="Century Gothic"/>
          <w:i/>
        </w:rPr>
        <w:t>Just in time </w:t>
      </w:r>
      <w:r>
        <w:rPr/>
        <w:t>maths student support through Library Roving. More than 750 individual consultations were provided in five</w:t>
      </w:r>
      <w:r>
        <w:rPr>
          <w:spacing w:val="-17"/>
        </w:rPr>
        <w:t> </w:t>
      </w:r>
      <w:r>
        <w:rPr/>
        <w:t>campus</w:t>
      </w:r>
      <w:r>
        <w:rPr>
          <w:spacing w:val="-17"/>
        </w:rPr>
        <w:t> </w:t>
      </w:r>
      <w:r>
        <w:rPr/>
        <w:t>libraries</w:t>
      </w:r>
      <w:r>
        <w:rPr>
          <w:spacing w:val="-17"/>
        </w:rPr>
        <w:t> </w:t>
      </w:r>
      <w:r>
        <w:rPr/>
        <w:t>in</w:t>
      </w:r>
      <w:r>
        <w:rPr>
          <w:spacing w:val="-17"/>
        </w:rPr>
        <w:t> </w:t>
      </w:r>
      <w:r>
        <w:rPr/>
        <w:t>the</w:t>
      </w:r>
      <w:r>
        <w:rPr>
          <w:spacing w:val="-17"/>
        </w:rPr>
        <w:t> </w:t>
      </w:r>
      <w:r>
        <w:rPr/>
        <w:t>autumn</w:t>
      </w:r>
      <w:r>
        <w:rPr>
          <w:spacing w:val="-17"/>
        </w:rPr>
        <w:t> </w:t>
      </w:r>
      <w:r>
        <w:rPr/>
        <w:t>and</w:t>
      </w:r>
      <w:r>
        <w:rPr>
          <w:spacing w:val="-17"/>
        </w:rPr>
        <w:t> </w:t>
      </w:r>
      <w:r>
        <w:rPr/>
        <w:t>spring sessions. Students from 50 units sought assistance, including students from about 30 non-mathematics units that require maths skills.</w:t>
      </w:r>
    </w:p>
    <w:p>
      <w:pPr>
        <w:pStyle w:val="BodyText"/>
        <w:spacing w:before="2"/>
        <w:rPr>
          <w:sz w:val="14"/>
        </w:rPr>
      </w:pPr>
    </w:p>
    <w:p>
      <w:pPr>
        <w:pStyle w:val="BodyText"/>
        <w:spacing w:line="249" w:lineRule="auto"/>
        <w:ind w:left="107" w:right="147"/>
      </w:pPr>
      <w:r>
        <w:rPr/>
        <w:t>Online support was provided through three </w:t>
      </w:r>
      <w:r>
        <w:rPr>
          <w:w w:val="95"/>
        </w:rPr>
        <w:t>key initiatives:</w:t>
      </w:r>
    </w:p>
    <w:p>
      <w:pPr>
        <w:pStyle w:val="BodyText"/>
        <w:spacing w:before="11"/>
        <w:rPr>
          <w:sz w:val="13"/>
        </w:rPr>
      </w:pPr>
    </w:p>
    <w:p>
      <w:pPr>
        <w:pStyle w:val="BodyText"/>
        <w:spacing w:line="247" w:lineRule="auto"/>
        <w:ind w:left="333" w:right="95" w:hanging="227"/>
      </w:pPr>
      <w:r>
        <w:rPr>
          <w:rFonts w:ascii="Century Gothic" w:hAnsi="Century Gothic"/>
          <w:b/>
          <w:w w:val="115"/>
        </w:rPr>
        <w:t>≥ </w:t>
      </w:r>
      <w:r>
        <w:rPr/>
        <w:t>‘I Don’t Get It’, a facility on the </w:t>
      </w:r>
      <w:r>
        <w:rPr>
          <w:spacing w:val="2"/>
        </w:rPr>
        <w:t>MESH </w:t>
      </w:r>
      <w:r>
        <w:rPr/>
        <w:t>website,</w:t>
      </w:r>
      <w:r>
        <w:rPr>
          <w:spacing w:val="-15"/>
        </w:rPr>
        <w:t> </w:t>
      </w:r>
      <w:r>
        <w:rPr/>
        <w:t>which</w:t>
      </w:r>
      <w:r>
        <w:rPr>
          <w:spacing w:val="-15"/>
        </w:rPr>
        <w:t> </w:t>
      </w:r>
      <w:r>
        <w:rPr/>
        <w:t>was</w:t>
      </w:r>
      <w:r>
        <w:rPr>
          <w:spacing w:val="-15"/>
        </w:rPr>
        <w:t> </w:t>
      </w:r>
      <w:r>
        <w:rPr/>
        <w:t>used</w:t>
      </w:r>
      <w:r>
        <w:rPr>
          <w:spacing w:val="-15"/>
        </w:rPr>
        <w:t> </w:t>
      </w:r>
      <w:r>
        <w:rPr/>
        <w:t>by</w:t>
      </w:r>
      <w:r>
        <w:rPr>
          <w:spacing w:val="-15"/>
        </w:rPr>
        <w:t> </w:t>
      </w:r>
      <w:r>
        <w:rPr/>
        <w:t>more</w:t>
      </w:r>
      <w:r>
        <w:rPr>
          <w:spacing w:val="-15"/>
        </w:rPr>
        <w:t> </w:t>
      </w:r>
      <w:r>
        <w:rPr/>
        <w:t>than</w:t>
      </w:r>
      <w:r>
        <w:rPr>
          <w:spacing w:val="-15"/>
        </w:rPr>
        <w:t> </w:t>
      </w:r>
      <w:r>
        <w:rPr/>
        <w:t>40 students seeking help on topics such as statistics,</w:t>
      </w:r>
      <w:r>
        <w:rPr>
          <w:spacing w:val="-19"/>
        </w:rPr>
        <w:t> </w:t>
      </w:r>
      <w:r>
        <w:rPr/>
        <w:t>calculus,</w:t>
      </w:r>
      <w:r>
        <w:rPr>
          <w:spacing w:val="-19"/>
        </w:rPr>
        <w:t> </w:t>
      </w:r>
      <w:r>
        <w:rPr/>
        <w:t>algebra,</w:t>
      </w:r>
      <w:r>
        <w:rPr>
          <w:spacing w:val="-19"/>
        </w:rPr>
        <w:t> </w:t>
      </w:r>
      <w:r>
        <w:rPr/>
        <w:t>induction</w:t>
      </w:r>
      <w:r>
        <w:rPr>
          <w:spacing w:val="-19"/>
        </w:rPr>
        <w:t> </w:t>
      </w:r>
      <w:r>
        <w:rPr/>
        <w:t>and fractions</w:t>
      </w:r>
    </w:p>
    <w:p>
      <w:pPr>
        <w:pStyle w:val="BodyText"/>
        <w:spacing w:line="247" w:lineRule="auto" w:before="57"/>
        <w:ind w:left="333" w:right="-7" w:hanging="227"/>
      </w:pPr>
      <w:r>
        <w:rPr>
          <w:rFonts w:ascii="Century Gothic" w:hAnsi="Century Gothic"/>
          <w:b/>
          <w:w w:val="115"/>
        </w:rPr>
        <w:t>≥ </w:t>
      </w:r>
      <w:r>
        <w:rPr/>
        <w:t>provision of online guidance materials, for which</w:t>
      </w:r>
      <w:r>
        <w:rPr>
          <w:spacing w:val="-17"/>
        </w:rPr>
        <w:t> </w:t>
      </w:r>
      <w:r>
        <w:rPr/>
        <w:t>Don</w:t>
      </w:r>
      <w:r>
        <w:rPr>
          <w:spacing w:val="-17"/>
        </w:rPr>
        <w:t> </w:t>
      </w:r>
      <w:r>
        <w:rPr/>
        <w:t>Shearman</w:t>
      </w:r>
      <w:r>
        <w:rPr>
          <w:spacing w:val="-17"/>
        </w:rPr>
        <w:t> </w:t>
      </w:r>
      <w:r>
        <w:rPr/>
        <w:t>received</w:t>
      </w:r>
      <w:r>
        <w:rPr>
          <w:spacing w:val="-17"/>
        </w:rPr>
        <w:t> </w:t>
      </w:r>
      <w:r>
        <w:rPr/>
        <w:t>the</w:t>
      </w:r>
      <w:r>
        <w:rPr>
          <w:spacing w:val="-17"/>
        </w:rPr>
        <w:t> </w:t>
      </w:r>
      <w:r>
        <w:rPr/>
        <w:t>Western Sydney Content Wizard Award for the </w:t>
      </w:r>
      <w:r>
        <w:rPr>
          <w:spacing w:val="2"/>
        </w:rPr>
        <w:t>MESH</w:t>
      </w:r>
      <w:r>
        <w:rPr>
          <w:spacing w:val="-29"/>
        </w:rPr>
        <w:t> </w:t>
      </w:r>
      <w:r>
        <w:rPr/>
        <w:t>site</w:t>
      </w:r>
    </w:p>
    <w:p>
      <w:pPr>
        <w:pStyle w:val="BodyText"/>
        <w:spacing w:line="247" w:lineRule="auto" w:before="57"/>
        <w:ind w:left="333" w:right="-15" w:hanging="227"/>
      </w:pPr>
      <w:r>
        <w:rPr>
          <w:rFonts w:ascii="Century Gothic" w:hAnsi="Century Gothic"/>
          <w:b/>
          <w:w w:val="115"/>
        </w:rPr>
        <w:t>≥ </w:t>
      </w:r>
      <w:r>
        <w:rPr/>
        <w:t>the vUWS site ‘Improve Your Maths’, which provided students with online learning resources across many topics.</w:t>
      </w:r>
    </w:p>
    <w:p>
      <w:pPr>
        <w:pStyle w:val="BodyText"/>
        <w:spacing w:before="9"/>
        <w:rPr>
          <w:sz w:val="21"/>
        </w:rPr>
      </w:pPr>
    </w:p>
    <w:p>
      <w:pPr>
        <w:pStyle w:val="Heading8"/>
        <w:spacing w:line="249" w:lineRule="auto"/>
        <w:ind w:right="77"/>
      </w:pPr>
      <w:r>
        <w:rPr>
          <w:spacing w:val="2"/>
        </w:rPr>
        <w:t>BUILDING</w:t>
      </w:r>
      <w:r>
        <w:rPr>
          <w:spacing w:val="-25"/>
        </w:rPr>
        <w:t> </w:t>
      </w:r>
      <w:r>
        <w:rPr/>
        <w:t>STAFF</w:t>
      </w:r>
      <w:r>
        <w:rPr>
          <w:spacing w:val="-25"/>
        </w:rPr>
        <w:t> </w:t>
      </w:r>
      <w:r>
        <w:rPr/>
        <w:t>CAPACITY</w:t>
      </w:r>
      <w:r>
        <w:rPr>
          <w:spacing w:val="-25"/>
        </w:rPr>
        <w:t> </w:t>
      </w:r>
      <w:r>
        <w:rPr/>
        <w:t>TO</w:t>
      </w:r>
      <w:r>
        <w:rPr>
          <w:spacing w:val="-25"/>
        </w:rPr>
        <w:t> </w:t>
      </w:r>
      <w:r>
        <w:rPr/>
        <w:t>ENGAGE</w:t>
      </w:r>
      <w:r>
        <w:rPr>
          <w:spacing w:val="-25"/>
        </w:rPr>
        <w:t> </w:t>
      </w:r>
      <w:r>
        <w:rPr/>
        <w:t>IN </w:t>
      </w:r>
      <w:r>
        <w:rPr>
          <w:spacing w:val="2"/>
        </w:rPr>
        <w:t>AND</w:t>
      </w:r>
      <w:r>
        <w:rPr>
          <w:spacing w:val="-27"/>
        </w:rPr>
        <w:t> </w:t>
      </w:r>
      <w:r>
        <w:rPr>
          <w:spacing w:val="2"/>
        </w:rPr>
        <w:t>LEAD</w:t>
      </w:r>
      <w:r>
        <w:rPr>
          <w:spacing w:val="-27"/>
        </w:rPr>
        <w:t> </w:t>
      </w:r>
      <w:r>
        <w:rPr/>
        <w:t>QUALITY</w:t>
      </w:r>
      <w:r>
        <w:rPr>
          <w:spacing w:val="-27"/>
        </w:rPr>
        <w:t> </w:t>
      </w:r>
      <w:r>
        <w:rPr/>
        <w:t>TEACHING</w:t>
      </w:r>
    </w:p>
    <w:p>
      <w:pPr>
        <w:pStyle w:val="BodyText"/>
        <w:spacing w:line="249" w:lineRule="auto" w:before="79"/>
        <w:ind w:left="107" w:right="8"/>
      </w:pPr>
      <w:r>
        <w:rPr/>
        <w:t>The Pro Vice-Chancellor (Education) portfolio continued to offer professional learning opportunities</w:t>
      </w:r>
      <w:r>
        <w:rPr>
          <w:spacing w:val="-16"/>
        </w:rPr>
        <w:t> </w:t>
      </w:r>
      <w:r>
        <w:rPr/>
        <w:t>for</w:t>
      </w:r>
      <w:r>
        <w:rPr>
          <w:spacing w:val="-16"/>
        </w:rPr>
        <w:t> </w:t>
      </w:r>
      <w:r>
        <w:rPr/>
        <w:t>teachers</w:t>
      </w:r>
      <w:r>
        <w:rPr>
          <w:spacing w:val="-16"/>
        </w:rPr>
        <w:t> </w:t>
      </w:r>
      <w:r>
        <w:rPr/>
        <w:t>seeking</w:t>
      </w:r>
      <w:r>
        <w:rPr>
          <w:spacing w:val="-16"/>
        </w:rPr>
        <w:t> </w:t>
      </w:r>
      <w:r>
        <w:rPr/>
        <w:t>to</w:t>
      </w:r>
      <w:r>
        <w:rPr>
          <w:spacing w:val="-16"/>
        </w:rPr>
        <w:t> </w:t>
      </w:r>
      <w:r>
        <w:rPr/>
        <w:t>innovate and develop new curricula, and support the University’s</w:t>
      </w:r>
      <w:r>
        <w:rPr>
          <w:spacing w:val="-22"/>
        </w:rPr>
        <w:t> </w:t>
      </w:r>
      <w:r>
        <w:rPr/>
        <w:t>teaching</w:t>
      </w:r>
      <w:r>
        <w:rPr>
          <w:spacing w:val="-22"/>
        </w:rPr>
        <w:t> </w:t>
      </w:r>
      <w:r>
        <w:rPr/>
        <w:t>and</w:t>
      </w:r>
      <w:r>
        <w:rPr>
          <w:spacing w:val="-22"/>
        </w:rPr>
        <w:t> </w:t>
      </w:r>
      <w:r>
        <w:rPr/>
        <w:t>curriculum</w:t>
      </w:r>
      <w:r>
        <w:rPr>
          <w:spacing w:val="-22"/>
        </w:rPr>
        <w:t> </w:t>
      </w:r>
      <w:r>
        <w:rPr/>
        <w:t>leaders.</w:t>
      </w:r>
    </w:p>
    <w:p>
      <w:pPr>
        <w:pStyle w:val="BodyText"/>
        <w:spacing w:before="6"/>
        <w:rPr>
          <w:sz w:val="14"/>
        </w:rPr>
      </w:pPr>
    </w:p>
    <w:p>
      <w:pPr>
        <w:pStyle w:val="Heading8"/>
        <w:ind w:right="58"/>
      </w:pPr>
      <w:r>
        <w:rPr>
          <w:color w:val="636466"/>
          <w:w w:val="95"/>
        </w:rPr>
        <w:t>Director of Academic Program Forums</w:t>
      </w:r>
    </w:p>
    <w:p>
      <w:pPr>
        <w:pStyle w:val="BodyText"/>
        <w:spacing w:line="249" w:lineRule="auto" w:before="86"/>
        <w:ind w:left="107" w:right="-11"/>
      </w:pPr>
      <w:r>
        <w:rPr/>
        <w:t>Director of Academic Program (DAP) forums, sponsored by the Pro Vice-Chancellor </w:t>
      </w:r>
      <w:r>
        <w:rPr>
          <w:w w:val="96"/>
        </w:rPr>
        <w:t>(Education), </w:t>
      </w:r>
      <w:r>
        <w:rPr>
          <w:w w:val="97"/>
        </w:rPr>
        <w:t>were </w:t>
      </w:r>
      <w:r>
        <w:rPr>
          <w:w w:val="97"/>
        </w:rPr>
        <w:t>held </w:t>
      </w:r>
      <w:r>
        <w:rPr>
          <w:w w:val="97"/>
        </w:rPr>
        <w:t>quarterly </w:t>
      </w:r>
      <w:r>
        <w:rPr>
          <w:w w:val="95"/>
        </w:rPr>
        <w:t>in </w:t>
      </w:r>
      <w:r>
        <w:rPr>
          <w:w w:val="84"/>
        </w:rPr>
        <w:t>2015.</w:t>
      </w:r>
    </w:p>
    <w:p>
      <w:pPr>
        <w:pStyle w:val="BodyText"/>
        <w:spacing w:line="249" w:lineRule="auto"/>
        <w:ind w:left="107" w:right="58"/>
      </w:pPr>
      <w:r>
        <w:rPr/>
        <w:t>The forums focused on supporting the professional development of DAPs in their challenging role and on University-wide learning and teaching initiatives and best practice. The role of DAPs is pivotal to providing academic leadership and strategic direction for the courses that make up each academic discipline or program. DAPS</w:t>
      </w:r>
    </w:p>
    <w:p>
      <w:pPr>
        <w:pStyle w:val="BodyText"/>
        <w:spacing w:line="249" w:lineRule="auto"/>
        <w:ind w:left="107" w:right="58"/>
      </w:pPr>
      <w:r>
        <w:rPr/>
        <w:t>are responsible for overseeing a quality agenda</w:t>
      </w:r>
      <w:r>
        <w:rPr>
          <w:spacing w:val="-15"/>
        </w:rPr>
        <w:t> </w:t>
      </w:r>
      <w:r>
        <w:rPr/>
        <w:t>that</w:t>
      </w:r>
      <w:r>
        <w:rPr>
          <w:spacing w:val="-15"/>
        </w:rPr>
        <w:t> </w:t>
      </w:r>
      <w:r>
        <w:rPr/>
        <w:t>is</w:t>
      </w:r>
      <w:r>
        <w:rPr>
          <w:spacing w:val="-15"/>
        </w:rPr>
        <w:t> </w:t>
      </w:r>
      <w:r>
        <w:rPr/>
        <w:t>driven</w:t>
      </w:r>
      <w:r>
        <w:rPr>
          <w:spacing w:val="-15"/>
        </w:rPr>
        <w:t> </w:t>
      </w:r>
      <w:r>
        <w:rPr/>
        <w:t>by</w:t>
      </w:r>
      <w:r>
        <w:rPr>
          <w:spacing w:val="-15"/>
        </w:rPr>
        <w:t> </w:t>
      </w:r>
      <w:r>
        <w:rPr/>
        <w:t>both</w:t>
      </w:r>
      <w:r>
        <w:rPr>
          <w:spacing w:val="-15"/>
        </w:rPr>
        <w:t> </w:t>
      </w:r>
      <w:r>
        <w:rPr/>
        <w:t>the</w:t>
      </w:r>
      <w:r>
        <w:rPr>
          <w:spacing w:val="-15"/>
        </w:rPr>
        <w:t> </w:t>
      </w:r>
      <w:r>
        <w:rPr/>
        <w:t>University</w:t>
      </w:r>
    </w:p>
    <w:p>
      <w:pPr>
        <w:pStyle w:val="BodyText"/>
        <w:spacing w:before="2"/>
        <w:rPr>
          <w:sz w:val="20"/>
        </w:rPr>
      </w:pPr>
      <w:r>
        <w:rPr/>
        <w:br w:type="column"/>
      </w:r>
      <w:r>
        <w:rPr>
          <w:sz w:val="20"/>
        </w:rPr>
      </w:r>
    </w:p>
    <w:p>
      <w:pPr>
        <w:pStyle w:val="BodyText"/>
        <w:spacing w:line="249" w:lineRule="auto"/>
        <w:ind w:left="107" w:right="318"/>
      </w:pPr>
      <w:r>
        <w:rPr/>
        <w:t>and external factors, such as meeting the demands of the Tertiary Education Quality and Standards Agency and professional accreditation bodies.</w:t>
      </w:r>
    </w:p>
    <w:p>
      <w:pPr>
        <w:pStyle w:val="BodyText"/>
        <w:spacing w:before="6"/>
        <w:rPr>
          <w:sz w:val="14"/>
        </w:rPr>
      </w:pPr>
    </w:p>
    <w:p>
      <w:pPr>
        <w:pStyle w:val="Heading8"/>
        <w:ind w:right="112"/>
      </w:pPr>
      <w:r>
        <w:rPr>
          <w:color w:val="636466"/>
          <w:w w:val="95"/>
        </w:rPr>
        <w:t>Deputy Deans Discussions Forums</w:t>
      </w:r>
    </w:p>
    <w:p>
      <w:pPr>
        <w:pStyle w:val="BodyText"/>
        <w:spacing w:line="249" w:lineRule="auto" w:before="86"/>
        <w:ind w:left="107" w:right="225"/>
      </w:pPr>
      <w:r>
        <w:rPr/>
        <w:t>The Deputy Vice-Chancellor (Academic) met the Deputy </w:t>
      </w:r>
      <w:r>
        <w:rPr>
          <w:spacing w:val="2"/>
        </w:rPr>
        <w:t>Deans, </w:t>
      </w:r>
      <w:r>
        <w:rPr/>
        <w:t>Pro Vice-Chancellor (Education) and Associate Pro Vice- Chancellors (Education) monthly to collaborate</w:t>
      </w:r>
      <w:r>
        <w:rPr>
          <w:spacing w:val="-17"/>
        </w:rPr>
        <w:t> </w:t>
      </w:r>
      <w:r>
        <w:rPr/>
        <w:t>on</w:t>
      </w:r>
      <w:r>
        <w:rPr>
          <w:spacing w:val="-17"/>
        </w:rPr>
        <w:t> </w:t>
      </w:r>
      <w:r>
        <w:rPr/>
        <w:t>new</w:t>
      </w:r>
      <w:r>
        <w:rPr>
          <w:spacing w:val="-17"/>
        </w:rPr>
        <w:t> </w:t>
      </w:r>
      <w:r>
        <w:rPr/>
        <w:t>leadership</w:t>
      </w:r>
      <w:r>
        <w:rPr>
          <w:spacing w:val="-17"/>
        </w:rPr>
        <w:t> </w:t>
      </w:r>
      <w:r>
        <w:rPr/>
        <w:t>strategies</w:t>
      </w:r>
      <w:r>
        <w:rPr>
          <w:spacing w:val="-17"/>
        </w:rPr>
        <w:t> </w:t>
      </w:r>
      <w:r>
        <w:rPr/>
        <w:t>and explore</w:t>
      </w:r>
      <w:r>
        <w:rPr>
          <w:spacing w:val="-18"/>
        </w:rPr>
        <w:t> </w:t>
      </w:r>
      <w:r>
        <w:rPr/>
        <w:t>topics</w:t>
      </w:r>
      <w:r>
        <w:rPr>
          <w:spacing w:val="-18"/>
        </w:rPr>
        <w:t> </w:t>
      </w:r>
      <w:r>
        <w:rPr/>
        <w:t>relevant</w:t>
      </w:r>
      <w:r>
        <w:rPr>
          <w:spacing w:val="-18"/>
        </w:rPr>
        <w:t> </w:t>
      </w:r>
      <w:r>
        <w:rPr/>
        <w:t>to</w:t>
      </w:r>
      <w:r>
        <w:rPr>
          <w:spacing w:val="-18"/>
        </w:rPr>
        <w:t> </w:t>
      </w:r>
      <w:r>
        <w:rPr/>
        <w:t>their</w:t>
      </w:r>
      <w:r>
        <w:rPr>
          <w:spacing w:val="-18"/>
        </w:rPr>
        <w:t> </w:t>
      </w:r>
      <w:r>
        <w:rPr/>
        <w:t>roles.</w:t>
      </w:r>
    </w:p>
    <w:p>
      <w:pPr>
        <w:pStyle w:val="BodyText"/>
        <w:spacing w:before="6"/>
        <w:rPr>
          <w:sz w:val="14"/>
        </w:rPr>
      </w:pPr>
    </w:p>
    <w:p>
      <w:pPr>
        <w:pStyle w:val="Heading8"/>
        <w:spacing w:line="249" w:lineRule="auto"/>
        <w:ind w:right="112"/>
      </w:pPr>
      <w:r>
        <w:rPr>
          <w:color w:val="636466"/>
          <w:w w:val="95"/>
        </w:rPr>
        <w:t>Blended Learning Forums and Professional </w:t>
      </w:r>
      <w:r>
        <w:rPr>
          <w:color w:val="636466"/>
        </w:rPr>
        <w:t>Development</w:t>
      </w:r>
    </w:p>
    <w:p>
      <w:pPr>
        <w:pStyle w:val="BodyText"/>
        <w:spacing w:line="249" w:lineRule="auto" w:before="79"/>
        <w:ind w:left="107" w:right="112"/>
      </w:pPr>
      <w:r>
        <w:rPr/>
        <w:t>The Blended Learning forums share participants’ expertise and innovations in digital learning design in higher education. Presenters included </w:t>
      </w:r>
      <w:r>
        <w:rPr>
          <w:spacing w:val="2"/>
        </w:rPr>
        <w:t>academics, </w:t>
      </w:r>
      <w:r>
        <w:rPr/>
        <w:t>professional staff</w:t>
      </w:r>
      <w:r>
        <w:rPr>
          <w:spacing w:val="-20"/>
        </w:rPr>
        <w:t> </w:t>
      </w:r>
      <w:r>
        <w:rPr/>
        <w:t>members</w:t>
      </w:r>
      <w:r>
        <w:rPr>
          <w:spacing w:val="-20"/>
        </w:rPr>
        <w:t> </w:t>
      </w:r>
      <w:r>
        <w:rPr/>
        <w:t>and</w:t>
      </w:r>
      <w:r>
        <w:rPr>
          <w:spacing w:val="-20"/>
        </w:rPr>
        <w:t> </w:t>
      </w:r>
      <w:r>
        <w:rPr/>
        <w:t>guest</w:t>
      </w:r>
      <w:r>
        <w:rPr>
          <w:spacing w:val="-20"/>
        </w:rPr>
        <w:t> </w:t>
      </w:r>
      <w:r>
        <w:rPr/>
        <w:t>speakers.</w:t>
      </w:r>
      <w:r>
        <w:rPr>
          <w:spacing w:val="-20"/>
        </w:rPr>
        <w:t> </w:t>
      </w:r>
      <w:r>
        <w:rPr/>
        <w:t>In</w:t>
      </w:r>
      <w:r>
        <w:rPr>
          <w:spacing w:val="-20"/>
        </w:rPr>
        <w:t> </w:t>
      </w:r>
      <w:r>
        <w:rPr/>
        <w:t>addition to</w:t>
      </w:r>
      <w:r>
        <w:rPr>
          <w:spacing w:val="-18"/>
        </w:rPr>
        <w:t> </w:t>
      </w:r>
      <w:r>
        <w:rPr/>
        <w:t>the</w:t>
      </w:r>
      <w:r>
        <w:rPr>
          <w:spacing w:val="-18"/>
        </w:rPr>
        <w:t> </w:t>
      </w:r>
      <w:r>
        <w:rPr/>
        <w:t>Design</w:t>
      </w:r>
      <w:r>
        <w:rPr>
          <w:spacing w:val="-18"/>
        </w:rPr>
        <w:t> </w:t>
      </w:r>
      <w:r>
        <w:rPr/>
        <w:t>for</w:t>
      </w:r>
      <w:r>
        <w:rPr>
          <w:spacing w:val="-18"/>
        </w:rPr>
        <w:t> </w:t>
      </w:r>
      <w:r>
        <w:rPr/>
        <w:t>Learning</w:t>
      </w:r>
      <w:r>
        <w:rPr>
          <w:spacing w:val="-18"/>
        </w:rPr>
        <w:t> </w:t>
      </w:r>
      <w:r>
        <w:rPr/>
        <w:t>forums,</w:t>
      </w:r>
      <w:r>
        <w:rPr>
          <w:spacing w:val="-18"/>
        </w:rPr>
        <w:t> </w:t>
      </w:r>
      <w:r>
        <w:rPr/>
        <w:t>more</w:t>
      </w:r>
    </w:p>
    <w:p>
      <w:pPr>
        <w:pStyle w:val="BodyText"/>
        <w:spacing w:line="249" w:lineRule="auto"/>
        <w:ind w:left="107" w:right="232"/>
      </w:pPr>
      <w:r>
        <w:rPr/>
        <w:t>than 40 professional development activities </w:t>
      </w:r>
      <w:r>
        <w:rPr>
          <w:w w:val="97"/>
        </w:rPr>
        <w:t>were </w:t>
      </w:r>
      <w:r>
        <w:rPr>
          <w:w w:val="98"/>
        </w:rPr>
        <w:t>offered </w:t>
      </w:r>
      <w:r>
        <w:rPr>
          <w:w w:val="95"/>
        </w:rPr>
        <w:t>in </w:t>
      </w:r>
      <w:r>
        <w:rPr>
          <w:w w:val="84"/>
        </w:rPr>
        <w:t>2015. </w:t>
      </w:r>
      <w:r>
        <w:rPr>
          <w:w w:val="94"/>
        </w:rPr>
        <w:t>These </w:t>
      </w:r>
      <w:r>
        <w:rPr>
          <w:w w:val="98"/>
        </w:rPr>
        <w:t>included </w:t>
      </w:r>
      <w:r>
        <w:rPr>
          <w:w w:val="97"/>
        </w:rPr>
        <w:t>new </w:t>
      </w:r>
      <w:r>
        <w:rPr/>
        <w:t>workshops developed and delivered for Basic Standards, Learning Analytics, Open Education Resources, planning to teach</w:t>
      </w:r>
    </w:p>
    <w:p>
      <w:pPr>
        <w:pStyle w:val="BodyText"/>
        <w:spacing w:line="249" w:lineRule="auto"/>
        <w:ind w:left="107" w:right="113"/>
      </w:pPr>
      <w:r>
        <w:rPr/>
        <w:t>and assess online using Adobe Premier Pro, on-camera presenter performance, using Zoom videoconferencing and global writing/ </w:t>
      </w:r>
      <w:r>
        <w:rPr>
          <w:w w:val="94"/>
        </w:rPr>
        <w:t>plagiarism. </w:t>
      </w:r>
      <w:r>
        <w:rPr>
          <w:w w:val="80"/>
        </w:rPr>
        <w:t>In </w:t>
      </w:r>
      <w:r>
        <w:rPr>
          <w:w w:val="84"/>
        </w:rPr>
        <w:t>2015, </w:t>
      </w:r>
      <w:r>
        <w:rPr>
          <w:w w:val="96"/>
        </w:rPr>
        <w:t>these </w:t>
      </w:r>
      <w:r>
        <w:rPr>
          <w:w w:val="97"/>
        </w:rPr>
        <w:t>professional </w:t>
      </w:r>
      <w:r>
        <w:rPr>
          <w:w w:val="96"/>
        </w:rPr>
        <w:t>learning </w:t>
      </w:r>
      <w:r>
        <w:rPr/>
        <w:t>activities received a Net Promotion Score</w:t>
      </w:r>
    </w:p>
    <w:p>
      <w:pPr>
        <w:pStyle w:val="BodyText"/>
        <w:spacing w:line="249" w:lineRule="auto"/>
        <w:ind w:left="107" w:right="265"/>
      </w:pPr>
      <w:r>
        <w:rPr/>
        <w:t>of</w:t>
      </w:r>
      <w:r>
        <w:rPr>
          <w:spacing w:val="-19"/>
        </w:rPr>
        <w:t> </w:t>
      </w:r>
      <w:r>
        <w:rPr>
          <w:spacing w:val="3"/>
        </w:rPr>
        <w:t>73.3</w:t>
      </w:r>
      <w:r>
        <w:rPr>
          <w:spacing w:val="-19"/>
        </w:rPr>
        <w:t> </w:t>
      </w:r>
      <w:r>
        <w:rPr/>
        <w:t>per</w:t>
      </w:r>
      <w:r>
        <w:rPr>
          <w:spacing w:val="-19"/>
        </w:rPr>
        <w:t> </w:t>
      </w:r>
      <w:r>
        <w:rPr/>
        <w:t>cent,</w:t>
      </w:r>
      <w:r>
        <w:rPr>
          <w:spacing w:val="-19"/>
        </w:rPr>
        <w:t> </w:t>
      </w:r>
      <w:r>
        <w:rPr/>
        <w:t>indicating</w:t>
      </w:r>
      <w:r>
        <w:rPr>
          <w:spacing w:val="-19"/>
        </w:rPr>
        <w:t> </w:t>
      </w:r>
      <w:r>
        <w:rPr/>
        <w:t>a</w:t>
      </w:r>
      <w:r>
        <w:rPr>
          <w:spacing w:val="-19"/>
        </w:rPr>
        <w:t> </w:t>
      </w:r>
      <w:r>
        <w:rPr/>
        <w:t>very</w:t>
      </w:r>
      <w:r>
        <w:rPr>
          <w:spacing w:val="-19"/>
        </w:rPr>
        <w:t> </w:t>
      </w:r>
      <w:r>
        <w:rPr/>
        <w:t>high</w:t>
      </w:r>
      <w:r>
        <w:rPr>
          <w:spacing w:val="-19"/>
        </w:rPr>
        <w:t> </w:t>
      </w:r>
      <w:r>
        <w:rPr/>
        <w:t>level of</w:t>
      </w:r>
      <w:r>
        <w:rPr>
          <w:spacing w:val="-13"/>
        </w:rPr>
        <w:t> </w:t>
      </w:r>
      <w:r>
        <w:rPr/>
        <w:t>participant</w:t>
      </w:r>
      <w:r>
        <w:rPr>
          <w:spacing w:val="-13"/>
        </w:rPr>
        <w:t> </w:t>
      </w:r>
      <w:r>
        <w:rPr/>
        <w:t>satisfaction,</w:t>
      </w:r>
      <w:r>
        <w:rPr>
          <w:spacing w:val="-13"/>
        </w:rPr>
        <w:t> </w:t>
      </w:r>
      <w:r>
        <w:rPr/>
        <w:t>with</w:t>
      </w:r>
      <w:r>
        <w:rPr>
          <w:spacing w:val="-13"/>
        </w:rPr>
        <w:t> </w:t>
      </w:r>
      <w:r>
        <w:rPr/>
        <w:t>participants recommending the activities to their colleagues.</w:t>
      </w:r>
    </w:p>
    <w:p>
      <w:pPr>
        <w:pStyle w:val="BodyText"/>
        <w:spacing w:before="6"/>
        <w:rPr>
          <w:sz w:val="14"/>
        </w:rPr>
      </w:pPr>
    </w:p>
    <w:p>
      <w:pPr>
        <w:pStyle w:val="Heading8"/>
        <w:ind w:right="112"/>
      </w:pPr>
      <w:r>
        <w:rPr>
          <w:color w:val="636466"/>
          <w:w w:val="95"/>
        </w:rPr>
        <w:t>Designing for Learning Showcase</w:t>
      </w:r>
    </w:p>
    <w:p>
      <w:pPr>
        <w:pStyle w:val="BodyText"/>
        <w:spacing w:line="249" w:lineRule="auto" w:before="86"/>
        <w:ind w:left="107" w:right="532"/>
      </w:pPr>
      <w:r>
        <w:rPr/>
        <w:t>More than 255 staff members attended the third annual Designing for Learning</w:t>
      </w:r>
    </w:p>
    <w:p>
      <w:pPr>
        <w:pStyle w:val="BodyText"/>
        <w:spacing w:line="249" w:lineRule="auto"/>
        <w:ind w:left="107" w:right="75"/>
      </w:pPr>
      <w:r>
        <w:rPr/>
        <w:t>Showcase held in December on Parramatta campus. The showcase recognised innovation in learning and teaching through blended learning strategies and initiatives. The</w:t>
      </w:r>
    </w:p>
    <w:p>
      <w:pPr>
        <w:pStyle w:val="BodyText"/>
        <w:spacing w:line="249" w:lineRule="auto"/>
        <w:ind w:left="107" w:right="411"/>
      </w:pPr>
      <w:r>
        <w:rPr/>
        <w:t>theme ‘Engagement Unlimited’ focused on engagement across the University – between</w:t>
      </w:r>
      <w:r>
        <w:rPr>
          <w:spacing w:val="-17"/>
        </w:rPr>
        <w:t> </w:t>
      </w:r>
      <w:r>
        <w:rPr/>
        <w:t>students,</w:t>
      </w:r>
      <w:r>
        <w:rPr>
          <w:spacing w:val="-17"/>
        </w:rPr>
        <w:t> </w:t>
      </w:r>
      <w:r>
        <w:rPr/>
        <w:t>staff</w:t>
      </w:r>
      <w:r>
        <w:rPr>
          <w:spacing w:val="-17"/>
        </w:rPr>
        <w:t> </w:t>
      </w:r>
      <w:r>
        <w:rPr/>
        <w:t>members</w:t>
      </w:r>
      <w:r>
        <w:rPr>
          <w:spacing w:val="-17"/>
        </w:rPr>
        <w:t> </w:t>
      </w:r>
      <w:r>
        <w:rPr/>
        <w:t>and</w:t>
      </w:r>
      <w:r>
        <w:rPr>
          <w:spacing w:val="-17"/>
        </w:rPr>
        <w:t> </w:t>
      </w:r>
      <w:r>
        <w:rPr/>
        <w:t>the</w:t>
      </w:r>
    </w:p>
    <w:p>
      <w:pPr>
        <w:pStyle w:val="BodyText"/>
        <w:spacing w:line="249" w:lineRule="auto"/>
        <w:ind w:left="107" w:right="142"/>
      </w:pPr>
      <w:r>
        <w:rPr/>
        <w:t>broader university community – to foster the development of creative, student-centred learning and teaching strategies. Mr Mark Pesce, futurist, broadcaster, author and educator, delivered the keynote speech, and the very successful event showcased more than 42 presentations and workshops.</w:t>
      </w:r>
    </w:p>
    <w:p>
      <w:pPr>
        <w:spacing w:after="0" w:line="249" w:lineRule="auto"/>
        <w:sectPr>
          <w:type w:val="continuous"/>
          <w:pgSz w:w="11910" w:h="16840"/>
          <w:pgMar w:top="1580" w:bottom="280" w:left="800" w:right="800"/>
          <w:cols w:num="3" w:equalWidth="0">
            <w:col w:w="3307" w:space="133"/>
            <w:col w:w="3316" w:space="123"/>
            <w:col w:w="3431"/>
          </w:cols>
        </w:sectPr>
      </w:pPr>
    </w:p>
    <w:p>
      <w:pPr>
        <w:pStyle w:val="BodyText"/>
        <w:spacing w:before="10"/>
        <w:rPr>
          <w:sz w:val="28"/>
        </w:rPr>
      </w:pPr>
    </w:p>
    <w:p>
      <w:pPr>
        <w:pStyle w:val="Heading2"/>
        <w:ind w:right="7953"/>
        <w:rPr>
          <w:b w:val="0"/>
        </w:rPr>
      </w:pPr>
      <w:r>
        <w:rPr>
          <w:b w:val="0"/>
        </w:rPr>
        <w:t>Learning </w:t>
      </w:r>
      <w:r>
        <w:rPr>
          <w:b w:val="0"/>
          <w:spacing w:val="-3"/>
        </w:rPr>
        <w:t>and</w:t>
      </w:r>
      <w:r>
        <w:rPr>
          <w:b w:val="0"/>
          <w:spacing w:val="-2"/>
        </w:rPr>
        <w:t> </w:t>
      </w:r>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5"/>
        <w:rPr>
          <w:rFonts w:ascii="Chronicle Text G1"/>
          <w:b w:val="0"/>
          <w:sz w:val="17"/>
        </w:rPr>
      </w:pPr>
    </w:p>
    <w:p>
      <w:pPr>
        <w:pStyle w:val="Heading8"/>
        <w:spacing w:line="249" w:lineRule="auto"/>
        <w:ind w:right="29"/>
      </w:pPr>
      <w:r>
        <w:rPr>
          <w:color w:val="636466"/>
          <w:w w:val="95"/>
        </w:rPr>
        <w:t>The Foundations of University Learning and Teaching Program</w:t>
      </w:r>
    </w:p>
    <w:p>
      <w:pPr>
        <w:pStyle w:val="BodyText"/>
        <w:spacing w:line="249" w:lineRule="auto" w:before="79"/>
        <w:ind w:left="107" w:right="29"/>
      </w:pPr>
      <w:r>
        <w:rPr/>
        <w:t>The Foundations of University Learning and Teaching (FULT) program is a compulsory professional development program for all new full-time Senior Lecturers, Associate Lecturers and Lecturers who are appointed for 12 months or longer. Thirty-two staff </w:t>
      </w:r>
      <w:r>
        <w:rPr>
          <w:spacing w:val="1"/>
          <w:w w:val="97"/>
        </w:rPr>
        <w:t>members</w:t>
      </w:r>
      <w:r>
        <w:rPr>
          <w:w w:val="97"/>
        </w:rPr>
        <w:t> </w:t>
      </w:r>
      <w:r>
        <w:rPr>
          <w:spacing w:val="1"/>
          <w:w w:val="99"/>
        </w:rPr>
        <w:t>completed</w:t>
      </w:r>
      <w:r>
        <w:rPr>
          <w:w w:val="99"/>
        </w:rPr>
        <w:t> </w:t>
      </w:r>
      <w:r>
        <w:rPr>
          <w:w w:val="97"/>
        </w:rPr>
        <w:t>the </w:t>
      </w:r>
      <w:r>
        <w:rPr>
          <w:spacing w:val="1"/>
          <w:w w:val="97"/>
        </w:rPr>
        <w:t>first</w:t>
      </w:r>
      <w:r>
        <w:rPr>
          <w:w w:val="97"/>
        </w:rPr>
        <w:t> </w:t>
      </w:r>
      <w:r>
        <w:rPr>
          <w:spacing w:val="1"/>
          <w:w w:val="98"/>
        </w:rPr>
        <w:t>module</w:t>
      </w:r>
      <w:r>
        <w:rPr>
          <w:w w:val="98"/>
        </w:rPr>
        <w:t> </w:t>
      </w:r>
      <w:r>
        <w:rPr>
          <w:w w:val="95"/>
        </w:rPr>
        <w:t>in </w:t>
      </w:r>
      <w:r>
        <w:rPr>
          <w:spacing w:val="1"/>
          <w:w w:val="84"/>
        </w:rPr>
        <w:t>2015.</w:t>
      </w:r>
      <w:r>
        <w:rPr>
          <w:w w:val="84"/>
        </w:rPr>
        <w:t> </w:t>
      </w:r>
      <w:r>
        <w:rPr/>
        <w:t>Seventeen staff members completed the full three-module program and were awarded </w:t>
      </w:r>
      <w:r>
        <w:rPr>
          <w:spacing w:val="1"/>
          <w:w w:val="98"/>
        </w:rPr>
        <w:t>Certificates</w:t>
      </w:r>
      <w:r>
        <w:rPr>
          <w:w w:val="98"/>
        </w:rPr>
        <w:t> </w:t>
      </w:r>
      <w:r>
        <w:rPr>
          <w:w w:val="99"/>
        </w:rPr>
        <w:t>of </w:t>
      </w:r>
      <w:r>
        <w:rPr>
          <w:spacing w:val="1"/>
          <w:w w:val="98"/>
        </w:rPr>
        <w:t>Completion</w:t>
      </w:r>
      <w:r>
        <w:rPr>
          <w:w w:val="98"/>
        </w:rPr>
        <w:t> </w:t>
      </w:r>
      <w:r>
        <w:rPr>
          <w:w w:val="95"/>
        </w:rPr>
        <w:t>in </w:t>
      </w:r>
      <w:r>
        <w:rPr>
          <w:spacing w:val="1"/>
          <w:w w:val="100"/>
        </w:rPr>
        <w:t>July</w:t>
      </w:r>
      <w:r>
        <w:rPr>
          <w:w w:val="100"/>
        </w:rPr>
        <w:t> </w:t>
      </w:r>
      <w:r>
        <w:rPr>
          <w:spacing w:val="1"/>
          <w:w w:val="84"/>
        </w:rPr>
        <w:t>2015.</w:t>
      </w:r>
      <w:r>
        <w:rPr>
          <w:w w:val="84"/>
        </w:rPr>
        <w:t> </w:t>
      </w:r>
      <w:r>
        <w:rPr>
          <w:spacing w:val="-4"/>
          <w:w w:val="98"/>
        </w:rPr>
        <w:t>Two</w:t>
      </w:r>
      <w:r>
        <w:rPr>
          <w:w w:val="98"/>
        </w:rPr>
        <w:t> </w:t>
      </w:r>
      <w:r>
        <w:rPr/>
        <w:t>FULT programs were offered for sessional staff,</w:t>
      </w:r>
      <w:r>
        <w:rPr>
          <w:spacing w:val="-14"/>
        </w:rPr>
        <w:t> </w:t>
      </w:r>
      <w:r>
        <w:rPr/>
        <w:t>and</w:t>
      </w:r>
      <w:r>
        <w:rPr>
          <w:spacing w:val="-14"/>
        </w:rPr>
        <w:t> </w:t>
      </w:r>
      <w:r>
        <w:rPr/>
        <w:t>40</w:t>
      </w:r>
      <w:r>
        <w:rPr>
          <w:spacing w:val="-14"/>
        </w:rPr>
        <w:t> </w:t>
      </w:r>
      <w:r>
        <w:rPr/>
        <w:t>staff</w:t>
      </w:r>
      <w:r>
        <w:rPr>
          <w:spacing w:val="-14"/>
        </w:rPr>
        <w:t> </w:t>
      </w:r>
      <w:r>
        <w:rPr/>
        <w:t>members</w:t>
      </w:r>
      <w:r>
        <w:rPr>
          <w:spacing w:val="-14"/>
        </w:rPr>
        <w:t> </w:t>
      </w:r>
      <w:r>
        <w:rPr/>
        <w:t>attended</w:t>
      </w:r>
      <w:r>
        <w:rPr>
          <w:spacing w:val="-14"/>
        </w:rPr>
        <w:t> </w:t>
      </w:r>
      <w:r>
        <w:rPr/>
        <w:t>courses in</w:t>
      </w:r>
      <w:r>
        <w:rPr>
          <w:spacing w:val="-19"/>
        </w:rPr>
        <w:t> </w:t>
      </w:r>
      <w:r>
        <w:rPr/>
        <w:t>July</w:t>
      </w:r>
      <w:r>
        <w:rPr>
          <w:spacing w:val="-19"/>
        </w:rPr>
        <w:t> </w:t>
      </w:r>
      <w:r>
        <w:rPr/>
        <w:t>and</w:t>
      </w:r>
      <w:r>
        <w:rPr>
          <w:spacing w:val="-19"/>
        </w:rPr>
        <w:t> </w:t>
      </w:r>
      <w:r>
        <w:rPr/>
        <w:t>November.</w:t>
      </w:r>
    </w:p>
    <w:p>
      <w:pPr>
        <w:pStyle w:val="BodyText"/>
        <w:spacing w:before="6"/>
        <w:rPr>
          <w:sz w:val="14"/>
        </w:rPr>
      </w:pPr>
    </w:p>
    <w:p>
      <w:pPr>
        <w:pStyle w:val="Heading8"/>
        <w:ind w:right="29"/>
      </w:pPr>
      <w:r>
        <w:rPr>
          <w:color w:val="636466"/>
          <w:w w:val="95"/>
        </w:rPr>
        <w:t>Promoting Teaching Excellence</w:t>
      </w:r>
    </w:p>
    <w:p>
      <w:pPr>
        <w:pStyle w:val="BodyText"/>
        <w:spacing w:line="249" w:lineRule="auto" w:before="86"/>
        <w:ind w:left="107" w:right="193"/>
      </w:pPr>
      <w:r>
        <w:rPr>
          <w:w w:val="80"/>
        </w:rPr>
        <w:t>In </w:t>
      </w:r>
      <w:r>
        <w:rPr>
          <w:w w:val="84"/>
        </w:rPr>
        <w:t>2015, </w:t>
      </w:r>
      <w:r>
        <w:rPr>
          <w:w w:val="97"/>
        </w:rPr>
        <w:t>the </w:t>
      </w:r>
      <w:r>
        <w:rPr>
          <w:w w:val="97"/>
        </w:rPr>
        <w:t>calibre </w:t>
      </w:r>
      <w:r>
        <w:rPr>
          <w:w w:val="99"/>
        </w:rPr>
        <w:t>of </w:t>
      </w:r>
      <w:r>
        <w:rPr>
          <w:w w:val="97"/>
        </w:rPr>
        <w:t>our </w:t>
      </w:r>
      <w:r>
        <w:rPr>
          <w:w w:val="98"/>
        </w:rPr>
        <w:t>teaching </w:t>
      </w:r>
      <w:r>
        <w:rPr>
          <w:w w:val="97"/>
        </w:rPr>
        <w:t>staff </w:t>
      </w:r>
      <w:r>
        <w:rPr/>
        <w:t>was again recognised and celebrated. The University named the recipients of the Western Sydney Teaching Awards and the Vice-Chancellor’s Excellence Awards in</w:t>
      </w:r>
    </w:p>
    <w:p>
      <w:pPr>
        <w:pStyle w:val="BodyText"/>
        <w:spacing w:line="249" w:lineRule="auto"/>
        <w:ind w:left="107" w:right="-8"/>
      </w:pPr>
      <w:r>
        <w:rPr/>
        <w:t>November.</w:t>
      </w:r>
      <w:r>
        <w:rPr>
          <w:spacing w:val="-24"/>
        </w:rPr>
        <w:t> </w:t>
      </w:r>
      <w:r>
        <w:rPr/>
        <w:t>Nationally,</w:t>
      </w:r>
      <w:r>
        <w:rPr>
          <w:spacing w:val="-24"/>
        </w:rPr>
        <w:t> </w:t>
      </w:r>
      <w:r>
        <w:rPr/>
        <w:t>staff</w:t>
      </w:r>
      <w:r>
        <w:rPr>
          <w:spacing w:val="-24"/>
        </w:rPr>
        <w:t> </w:t>
      </w:r>
      <w:r>
        <w:rPr/>
        <w:t>members</w:t>
      </w:r>
      <w:r>
        <w:rPr>
          <w:spacing w:val="-24"/>
        </w:rPr>
        <w:t> </w:t>
      </w:r>
      <w:r>
        <w:rPr/>
        <w:t>received various</w:t>
      </w:r>
      <w:r>
        <w:rPr>
          <w:spacing w:val="-20"/>
        </w:rPr>
        <w:t> </w:t>
      </w:r>
      <w:r>
        <w:rPr/>
        <w:t>awards</w:t>
      </w:r>
      <w:r>
        <w:rPr>
          <w:spacing w:val="-20"/>
        </w:rPr>
        <w:t> </w:t>
      </w:r>
      <w:r>
        <w:rPr/>
        <w:t>throughout</w:t>
      </w:r>
      <w:r>
        <w:rPr>
          <w:spacing w:val="-20"/>
        </w:rPr>
        <w:t> </w:t>
      </w:r>
      <w:r>
        <w:rPr/>
        <w:t>the</w:t>
      </w:r>
      <w:r>
        <w:rPr>
          <w:spacing w:val="-20"/>
        </w:rPr>
        <w:t> </w:t>
      </w:r>
      <w:r>
        <w:rPr/>
        <w:t>year,</w:t>
      </w:r>
      <w:r>
        <w:rPr>
          <w:spacing w:val="-20"/>
        </w:rPr>
        <w:t> </w:t>
      </w:r>
      <w:r>
        <w:rPr/>
        <w:t>including the Office for Learning and Teaching (OLT) </w:t>
      </w:r>
      <w:r>
        <w:rPr>
          <w:w w:val="95"/>
        </w:rPr>
        <w:t>Teaching</w:t>
      </w:r>
      <w:r>
        <w:rPr>
          <w:spacing w:val="22"/>
          <w:w w:val="95"/>
        </w:rPr>
        <w:t> </w:t>
      </w:r>
      <w:r>
        <w:rPr>
          <w:w w:val="95"/>
        </w:rPr>
        <w:t>Awards.</w:t>
      </w:r>
    </w:p>
    <w:p>
      <w:pPr>
        <w:pStyle w:val="BodyText"/>
        <w:rPr>
          <w:sz w:val="14"/>
        </w:rPr>
      </w:pPr>
    </w:p>
    <w:p>
      <w:pPr>
        <w:pStyle w:val="BodyText"/>
        <w:spacing w:line="249" w:lineRule="auto"/>
        <w:ind w:left="107" w:right="41"/>
      </w:pPr>
      <w:r>
        <w:rPr/>
        <w:t>Western Sydney Teaching Awards recognise individuals and teams that have shown excellence in teaching and learning and</w:t>
      </w:r>
    </w:p>
    <w:p>
      <w:pPr>
        <w:pStyle w:val="BodyText"/>
        <w:spacing w:line="249" w:lineRule="auto"/>
        <w:ind w:left="107" w:right="29"/>
      </w:pPr>
      <w:r>
        <w:rPr/>
        <w:t>in making outstanding contributions to </w:t>
      </w:r>
      <w:r>
        <w:rPr>
          <w:w w:val="97"/>
        </w:rPr>
        <w:t>students’ </w:t>
      </w:r>
      <w:r>
        <w:rPr>
          <w:w w:val="93"/>
        </w:rPr>
        <w:t>learning. </w:t>
      </w:r>
      <w:r>
        <w:rPr>
          <w:w w:val="80"/>
        </w:rPr>
        <w:t>In </w:t>
      </w:r>
      <w:r>
        <w:rPr>
          <w:w w:val="84"/>
        </w:rPr>
        <w:t>2015, </w:t>
      </w:r>
      <w:r>
        <w:rPr>
          <w:w w:val="97"/>
        </w:rPr>
        <w:t>the </w:t>
      </w:r>
      <w:r>
        <w:rPr>
          <w:w w:val="97"/>
        </w:rPr>
        <w:t>four </w:t>
      </w:r>
      <w:r>
        <w:rPr>
          <w:w w:val="98"/>
        </w:rPr>
        <w:t>Western </w:t>
      </w:r>
      <w:r>
        <w:rPr/>
        <w:t>Sydney Teaching Excellence Awards were </w:t>
      </w:r>
      <w:r>
        <w:rPr>
          <w:w w:val="95"/>
        </w:rPr>
        <w:t>presented to:</w:t>
      </w:r>
    </w:p>
    <w:p>
      <w:pPr>
        <w:pStyle w:val="BodyText"/>
        <w:spacing w:before="11"/>
        <w:rPr>
          <w:sz w:val="13"/>
        </w:rPr>
      </w:pPr>
    </w:p>
    <w:p>
      <w:pPr>
        <w:pStyle w:val="BodyText"/>
        <w:ind w:left="107" w:right="29"/>
      </w:pPr>
      <w:r>
        <w:rPr>
          <w:rFonts w:ascii="Century Gothic" w:hAnsi="Century Gothic"/>
          <w:b/>
          <w:w w:val="115"/>
        </w:rPr>
        <w:t>≥ </w:t>
      </w:r>
      <w:r>
        <w:rPr>
          <w:w w:val="105"/>
        </w:rPr>
        <w:t>Dr Tania Ferfolja, School of Education</w:t>
      </w:r>
    </w:p>
    <w:p>
      <w:pPr>
        <w:pStyle w:val="BodyText"/>
        <w:spacing w:before="60"/>
        <w:ind w:left="107" w:right="29"/>
      </w:pPr>
      <w:r>
        <w:rPr>
          <w:rFonts w:ascii="Century Gothic" w:hAnsi="Century Gothic"/>
          <w:b/>
          <w:w w:val="115"/>
        </w:rPr>
        <w:t>≥ </w:t>
      </w:r>
      <w:r>
        <w:rPr>
          <w:w w:val="105"/>
        </w:rPr>
        <w:t>Dr Bronwen Dalziel, School of Medicine</w:t>
      </w:r>
    </w:p>
    <w:p>
      <w:pPr>
        <w:pStyle w:val="BodyText"/>
        <w:spacing w:line="244" w:lineRule="auto" w:before="60"/>
        <w:ind w:left="333" w:right="217" w:hanging="227"/>
      </w:pPr>
      <w:r>
        <w:rPr>
          <w:rFonts w:ascii="Century Gothic" w:hAnsi="Century Gothic"/>
          <w:b/>
          <w:w w:val="115"/>
        </w:rPr>
        <w:t>≥</w:t>
      </w:r>
      <w:r>
        <w:rPr>
          <w:rFonts w:ascii="Century Gothic" w:hAnsi="Century Gothic"/>
          <w:b/>
          <w:spacing w:val="7"/>
          <w:w w:val="115"/>
        </w:rPr>
        <w:t> </w:t>
      </w:r>
      <w:r>
        <w:rPr>
          <w:w w:val="105"/>
        </w:rPr>
        <w:t>Dr</w:t>
      </w:r>
      <w:r>
        <w:rPr>
          <w:spacing w:val="-30"/>
          <w:w w:val="105"/>
        </w:rPr>
        <w:t> </w:t>
      </w:r>
      <w:r>
        <w:rPr>
          <w:w w:val="105"/>
        </w:rPr>
        <w:t>Tinashe</w:t>
      </w:r>
      <w:r>
        <w:rPr>
          <w:spacing w:val="-30"/>
          <w:w w:val="105"/>
        </w:rPr>
        <w:t> </w:t>
      </w:r>
      <w:r>
        <w:rPr>
          <w:w w:val="105"/>
        </w:rPr>
        <w:t>Dune,</w:t>
      </w:r>
      <w:r>
        <w:rPr>
          <w:spacing w:val="-30"/>
          <w:w w:val="105"/>
        </w:rPr>
        <w:t> </w:t>
      </w:r>
      <w:r>
        <w:rPr>
          <w:w w:val="105"/>
        </w:rPr>
        <w:t>School</w:t>
      </w:r>
      <w:r>
        <w:rPr>
          <w:spacing w:val="-30"/>
          <w:w w:val="105"/>
        </w:rPr>
        <w:t> </w:t>
      </w:r>
      <w:r>
        <w:rPr>
          <w:w w:val="105"/>
        </w:rPr>
        <w:t>of</w:t>
      </w:r>
      <w:r>
        <w:rPr>
          <w:spacing w:val="-30"/>
          <w:w w:val="105"/>
        </w:rPr>
        <w:t> </w:t>
      </w:r>
      <w:r>
        <w:rPr>
          <w:w w:val="105"/>
        </w:rPr>
        <w:t>Science</w:t>
      </w:r>
      <w:r>
        <w:rPr>
          <w:spacing w:val="-30"/>
          <w:w w:val="105"/>
        </w:rPr>
        <w:t> </w:t>
      </w:r>
      <w:r>
        <w:rPr>
          <w:w w:val="105"/>
        </w:rPr>
        <w:t>and Health</w:t>
      </w:r>
    </w:p>
    <w:p>
      <w:pPr>
        <w:pStyle w:val="BodyText"/>
        <w:spacing w:line="247" w:lineRule="auto" w:before="58"/>
        <w:ind w:left="333" w:right="-8" w:hanging="227"/>
      </w:pPr>
      <w:r>
        <w:rPr>
          <w:rFonts w:ascii="Century Gothic" w:hAnsi="Century Gothic"/>
          <w:b/>
          <w:w w:val="115"/>
        </w:rPr>
        <w:t>≥ </w:t>
      </w:r>
      <w:r>
        <w:rPr/>
        <w:t>Professor Kaye Shumack and the team for the Bachelor of Communication Hybrid Online Course, School of Humanities and Communication Arts.</w:t>
      </w:r>
    </w:p>
    <w:p>
      <w:pPr>
        <w:pStyle w:val="BodyText"/>
        <w:spacing w:before="2"/>
        <w:rPr>
          <w:sz w:val="14"/>
        </w:rPr>
      </w:pPr>
    </w:p>
    <w:p>
      <w:pPr>
        <w:pStyle w:val="BodyText"/>
        <w:spacing w:line="249" w:lineRule="auto"/>
        <w:ind w:left="107" w:right="13"/>
      </w:pPr>
      <w:r>
        <w:rPr/>
        <w:t>The Vice-Chancellor’s Excellence in Teaching </w:t>
      </w:r>
      <w:r>
        <w:rPr>
          <w:spacing w:val="-1"/>
          <w:w w:val="101"/>
        </w:rPr>
        <w:t>Award</w:t>
      </w:r>
      <w:r>
        <w:rPr>
          <w:w w:val="101"/>
        </w:rPr>
        <w:t> </w:t>
      </w:r>
      <w:r>
        <w:rPr>
          <w:w w:val="98"/>
        </w:rPr>
        <w:t>for </w:t>
      </w:r>
      <w:r>
        <w:rPr>
          <w:spacing w:val="1"/>
          <w:w w:val="88"/>
        </w:rPr>
        <w:t>2015</w:t>
      </w:r>
      <w:r>
        <w:rPr>
          <w:w w:val="88"/>
        </w:rPr>
        <w:t> </w:t>
      </w:r>
      <w:r>
        <w:rPr>
          <w:w w:val="96"/>
        </w:rPr>
        <w:t>was </w:t>
      </w:r>
      <w:r>
        <w:rPr>
          <w:w w:val="98"/>
        </w:rPr>
        <w:t>given </w:t>
      </w:r>
      <w:r>
        <w:rPr>
          <w:spacing w:val="-1"/>
          <w:w w:val="101"/>
        </w:rPr>
        <w:t>to</w:t>
      </w:r>
      <w:r>
        <w:rPr>
          <w:w w:val="101"/>
        </w:rPr>
        <w:t> </w:t>
      </w:r>
      <w:r>
        <w:rPr>
          <w:spacing w:val="1"/>
          <w:w w:val="96"/>
        </w:rPr>
        <w:t>Dr</w:t>
      </w:r>
      <w:r>
        <w:rPr>
          <w:w w:val="96"/>
        </w:rPr>
        <w:t> </w:t>
      </w:r>
      <w:r>
        <w:rPr>
          <w:spacing w:val="1"/>
          <w:w w:val="95"/>
        </w:rPr>
        <w:t>Ferfolja</w:t>
      </w:r>
      <w:r>
        <w:rPr>
          <w:w w:val="95"/>
        </w:rPr>
        <w:t> </w:t>
      </w:r>
      <w:r>
        <w:rPr>
          <w:spacing w:val="1"/>
          <w:w w:val="98"/>
        </w:rPr>
        <w:t>from</w:t>
      </w:r>
      <w:r>
        <w:rPr>
          <w:w w:val="98"/>
        </w:rPr>
        <w:t> </w:t>
      </w:r>
      <w:r>
        <w:rPr/>
        <w:t>the School of Education for her sustained innovations and research-based practice. In particular,</w:t>
      </w:r>
      <w:r>
        <w:rPr>
          <w:spacing w:val="-18"/>
        </w:rPr>
        <w:t> </w:t>
      </w:r>
      <w:r>
        <w:rPr/>
        <w:t>the</w:t>
      </w:r>
      <w:r>
        <w:rPr>
          <w:spacing w:val="-18"/>
        </w:rPr>
        <w:t> </w:t>
      </w:r>
      <w:r>
        <w:rPr/>
        <w:t>award</w:t>
      </w:r>
      <w:r>
        <w:rPr>
          <w:spacing w:val="-18"/>
        </w:rPr>
        <w:t> </w:t>
      </w:r>
      <w:r>
        <w:rPr/>
        <w:t>recognised</w:t>
      </w:r>
      <w:r>
        <w:rPr>
          <w:spacing w:val="-18"/>
        </w:rPr>
        <w:t> </w:t>
      </w:r>
      <w:r>
        <w:rPr/>
        <w:t>two</w:t>
      </w:r>
      <w:r>
        <w:rPr>
          <w:spacing w:val="-18"/>
        </w:rPr>
        <w:t> </w:t>
      </w:r>
      <w:r>
        <w:rPr/>
        <w:t>teaching programs that promote social equality in education, and their influence within and beyond</w:t>
      </w:r>
      <w:r>
        <w:rPr>
          <w:spacing w:val="-25"/>
        </w:rPr>
        <w:t> </w:t>
      </w:r>
      <w:r>
        <w:rPr/>
        <w:t>the</w:t>
      </w:r>
      <w:r>
        <w:rPr>
          <w:spacing w:val="-25"/>
        </w:rPr>
        <w:t> </w:t>
      </w:r>
      <w:r>
        <w:rPr/>
        <w:t>University.</w:t>
      </w:r>
    </w:p>
    <w:p>
      <w:pPr>
        <w:pStyle w:val="BodyText"/>
        <w:spacing w:before="9"/>
      </w:pPr>
      <w:r>
        <w:rPr/>
        <w:br w:type="column"/>
      </w:r>
      <w:r>
        <w:rPr/>
      </w:r>
    </w:p>
    <w:p>
      <w:pPr>
        <w:pStyle w:val="BodyText"/>
        <w:spacing w:line="249" w:lineRule="auto"/>
        <w:ind w:left="107" w:right="17"/>
      </w:pPr>
      <w:r>
        <w:rPr/>
        <w:t>Eight University citations for Outstanding Contribution to Students’ Learning were awarded</w:t>
      </w:r>
      <w:r>
        <w:rPr>
          <w:spacing w:val="-21"/>
        </w:rPr>
        <w:t> </w:t>
      </w:r>
      <w:r>
        <w:rPr/>
        <w:t>to</w:t>
      </w:r>
      <w:r>
        <w:rPr>
          <w:spacing w:val="-21"/>
        </w:rPr>
        <w:t> </w:t>
      </w:r>
      <w:r>
        <w:rPr/>
        <w:t>five</w:t>
      </w:r>
      <w:r>
        <w:rPr>
          <w:spacing w:val="-21"/>
        </w:rPr>
        <w:t> </w:t>
      </w:r>
      <w:r>
        <w:rPr/>
        <w:t>individuals</w:t>
      </w:r>
      <w:r>
        <w:rPr>
          <w:spacing w:val="-21"/>
        </w:rPr>
        <w:t> </w:t>
      </w:r>
      <w:r>
        <w:rPr/>
        <w:t>and</w:t>
      </w:r>
      <w:r>
        <w:rPr>
          <w:spacing w:val="-21"/>
        </w:rPr>
        <w:t> </w:t>
      </w:r>
      <w:r>
        <w:rPr/>
        <w:t>three</w:t>
      </w:r>
      <w:r>
        <w:rPr>
          <w:spacing w:val="-21"/>
        </w:rPr>
        <w:t> </w:t>
      </w:r>
      <w:r>
        <w:rPr/>
        <w:t>teams:</w:t>
      </w:r>
    </w:p>
    <w:p>
      <w:pPr>
        <w:pStyle w:val="BodyText"/>
        <w:spacing w:before="11"/>
        <w:rPr>
          <w:sz w:val="13"/>
        </w:rPr>
      </w:pPr>
    </w:p>
    <w:p>
      <w:pPr>
        <w:pStyle w:val="BodyText"/>
        <w:spacing w:line="244" w:lineRule="auto"/>
        <w:ind w:left="333" w:right="263" w:hanging="227"/>
      </w:pPr>
      <w:r>
        <w:rPr>
          <w:rFonts w:ascii="Century Gothic" w:hAnsi="Century Gothic"/>
          <w:b/>
          <w:w w:val="115"/>
        </w:rPr>
        <w:t>≥</w:t>
      </w:r>
      <w:r>
        <w:rPr>
          <w:rFonts w:ascii="Century Gothic" w:hAnsi="Century Gothic"/>
          <w:b/>
          <w:spacing w:val="11"/>
          <w:w w:val="115"/>
        </w:rPr>
        <w:t> </w:t>
      </w:r>
      <w:r>
        <w:rPr>
          <w:w w:val="105"/>
        </w:rPr>
        <w:t>Dr</w:t>
      </w:r>
      <w:r>
        <w:rPr>
          <w:spacing w:val="-29"/>
          <w:w w:val="105"/>
        </w:rPr>
        <w:t> </w:t>
      </w:r>
      <w:r>
        <w:rPr>
          <w:w w:val="105"/>
        </w:rPr>
        <w:t>Hayley</w:t>
      </w:r>
      <w:r>
        <w:rPr>
          <w:spacing w:val="-29"/>
          <w:w w:val="105"/>
        </w:rPr>
        <w:t> </w:t>
      </w:r>
      <w:r>
        <w:rPr>
          <w:w w:val="105"/>
        </w:rPr>
        <w:t>Green,</w:t>
      </w:r>
      <w:r>
        <w:rPr>
          <w:spacing w:val="-29"/>
          <w:w w:val="105"/>
        </w:rPr>
        <w:t> </w:t>
      </w:r>
      <w:r>
        <w:rPr>
          <w:w w:val="105"/>
        </w:rPr>
        <w:t>School</w:t>
      </w:r>
      <w:r>
        <w:rPr>
          <w:spacing w:val="-29"/>
          <w:w w:val="105"/>
        </w:rPr>
        <w:t> </w:t>
      </w:r>
      <w:r>
        <w:rPr>
          <w:w w:val="105"/>
        </w:rPr>
        <w:t>of</w:t>
      </w:r>
      <w:r>
        <w:rPr>
          <w:spacing w:val="-29"/>
          <w:w w:val="105"/>
        </w:rPr>
        <w:t> </w:t>
      </w:r>
      <w:r>
        <w:rPr>
          <w:w w:val="105"/>
        </w:rPr>
        <w:t>Science</w:t>
      </w:r>
      <w:r>
        <w:rPr>
          <w:spacing w:val="-29"/>
          <w:w w:val="105"/>
        </w:rPr>
        <w:t> </w:t>
      </w:r>
      <w:r>
        <w:rPr>
          <w:w w:val="105"/>
        </w:rPr>
        <w:t>and Health</w:t>
      </w:r>
    </w:p>
    <w:p>
      <w:pPr>
        <w:pStyle w:val="BodyText"/>
        <w:spacing w:line="244" w:lineRule="auto" w:before="58"/>
        <w:ind w:left="333" w:right="80" w:hanging="227"/>
      </w:pPr>
      <w:r>
        <w:rPr>
          <w:rFonts w:ascii="Century Gothic" w:hAnsi="Century Gothic"/>
          <w:b/>
          <w:w w:val="115"/>
        </w:rPr>
        <w:t>≥</w:t>
      </w:r>
      <w:r>
        <w:rPr>
          <w:rFonts w:ascii="Century Gothic" w:hAnsi="Century Gothic"/>
          <w:b/>
          <w:spacing w:val="-1"/>
          <w:w w:val="115"/>
        </w:rPr>
        <w:t> </w:t>
      </w:r>
      <w:r>
        <w:rPr>
          <w:w w:val="105"/>
        </w:rPr>
        <w:t>Dr</w:t>
      </w:r>
      <w:r>
        <w:rPr>
          <w:spacing w:val="-33"/>
          <w:w w:val="105"/>
        </w:rPr>
        <w:t> </w:t>
      </w:r>
      <w:r>
        <w:rPr>
          <w:w w:val="105"/>
        </w:rPr>
        <w:t>Margaret</w:t>
      </w:r>
      <w:r>
        <w:rPr>
          <w:spacing w:val="-33"/>
          <w:w w:val="105"/>
        </w:rPr>
        <w:t> </w:t>
      </w:r>
      <w:r>
        <w:rPr>
          <w:w w:val="105"/>
        </w:rPr>
        <w:t>Hanlon,</w:t>
      </w:r>
      <w:r>
        <w:rPr>
          <w:spacing w:val="-33"/>
          <w:w w:val="105"/>
        </w:rPr>
        <w:t> </w:t>
      </w:r>
      <w:r>
        <w:rPr>
          <w:w w:val="105"/>
        </w:rPr>
        <w:t>School</w:t>
      </w:r>
      <w:r>
        <w:rPr>
          <w:spacing w:val="-33"/>
          <w:w w:val="105"/>
        </w:rPr>
        <w:t> </w:t>
      </w:r>
      <w:r>
        <w:rPr>
          <w:w w:val="105"/>
        </w:rPr>
        <w:t>of</w:t>
      </w:r>
      <w:r>
        <w:rPr>
          <w:spacing w:val="-33"/>
          <w:w w:val="105"/>
        </w:rPr>
        <w:t> </w:t>
      </w:r>
      <w:r>
        <w:rPr>
          <w:w w:val="105"/>
        </w:rPr>
        <w:t>Humanities </w:t>
      </w:r>
      <w:r>
        <w:rPr/>
        <w:t>and Communication</w:t>
      </w:r>
      <w:r>
        <w:rPr>
          <w:spacing w:val="-17"/>
        </w:rPr>
        <w:t> </w:t>
      </w:r>
      <w:r>
        <w:rPr>
          <w:spacing w:val="2"/>
        </w:rPr>
        <w:t>Arts</w:t>
      </w:r>
    </w:p>
    <w:p>
      <w:pPr>
        <w:pStyle w:val="BodyText"/>
        <w:spacing w:before="58"/>
        <w:ind w:left="107" w:right="17"/>
      </w:pPr>
      <w:r>
        <w:rPr>
          <w:rFonts w:ascii="Century Gothic" w:hAnsi="Century Gothic"/>
          <w:b/>
          <w:w w:val="115"/>
        </w:rPr>
        <w:t>≥ </w:t>
      </w:r>
      <w:r>
        <w:rPr>
          <w:w w:val="105"/>
        </w:rPr>
        <w:t>Dr Vincent Ho, School of Medicine</w:t>
      </w:r>
    </w:p>
    <w:p>
      <w:pPr>
        <w:pStyle w:val="BodyText"/>
        <w:spacing w:before="60"/>
        <w:ind w:left="107" w:right="17"/>
      </w:pPr>
      <w:r>
        <w:rPr>
          <w:rFonts w:ascii="Century Gothic" w:hAnsi="Century Gothic"/>
          <w:b/>
          <w:w w:val="115"/>
        </w:rPr>
        <w:t>≥ </w:t>
      </w:r>
      <w:r>
        <w:rPr>
          <w:w w:val="105"/>
        </w:rPr>
        <w:t>Dr Son Truong, School of Education</w:t>
      </w:r>
    </w:p>
    <w:p>
      <w:pPr>
        <w:pStyle w:val="BodyText"/>
        <w:spacing w:before="60"/>
        <w:ind w:left="107" w:right="17"/>
      </w:pPr>
      <w:r>
        <w:rPr>
          <w:rFonts w:ascii="Century Gothic" w:hAnsi="Century Gothic"/>
          <w:b/>
          <w:w w:val="115"/>
        </w:rPr>
        <w:t>≥</w:t>
      </w:r>
      <w:r>
        <w:rPr>
          <w:rFonts w:ascii="Century Gothic" w:hAnsi="Century Gothic"/>
          <w:b/>
          <w:spacing w:val="6"/>
          <w:w w:val="115"/>
        </w:rPr>
        <w:t> </w:t>
      </w:r>
      <w:r>
        <w:rPr>
          <w:w w:val="105"/>
        </w:rPr>
        <w:t>Dr</w:t>
      </w:r>
      <w:r>
        <w:rPr>
          <w:spacing w:val="-31"/>
          <w:w w:val="105"/>
        </w:rPr>
        <w:t> </w:t>
      </w:r>
      <w:r>
        <w:rPr>
          <w:w w:val="105"/>
        </w:rPr>
        <w:t>Jacqueline</w:t>
      </w:r>
      <w:r>
        <w:rPr>
          <w:spacing w:val="-31"/>
          <w:w w:val="105"/>
        </w:rPr>
        <w:t> </w:t>
      </w:r>
      <w:r>
        <w:rPr>
          <w:w w:val="105"/>
        </w:rPr>
        <w:t>Ullman,</w:t>
      </w:r>
      <w:r>
        <w:rPr>
          <w:spacing w:val="-31"/>
          <w:w w:val="105"/>
        </w:rPr>
        <w:t> </w:t>
      </w:r>
      <w:r>
        <w:rPr>
          <w:w w:val="105"/>
        </w:rPr>
        <w:t>School</w:t>
      </w:r>
      <w:r>
        <w:rPr>
          <w:spacing w:val="-31"/>
          <w:w w:val="105"/>
        </w:rPr>
        <w:t> </w:t>
      </w:r>
      <w:r>
        <w:rPr>
          <w:w w:val="105"/>
        </w:rPr>
        <w:t>of</w:t>
      </w:r>
      <w:r>
        <w:rPr>
          <w:spacing w:val="-31"/>
          <w:w w:val="105"/>
        </w:rPr>
        <w:t> </w:t>
      </w:r>
      <w:r>
        <w:rPr>
          <w:w w:val="105"/>
        </w:rPr>
        <w:t>Education</w:t>
      </w:r>
    </w:p>
    <w:p>
      <w:pPr>
        <w:pStyle w:val="BodyText"/>
        <w:spacing w:line="247" w:lineRule="auto" w:before="60"/>
        <w:ind w:left="333" w:right="99" w:hanging="227"/>
      </w:pPr>
      <w:r>
        <w:rPr>
          <w:rFonts w:ascii="Century Gothic" w:hAnsi="Century Gothic"/>
          <w:b/>
          <w:w w:val="115"/>
        </w:rPr>
        <w:t>≥ </w:t>
      </w:r>
      <w:r>
        <w:rPr/>
        <w:t>the Agriculture Strategy Team, School of Science</w:t>
      </w:r>
      <w:r>
        <w:rPr>
          <w:spacing w:val="-24"/>
        </w:rPr>
        <w:t> </w:t>
      </w:r>
      <w:r>
        <w:rPr/>
        <w:t>and</w:t>
      </w:r>
      <w:r>
        <w:rPr>
          <w:spacing w:val="-24"/>
        </w:rPr>
        <w:t> </w:t>
      </w:r>
      <w:r>
        <w:rPr/>
        <w:t>Health:</w:t>
      </w:r>
      <w:r>
        <w:rPr>
          <w:spacing w:val="-24"/>
        </w:rPr>
        <w:t> </w:t>
      </w:r>
      <w:r>
        <w:rPr/>
        <w:t>Ms</w:t>
      </w:r>
      <w:r>
        <w:rPr>
          <w:spacing w:val="-24"/>
        </w:rPr>
        <w:t> </w:t>
      </w:r>
      <w:r>
        <w:rPr/>
        <w:t>Therese</w:t>
      </w:r>
      <w:r>
        <w:rPr>
          <w:spacing w:val="-24"/>
        </w:rPr>
        <w:t> </w:t>
      </w:r>
      <w:r>
        <w:rPr/>
        <w:t>McGillion, Mr</w:t>
      </w:r>
      <w:r>
        <w:rPr>
          <w:spacing w:val="-13"/>
        </w:rPr>
        <w:t> </w:t>
      </w:r>
      <w:r>
        <w:rPr/>
        <w:t>Christopher</w:t>
      </w:r>
      <w:r>
        <w:rPr>
          <w:spacing w:val="-13"/>
        </w:rPr>
        <w:t> </w:t>
      </w:r>
      <w:r>
        <w:rPr/>
        <w:t>Vella</w:t>
      </w:r>
      <w:r>
        <w:rPr>
          <w:spacing w:val="-13"/>
        </w:rPr>
        <w:t> </w:t>
      </w:r>
      <w:r>
        <w:rPr/>
        <w:t>and</w:t>
      </w:r>
      <w:r>
        <w:rPr>
          <w:spacing w:val="-13"/>
        </w:rPr>
        <w:t> </w:t>
      </w:r>
      <w:r>
        <w:rPr/>
        <w:t>Ms</w:t>
      </w:r>
      <w:r>
        <w:rPr>
          <w:spacing w:val="-13"/>
        </w:rPr>
        <w:t> </w:t>
      </w:r>
      <w:r>
        <w:rPr/>
        <w:t>April</w:t>
      </w:r>
      <w:r>
        <w:rPr>
          <w:spacing w:val="-13"/>
        </w:rPr>
        <w:t> </w:t>
      </w:r>
      <w:r>
        <w:rPr/>
        <w:t>Browne</w:t>
      </w:r>
    </w:p>
    <w:p>
      <w:pPr>
        <w:pStyle w:val="BodyText"/>
        <w:spacing w:line="247" w:lineRule="auto" w:before="57"/>
        <w:ind w:left="333" w:right="600" w:hanging="227"/>
      </w:pPr>
      <w:r>
        <w:rPr>
          <w:rFonts w:ascii="Century Gothic" w:hAnsi="Century Gothic"/>
          <w:b/>
          <w:w w:val="115"/>
        </w:rPr>
        <w:t>≥ </w:t>
      </w:r>
      <w:r>
        <w:rPr/>
        <w:t>the STaRS project team: Associate Professor Betty Gill and her team (representing all Schools)</w:t>
      </w:r>
    </w:p>
    <w:p>
      <w:pPr>
        <w:pStyle w:val="BodyText"/>
        <w:spacing w:line="247" w:lineRule="auto" w:before="57"/>
        <w:ind w:left="333" w:right="17" w:hanging="227"/>
      </w:pPr>
      <w:r>
        <w:rPr>
          <w:rFonts w:ascii="Century Gothic" w:hAnsi="Century Gothic"/>
          <w:b/>
          <w:w w:val="115"/>
        </w:rPr>
        <w:t>≥ </w:t>
      </w:r>
      <w:r>
        <w:rPr/>
        <w:t>the Western Sydney University Library Outreach Programme team: Ms Judy Reading and Ms Cheryl Harris.</w:t>
      </w:r>
    </w:p>
    <w:p>
      <w:pPr>
        <w:pStyle w:val="BodyText"/>
        <w:spacing w:before="2"/>
        <w:rPr>
          <w:sz w:val="14"/>
        </w:rPr>
      </w:pPr>
    </w:p>
    <w:p>
      <w:pPr>
        <w:pStyle w:val="BodyText"/>
        <w:spacing w:line="249" w:lineRule="auto"/>
        <w:ind w:left="107" w:right="6"/>
      </w:pPr>
      <w:r>
        <w:rPr>
          <w:w w:val="80"/>
        </w:rPr>
        <w:t>In </w:t>
      </w:r>
      <w:r>
        <w:rPr>
          <w:w w:val="84"/>
        </w:rPr>
        <w:t>2015, </w:t>
      </w:r>
      <w:r>
        <w:rPr>
          <w:w w:val="96"/>
        </w:rPr>
        <w:t>Dr </w:t>
      </w:r>
      <w:r>
        <w:rPr>
          <w:w w:val="98"/>
        </w:rPr>
        <w:t>Bronwen </w:t>
      </w:r>
      <w:r>
        <w:rPr>
          <w:w w:val="97"/>
        </w:rPr>
        <w:t>Dalziel </w:t>
      </w:r>
      <w:r>
        <w:rPr>
          <w:w w:val="97"/>
        </w:rPr>
        <w:t>and </w:t>
      </w:r>
      <w:r>
        <w:rPr>
          <w:w w:val="96"/>
        </w:rPr>
        <w:t>Mr </w:t>
      </w:r>
      <w:r>
        <w:rPr>
          <w:w w:val="96"/>
        </w:rPr>
        <w:t>Glenn </w:t>
      </w:r>
      <w:r>
        <w:rPr/>
        <w:t>Mason from the School of Medicine were awarded a national OLT citation for their outstanding and “continued excellence in developing and maintaining an online series of modules which teach medical students the importance of basic sciences in medicine”.</w:t>
      </w:r>
    </w:p>
    <w:p>
      <w:pPr>
        <w:pStyle w:val="BodyText"/>
        <w:rPr>
          <w:sz w:val="14"/>
        </w:rPr>
      </w:pPr>
    </w:p>
    <w:p>
      <w:pPr>
        <w:pStyle w:val="BodyText"/>
        <w:spacing w:line="249" w:lineRule="auto"/>
        <w:ind w:left="107"/>
      </w:pPr>
      <w:r>
        <w:rPr/>
        <w:t>In other awards, Dr Kell Tremayne from the School of Social Sciences and Psychology received the Australian Psychological Society’s Outstanding Psychology Lecturer of </w:t>
      </w:r>
      <w:r>
        <w:rPr>
          <w:w w:val="97"/>
        </w:rPr>
        <w:t>the </w:t>
      </w:r>
      <w:r>
        <w:rPr>
          <w:spacing w:val="-2"/>
          <w:w w:val="97"/>
        </w:rPr>
        <w:t>Year</w:t>
      </w:r>
      <w:r>
        <w:rPr>
          <w:w w:val="97"/>
        </w:rPr>
        <w:t> </w:t>
      </w:r>
      <w:r>
        <w:rPr>
          <w:spacing w:val="-1"/>
          <w:w w:val="101"/>
        </w:rPr>
        <w:t>Award</w:t>
      </w:r>
      <w:r>
        <w:rPr>
          <w:w w:val="101"/>
        </w:rPr>
        <w:t> </w:t>
      </w:r>
      <w:r>
        <w:rPr>
          <w:spacing w:val="1"/>
          <w:w w:val="84"/>
        </w:rPr>
        <w:t>2015,</w:t>
      </w:r>
      <w:r>
        <w:rPr>
          <w:w w:val="84"/>
        </w:rPr>
        <w:t> </w:t>
      </w:r>
      <w:r>
        <w:rPr>
          <w:spacing w:val="1"/>
          <w:w w:val="98"/>
        </w:rPr>
        <w:t>based</w:t>
      </w:r>
      <w:r>
        <w:rPr>
          <w:w w:val="98"/>
        </w:rPr>
        <w:t> </w:t>
      </w:r>
      <w:r>
        <w:rPr>
          <w:spacing w:val="1"/>
          <w:w w:val="98"/>
        </w:rPr>
        <w:t>on</w:t>
      </w:r>
      <w:r>
        <w:rPr>
          <w:w w:val="98"/>
        </w:rPr>
        <w:t> </w:t>
      </w:r>
      <w:r>
        <w:rPr>
          <w:w w:val="95"/>
        </w:rPr>
        <w:t>his </w:t>
      </w:r>
      <w:r>
        <w:rPr>
          <w:spacing w:val="1"/>
          <w:w w:val="98"/>
        </w:rPr>
        <w:t>engaging</w:t>
      </w:r>
      <w:r>
        <w:rPr>
          <w:w w:val="98"/>
        </w:rPr>
        <w:t> </w:t>
      </w:r>
      <w:r>
        <w:rPr/>
        <w:t>and</w:t>
      </w:r>
      <w:r>
        <w:rPr>
          <w:spacing w:val="-18"/>
        </w:rPr>
        <w:t> </w:t>
      </w:r>
      <w:r>
        <w:rPr/>
        <w:t>innovative</w:t>
      </w:r>
      <w:r>
        <w:rPr>
          <w:spacing w:val="-18"/>
        </w:rPr>
        <w:t> </w:t>
      </w:r>
      <w:r>
        <w:rPr/>
        <w:t>teaching</w:t>
      </w:r>
      <w:r>
        <w:rPr>
          <w:spacing w:val="-18"/>
        </w:rPr>
        <w:t> </w:t>
      </w:r>
      <w:r>
        <w:rPr/>
        <w:t>methods</w:t>
      </w:r>
      <w:r>
        <w:rPr>
          <w:spacing w:val="-18"/>
        </w:rPr>
        <w:t> </w:t>
      </w:r>
      <w:r>
        <w:rPr/>
        <w:t>and</w:t>
      </w:r>
      <w:r>
        <w:rPr>
          <w:spacing w:val="-18"/>
        </w:rPr>
        <w:t> </w:t>
      </w:r>
      <w:r>
        <w:rPr/>
        <w:t>as</w:t>
      </w:r>
      <w:r>
        <w:rPr>
          <w:spacing w:val="-18"/>
        </w:rPr>
        <w:t> </w:t>
      </w:r>
      <w:r>
        <w:rPr/>
        <w:t>voted by University psychology</w:t>
      </w:r>
      <w:r>
        <w:rPr>
          <w:spacing w:val="-37"/>
        </w:rPr>
        <w:t> </w:t>
      </w:r>
      <w:r>
        <w:rPr/>
        <w:t>students.</w:t>
      </w:r>
    </w:p>
    <w:p>
      <w:pPr>
        <w:pStyle w:val="BodyText"/>
        <w:rPr>
          <w:sz w:val="14"/>
        </w:rPr>
      </w:pPr>
    </w:p>
    <w:p>
      <w:pPr>
        <w:pStyle w:val="BodyText"/>
        <w:spacing w:line="249" w:lineRule="auto"/>
        <w:ind w:left="107" w:right="-3"/>
      </w:pPr>
      <w:r>
        <w:rPr/>
        <w:t>Dr Anton Bogdanovych from the School of Computing,</w:t>
      </w:r>
      <w:r>
        <w:rPr>
          <w:spacing w:val="-18"/>
        </w:rPr>
        <w:t> </w:t>
      </w:r>
      <w:r>
        <w:rPr/>
        <w:t>Engineering</w:t>
      </w:r>
      <w:r>
        <w:rPr>
          <w:spacing w:val="-18"/>
        </w:rPr>
        <w:t> </w:t>
      </w:r>
      <w:r>
        <w:rPr/>
        <w:t>and</w:t>
      </w:r>
      <w:r>
        <w:rPr>
          <w:spacing w:val="-18"/>
        </w:rPr>
        <w:t> </w:t>
      </w:r>
      <w:r>
        <w:rPr/>
        <w:t>Mathematics</w:t>
      </w:r>
      <w:r>
        <w:rPr>
          <w:spacing w:val="-18"/>
        </w:rPr>
        <w:t> </w:t>
      </w:r>
      <w:r>
        <w:rPr/>
        <w:t>was awarded</w:t>
      </w:r>
      <w:r>
        <w:rPr>
          <w:spacing w:val="-18"/>
        </w:rPr>
        <w:t> </w:t>
      </w:r>
      <w:r>
        <w:rPr/>
        <w:t>the</w:t>
      </w:r>
      <w:r>
        <w:rPr>
          <w:spacing w:val="-18"/>
        </w:rPr>
        <w:t> </w:t>
      </w:r>
      <w:r>
        <w:rPr>
          <w:spacing w:val="2"/>
        </w:rPr>
        <w:t>ICT</w:t>
      </w:r>
      <w:r>
        <w:rPr>
          <w:spacing w:val="-18"/>
        </w:rPr>
        <w:t> </w:t>
      </w:r>
      <w:r>
        <w:rPr/>
        <w:t>Higher</w:t>
      </w:r>
      <w:r>
        <w:rPr>
          <w:spacing w:val="-18"/>
        </w:rPr>
        <w:t> </w:t>
      </w:r>
      <w:r>
        <w:rPr/>
        <w:t>Education</w:t>
      </w:r>
      <w:r>
        <w:rPr>
          <w:spacing w:val="-18"/>
        </w:rPr>
        <w:t> </w:t>
      </w:r>
      <w:r>
        <w:rPr/>
        <w:t>Educator</w:t>
      </w:r>
      <w:r>
        <w:rPr>
          <w:spacing w:val="-18"/>
        </w:rPr>
        <w:t> </w:t>
      </w:r>
      <w:r>
        <w:rPr/>
        <w:t>of </w:t>
      </w:r>
      <w:r>
        <w:rPr>
          <w:w w:val="97"/>
        </w:rPr>
        <w:t>the </w:t>
      </w:r>
      <w:r>
        <w:rPr>
          <w:spacing w:val="-2"/>
          <w:w w:val="97"/>
        </w:rPr>
        <w:t>Year</w:t>
      </w:r>
      <w:r>
        <w:rPr>
          <w:w w:val="97"/>
        </w:rPr>
        <w:t> </w:t>
      </w:r>
      <w:r>
        <w:rPr>
          <w:w w:val="98"/>
        </w:rPr>
        <w:t>for </w:t>
      </w:r>
      <w:r>
        <w:rPr>
          <w:spacing w:val="1"/>
          <w:w w:val="88"/>
        </w:rPr>
        <w:t>2015</w:t>
      </w:r>
      <w:r>
        <w:rPr>
          <w:w w:val="88"/>
        </w:rPr>
        <w:t> </w:t>
      </w:r>
      <w:r>
        <w:rPr>
          <w:spacing w:val="-1"/>
          <w:w w:val="102"/>
        </w:rPr>
        <w:t>by</w:t>
      </w:r>
      <w:r>
        <w:rPr>
          <w:w w:val="102"/>
        </w:rPr>
        <w:t> </w:t>
      </w:r>
      <w:r>
        <w:rPr>
          <w:w w:val="97"/>
        </w:rPr>
        <w:t>the </w:t>
      </w:r>
      <w:r>
        <w:rPr>
          <w:spacing w:val="1"/>
          <w:w w:val="97"/>
        </w:rPr>
        <w:t>Australian</w:t>
      </w:r>
      <w:r>
        <w:rPr>
          <w:w w:val="97"/>
        </w:rPr>
        <w:t> </w:t>
      </w:r>
      <w:r>
        <w:rPr>
          <w:spacing w:val="1"/>
          <w:w w:val="99"/>
        </w:rPr>
        <w:t>Computer</w:t>
      </w:r>
      <w:r>
        <w:rPr>
          <w:w w:val="99"/>
        </w:rPr>
        <w:t> </w:t>
      </w:r>
      <w:r>
        <w:rPr/>
        <w:t>Society.</w:t>
      </w:r>
      <w:r>
        <w:rPr>
          <w:spacing w:val="-12"/>
        </w:rPr>
        <w:t> </w:t>
      </w:r>
      <w:r>
        <w:rPr/>
        <w:t>Dr</w:t>
      </w:r>
      <w:r>
        <w:rPr>
          <w:spacing w:val="-12"/>
        </w:rPr>
        <w:t> </w:t>
      </w:r>
      <w:r>
        <w:rPr/>
        <w:t>Bogdanovych</w:t>
      </w:r>
      <w:r>
        <w:rPr>
          <w:spacing w:val="-12"/>
        </w:rPr>
        <w:t> </w:t>
      </w:r>
      <w:r>
        <w:rPr/>
        <w:t>was</w:t>
      </w:r>
      <w:r>
        <w:rPr>
          <w:spacing w:val="-12"/>
        </w:rPr>
        <w:t> </w:t>
      </w:r>
      <w:r>
        <w:rPr/>
        <w:t>recognised</w:t>
      </w:r>
    </w:p>
    <w:p>
      <w:pPr>
        <w:pStyle w:val="BodyText"/>
        <w:spacing w:line="249" w:lineRule="auto"/>
        <w:ind w:left="107" w:right="181"/>
      </w:pPr>
      <w:r>
        <w:rPr/>
        <w:t>for his innovative teaching programming ‘Clara World’ that scaffolds students’ skills in</w:t>
      </w:r>
      <w:r>
        <w:rPr>
          <w:spacing w:val="-14"/>
        </w:rPr>
        <w:t> </w:t>
      </w:r>
      <w:r>
        <w:rPr/>
        <w:t>thinking,</w:t>
      </w:r>
      <w:r>
        <w:rPr>
          <w:spacing w:val="-14"/>
        </w:rPr>
        <w:t> </w:t>
      </w:r>
      <w:r>
        <w:rPr/>
        <w:t>problem</w:t>
      </w:r>
      <w:r>
        <w:rPr>
          <w:spacing w:val="-14"/>
        </w:rPr>
        <w:t> </w:t>
      </w:r>
      <w:r>
        <w:rPr/>
        <w:t>solving</w:t>
      </w:r>
      <w:r>
        <w:rPr>
          <w:spacing w:val="-14"/>
        </w:rPr>
        <w:t> </w:t>
      </w:r>
      <w:r>
        <w:rPr/>
        <w:t>and</w:t>
      </w:r>
      <w:r>
        <w:rPr>
          <w:spacing w:val="-14"/>
        </w:rPr>
        <w:t> </w:t>
      </w:r>
      <w:r>
        <w:rPr/>
        <w:t>conducting research.</w:t>
      </w:r>
    </w:p>
    <w:p>
      <w:pPr>
        <w:pStyle w:val="BodyText"/>
        <w:rPr>
          <w:sz w:val="14"/>
        </w:rPr>
      </w:pPr>
    </w:p>
    <w:p>
      <w:pPr>
        <w:pStyle w:val="BodyText"/>
        <w:spacing w:line="249" w:lineRule="auto"/>
        <w:ind w:left="107" w:right="31"/>
      </w:pPr>
      <w:r>
        <w:rPr/>
        <w:t>The</w:t>
      </w:r>
      <w:r>
        <w:rPr>
          <w:spacing w:val="-17"/>
        </w:rPr>
        <w:t> </w:t>
      </w:r>
      <w:r>
        <w:rPr/>
        <w:t>Central</w:t>
      </w:r>
      <w:r>
        <w:rPr>
          <w:spacing w:val="-17"/>
        </w:rPr>
        <w:t> </w:t>
      </w:r>
      <w:r>
        <w:rPr/>
        <w:t>Blended</w:t>
      </w:r>
      <w:r>
        <w:rPr>
          <w:spacing w:val="-17"/>
        </w:rPr>
        <w:t> </w:t>
      </w:r>
      <w:r>
        <w:rPr/>
        <w:t>Learning</w:t>
      </w:r>
      <w:r>
        <w:rPr>
          <w:spacing w:val="-17"/>
        </w:rPr>
        <w:t> </w:t>
      </w:r>
      <w:r>
        <w:rPr/>
        <w:t>Team</w:t>
      </w:r>
      <w:r>
        <w:rPr>
          <w:spacing w:val="-17"/>
        </w:rPr>
        <w:t> </w:t>
      </w:r>
      <w:r>
        <w:rPr/>
        <w:t>received </w:t>
      </w:r>
      <w:r>
        <w:rPr>
          <w:w w:val="97"/>
        </w:rPr>
        <w:t>three</w:t>
      </w:r>
      <w:r>
        <w:rPr>
          <w:spacing w:val="-7"/>
          <w:w w:val="97"/>
        </w:rPr>
        <w:t> </w:t>
      </w:r>
      <w:r>
        <w:rPr>
          <w:spacing w:val="1"/>
          <w:w w:val="98"/>
        </w:rPr>
        <w:t>industry</w:t>
      </w:r>
      <w:r>
        <w:rPr>
          <w:spacing w:val="-7"/>
          <w:w w:val="98"/>
        </w:rPr>
        <w:t> </w:t>
      </w:r>
      <w:r>
        <w:rPr>
          <w:spacing w:val="1"/>
          <w:w w:val="97"/>
        </w:rPr>
        <w:t>Learn</w:t>
      </w:r>
      <w:r>
        <w:rPr>
          <w:spacing w:val="-7"/>
          <w:w w:val="97"/>
        </w:rPr>
        <w:t> </w:t>
      </w:r>
      <w:r>
        <w:rPr>
          <w:w w:val="105"/>
        </w:rPr>
        <w:t>X</w:t>
      </w:r>
      <w:r>
        <w:rPr>
          <w:spacing w:val="-11"/>
          <w:w w:val="105"/>
        </w:rPr>
        <w:t> </w:t>
      </w:r>
      <w:r>
        <w:rPr>
          <w:spacing w:val="2"/>
          <w:w w:val="94"/>
        </w:rPr>
        <w:t>Impact</w:t>
      </w:r>
      <w:r>
        <w:rPr>
          <w:spacing w:val="-5"/>
          <w:w w:val="94"/>
        </w:rPr>
        <w:t> </w:t>
      </w:r>
      <w:r>
        <w:rPr>
          <w:spacing w:val="-1"/>
          <w:w w:val="100"/>
        </w:rPr>
        <w:t>Awards</w:t>
      </w:r>
      <w:r>
        <w:rPr>
          <w:spacing w:val="-8"/>
          <w:w w:val="100"/>
        </w:rPr>
        <w:t> </w:t>
      </w:r>
      <w:r>
        <w:rPr>
          <w:w w:val="95"/>
        </w:rPr>
        <w:t>in</w:t>
      </w:r>
      <w:r>
        <w:rPr>
          <w:spacing w:val="-6"/>
          <w:w w:val="95"/>
        </w:rPr>
        <w:t> </w:t>
      </w:r>
      <w:r>
        <w:rPr>
          <w:spacing w:val="1"/>
          <w:w w:val="83"/>
        </w:rPr>
        <w:t>2015:</w:t>
      </w:r>
      <w:r>
        <w:rPr>
          <w:w w:val="83"/>
        </w:rPr>
        <w:t> </w:t>
      </w:r>
      <w:r>
        <w:rPr>
          <w:spacing w:val="2"/>
        </w:rPr>
        <w:t>Best </w:t>
      </w:r>
      <w:r>
        <w:rPr/>
        <w:t>Learning Program – Compliance for the Basic Standards for Blended and Fully Online Learning</w:t>
      </w:r>
      <w:r>
        <w:rPr>
          <w:spacing w:val="-24"/>
        </w:rPr>
        <w:t> </w:t>
      </w:r>
      <w:r>
        <w:rPr/>
        <w:t>Environment;</w:t>
      </w:r>
      <w:r>
        <w:rPr>
          <w:spacing w:val="-24"/>
        </w:rPr>
        <w:t> </w:t>
      </w:r>
      <w:r>
        <w:rPr>
          <w:spacing w:val="2"/>
        </w:rPr>
        <w:t>Best</w:t>
      </w:r>
      <w:r>
        <w:rPr>
          <w:spacing w:val="-24"/>
        </w:rPr>
        <w:t> </w:t>
      </w:r>
      <w:r>
        <w:rPr/>
        <w:t>Talent</w:t>
      </w:r>
      <w:r>
        <w:rPr>
          <w:spacing w:val="-24"/>
        </w:rPr>
        <w:t> </w:t>
      </w:r>
      <w:r>
        <w:rPr/>
        <w:t>–</w:t>
      </w:r>
      <w:r>
        <w:rPr>
          <w:spacing w:val="-24"/>
        </w:rPr>
        <w:t> </w:t>
      </w:r>
      <w:r>
        <w:rPr/>
        <w:t>Learning Team;</w:t>
      </w:r>
      <w:r>
        <w:rPr>
          <w:spacing w:val="-31"/>
        </w:rPr>
        <w:t> </w:t>
      </w:r>
      <w:r>
        <w:rPr/>
        <w:t>and</w:t>
      </w:r>
      <w:r>
        <w:rPr>
          <w:spacing w:val="-31"/>
        </w:rPr>
        <w:t> </w:t>
      </w:r>
      <w:r>
        <w:rPr>
          <w:spacing w:val="2"/>
        </w:rPr>
        <w:t>Best</w:t>
      </w:r>
      <w:r>
        <w:rPr>
          <w:spacing w:val="-31"/>
        </w:rPr>
        <w:t> </w:t>
      </w:r>
      <w:r>
        <w:rPr/>
        <w:t>Talent</w:t>
      </w:r>
      <w:r>
        <w:rPr>
          <w:spacing w:val="-31"/>
        </w:rPr>
        <w:t> </w:t>
      </w:r>
      <w:r>
        <w:rPr/>
        <w:t>–</w:t>
      </w:r>
      <w:r>
        <w:rPr>
          <w:spacing w:val="-31"/>
        </w:rPr>
        <w:t> </w:t>
      </w:r>
      <w:r>
        <w:rPr/>
        <w:t>Learning</w:t>
      </w:r>
      <w:r>
        <w:rPr>
          <w:spacing w:val="-31"/>
        </w:rPr>
        <w:t> </w:t>
      </w:r>
      <w:r>
        <w:rPr/>
        <w:t>Manager.</w:t>
      </w:r>
    </w:p>
    <w:p>
      <w:pPr>
        <w:pStyle w:val="BodyText"/>
        <w:spacing w:before="9"/>
      </w:pPr>
      <w:r>
        <w:rPr/>
        <w:br w:type="column"/>
      </w:r>
      <w:r>
        <w:rPr/>
      </w:r>
    </w:p>
    <w:p>
      <w:pPr>
        <w:pStyle w:val="BodyText"/>
        <w:spacing w:line="249" w:lineRule="auto"/>
        <w:ind w:left="107" w:right="225"/>
      </w:pPr>
      <w:r>
        <w:rPr/>
        <w:t>Mr Con Athanasiou, Blended Learning Designer in the Office of the Associate Pro Vice-Chancellor (Education – Health and Science), who also works in the School of Nursing</w:t>
      </w:r>
      <w:r>
        <w:rPr>
          <w:spacing w:val="-20"/>
        </w:rPr>
        <w:t> </w:t>
      </w:r>
      <w:r>
        <w:rPr/>
        <w:t>and</w:t>
      </w:r>
      <w:r>
        <w:rPr>
          <w:spacing w:val="-20"/>
        </w:rPr>
        <w:t> </w:t>
      </w:r>
      <w:r>
        <w:rPr/>
        <w:t>Midwifery,</w:t>
      </w:r>
      <w:r>
        <w:rPr>
          <w:spacing w:val="-20"/>
        </w:rPr>
        <w:t> </w:t>
      </w:r>
      <w:r>
        <w:rPr/>
        <w:t>won</w:t>
      </w:r>
      <w:r>
        <w:rPr>
          <w:spacing w:val="-20"/>
        </w:rPr>
        <w:t> </w:t>
      </w:r>
      <w:r>
        <w:rPr/>
        <w:t>a</w:t>
      </w:r>
      <w:r>
        <w:rPr>
          <w:spacing w:val="-20"/>
        </w:rPr>
        <w:t> </w:t>
      </w:r>
      <w:r>
        <w:rPr/>
        <w:t>LearnX</w:t>
      </w:r>
      <w:r>
        <w:rPr>
          <w:spacing w:val="-20"/>
        </w:rPr>
        <w:t> </w:t>
      </w:r>
      <w:r>
        <w:rPr>
          <w:spacing w:val="2"/>
        </w:rPr>
        <w:t>Impact </w:t>
      </w:r>
      <w:r>
        <w:rPr/>
        <w:t>Award</w:t>
      </w:r>
      <w:r>
        <w:rPr>
          <w:spacing w:val="-23"/>
        </w:rPr>
        <w:t> </w:t>
      </w:r>
      <w:r>
        <w:rPr/>
        <w:t>for</w:t>
      </w:r>
      <w:r>
        <w:rPr>
          <w:spacing w:val="-23"/>
        </w:rPr>
        <w:t> </w:t>
      </w:r>
      <w:r>
        <w:rPr>
          <w:spacing w:val="2"/>
        </w:rPr>
        <w:t>Best</w:t>
      </w:r>
      <w:r>
        <w:rPr>
          <w:spacing w:val="-23"/>
        </w:rPr>
        <w:t> </w:t>
      </w:r>
      <w:r>
        <w:rPr/>
        <w:t>Instructional</w:t>
      </w:r>
      <w:r>
        <w:rPr>
          <w:spacing w:val="-23"/>
        </w:rPr>
        <w:t> </w:t>
      </w:r>
      <w:r>
        <w:rPr/>
        <w:t>Designer.</w:t>
      </w:r>
    </w:p>
    <w:p>
      <w:pPr>
        <w:pStyle w:val="BodyText"/>
        <w:rPr>
          <w:sz w:val="14"/>
        </w:rPr>
      </w:pPr>
    </w:p>
    <w:p>
      <w:pPr>
        <w:pStyle w:val="BodyText"/>
        <w:spacing w:line="249" w:lineRule="auto"/>
        <w:ind w:left="107" w:right="120"/>
      </w:pPr>
      <w:r>
        <w:rPr/>
        <w:t>Combined, these achievements attest the quality and standard of curriculum, teaching and learning practices and staff innovation, and</w:t>
      </w:r>
      <w:r>
        <w:rPr>
          <w:spacing w:val="-21"/>
        </w:rPr>
        <w:t> </w:t>
      </w:r>
      <w:r>
        <w:rPr/>
        <w:t>scholarship</w:t>
      </w:r>
      <w:r>
        <w:rPr>
          <w:spacing w:val="-21"/>
        </w:rPr>
        <w:t> </w:t>
      </w:r>
      <w:r>
        <w:rPr/>
        <w:t>at</w:t>
      </w:r>
      <w:r>
        <w:rPr>
          <w:spacing w:val="-21"/>
        </w:rPr>
        <w:t> </w:t>
      </w:r>
      <w:r>
        <w:rPr/>
        <w:t>Western</w:t>
      </w:r>
      <w:r>
        <w:rPr>
          <w:spacing w:val="-21"/>
        </w:rPr>
        <w:t> </w:t>
      </w:r>
      <w:r>
        <w:rPr/>
        <w:t>Sydney</w:t>
      </w:r>
      <w:r>
        <w:rPr>
          <w:spacing w:val="-21"/>
        </w:rPr>
        <w:t> </w:t>
      </w:r>
      <w:r>
        <w:rPr/>
        <w:t>University.</w:t>
      </w:r>
    </w:p>
    <w:p>
      <w:pPr>
        <w:pStyle w:val="BodyText"/>
        <w:spacing w:before="6"/>
        <w:rPr>
          <w:sz w:val="14"/>
        </w:rPr>
      </w:pPr>
    </w:p>
    <w:p>
      <w:pPr>
        <w:pStyle w:val="Heading8"/>
        <w:ind w:right="224"/>
      </w:pPr>
      <w:r>
        <w:rPr>
          <w:color w:val="636466"/>
          <w:w w:val="95"/>
        </w:rPr>
        <w:t>Office of Sustainability</w:t>
      </w:r>
    </w:p>
    <w:p>
      <w:pPr>
        <w:pStyle w:val="BodyText"/>
        <w:spacing w:line="249" w:lineRule="auto" w:before="86"/>
        <w:ind w:left="107" w:right="146"/>
      </w:pPr>
      <w:r>
        <w:rPr/>
        <w:t>The international field of Education for Sustainability (EfS) has emerged in response to the urgent need for critical global citizenship. EfS emphasises the </w:t>
      </w:r>
      <w:r>
        <w:rPr>
          <w:spacing w:val="2"/>
        </w:rPr>
        <w:t>necessary </w:t>
      </w:r>
      <w:r>
        <w:rPr/>
        <w:t>interrelationships between theory and practice; local and global scales; the present and</w:t>
      </w:r>
      <w:r>
        <w:rPr>
          <w:spacing w:val="-17"/>
        </w:rPr>
        <w:t> </w:t>
      </w:r>
      <w:r>
        <w:rPr/>
        <w:t>the</w:t>
      </w:r>
      <w:r>
        <w:rPr>
          <w:spacing w:val="-17"/>
        </w:rPr>
        <w:t> </w:t>
      </w:r>
      <w:r>
        <w:rPr/>
        <w:t>future;</w:t>
      </w:r>
      <w:r>
        <w:rPr>
          <w:spacing w:val="-17"/>
        </w:rPr>
        <w:t> </w:t>
      </w:r>
      <w:r>
        <w:rPr/>
        <w:t>and</w:t>
      </w:r>
      <w:r>
        <w:rPr>
          <w:spacing w:val="-17"/>
        </w:rPr>
        <w:t> </w:t>
      </w:r>
      <w:r>
        <w:rPr/>
        <w:t>it</w:t>
      </w:r>
      <w:r>
        <w:rPr>
          <w:spacing w:val="-17"/>
        </w:rPr>
        <w:t> </w:t>
      </w:r>
      <w:r>
        <w:rPr/>
        <w:t>has</w:t>
      </w:r>
      <w:r>
        <w:rPr>
          <w:spacing w:val="-17"/>
        </w:rPr>
        <w:t> </w:t>
      </w:r>
      <w:r>
        <w:rPr/>
        <w:t>a</w:t>
      </w:r>
      <w:r>
        <w:rPr>
          <w:spacing w:val="-17"/>
        </w:rPr>
        <w:t> </w:t>
      </w:r>
      <w:r>
        <w:rPr/>
        <w:t>global</w:t>
      </w:r>
      <w:r>
        <w:rPr>
          <w:spacing w:val="-17"/>
        </w:rPr>
        <w:t> </w:t>
      </w:r>
      <w:r>
        <w:rPr/>
        <w:t>citizenship component that requires a critical evaluation of</w:t>
      </w:r>
      <w:r>
        <w:rPr>
          <w:spacing w:val="-21"/>
        </w:rPr>
        <w:t> </w:t>
      </w:r>
      <w:r>
        <w:rPr/>
        <w:t>environment</w:t>
      </w:r>
      <w:r>
        <w:rPr>
          <w:spacing w:val="-21"/>
        </w:rPr>
        <w:t> </w:t>
      </w:r>
      <w:r>
        <w:rPr/>
        <w:t>and</w:t>
      </w:r>
      <w:r>
        <w:rPr>
          <w:spacing w:val="-21"/>
        </w:rPr>
        <w:t> </w:t>
      </w:r>
      <w:r>
        <w:rPr/>
        <w:t>social</w:t>
      </w:r>
      <w:r>
        <w:rPr>
          <w:spacing w:val="-21"/>
        </w:rPr>
        <w:t> </w:t>
      </w:r>
      <w:r>
        <w:rPr/>
        <w:t>justice</w:t>
      </w:r>
      <w:r>
        <w:rPr>
          <w:spacing w:val="-21"/>
        </w:rPr>
        <w:t> </w:t>
      </w:r>
      <w:r>
        <w:rPr/>
        <w:t>issues.</w:t>
      </w:r>
      <w:r>
        <w:rPr>
          <w:spacing w:val="-21"/>
        </w:rPr>
        <w:t> </w:t>
      </w:r>
      <w:r>
        <w:rPr/>
        <w:t>Since </w:t>
      </w:r>
      <w:r>
        <w:rPr>
          <w:spacing w:val="1"/>
          <w:w w:val="100"/>
        </w:rPr>
        <w:t>April</w:t>
      </w:r>
      <w:r>
        <w:rPr>
          <w:w w:val="100"/>
        </w:rPr>
        <w:t> </w:t>
      </w:r>
      <w:r>
        <w:rPr>
          <w:spacing w:val="1"/>
          <w:w w:val="84"/>
        </w:rPr>
        <w:t>2015,</w:t>
      </w:r>
      <w:r>
        <w:rPr>
          <w:w w:val="84"/>
        </w:rPr>
        <w:t> </w:t>
      </w:r>
      <w:r>
        <w:rPr>
          <w:w w:val="97"/>
        </w:rPr>
        <w:t>the </w:t>
      </w:r>
      <w:r>
        <w:rPr>
          <w:spacing w:val="1"/>
          <w:w w:val="98"/>
        </w:rPr>
        <w:t>Office</w:t>
      </w:r>
      <w:r>
        <w:rPr>
          <w:w w:val="98"/>
        </w:rPr>
        <w:t> </w:t>
      </w:r>
      <w:r>
        <w:rPr>
          <w:w w:val="99"/>
        </w:rPr>
        <w:t>of </w:t>
      </w:r>
      <w:r>
        <w:rPr>
          <w:spacing w:val="1"/>
          <w:w w:val="97"/>
        </w:rPr>
        <w:t>Sustainability</w:t>
      </w:r>
      <w:r>
        <w:rPr>
          <w:w w:val="97"/>
        </w:rPr>
        <w:t> </w:t>
      </w:r>
      <w:r>
        <w:rPr>
          <w:spacing w:val="1"/>
          <w:w w:val="95"/>
        </w:rPr>
        <w:t>has</w:t>
      </w:r>
      <w:r>
        <w:rPr>
          <w:w w:val="95"/>
        </w:rPr>
        <w:t> </w:t>
      </w:r>
      <w:r>
        <w:rPr/>
        <w:t>been relocated to the Pro Vice-Chancellor (Education) portfolio, where this EfS agenda can be systemically supported across the University’s</w:t>
      </w:r>
      <w:r>
        <w:rPr>
          <w:spacing w:val="-21"/>
        </w:rPr>
        <w:t> </w:t>
      </w:r>
      <w:r>
        <w:rPr/>
        <w:t>learning</w:t>
      </w:r>
      <w:r>
        <w:rPr>
          <w:spacing w:val="-21"/>
        </w:rPr>
        <w:t> </w:t>
      </w:r>
      <w:r>
        <w:rPr/>
        <w:t>and</w:t>
      </w:r>
      <w:r>
        <w:rPr>
          <w:spacing w:val="-21"/>
        </w:rPr>
        <w:t> </w:t>
      </w:r>
      <w:r>
        <w:rPr/>
        <w:t>teaching</w:t>
      </w:r>
      <w:r>
        <w:rPr>
          <w:spacing w:val="-21"/>
        </w:rPr>
        <w:t> </w:t>
      </w:r>
      <w:r>
        <w:rPr/>
        <w:t>programs.</w:t>
      </w:r>
    </w:p>
    <w:p>
      <w:pPr>
        <w:pStyle w:val="BodyText"/>
        <w:rPr>
          <w:sz w:val="14"/>
        </w:rPr>
      </w:pPr>
    </w:p>
    <w:p>
      <w:pPr>
        <w:pStyle w:val="BodyText"/>
        <w:spacing w:line="247" w:lineRule="auto"/>
        <w:ind w:left="107" w:right="231"/>
      </w:pPr>
      <w:r>
        <w:rPr/>
        <w:t>Highlights of the year included developing and delivering the first institutional </w:t>
      </w:r>
      <w:r>
        <w:rPr>
          <w:w w:val="95"/>
        </w:rPr>
        <w:t>Sustainability Report, </w:t>
      </w:r>
      <w:r>
        <w:rPr>
          <w:rFonts w:ascii="Century Gothic"/>
          <w:i/>
          <w:w w:val="95"/>
        </w:rPr>
        <w:t>Driving Sustainability: </w:t>
      </w:r>
      <w:r>
        <w:rPr>
          <w:rFonts w:ascii="Century Gothic"/>
          <w:i/>
          <w:w w:val="88"/>
        </w:rPr>
        <w:t>A </w:t>
      </w:r>
      <w:r>
        <w:rPr>
          <w:rFonts w:ascii="Century Gothic"/>
          <w:i/>
          <w:w w:val="86"/>
        </w:rPr>
        <w:t>2015 </w:t>
      </w:r>
      <w:r>
        <w:rPr>
          <w:rFonts w:ascii="Century Gothic"/>
          <w:i/>
          <w:w w:val="83"/>
        </w:rPr>
        <w:t>Roadmap </w:t>
      </w:r>
      <w:r>
        <w:rPr>
          <w:rFonts w:ascii="Century Gothic"/>
          <w:i/>
          <w:w w:val="91"/>
        </w:rPr>
        <w:t>to </w:t>
      </w:r>
      <w:r>
        <w:rPr>
          <w:rFonts w:ascii="Century Gothic"/>
          <w:i/>
          <w:w w:val="88"/>
        </w:rPr>
        <w:t>Success</w:t>
      </w:r>
      <w:r>
        <w:rPr>
          <w:w w:val="88"/>
        </w:rPr>
        <w:t>. </w:t>
      </w:r>
      <w:r>
        <w:rPr>
          <w:w w:val="94"/>
        </w:rPr>
        <w:t>The </w:t>
      </w:r>
      <w:r>
        <w:rPr>
          <w:w w:val="98"/>
        </w:rPr>
        <w:t>report </w:t>
      </w:r>
      <w:r>
        <w:rPr/>
        <w:t>noted 32 programs, majors and sub-majors with an EfS focus across five schools. Work also began on a pilot study the School of</w:t>
      </w:r>
    </w:p>
    <w:p>
      <w:pPr>
        <w:pStyle w:val="BodyText"/>
        <w:spacing w:line="249" w:lineRule="auto" w:before="1"/>
        <w:ind w:left="107" w:right="120"/>
      </w:pPr>
      <w:r>
        <w:rPr/>
        <w:t>Education</w:t>
      </w:r>
      <w:r>
        <w:rPr>
          <w:spacing w:val="-12"/>
        </w:rPr>
        <w:t> </w:t>
      </w:r>
      <w:r>
        <w:rPr/>
        <w:t>is</w:t>
      </w:r>
      <w:r>
        <w:rPr>
          <w:spacing w:val="-12"/>
        </w:rPr>
        <w:t> </w:t>
      </w:r>
      <w:r>
        <w:rPr/>
        <w:t>conducting</w:t>
      </w:r>
      <w:r>
        <w:rPr>
          <w:spacing w:val="-12"/>
        </w:rPr>
        <w:t> </w:t>
      </w:r>
      <w:r>
        <w:rPr/>
        <w:t>using</w:t>
      </w:r>
      <w:r>
        <w:rPr>
          <w:spacing w:val="-12"/>
        </w:rPr>
        <w:t> </w:t>
      </w:r>
      <w:r>
        <w:rPr/>
        <w:t>CMT</w:t>
      </w:r>
      <w:r>
        <w:rPr>
          <w:spacing w:val="-12"/>
        </w:rPr>
        <w:t> </w:t>
      </w:r>
      <w:r>
        <w:rPr/>
        <w:t>to</w:t>
      </w:r>
      <w:r>
        <w:rPr>
          <w:spacing w:val="-12"/>
        </w:rPr>
        <w:t> </w:t>
      </w:r>
      <w:r>
        <w:rPr/>
        <w:t>develop an institutional protocol for the Sustainability Graduate Attribute. The EfS Forum – a multidisciplinary community of practice network to promote EfS discourse and practice</w:t>
      </w:r>
      <w:r>
        <w:rPr>
          <w:spacing w:val="-15"/>
        </w:rPr>
        <w:t> </w:t>
      </w:r>
      <w:r>
        <w:rPr/>
        <w:t>at</w:t>
      </w:r>
      <w:r>
        <w:rPr>
          <w:spacing w:val="-15"/>
        </w:rPr>
        <w:t> </w:t>
      </w:r>
      <w:r>
        <w:rPr/>
        <w:t>a</w:t>
      </w:r>
      <w:r>
        <w:rPr>
          <w:spacing w:val="-15"/>
        </w:rPr>
        <w:t> </w:t>
      </w:r>
      <w:r>
        <w:rPr/>
        <w:t>teaching</w:t>
      </w:r>
      <w:r>
        <w:rPr>
          <w:spacing w:val="-15"/>
        </w:rPr>
        <w:t> </w:t>
      </w:r>
      <w:r>
        <w:rPr/>
        <w:t>level</w:t>
      </w:r>
      <w:r>
        <w:rPr>
          <w:spacing w:val="-15"/>
        </w:rPr>
        <w:t> </w:t>
      </w:r>
      <w:r>
        <w:rPr/>
        <w:t>–</w:t>
      </w:r>
      <w:r>
        <w:rPr>
          <w:spacing w:val="-15"/>
        </w:rPr>
        <w:t> </w:t>
      </w:r>
      <w:r>
        <w:rPr/>
        <w:t>was</w:t>
      </w:r>
      <w:r>
        <w:rPr>
          <w:spacing w:val="-15"/>
        </w:rPr>
        <w:t> </w:t>
      </w:r>
      <w:r>
        <w:rPr/>
        <w:t>established to</w:t>
      </w:r>
      <w:r>
        <w:rPr>
          <w:spacing w:val="-14"/>
        </w:rPr>
        <w:t> </w:t>
      </w:r>
      <w:r>
        <w:rPr/>
        <w:t>support</w:t>
      </w:r>
      <w:r>
        <w:rPr>
          <w:spacing w:val="-14"/>
        </w:rPr>
        <w:t> </w:t>
      </w:r>
      <w:r>
        <w:rPr/>
        <w:t>academic</w:t>
      </w:r>
      <w:r>
        <w:rPr>
          <w:spacing w:val="-14"/>
        </w:rPr>
        <w:t> </w:t>
      </w:r>
      <w:r>
        <w:rPr/>
        <w:t>engagement.</w:t>
      </w:r>
    </w:p>
    <w:p>
      <w:pPr>
        <w:pStyle w:val="BodyText"/>
        <w:rPr>
          <w:sz w:val="14"/>
        </w:rPr>
      </w:pPr>
    </w:p>
    <w:p>
      <w:pPr>
        <w:pStyle w:val="BodyText"/>
        <w:spacing w:line="249" w:lineRule="auto"/>
        <w:ind w:left="107" w:right="460"/>
      </w:pPr>
      <w:r>
        <w:rPr>
          <w:spacing w:val="1"/>
          <w:w w:val="80"/>
        </w:rPr>
        <w:t>In</w:t>
      </w:r>
      <w:r>
        <w:rPr>
          <w:w w:val="80"/>
        </w:rPr>
        <w:t> </w:t>
      </w:r>
      <w:r>
        <w:rPr>
          <w:spacing w:val="1"/>
          <w:w w:val="98"/>
        </w:rPr>
        <w:t>September</w:t>
      </w:r>
      <w:r>
        <w:rPr>
          <w:w w:val="98"/>
        </w:rPr>
        <w:t> </w:t>
      </w:r>
      <w:r>
        <w:rPr>
          <w:spacing w:val="1"/>
          <w:w w:val="84"/>
        </w:rPr>
        <w:t>2015,</w:t>
      </w:r>
      <w:r>
        <w:rPr>
          <w:w w:val="84"/>
        </w:rPr>
        <w:t> </w:t>
      </w:r>
      <w:r>
        <w:rPr>
          <w:w w:val="97"/>
        </w:rPr>
        <w:t>the </w:t>
      </w:r>
      <w:r>
        <w:rPr>
          <w:spacing w:val="1"/>
          <w:w w:val="96"/>
        </w:rPr>
        <w:t>inaugural</w:t>
      </w:r>
      <w:r>
        <w:rPr>
          <w:w w:val="96"/>
        </w:rPr>
        <w:t> </w:t>
      </w:r>
      <w:r>
        <w:rPr>
          <w:spacing w:val="2"/>
          <w:w w:val="100"/>
        </w:rPr>
        <w:t>HOPE</w:t>
      </w:r>
      <w:r>
        <w:rPr>
          <w:w w:val="100"/>
        </w:rPr>
        <w:t> </w:t>
      </w:r>
      <w:r>
        <w:rPr/>
        <w:t>Students for Sustainability Conference was</w:t>
      </w:r>
      <w:r>
        <w:rPr>
          <w:spacing w:val="-21"/>
        </w:rPr>
        <w:t> </w:t>
      </w:r>
      <w:r>
        <w:rPr/>
        <w:t>held</w:t>
      </w:r>
      <w:r>
        <w:rPr>
          <w:spacing w:val="-21"/>
        </w:rPr>
        <w:t> </w:t>
      </w:r>
      <w:r>
        <w:rPr/>
        <w:t>at</w:t>
      </w:r>
      <w:r>
        <w:rPr>
          <w:spacing w:val="-21"/>
        </w:rPr>
        <w:t> </w:t>
      </w:r>
      <w:r>
        <w:rPr/>
        <w:t>the</w:t>
      </w:r>
      <w:r>
        <w:rPr>
          <w:spacing w:val="-21"/>
        </w:rPr>
        <w:t> </w:t>
      </w:r>
      <w:r>
        <w:rPr/>
        <w:t>Hawkesbury</w:t>
      </w:r>
      <w:r>
        <w:rPr>
          <w:spacing w:val="-21"/>
        </w:rPr>
        <w:t> </w:t>
      </w:r>
      <w:r>
        <w:rPr>
          <w:spacing w:val="2"/>
        </w:rPr>
        <w:t>campus.</w:t>
      </w:r>
      <w:r>
        <w:rPr>
          <w:spacing w:val="-21"/>
        </w:rPr>
        <w:t> </w:t>
      </w:r>
      <w:r>
        <w:rPr/>
        <w:t>The</w:t>
      </w:r>
    </w:p>
    <w:p>
      <w:pPr>
        <w:pStyle w:val="BodyText"/>
        <w:spacing w:line="249" w:lineRule="auto"/>
        <w:ind w:left="107" w:right="66"/>
      </w:pPr>
      <w:r>
        <w:rPr/>
        <w:t>conference for undergraduate students aimed to build professional soft skills. Attendance </w:t>
      </w:r>
      <w:r>
        <w:rPr>
          <w:w w:val="96"/>
        </w:rPr>
        <w:t>was </w:t>
      </w:r>
      <w:r>
        <w:rPr>
          <w:w w:val="94"/>
        </w:rPr>
        <w:t>strong, </w:t>
      </w:r>
      <w:r>
        <w:rPr>
          <w:w w:val="98"/>
        </w:rPr>
        <w:t>with </w:t>
      </w:r>
      <w:r>
        <w:rPr>
          <w:w w:val="73"/>
        </w:rPr>
        <w:t>110 </w:t>
      </w:r>
      <w:r>
        <w:rPr>
          <w:w w:val="97"/>
        </w:rPr>
        <w:t>undergraduates </w:t>
      </w:r>
      <w:r>
        <w:rPr>
          <w:w w:val="97"/>
        </w:rPr>
        <w:t>and</w:t>
      </w:r>
    </w:p>
    <w:p>
      <w:pPr>
        <w:pStyle w:val="BodyText"/>
        <w:spacing w:line="249" w:lineRule="auto"/>
        <w:ind w:left="107" w:right="282"/>
      </w:pPr>
      <w:r>
        <w:rPr/>
        <w:t>36</w:t>
      </w:r>
      <w:r>
        <w:rPr>
          <w:spacing w:val="-22"/>
        </w:rPr>
        <w:t> </w:t>
      </w:r>
      <w:r>
        <w:rPr/>
        <w:t>students</w:t>
      </w:r>
      <w:r>
        <w:rPr>
          <w:spacing w:val="-22"/>
        </w:rPr>
        <w:t> </w:t>
      </w:r>
      <w:r>
        <w:rPr/>
        <w:t>from</w:t>
      </w:r>
      <w:r>
        <w:rPr>
          <w:spacing w:val="-22"/>
        </w:rPr>
        <w:t> </w:t>
      </w:r>
      <w:r>
        <w:rPr/>
        <w:t>17</w:t>
      </w:r>
      <w:r>
        <w:rPr>
          <w:spacing w:val="-22"/>
        </w:rPr>
        <w:t> </w:t>
      </w:r>
      <w:r>
        <w:rPr/>
        <w:t>Australian</w:t>
      </w:r>
      <w:r>
        <w:rPr>
          <w:spacing w:val="-22"/>
        </w:rPr>
        <w:t> </w:t>
      </w:r>
      <w:r>
        <w:rPr/>
        <w:t>universities. The</w:t>
      </w:r>
      <w:r>
        <w:rPr>
          <w:spacing w:val="-20"/>
        </w:rPr>
        <w:t> </w:t>
      </w:r>
      <w:r>
        <w:rPr/>
        <w:t>keynote</w:t>
      </w:r>
      <w:r>
        <w:rPr>
          <w:spacing w:val="-20"/>
        </w:rPr>
        <w:t> </w:t>
      </w:r>
      <w:r>
        <w:rPr/>
        <w:t>speaker</w:t>
      </w:r>
      <w:r>
        <w:rPr>
          <w:spacing w:val="-20"/>
        </w:rPr>
        <w:t> </w:t>
      </w:r>
      <w:r>
        <w:rPr/>
        <w:t>was</w:t>
      </w:r>
      <w:r>
        <w:rPr>
          <w:spacing w:val="-20"/>
        </w:rPr>
        <w:t> </w:t>
      </w:r>
      <w:r>
        <w:rPr/>
        <w:t>the</w:t>
      </w:r>
      <w:r>
        <w:rPr>
          <w:spacing w:val="-20"/>
        </w:rPr>
        <w:t> </w:t>
      </w:r>
      <w:r>
        <w:rPr/>
        <w:t>former</w:t>
      </w:r>
      <w:r>
        <w:rPr>
          <w:spacing w:val="-20"/>
        </w:rPr>
        <w:t> </w:t>
      </w:r>
      <w:r>
        <w:rPr/>
        <w:t>Greens Senator,</w:t>
      </w:r>
      <w:r>
        <w:rPr>
          <w:spacing w:val="-26"/>
        </w:rPr>
        <w:t> </w:t>
      </w:r>
      <w:r>
        <w:rPr/>
        <w:t>the</w:t>
      </w:r>
      <w:r>
        <w:rPr>
          <w:spacing w:val="-26"/>
        </w:rPr>
        <w:t> </w:t>
      </w:r>
      <w:r>
        <w:rPr>
          <w:spacing w:val="2"/>
        </w:rPr>
        <w:t>Hon.</w:t>
      </w:r>
      <w:r>
        <w:rPr>
          <w:spacing w:val="-26"/>
        </w:rPr>
        <w:t> </w:t>
      </w:r>
      <w:r>
        <w:rPr/>
        <w:t>Christine</w:t>
      </w:r>
      <w:r>
        <w:rPr>
          <w:spacing w:val="-26"/>
        </w:rPr>
        <w:t> </w:t>
      </w:r>
      <w:r>
        <w:rPr/>
        <w:t>Milne.</w:t>
      </w:r>
      <w:r>
        <w:rPr>
          <w:spacing w:val="-26"/>
        </w:rPr>
        <w:t> </w:t>
      </w:r>
      <w:r>
        <w:rPr/>
        <w:t>More</w:t>
      </w:r>
      <w:r>
        <w:rPr>
          <w:spacing w:val="-26"/>
        </w:rPr>
        <w:t> </w:t>
      </w:r>
      <w:r>
        <w:rPr/>
        <w:t>than half of the presentations, which covered sustainability</w:t>
      </w:r>
      <w:r>
        <w:rPr>
          <w:spacing w:val="-15"/>
        </w:rPr>
        <w:t> </w:t>
      </w:r>
      <w:r>
        <w:rPr/>
        <w:t>topics</w:t>
      </w:r>
      <w:r>
        <w:rPr>
          <w:spacing w:val="-15"/>
        </w:rPr>
        <w:t> </w:t>
      </w:r>
      <w:r>
        <w:rPr/>
        <w:t>including</w:t>
      </w:r>
      <w:r>
        <w:rPr>
          <w:spacing w:val="-15"/>
        </w:rPr>
        <w:t> </w:t>
      </w:r>
      <w:r>
        <w:rPr/>
        <w:t>volunteering</w:t>
      </w:r>
    </w:p>
    <w:p>
      <w:pPr>
        <w:spacing w:after="0" w:line="249" w:lineRule="auto"/>
        <w:sectPr>
          <w:type w:val="continuous"/>
          <w:pgSz w:w="11910" w:h="16840"/>
          <w:pgMar w:top="1580" w:bottom="280" w:left="800" w:right="800"/>
          <w:cols w:num="3" w:equalWidth="0">
            <w:col w:w="3291" w:space="149"/>
            <w:col w:w="3321" w:space="119"/>
            <w:col w:w="34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65"/>
      </w:pPr>
      <w:r>
        <w:rPr/>
        <w:t>abroad, climate change and corporate social responsibility,</w:t>
      </w:r>
      <w:r>
        <w:rPr>
          <w:spacing w:val="-20"/>
        </w:rPr>
        <w:t> </w:t>
      </w:r>
      <w:r>
        <w:rPr/>
        <w:t>were</w:t>
      </w:r>
      <w:r>
        <w:rPr>
          <w:spacing w:val="-20"/>
        </w:rPr>
        <w:t> </w:t>
      </w:r>
      <w:r>
        <w:rPr/>
        <w:t>made</w:t>
      </w:r>
      <w:r>
        <w:rPr>
          <w:spacing w:val="-20"/>
        </w:rPr>
        <w:t> </w:t>
      </w:r>
      <w:r>
        <w:rPr/>
        <w:t>by</w:t>
      </w:r>
      <w:r>
        <w:rPr>
          <w:spacing w:val="-20"/>
        </w:rPr>
        <w:t> </w:t>
      </w:r>
      <w:r>
        <w:rPr/>
        <w:t>Western</w:t>
      </w:r>
      <w:r>
        <w:rPr>
          <w:spacing w:val="-20"/>
        </w:rPr>
        <w:t> </w:t>
      </w:r>
      <w:r>
        <w:rPr/>
        <w:t>Sydney University</w:t>
      </w:r>
      <w:r>
        <w:rPr>
          <w:spacing w:val="-26"/>
        </w:rPr>
        <w:t> </w:t>
      </w:r>
      <w:r>
        <w:rPr/>
        <w:t>students.</w:t>
      </w:r>
    </w:p>
    <w:p>
      <w:pPr>
        <w:pStyle w:val="BodyText"/>
        <w:spacing w:before="6"/>
        <w:rPr>
          <w:sz w:val="22"/>
        </w:rPr>
      </w:pPr>
    </w:p>
    <w:p>
      <w:pPr>
        <w:pStyle w:val="Heading5"/>
        <w:ind w:right="58"/>
      </w:pPr>
      <w:bookmarkStart w:name="_TOC_250006" w:id="19"/>
      <w:bookmarkEnd w:id="19"/>
      <w:r>
        <w:rPr/>
        <w:t>LIBRARY</w:t>
      </w:r>
    </w:p>
    <w:p>
      <w:pPr>
        <w:pStyle w:val="BodyText"/>
        <w:spacing w:line="247" w:lineRule="auto" w:before="209"/>
        <w:ind w:left="107" w:right="136"/>
      </w:pPr>
      <w:r>
        <w:rPr>
          <w:w w:val="80"/>
        </w:rPr>
        <w:t>In </w:t>
      </w:r>
      <w:r>
        <w:rPr>
          <w:w w:val="84"/>
        </w:rPr>
        <w:t>2015, </w:t>
      </w:r>
      <w:r>
        <w:rPr>
          <w:w w:val="94"/>
        </w:rPr>
        <w:t>a </w:t>
      </w:r>
      <w:r>
        <w:rPr>
          <w:w w:val="97"/>
        </w:rPr>
        <w:t>number </w:t>
      </w:r>
      <w:r>
        <w:rPr>
          <w:w w:val="99"/>
        </w:rPr>
        <w:t>of </w:t>
      </w:r>
      <w:r>
        <w:rPr>
          <w:w w:val="97"/>
        </w:rPr>
        <w:t>significant </w:t>
      </w:r>
      <w:r>
        <w:rPr>
          <w:w w:val="97"/>
        </w:rPr>
        <w:t>University </w:t>
      </w:r>
      <w:r>
        <w:rPr/>
        <w:t>Library initiatives were completed, and the Library was able to support the University’s </w:t>
      </w:r>
      <w:r>
        <w:rPr>
          <w:rFonts w:ascii="Century Gothic" w:hAnsi="Century Gothic"/>
          <w:i/>
          <w:w w:val="95"/>
        </w:rPr>
        <w:t>Securing Success </w:t>
      </w:r>
      <w:r>
        <w:rPr>
          <w:w w:val="95"/>
        </w:rPr>
        <w:t>2015–2020 strategic plan.</w:t>
      </w:r>
    </w:p>
    <w:p>
      <w:pPr>
        <w:pStyle w:val="BodyText"/>
        <w:spacing w:before="12"/>
        <w:rPr>
          <w:sz w:val="13"/>
        </w:rPr>
      </w:pPr>
    </w:p>
    <w:p>
      <w:pPr>
        <w:pStyle w:val="BodyText"/>
        <w:spacing w:line="249" w:lineRule="auto"/>
        <w:ind w:left="107" w:right="-11"/>
      </w:pPr>
      <w:r>
        <w:rPr/>
        <w:t>Achievements and innovations show the Library’s role in supporting the scholarly endeavours</w:t>
      </w:r>
      <w:r>
        <w:rPr>
          <w:spacing w:val="-23"/>
        </w:rPr>
        <w:t> </w:t>
      </w:r>
      <w:r>
        <w:rPr/>
        <w:t>and</w:t>
      </w:r>
      <w:r>
        <w:rPr>
          <w:spacing w:val="-23"/>
        </w:rPr>
        <w:t> </w:t>
      </w:r>
      <w:r>
        <w:rPr/>
        <w:t>aspirations</w:t>
      </w:r>
      <w:r>
        <w:rPr>
          <w:spacing w:val="-23"/>
        </w:rPr>
        <w:t> </w:t>
      </w:r>
      <w:r>
        <w:rPr/>
        <w:t>of</w:t>
      </w:r>
      <w:r>
        <w:rPr>
          <w:spacing w:val="-23"/>
        </w:rPr>
        <w:t> </w:t>
      </w:r>
      <w:r>
        <w:rPr/>
        <w:t>the</w:t>
      </w:r>
      <w:r>
        <w:rPr>
          <w:spacing w:val="-23"/>
        </w:rPr>
        <w:t> </w:t>
      </w:r>
      <w:r>
        <w:rPr/>
        <w:t>University. The</w:t>
      </w:r>
      <w:r>
        <w:rPr>
          <w:spacing w:val="-21"/>
        </w:rPr>
        <w:t> </w:t>
      </w:r>
      <w:r>
        <w:rPr/>
        <w:t>Library’s</w:t>
      </w:r>
      <w:r>
        <w:rPr>
          <w:spacing w:val="-21"/>
        </w:rPr>
        <w:t> </w:t>
      </w:r>
      <w:r>
        <w:rPr/>
        <w:t>strategy</w:t>
      </w:r>
      <w:r>
        <w:rPr>
          <w:spacing w:val="-21"/>
        </w:rPr>
        <w:t> </w:t>
      </w:r>
      <w:r>
        <w:rPr/>
        <w:t>focuses</w:t>
      </w:r>
      <w:r>
        <w:rPr>
          <w:spacing w:val="-21"/>
        </w:rPr>
        <w:t> </w:t>
      </w:r>
      <w:r>
        <w:rPr/>
        <w:t>on</w:t>
      </w:r>
      <w:r>
        <w:rPr>
          <w:spacing w:val="-21"/>
        </w:rPr>
        <w:t> </w:t>
      </w:r>
      <w:r>
        <w:rPr/>
        <w:t>technology, engagement, and the people and culture within the unit. We are committed to continuous</w:t>
      </w:r>
      <w:r>
        <w:rPr>
          <w:spacing w:val="-20"/>
        </w:rPr>
        <w:t> </w:t>
      </w:r>
      <w:r>
        <w:rPr/>
        <w:t>improvement</w:t>
      </w:r>
      <w:r>
        <w:rPr>
          <w:spacing w:val="-20"/>
        </w:rPr>
        <w:t> </w:t>
      </w:r>
      <w:r>
        <w:rPr/>
        <w:t>and</w:t>
      </w:r>
      <w:r>
        <w:rPr>
          <w:spacing w:val="-20"/>
        </w:rPr>
        <w:t> </w:t>
      </w:r>
      <w:r>
        <w:rPr/>
        <w:t>retained</w:t>
      </w:r>
      <w:r>
        <w:rPr>
          <w:spacing w:val="-20"/>
        </w:rPr>
        <w:t> </w:t>
      </w:r>
      <w:r>
        <w:rPr/>
        <w:t>our</w:t>
      </w:r>
      <w:r>
        <w:rPr>
          <w:spacing w:val="-20"/>
        </w:rPr>
        <w:t> </w:t>
      </w:r>
      <w:r>
        <w:rPr/>
        <w:t>AS/ </w:t>
      </w:r>
      <w:r>
        <w:rPr>
          <w:w w:val="101"/>
        </w:rPr>
        <w:t>NZS </w:t>
      </w:r>
      <w:r>
        <w:rPr>
          <w:w w:val="87"/>
        </w:rPr>
        <w:t>ISO </w:t>
      </w:r>
      <w:r>
        <w:rPr>
          <w:spacing w:val="2"/>
          <w:w w:val="94"/>
        </w:rPr>
        <w:t>9001:2008</w:t>
      </w:r>
      <w:r>
        <w:rPr>
          <w:w w:val="94"/>
        </w:rPr>
        <w:t> </w:t>
      </w:r>
      <w:r>
        <w:rPr>
          <w:w w:val="89"/>
        </w:rPr>
        <w:t>– </w:t>
      </w:r>
      <w:r>
        <w:rPr>
          <w:spacing w:val="1"/>
          <w:w w:val="98"/>
        </w:rPr>
        <w:t>Quality</w:t>
      </w:r>
      <w:r>
        <w:rPr>
          <w:w w:val="98"/>
        </w:rPr>
        <w:t> </w:t>
      </w:r>
      <w:r>
        <w:rPr>
          <w:w w:val="97"/>
        </w:rPr>
        <w:t>Management </w:t>
      </w:r>
      <w:r>
        <w:rPr/>
        <w:t>Systems</w:t>
      </w:r>
      <w:r>
        <w:rPr>
          <w:spacing w:val="-27"/>
        </w:rPr>
        <w:t> </w:t>
      </w:r>
      <w:r>
        <w:rPr/>
        <w:t>–</w:t>
      </w:r>
      <w:r>
        <w:rPr>
          <w:spacing w:val="-27"/>
        </w:rPr>
        <w:t> </w:t>
      </w:r>
      <w:r>
        <w:rPr/>
        <w:t>Requirements</w:t>
      </w:r>
      <w:r>
        <w:rPr>
          <w:spacing w:val="-27"/>
        </w:rPr>
        <w:t> </w:t>
      </w:r>
      <w:r>
        <w:rPr/>
        <w:t>standard</w:t>
      </w:r>
      <w:r>
        <w:rPr>
          <w:spacing w:val="-27"/>
        </w:rPr>
        <w:t> </w:t>
      </w:r>
      <w:r>
        <w:rPr/>
        <w:t>certification for</w:t>
      </w:r>
      <w:r>
        <w:rPr>
          <w:spacing w:val="-29"/>
        </w:rPr>
        <w:t> </w:t>
      </w:r>
      <w:r>
        <w:rPr/>
        <w:t>the</w:t>
      </w:r>
      <w:r>
        <w:rPr>
          <w:spacing w:val="-29"/>
        </w:rPr>
        <w:t> </w:t>
      </w:r>
      <w:r>
        <w:rPr/>
        <w:t>sixth</w:t>
      </w:r>
      <w:r>
        <w:rPr>
          <w:spacing w:val="-29"/>
        </w:rPr>
        <w:t> </w:t>
      </w:r>
      <w:r>
        <w:rPr/>
        <w:t>consecutive</w:t>
      </w:r>
      <w:r>
        <w:rPr>
          <w:spacing w:val="-29"/>
        </w:rPr>
        <w:t> </w:t>
      </w:r>
      <w:r>
        <w:rPr/>
        <w:t>year.</w:t>
      </w:r>
    </w:p>
    <w:p>
      <w:pPr>
        <w:pStyle w:val="BodyText"/>
        <w:spacing w:before="7"/>
        <w:rPr>
          <w:sz w:val="21"/>
        </w:rPr>
      </w:pPr>
    </w:p>
    <w:p>
      <w:pPr>
        <w:pStyle w:val="Heading8"/>
        <w:ind w:right="58"/>
      </w:pPr>
      <w:r>
        <w:rPr>
          <w:w w:val="95"/>
        </w:rPr>
        <w:t>STUDENT EXPERIENCE</w:t>
      </w:r>
    </w:p>
    <w:p>
      <w:pPr>
        <w:pStyle w:val="BodyText"/>
        <w:spacing w:line="249" w:lineRule="auto" w:before="86"/>
        <w:ind w:left="107" w:right="105"/>
      </w:pPr>
      <w:r>
        <w:rPr/>
        <w:t>More than 1.5 million clients entered the </w:t>
      </w:r>
      <w:r>
        <w:rPr>
          <w:w w:val="99"/>
        </w:rPr>
        <w:t>combined </w:t>
      </w:r>
      <w:r>
        <w:rPr>
          <w:w w:val="98"/>
        </w:rPr>
        <w:t>campus </w:t>
      </w:r>
      <w:r>
        <w:rPr>
          <w:w w:val="96"/>
        </w:rPr>
        <w:t>libraries </w:t>
      </w:r>
      <w:r>
        <w:rPr>
          <w:w w:val="95"/>
        </w:rPr>
        <w:t>in </w:t>
      </w:r>
      <w:r>
        <w:rPr>
          <w:w w:val="84"/>
        </w:rPr>
        <w:t>2015. </w:t>
      </w:r>
      <w:r>
        <w:rPr>
          <w:w w:val="98"/>
        </w:rPr>
        <w:t>Over </w:t>
      </w:r>
      <w:r>
        <w:rPr>
          <w:w w:val="95"/>
        </w:rPr>
        <w:t>160,000 </w:t>
      </w:r>
      <w:r>
        <w:rPr>
          <w:w w:val="97"/>
        </w:rPr>
        <w:t>requests </w:t>
      </w:r>
      <w:r>
        <w:rPr>
          <w:w w:val="97"/>
        </w:rPr>
        <w:t>were </w:t>
      </w:r>
      <w:r>
        <w:rPr>
          <w:w w:val="97"/>
        </w:rPr>
        <w:t>made </w:t>
      </w:r>
      <w:r>
        <w:rPr>
          <w:w w:val="98"/>
        </w:rPr>
        <w:t>for </w:t>
      </w:r>
      <w:r>
        <w:rPr>
          <w:w w:val="96"/>
        </w:rPr>
        <w:t>assistance </w:t>
      </w:r>
      <w:r>
        <w:rPr/>
        <w:t>(including 30,000 online requests) and 25,000 students participated in face-to-face information literacy sessions.</w:t>
      </w:r>
    </w:p>
    <w:p>
      <w:pPr>
        <w:pStyle w:val="BodyText"/>
        <w:rPr>
          <w:sz w:val="14"/>
        </w:rPr>
      </w:pPr>
    </w:p>
    <w:p>
      <w:pPr>
        <w:pStyle w:val="BodyText"/>
        <w:spacing w:line="249" w:lineRule="auto"/>
        <w:ind w:left="107" w:right="55"/>
      </w:pPr>
      <w:r>
        <w:rPr>
          <w:w w:val="112"/>
        </w:rPr>
        <w:t>A </w:t>
      </w:r>
      <w:r>
        <w:rPr>
          <w:spacing w:val="-1"/>
          <w:w w:val="98"/>
        </w:rPr>
        <w:t>key</w:t>
      </w:r>
      <w:r>
        <w:rPr>
          <w:w w:val="98"/>
        </w:rPr>
        <w:t> </w:t>
      </w:r>
      <w:r>
        <w:rPr>
          <w:w w:val="97"/>
        </w:rPr>
        <w:t>achievement </w:t>
      </w:r>
      <w:r>
        <w:rPr>
          <w:w w:val="95"/>
        </w:rPr>
        <w:t>in </w:t>
      </w:r>
      <w:r>
        <w:rPr>
          <w:spacing w:val="1"/>
          <w:w w:val="88"/>
        </w:rPr>
        <w:t>2015</w:t>
      </w:r>
      <w:r>
        <w:rPr>
          <w:w w:val="88"/>
        </w:rPr>
        <w:t> </w:t>
      </w:r>
      <w:r>
        <w:rPr>
          <w:w w:val="96"/>
        </w:rPr>
        <w:t>was </w:t>
      </w:r>
      <w:r>
        <w:rPr>
          <w:w w:val="97"/>
        </w:rPr>
        <w:t>the </w:t>
      </w:r>
      <w:r>
        <w:rPr>
          <w:spacing w:val="1"/>
          <w:w w:val="98"/>
        </w:rPr>
        <w:t>opening</w:t>
      </w:r>
      <w:r>
        <w:rPr>
          <w:w w:val="98"/>
        </w:rPr>
        <w:t> </w:t>
      </w:r>
      <w:r>
        <w:rPr/>
        <w:t>of</w:t>
      </w:r>
      <w:r>
        <w:rPr>
          <w:spacing w:val="-11"/>
        </w:rPr>
        <w:t> </w:t>
      </w:r>
      <w:r>
        <w:rPr/>
        <w:t>the</w:t>
      </w:r>
      <w:r>
        <w:rPr>
          <w:spacing w:val="-11"/>
        </w:rPr>
        <w:t> </w:t>
      </w:r>
      <w:r>
        <w:rPr/>
        <w:t>new</w:t>
      </w:r>
      <w:r>
        <w:rPr>
          <w:spacing w:val="-11"/>
        </w:rPr>
        <w:t> </w:t>
      </w:r>
      <w:r>
        <w:rPr/>
        <w:t>John</w:t>
      </w:r>
      <w:r>
        <w:rPr>
          <w:spacing w:val="-11"/>
        </w:rPr>
        <w:t> </w:t>
      </w:r>
      <w:r>
        <w:rPr/>
        <w:t>Phillips</w:t>
      </w:r>
      <w:r>
        <w:rPr>
          <w:spacing w:val="-11"/>
        </w:rPr>
        <w:t> </w:t>
      </w:r>
      <w:r>
        <w:rPr/>
        <w:t>Library</w:t>
      </w:r>
      <w:r>
        <w:rPr>
          <w:spacing w:val="-11"/>
        </w:rPr>
        <w:t> </w:t>
      </w:r>
      <w:r>
        <w:rPr/>
        <w:t>at</w:t>
      </w:r>
      <w:r>
        <w:rPr>
          <w:spacing w:val="-11"/>
        </w:rPr>
        <w:t> </w:t>
      </w:r>
      <w:r>
        <w:rPr/>
        <w:t>Kingswood for</w:t>
      </w:r>
      <w:r>
        <w:rPr>
          <w:spacing w:val="-22"/>
        </w:rPr>
        <w:t> </w:t>
      </w:r>
      <w:r>
        <w:rPr/>
        <w:t>the</w:t>
      </w:r>
      <w:r>
        <w:rPr>
          <w:spacing w:val="-22"/>
        </w:rPr>
        <w:t> </w:t>
      </w:r>
      <w:r>
        <w:rPr/>
        <w:t>autumn</w:t>
      </w:r>
      <w:r>
        <w:rPr>
          <w:spacing w:val="-22"/>
        </w:rPr>
        <w:t> </w:t>
      </w:r>
      <w:r>
        <w:rPr/>
        <w:t>session.</w:t>
      </w:r>
      <w:r>
        <w:rPr>
          <w:spacing w:val="-22"/>
        </w:rPr>
        <w:t> </w:t>
      </w:r>
      <w:r>
        <w:rPr/>
        <w:t>Set</w:t>
      </w:r>
      <w:r>
        <w:rPr>
          <w:spacing w:val="-22"/>
        </w:rPr>
        <w:t> </w:t>
      </w:r>
      <w:r>
        <w:rPr/>
        <w:t>over</w:t>
      </w:r>
      <w:r>
        <w:rPr>
          <w:spacing w:val="-22"/>
        </w:rPr>
        <w:t> </w:t>
      </w:r>
      <w:r>
        <w:rPr/>
        <w:t>five</w:t>
      </w:r>
      <w:r>
        <w:rPr>
          <w:spacing w:val="-22"/>
        </w:rPr>
        <w:t> </w:t>
      </w:r>
      <w:r>
        <w:rPr/>
        <w:t>levels,</w:t>
      </w:r>
    </w:p>
    <w:p>
      <w:pPr>
        <w:pStyle w:val="BodyText"/>
        <w:spacing w:line="249" w:lineRule="auto"/>
        <w:ind w:left="107" w:right="5"/>
      </w:pPr>
      <w:r>
        <w:rPr/>
        <w:t>student</w:t>
      </w:r>
      <w:r>
        <w:rPr>
          <w:spacing w:val="-14"/>
        </w:rPr>
        <w:t> </w:t>
      </w:r>
      <w:r>
        <w:rPr/>
        <w:t>spaces</w:t>
      </w:r>
      <w:r>
        <w:rPr>
          <w:spacing w:val="-14"/>
        </w:rPr>
        <w:t> </w:t>
      </w:r>
      <w:r>
        <w:rPr/>
        <w:t>provide</w:t>
      </w:r>
      <w:r>
        <w:rPr>
          <w:spacing w:val="-14"/>
        </w:rPr>
        <w:t> </w:t>
      </w:r>
      <w:r>
        <w:rPr/>
        <w:t>unprecedented</w:t>
      </w:r>
      <w:r>
        <w:rPr>
          <w:spacing w:val="-14"/>
        </w:rPr>
        <w:t> </w:t>
      </w:r>
      <w:r>
        <w:rPr/>
        <w:t>access to configurable, technology-enabled, quiet and silent study areas, as well as a robust collection</w:t>
      </w:r>
      <w:r>
        <w:rPr>
          <w:spacing w:val="-13"/>
        </w:rPr>
        <w:t> </w:t>
      </w:r>
      <w:r>
        <w:rPr/>
        <w:t>–</w:t>
      </w:r>
      <w:r>
        <w:rPr>
          <w:spacing w:val="-13"/>
        </w:rPr>
        <w:t> </w:t>
      </w:r>
      <w:r>
        <w:rPr/>
        <w:t>all</w:t>
      </w:r>
      <w:r>
        <w:rPr>
          <w:spacing w:val="-13"/>
        </w:rPr>
        <w:t> </w:t>
      </w:r>
      <w:r>
        <w:rPr/>
        <w:t>supported</w:t>
      </w:r>
      <w:r>
        <w:rPr>
          <w:spacing w:val="-13"/>
        </w:rPr>
        <w:t> </w:t>
      </w:r>
      <w:r>
        <w:rPr/>
        <w:t>by</w:t>
      </w:r>
      <w:r>
        <w:rPr>
          <w:spacing w:val="-13"/>
        </w:rPr>
        <w:t> </w:t>
      </w:r>
      <w:r>
        <w:rPr/>
        <w:t>professional</w:t>
      </w:r>
      <w:r>
        <w:rPr>
          <w:spacing w:val="-13"/>
        </w:rPr>
        <w:t> </w:t>
      </w:r>
      <w:r>
        <w:rPr/>
        <w:t>staff </w:t>
      </w:r>
      <w:r>
        <w:rPr>
          <w:spacing w:val="2"/>
        </w:rPr>
        <w:t>services. </w:t>
      </w:r>
      <w:r>
        <w:rPr/>
        <w:t>The new library also showcases the successes of students and staff members, routinely exhibiting work produced by final year </w:t>
      </w:r>
      <w:r>
        <w:rPr>
          <w:spacing w:val="2"/>
        </w:rPr>
        <w:t>Art </w:t>
      </w:r>
      <w:r>
        <w:rPr/>
        <w:t>and Design students and evolving technological work from the School of Computing,</w:t>
      </w:r>
      <w:r>
        <w:rPr>
          <w:spacing w:val="-22"/>
        </w:rPr>
        <w:t> </w:t>
      </w:r>
      <w:r>
        <w:rPr/>
        <w:t>Engineering</w:t>
      </w:r>
      <w:r>
        <w:rPr>
          <w:spacing w:val="-22"/>
        </w:rPr>
        <w:t> </w:t>
      </w:r>
      <w:r>
        <w:rPr/>
        <w:t>and</w:t>
      </w:r>
      <w:r>
        <w:rPr>
          <w:spacing w:val="-22"/>
        </w:rPr>
        <w:t> </w:t>
      </w:r>
      <w:r>
        <w:rPr/>
        <w:t>Mathematics.</w:t>
      </w:r>
    </w:p>
    <w:p>
      <w:pPr>
        <w:pStyle w:val="BodyText"/>
        <w:rPr>
          <w:sz w:val="14"/>
        </w:rPr>
      </w:pPr>
    </w:p>
    <w:p>
      <w:pPr>
        <w:pStyle w:val="BodyText"/>
        <w:spacing w:line="249" w:lineRule="auto"/>
        <w:ind w:left="107" w:right="-3"/>
      </w:pPr>
      <w:r>
        <w:rPr/>
        <w:t>The</w:t>
      </w:r>
      <w:r>
        <w:rPr>
          <w:spacing w:val="-17"/>
        </w:rPr>
        <w:t> </w:t>
      </w:r>
      <w:r>
        <w:rPr/>
        <w:t>Hawkesbury</w:t>
      </w:r>
      <w:r>
        <w:rPr>
          <w:spacing w:val="-17"/>
        </w:rPr>
        <w:t> </w:t>
      </w:r>
      <w:r>
        <w:rPr/>
        <w:t>campus</w:t>
      </w:r>
      <w:r>
        <w:rPr>
          <w:spacing w:val="-17"/>
        </w:rPr>
        <w:t> </w:t>
      </w:r>
      <w:r>
        <w:rPr/>
        <w:t>Library</w:t>
      </w:r>
      <w:r>
        <w:rPr>
          <w:spacing w:val="-17"/>
        </w:rPr>
        <w:t> </w:t>
      </w:r>
      <w:r>
        <w:rPr/>
        <w:t>had</w:t>
      </w:r>
      <w:r>
        <w:rPr>
          <w:spacing w:val="-17"/>
        </w:rPr>
        <w:t> </w:t>
      </w:r>
      <w:r>
        <w:rPr/>
        <w:t>a</w:t>
      </w:r>
      <w:r>
        <w:rPr>
          <w:spacing w:val="-17"/>
        </w:rPr>
        <w:t> </w:t>
      </w:r>
      <w:r>
        <w:rPr/>
        <w:t>refresh </w:t>
      </w:r>
      <w:r>
        <w:rPr>
          <w:spacing w:val="1"/>
          <w:w w:val="97"/>
        </w:rPr>
        <w:t>and</w:t>
      </w:r>
      <w:r>
        <w:rPr>
          <w:w w:val="97"/>
        </w:rPr>
        <w:t> </w:t>
      </w:r>
      <w:r>
        <w:rPr>
          <w:spacing w:val="1"/>
          <w:w w:val="97"/>
        </w:rPr>
        <w:t>refurbishment</w:t>
      </w:r>
      <w:r>
        <w:rPr>
          <w:w w:val="97"/>
        </w:rPr>
        <w:t> </w:t>
      </w:r>
      <w:r>
        <w:rPr>
          <w:w w:val="95"/>
        </w:rPr>
        <w:t>in </w:t>
      </w:r>
      <w:r>
        <w:rPr>
          <w:spacing w:val="1"/>
          <w:w w:val="84"/>
        </w:rPr>
        <w:t>2015,</w:t>
      </w:r>
      <w:r>
        <w:rPr>
          <w:w w:val="84"/>
        </w:rPr>
        <w:t> </w:t>
      </w:r>
      <w:r>
        <w:rPr>
          <w:w w:val="98"/>
        </w:rPr>
        <w:t>with </w:t>
      </w:r>
      <w:r>
        <w:rPr>
          <w:spacing w:val="1"/>
          <w:w w:val="97"/>
        </w:rPr>
        <w:t>changes</w:t>
      </w:r>
      <w:r>
        <w:rPr>
          <w:w w:val="97"/>
        </w:rPr>
        <w:t> </w:t>
      </w:r>
      <w:r>
        <w:rPr/>
        <w:t>reflecting our commitment to providing unique study spaces. The renovated Library provides</w:t>
      </w:r>
      <w:r>
        <w:rPr>
          <w:spacing w:val="-12"/>
        </w:rPr>
        <w:t> </w:t>
      </w:r>
      <w:r>
        <w:rPr/>
        <w:t>students</w:t>
      </w:r>
      <w:r>
        <w:rPr>
          <w:spacing w:val="-12"/>
        </w:rPr>
        <w:t> </w:t>
      </w:r>
      <w:r>
        <w:rPr/>
        <w:t>with</w:t>
      </w:r>
      <w:r>
        <w:rPr>
          <w:spacing w:val="-12"/>
        </w:rPr>
        <w:t> </w:t>
      </w:r>
      <w:r>
        <w:rPr/>
        <w:t>additional</w:t>
      </w:r>
      <w:r>
        <w:rPr>
          <w:spacing w:val="-12"/>
        </w:rPr>
        <w:t> </w:t>
      </w:r>
      <w:r>
        <w:rPr/>
        <w:t>study</w:t>
      </w:r>
    </w:p>
    <w:p>
      <w:pPr>
        <w:pStyle w:val="BodyText"/>
        <w:spacing w:line="249" w:lineRule="auto"/>
        <w:ind w:left="107" w:right="160"/>
      </w:pPr>
      <w:r>
        <w:rPr/>
        <w:t>rooms</w:t>
      </w:r>
      <w:r>
        <w:rPr>
          <w:spacing w:val="-17"/>
        </w:rPr>
        <w:t> </w:t>
      </w:r>
      <w:r>
        <w:rPr/>
        <w:t>and</w:t>
      </w:r>
      <w:r>
        <w:rPr>
          <w:spacing w:val="-17"/>
        </w:rPr>
        <w:t> </w:t>
      </w:r>
      <w:r>
        <w:rPr/>
        <w:t>group-work</w:t>
      </w:r>
      <w:r>
        <w:rPr>
          <w:spacing w:val="-17"/>
        </w:rPr>
        <w:t> </w:t>
      </w:r>
      <w:r>
        <w:rPr/>
        <w:t>areas,</w:t>
      </w:r>
      <w:r>
        <w:rPr>
          <w:spacing w:val="-17"/>
        </w:rPr>
        <w:t> </w:t>
      </w:r>
      <w:r>
        <w:rPr/>
        <w:t>and</w:t>
      </w:r>
      <w:r>
        <w:rPr>
          <w:spacing w:val="-17"/>
        </w:rPr>
        <w:t> </w:t>
      </w:r>
      <w:r>
        <w:rPr/>
        <w:t>promotes side-by-side interaction with Library staff via</w:t>
      </w:r>
      <w:r>
        <w:rPr>
          <w:spacing w:val="-13"/>
        </w:rPr>
        <w:t> </w:t>
      </w:r>
      <w:r>
        <w:rPr/>
        <w:t>the</w:t>
      </w:r>
      <w:r>
        <w:rPr>
          <w:spacing w:val="-13"/>
        </w:rPr>
        <w:t> </w:t>
      </w:r>
      <w:r>
        <w:rPr/>
        <w:t>introduction</w:t>
      </w:r>
      <w:r>
        <w:rPr>
          <w:spacing w:val="-13"/>
        </w:rPr>
        <w:t> </w:t>
      </w:r>
      <w:r>
        <w:rPr/>
        <w:t>of</w:t>
      </w:r>
      <w:r>
        <w:rPr>
          <w:spacing w:val="-13"/>
        </w:rPr>
        <w:t> </w:t>
      </w:r>
      <w:r>
        <w:rPr/>
        <w:t>‘in-the-round</w:t>
      </w:r>
      <w:r>
        <w:rPr>
          <w:spacing w:val="-13"/>
        </w:rPr>
        <w:t> </w:t>
      </w:r>
      <w:r>
        <w:rPr/>
        <w:t>service points’.</w:t>
      </w:r>
      <w:r>
        <w:rPr>
          <w:spacing w:val="-23"/>
        </w:rPr>
        <w:t> </w:t>
      </w:r>
      <w:r>
        <w:rPr/>
        <w:t>The</w:t>
      </w:r>
      <w:r>
        <w:rPr>
          <w:spacing w:val="-23"/>
        </w:rPr>
        <w:t> </w:t>
      </w:r>
      <w:r>
        <w:rPr/>
        <w:t>service</w:t>
      </w:r>
      <w:r>
        <w:rPr>
          <w:spacing w:val="-23"/>
        </w:rPr>
        <w:t> </w:t>
      </w:r>
      <w:r>
        <w:rPr/>
        <w:t>points,</w:t>
      </w:r>
      <w:r>
        <w:rPr>
          <w:spacing w:val="-23"/>
        </w:rPr>
        <w:t> </w:t>
      </w:r>
      <w:r>
        <w:rPr/>
        <w:t>which</w:t>
      </w:r>
      <w:r>
        <w:rPr>
          <w:spacing w:val="-23"/>
        </w:rPr>
        <w:t> </w:t>
      </w:r>
      <w:r>
        <w:rPr/>
        <w:t>minimise</w:t>
      </w:r>
    </w:p>
    <w:p>
      <w:pPr>
        <w:pStyle w:val="BodyText"/>
        <w:spacing w:before="2"/>
        <w:rPr>
          <w:sz w:val="20"/>
        </w:rPr>
      </w:pPr>
      <w:r>
        <w:rPr/>
        <w:br w:type="column"/>
      </w:r>
      <w:r>
        <w:rPr>
          <w:sz w:val="20"/>
        </w:rPr>
      </w:r>
    </w:p>
    <w:p>
      <w:pPr>
        <w:pStyle w:val="BodyText"/>
        <w:spacing w:line="249" w:lineRule="auto"/>
        <w:ind w:left="107" w:right="53"/>
      </w:pPr>
      <w:r>
        <w:rPr/>
        <w:t>the</w:t>
      </w:r>
      <w:r>
        <w:rPr>
          <w:spacing w:val="-16"/>
        </w:rPr>
        <w:t> </w:t>
      </w:r>
      <w:r>
        <w:rPr/>
        <w:t>barrier</w:t>
      </w:r>
      <w:r>
        <w:rPr>
          <w:spacing w:val="-16"/>
        </w:rPr>
        <w:t> </w:t>
      </w:r>
      <w:r>
        <w:rPr/>
        <w:t>between</w:t>
      </w:r>
      <w:r>
        <w:rPr>
          <w:spacing w:val="-16"/>
        </w:rPr>
        <w:t> </w:t>
      </w:r>
      <w:r>
        <w:rPr/>
        <w:t>staff</w:t>
      </w:r>
      <w:r>
        <w:rPr>
          <w:spacing w:val="-16"/>
        </w:rPr>
        <w:t> </w:t>
      </w:r>
      <w:r>
        <w:rPr/>
        <w:t>member</w:t>
      </w:r>
      <w:r>
        <w:rPr>
          <w:spacing w:val="-16"/>
        </w:rPr>
        <w:t> </w:t>
      </w:r>
      <w:r>
        <w:rPr/>
        <w:t>and</w:t>
      </w:r>
      <w:r>
        <w:rPr>
          <w:spacing w:val="-16"/>
        </w:rPr>
        <w:t> </w:t>
      </w:r>
      <w:r>
        <w:rPr/>
        <w:t>client, have</w:t>
      </w:r>
      <w:r>
        <w:rPr>
          <w:spacing w:val="-16"/>
        </w:rPr>
        <w:t> </w:t>
      </w:r>
      <w:r>
        <w:rPr/>
        <w:t>proven</w:t>
      </w:r>
      <w:r>
        <w:rPr>
          <w:spacing w:val="-16"/>
        </w:rPr>
        <w:t> </w:t>
      </w:r>
      <w:r>
        <w:rPr/>
        <w:t>effective</w:t>
      </w:r>
      <w:r>
        <w:rPr>
          <w:spacing w:val="-16"/>
        </w:rPr>
        <w:t> </w:t>
      </w:r>
      <w:r>
        <w:rPr/>
        <w:t>and</w:t>
      </w:r>
      <w:r>
        <w:rPr>
          <w:spacing w:val="-16"/>
        </w:rPr>
        <w:t> </w:t>
      </w:r>
      <w:r>
        <w:rPr/>
        <w:t>will</w:t>
      </w:r>
      <w:r>
        <w:rPr>
          <w:spacing w:val="-16"/>
        </w:rPr>
        <w:t> </w:t>
      </w:r>
      <w:r>
        <w:rPr/>
        <w:t>now</w:t>
      </w:r>
      <w:r>
        <w:rPr>
          <w:spacing w:val="-16"/>
        </w:rPr>
        <w:t> </w:t>
      </w:r>
      <w:r>
        <w:rPr/>
        <w:t>be</w:t>
      </w:r>
      <w:r>
        <w:rPr>
          <w:spacing w:val="-16"/>
        </w:rPr>
        <w:t> </w:t>
      </w:r>
      <w:r>
        <w:rPr/>
        <w:t>used</w:t>
      </w:r>
      <w:r>
        <w:rPr>
          <w:spacing w:val="-16"/>
        </w:rPr>
        <w:t> </w:t>
      </w:r>
      <w:r>
        <w:rPr/>
        <w:t>as a</w:t>
      </w:r>
      <w:r>
        <w:rPr>
          <w:spacing w:val="-14"/>
        </w:rPr>
        <w:t> </w:t>
      </w:r>
      <w:r>
        <w:rPr/>
        <w:t>standard</w:t>
      </w:r>
      <w:r>
        <w:rPr>
          <w:spacing w:val="-14"/>
        </w:rPr>
        <w:t> </w:t>
      </w:r>
      <w:r>
        <w:rPr/>
        <w:t>model</w:t>
      </w:r>
      <w:r>
        <w:rPr>
          <w:spacing w:val="-14"/>
        </w:rPr>
        <w:t> </w:t>
      </w:r>
      <w:r>
        <w:rPr/>
        <w:t>for</w:t>
      </w:r>
      <w:r>
        <w:rPr>
          <w:spacing w:val="-14"/>
        </w:rPr>
        <w:t> </w:t>
      </w:r>
      <w:r>
        <w:rPr/>
        <w:t>customer</w:t>
      </w:r>
      <w:r>
        <w:rPr>
          <w:spacing w:val="-14"/>
        </w:rPr>
        <w:t> </w:t>
      </w:r>
      <w:r>
        <w:rPr/>
        <w:t>service</w:t>
      </w:r>
      <w:r>
        <w:rPr>
          <w:spacing w:val="-14"/>
        </w:rPr>
        <w:t> </w:t>
      </w:r>
      <w:r>
        <w:rPr/>
        <w:t>across all</w:t>
      </w:r>
      <w:r>
        <w:rPr>
          <w:spacing w:val="-30"/>
        </w:rPr>
        <w:t> </w:t>
      </w:r>
      <w:r>
        <w:rPr/>
        <w:t>Libraries.</w:t>
      </w:r>
    </w:p>
    <w:p>
      <w:pPr>
        <w:pStyle w:val="BodyText"/>
        <w:rPr>
          <w:sz w:val="14"/>
        </w:rPr>
      </w:pPr>
    </w:p>
    <w:p>
      <w:pPr>
        <w:pStyle w:val="BodyText"/>
        <w:spacing w:line="249" w:lineRule="auto"/>
        <w:ind w:left="107" w:right="-1"/>
      </w:pPr>
      <w:r>
        <w:rPr/>
        <w:t>Our digital infrastructure and online professional librarian support were upgraded to integrate with the Library’s knowledge base. The new infrastructure strengthens the Library’s sector-leading out-of-hours support offerings through direct links to information and</w:t>
      </w:r>
      <w:r>
        <w:rPr>
          <w:spacing w:val="-20"/>
        </w:rPr>
        <w:t> </w:t>
      </w:r>
      <w:r>
        <w:rPr/>
        <w:t>scholarly</w:t>
      </w:r>
      <w:r>
        <w:rPr>
          <w:spacing w:val="-20"/>
        </w:rPr>
        <w:t> </w:t>
      </w:r>
      <w:r>
        <w:rPr/>
        <w:t>resources.</w:t>
      </w:r>
      <w:r>
        <w:rPr>
          <w:spacing w:val="-20"/>
        </w:rPr>
        <w:t> </w:t>
      </w:r>
      <w:r>
        <w:rPr/>
        <w:t>We</w:t>
      </w:r>
      <w:r>
        <w:rPr>
          <w:spacing w:val="-20"/>
        </w:rPr>
        <w:t> </w:t>
      </w:r>
      <w:r>
        <w:rPr/>
        <w:t>also</w:t>
      </w:r>
      <w:r>
        <w:rPr>
          <w:spacing w:val="-20"/>
        </w:rPr>
        <w:t> </w:t>
      </w:r>
      <w:r>
        <w:rPr/>
        <w:t>increased</w:t>
      </w:r>
      <w:r>
        <w:rPr>
          <w:spacing w:val="-20"/>
        </w:rPr>
        <w:t> </w:t>
      </w:r>
      <w:r>
        <w:rPr/>
        <w:t>our number of online guides, self-help resources and</w:t>
      </w:r>
      <w:r>
        <w:rPr>
          <w:spacing w:val="-14"/>
        </w:rPr>
        <w:t> </w:t>
      </w:r>
      <w:r>
        <w:rPr/>
        <w:t>instructional</w:t>
      </w:r>
      <w:r>
        <w:rPr>
          <w:spacing w:val="-14"/>
        </w:rPr>
        <w:t> </w:t>
      </w:r>
      <w:r>
        <w:rPr/>
        <w:t>videos,</w:t>
      </w:r>
      <w:r>
        <w:rPr>
          <w:spacing w:val="-14"/>
        </w:rPr>
        <w:t> </w:t>
      </w:r>
      <w:r>
        <w:rPr/>
        <w:t>and</w:t>
      </w:r>
      <w:r>
        <w:rPr>
          <w:spacing w:val="-14"/>
        </w:rPr>
        <w:t> </w:t>
      </w:r>
      <w:r>
        <w:rPr/>
        <w:t>actively</w:t>
      </w:r>
      <w:r>
        <w:rPr>
          <w:spacing w:val="-14"/>
        </w:rPr>
        <w:t> </w:t>
      </w:r>
      <w:r>
        <w:rPr/>
        <w:t>engaged with clients via social media. The Library has </w:t>
      </w:r>
      <w:r>
        <w:rPr>
          <w:w w:val="97"/>
        </w:rPr>
        <w:t>more </w:t>
      </w:r>
      <w:r>
        <w:rPr>
          <w:spacing w:val="1"/>
          <w:w w:val="97"/>
        </w:rPr>
        <w:t>than</w:t>
      </w:r>
      <w:r>
        <w:rPr>
          <w:w w:val="97"/>
        </w:rPr>
        <w:t> </w:t>
      </w:r>
      <w:r>
        <w:rPr>
          <w:spacing w:val="3"/>
          <w:w w:val="87"/>
        </w:rPr>
        <w:t>1,300</w:t>
      </w:r>
      <w:r>
        <w:rPr>
          <w:w w:val="87"/>
        </w:rPr>
        <w:t> </w:t>
      </w:r>
      <w:r>
        <w:rPr>
          <w:spacing w:val="-1"/>
          <w:w w:val="97"/>
        </w:rPr>
        <w:t>Twitter</w:t>
      </w:r>
      <w:r>
        <w:rPr>
          <w:spacing w:val="-9"/>
          <w:w w:val="97"/>
        </w:rPr>
        <w:t> </w:t>
      </w:r>
      <w:r>
        <w:rPr>
          <w:w w:val="94"/>
        </w:rPr>
        <w:t>followers.</w:t>
      </w:r>
    </w:p>
    <w:p>
      <w:pPr>
        <w:pStyle w:val="BodyText"/>
        <w:rPr>
          <w:sz w:val="14"/>
        </w:rPr>
      </w:pPr>
    </w:p>
    <w:p>
      <w:pPr>
        <w:pStyle w:val="BodyText"/>
        <w:spacing w:line="249" w:lineRule="auto"/>
        <w:ind w:left="107" w:right="357"/>
      </w:pPr>
      <w:r>
        <w:rPr/>
        <w:t>The Library used funding from Student Services and Amenities Fee (SSAF) to put</w:t>
      </w:r>
      <w:r>
        <w:rPr>
          <w:spacing w:val="-16"/>
        </w:rPr>
        <w:t> </w:t>
      </w:r>
      <w:r>
        <w:rPr/>
        <w:t>in</w:t>
      </w:r>
      <w:r>
        <w:rPr>
          <w:spacing w:val="-16"/>
        </w:rPr>
        <w:t> </w:t>
      </w:r>
      <w:r>
        <w:rPr/>
        <w:t>place</w:t>
      </w:r>
      <w:r>
        <w:rPr>
          <w:spacing w:val="-16"/>
        </w:rPr>
        <w:t> </w:t>
      </w:r>
      <w:r>
        <w:rPr/>
        <w:t>a</w:t>
      </w:r>
      <w:r>
        <w:rPr>
          <w:spacing w:val="-16"/>
        </w:rPr>
        <w:t> </w:t>
      </w:r>
      <w:r>
        <w:rPr/>
        <w:t>number</w:t>
      </w:r>
      <w:r>
        <w:rPr>
          <w:spacing w:val="-16"/>
        </w:rPr>
        <w:t> </w:t>
      </w:r>
      <w:r>
        <w:rPr/>
        <w:t>of</w:t>
      </w:r>
      <w:r>
        <w:rPr>
          <w:spacing w:val="-16"/>
        </w:rPr>
        <w:t> </w:t>
      </w:r>
      <w:r>
        <w:rPr/>
        <w:t>student-centred</w:t>
      </w:r>
    </w:p>
    <w:p>
      <w:pPr>
        <w:pStyle w:val="BodyText"/>
        <w:spacing w:line="249" w:lineRule="auto"/>
        <w:ind w:left="107" w:right="1"/>
      </w:pPr>
      <w:r>
        <w:rPr>
          <w:w w:val="97"/>
        </w:rPr>
        <w:t>initiatives </w:t>
      </w:r>
      <w:r>
        <w:rPr>
          <w:w w:val="95"/>
        </w:rPr>
        <w:t>in </w:t>
      </w:r>
      <w:r>
        <w:rPr>
          <w:w w:val="84"/>
        </w:rPr>
        <w:t>2015. </w:t>
      </w:r>
      <w:r>
        <w:rPr>
          <w:w w:val="98"/>
        </w:rPr>
        <w:t>Extra </w:t>
      </w:r>
      <w:r>
        <w:rPr>
          <w:w w:val="97"/>
        </w:rPr>
        <w:t>funding </w:t>
      </w:r>
      <w:r>
        <w:rPr>
          <w:w w:val="98"/>
        </w:rPr>
        <w:t>allowed </w:t>
      </w:r>
      <w:r>
        <w:rPr>
          <w:w w:val="98"/>
        </w:rPr>
        <w:t>for </w:t>
      </w:r>
      <w:r>
        <w:rPr/>
        <w:t>the continuation of 24-hour access to several campus libraries under study hall conditions. The service is popular with students and, following engagement with student designers in the Rabbit Hole project, is being casually referred to as the ‘Library Night Club’.</w:t>
      </w:r>
    </w:p>
    <w:p>
      <w:pPr>
        <w:pStyle w:val="BodyText"/>
        <w:spacing w:line="249" w:lineRule="auto"/>
        <w:ind w:left="107" w:right="10"/>
      </w:pPr>
      <w:r>
        <w:rPr/>
        <w:t>Recognising</w:t>
      </w:r>
      <w:r>
        <w:rPr>
          <w:spacing w:val="-18"/>
        </w:rPr>
        <w:t> </w:t>
      </w:r>
      <w:r>
        <w:rPr/>
        <w:t>that</w:t>
      </w:r>
      <w:r>
        <w:rPr>
          <w:spacing w:val="-18"/>
        </w:rPr>
        <w:t> </w:t>
      </w:r>
      <w:r>
        <w:rPr/>
        <w:t>students</w:t>
      </w:r>
      <w:r>
        <w:rPr>
          <w:spacing w:val="-18"/>
        </w:rPr>
        <w:t> </w:t>
      </w:r>
      <w:r>
        <w:rPr/>
        <w:t>may</w:t>
      </w:r>
      <w:r>
        <w:rPr>
          <w:spacing w:val="-18"/>
        </w:rPr>
        <w:t> </w:t>
      </w:r>
      <w:r>
        <w:rPr/>
        <w:t>have</w:t>
      </w:r>
      <w:r>
        <w:rPr>
          <w:spacing w:val="-18"/>
        </w:rPr>
        <w:t> </w:t>
      </w:r>
      <w:r>
        <w:rPr/>
        <w:t>extensive external commitments in addition to their studies, SSAF funding was used to install energy/sleeping</w:t>
      </w:r>
      <w:r>
        <w:rPr>
          <w:spacing w:val="-23"/>
        </w:rPr>
        <w:t> </w:t>
      </w:r>
      <w:r>
        <w:rPr/>
        <w:t>pods</w:t>
      </w:r>
      <w:r>
        <w:rPr>
          <w:spacing w:val="-23"/>
        </w:rPr>
        <w:t> </w:t>
      </w:r>
      <w:r>
        <w:rPr/>
        <w:t>across</w:t>
      </w:r>
      <w:r>
        <w:rPr>
          <w:spacing w:val="-23"/>
        </w:rPr>
        <w:t> </w:t>
      </w:r>
      <w:r>
        <w:rPr/>
        <w:t>five</w:t>
      </w:r>
      <w:r>
        <w:rPr>
          <w:spacing w:val="-23"/>
        </w:rPr>
        <w:t> </w:t>
      </w:r>
      <w:r>
        <w:rPr>
          <w:spacing w:val="2"/>
        </w:rPr>
        <w:t>campuses.</w:t>
      </w:r>
    </w:p>
    <w:p>
      <w:pPr>
        <w:pStyle w:val="BodyText"/>
        <w:spacing w:line="249" w:lineRule="auto"/>
        <w:ind w:left="107" w:right="357"/>
      </w:pPr>
      <w:r>
        <w:rPr/>
        <w:t>The pods give students the opportunity to</w:t>
      </w:r>
      <w:r>
        <w:rPr>
          <w:spacing w:val="-17"/>
        </w:rPr>
        <w:t> </w:t>
      </w:r>
      <w:r>
        <w:rPr/>
        <w:t>mentally</w:t>
      </w:r>
      <w:r>
        <w:rPr>
          <w:spacing w:val="-17"/>
        </w:rPr>
        <w:t> </w:t>
      </w:r>
      <w:r>
        <w:rPr/>
        <w:t>and</w:t>
      </w:r>
      <w:r>
        <w:rPr>
          <w:spacing w:val="-17"/>
        </w:rPr>
        <w:t> </w:t>
      </w:r>
      <w:r>
        <w:rPr/>
        <w:t>physically</w:t>
      </w:r>
      <w:r>
        <w:rPr>
          <w:spacing w:val="-17"/>
        </w:rPr>
        <w:t> </w:t>
      </w:r>
      <w:r>
        <w:rPr/>
        <w:t>recharge</w:t>
      </w:r>
      <w:r>
        <w:rPr>
          <w:spacing w:val="-17"/>
        </w:rPr>
        <w:t> </w:t>
      </w:r>
      <w:r>
        <w:rPr/>
        <w:t>using</w:t>
      </w:r>
    </w:p>
    <w:p>
      <w:pPr>
        <w:pStyle w:val="BodyText"/>
        <w:spacing w:line="249" w:lineRule="auto"/>
        <w:ind w:left="107" w:right="81"/>
      </w:pPr>
      <w:r>
        <w:rPr/>
        <w:t>scientifically proven methods of relaxation, enhancing their ability to concentrate, study and succeed at university.</w:t>
      </w:r>
    </w:p>
    <w:p>
      <w:pPr>
        <w:pStyle w:val="BodyText"/>
        <w:spacing w:before="7"/>
        <w:rPr>
          <w:sz w:val="21"/>
        </w:rPr>
      </w:pPr>
    </w:p>
    <w:p>
      <w:pPr>
        <w:pStyle w:val="Heading8"/>
      </w:pPr>
      <w:r>
        <w:rPr>
          <w:w w:val="95"/>
        </w:rPr>
        <w:t>TEACHING AND LEARNING</w:t>
      </w:r>
    </w:p>
    <w:p>
      <w:pPr>
        <w:pStyle w:val="BodyText"/>
        <w:spacing w:line="249" w:lineRule="auto" w:before="86"/>
        <w:ind w:left="107" w:right="170"/>
      </w:pPr>
      <w:r>
        <w:rPr/>
        <w:t>SSAF funding was used to raise awareness of the importance of academic integrity at the</w:t>
      </w:r>
      <w:r>
        <w:rPr>
          <w:spacing w:val="-16"/>
        </w:rPr>
        <w:t> </w:t>
      </w:r>
      <w:r>
        <w:rPr/>
        <w:t>University,</w:t>
      </w:r>
      <w:r>
        <w:rPr>
          <w:spacing w:val="-16"/>
        </w:rPr>
        <w:t> </w:t>
      </w:r>
      <w:r>
        <w:rPr/>
        <w:t>with</w:t>
      </w:r>
      <w:r>
        <w:rPr>
          <w:spacing w:val="-16"/>
        </w:rPr>
        <w:t> </w:t>
      </w:r>
      <w:r>
        <w:rPr/>
        <w:t>the</w:t>
      </w:r>
      <w:r>
        <w:rPr>
          <w:spacing w:val="-16"/>
        </w:rPr>
        <w:t> </w:t>
      </w:r>
      <w:r>
        <w:rPr/>
        <w:t>Library</w:t>
      </w:r>
      <w:r>
        <w:rPr>
          <w:spacing w:val="-16"/>
        </w:rPr>
        <w:t> </w:t>
      </w:r>
      <w:r>
        <w:rPr/>
        <w:t>providing</w:t>
      </w:r>
      <w:r>
        <w:rPr>
          <w:spacing w:val="-16"/>
        </w:rPr>
        <w:t> </w:t>
      </w:r>
      <w:r>
        <w:rPr/>
        <w:t>an ‘avoiding</w:t>
      </w:r>
      <w:r>
        <w:rPr>
          <w:spacing w:val="-14"/>
        </w:rPr>
        <w:t> </w:t>
      </w:r>
      <w:r>
        <w:rPr/>
        <w:t>plagiarism’</w:t>
      </w:r>
      <w:r>
        <w:rPr>
          <w:spacing w:val="-14"/>
        </w:rPr>
        <w:t> </w:t>
      </w:r>
      <w:r>
        <w:rPr/>
        <w:t>vUWS</w:t>
      </w:r>
      <w:r>
        <w:rPr>
          <w:spacing w:val="-14"/>
        </w:rPr>
        <w:t> </w:t>
      </w:r>
      <w:r>
        <w:rPr/>
        <w:t>module</w:t>
      </w:r>
      <w:r>
        <w:rPr>
          <w:spacing w:val="-14"/>
        </w:rPr>
        <w:t> </w:t>
      </w:r>
      <w:r>
        <w:rPr/>
        <w:t>across</w:t>
      </w:r>
      <w:r>
        <w:rPr>
          <w:spacing w:val="-14"/>
        </w:rPr>
        <w:t> </w:t>
      </w:r>
      <w:r>
        <w:rPr/>
        <w:t>a number</w:t>
      </w:r>
      <w:r>
        <w:rPr>
          <w:spacing w:val="-18"/>
        </w:rPr>
        <w:t> </w:t>
      </w:r>
      <w:r>
        <w:rPr/>
        <w:t>of</w:t>
      </w:r>
      <w:r>
        <w:rPr>
          <w:spacing w:val="-18"/>
        </w:rPr>
        <w:t> </w:t>
      </w:r>
      <w:r>
        <w:rPr/>
        <w:t>core</w:t>
      </w:r>
      <w:r>
        <w:rPr>
          <w:spacing w:val="-18"/>
        </w:rPr>
        <w:t> </w:t>
      </w:r>
      <w:r>
        <w:rPr/>
        <w:t>first-year</w:t>
      </w:r>
      <w:r>
        <w:rPr>
          <w:spacing w:val="-18"/>
        </w:rPr>
        <w:t> </w:t>
      </w:r>
      <w:r>
        <w:rPr/>
        <w:t>units.</w:t>
      </w:r>
      <w:r>
        <w:rPr>
          <w:spacing w:val="-18"/>
        </w:rPr>
        <w:t> </w:t>
      </w:r>
      <w:r>
        <w:rPr/>
        <w:t>The</w:t>
      </w:r>
      <w:r>
        <w:rPr>
          <w:spacing w:val="-18"/>
        </w:rPr>
        <w:t> </w:t>
      </w:r>
      <w:r>
        <w:rPr/>
        <w:t>module is central to the Library’s support for the University’s educative approach in dealing with</w:t>
      </w:r>
      <w:r>
        <w:rPr>
          <w:spacing w:val="-18"/>
        </w:rPr>
        <w:t> </w:t>
      </w:r>
      <w:r>
        <w:rPr/>
        <w:t>plagiarism,</w:t>
      </w:r>
      <w:r>
        <w:rPr>
          <w:spacing w:val="-18"/>
        </w:rPr>
        <w:t> </w:t>
      </w:r>
      <w:r>
        <w:rPr/>
        <w:t>and</w:t>
      </w:r>
      <w:r>
        <w:rPr>
          <w:spacing w:val="-18"/>
        </w:rPr>
        <w:t> </w:t>
      </w:r>
      <w:r>
        <w:rPr/>
        <w:t>complements</w:t>
      </w:r>
      <w:r>
        <w:rPr>
          <w:spacing w:val="-18"/>
        </w:rPr>
        <w:t> </w:t>
      </w:r>
      <w:r>
        <w:rPr/>
        <w:t>other</w:t>
      </w:r>
    </w:p>
    <w:p>
      <w:pPr>
        <w:pStyle w:val="BodyText"/>
        <w:spacing w:line="249" w:lineRule="auto"/>
        <w:ind w:left="107" w:right="25"/>
      </w:pPr>
      <w:r>
        <w:rPr/>
        <w:t>Library</w:t>
      </w:r>
      <w:r>
        <w:rPr>
          <w:spacing w:val="-23"/>
        </w:rPr>
        <w:t> </w:t>
      </w:r>
      <w:r>
        <w:rPr/>
        <w:t>services</w:t>
      </w:r>
      <w:r>
        <w:rPr>
          <w:spacing w:val="-23"/>
        </w:rPr>
        <w:t> </w:t>
      </w:r>
      <w:r>
        <w:rPr/>
        <w:t>including</w:t>
      </w:r>
      <w:r>
        <w:rPr>
          <w:spacing w:val="-23"/>
        </w:rPr>
        <w:t> </w:t>
      </w:r>
      <w:r>
        <w:rPr/>
        <w:t>Turnitin,</w:t>
      </w:r>
      <w:r>
        <w:rPr>
          <w:spacing w:val="-23"/>
        </w:rPr>
        <w:t> </w:t>
      </w:r>
      <w:r>
        <w:rPr>
          <w:spacing w:val="2"/>
        </w:rPr>
        <w:t>Grademark </w:t>
      </w:r>
      <w:r>
        <w:rPr/>
        <w:t>and</w:t>
      </w:r>
      <w:r>
        <w:rPr>
          <w:spacing w:val="-18"/>
        </w:rPr>
        <w:t> </w:t>
      </w:r>
      <w:r>
        <w:rPr/>
        <w:t>referencing</w:t>
      </w:r>
      <w:r>
        <w:rPr>
          <w:spacing w:val="-18"/>
        </w:rPr>
        <w:t> </w:t>
      </w:r>
      <w:r>
        <w:rPr/>
        <w:t>support.</w:t>
      </w:r>
      <w:r>
        <w:rPr>
          <w:spacing w:val="-18"/>
        </w:rPr>
        <w:t> </w:t>
      </w:r>
      <w:r>
        <w:rPr/>
        <w:t>Physical</w:t>
      </w:r>
      <w:r>
        <w:rPr>
          <w:spacing w:val="-18"/>
        </w:rPr>
        <w:t> </w:t>
      </w:r>
      <w:r>
        <w:rPr/>
        <w:t>services</w:t>
      </w:r>
      <w:r>
        <w:rPr>
          <w:spacing w:val="-18"/>
        </w:rPr>
        <w:t> </w:t>
      </w:r>
      <w:r>
        <w:rPr/>
        <w:t>are complemented</w:t>
      </w:r>
      <w:r>
        <w:rPr>
          <w:spacing w:val="-17"/>
        </w:rPr>
        <w:t> </w:t>
      </w:r>
      <w:r>
        <w:rPr/>
        <w:t>by</w:t>
      </w:r>
      <w:r>
        <w:rPr>
          <w:spacing w:val="-17"/>
        </w:rPr>
        <w:t> </w:t>
      </w:r>
      <w:r>
        <w:rPr/>
        <w:t>digital</w:t>
      </w:r>
      <w:r>
        <w:rPr>
          <w:spacing w:val="-17"/>
        </w:rPr>
        <w:t> </w:t>
      </w:r>
      <w:r>
        <w:rPr/>
        <w:t>initiatives,</w:t>
      </w:r>
      <w:r>
        <w:rPr>
          <w:spacing w:val="-17"/>
        </w:rPr>
        <w:t> </w:t>
      </w:r>
      <w:r>
        <w:rPr/>
        <w:t>with</w:t>
      </w:r>
      <w:r>
        <w:rPr>
          <w:spacing w:val="-17"/>
        </w:rPr>
        <w:t> </w:t>
      </w:r>
      <w:r>
        <w:rPr/>
        <w:t>a</w:t>
      </w:r>
      <w:r>
        <w:rPr>
          <w:spacing w:val="-17"/>
        </w:rPr>
        <w:t> </w:t>
      </w:r>
      <w:r>
        <w:rPr/>
        <w:t>key result being the launch of the i:Cite tool that assists with referencing. Available from the Library site, i:Cite helps students to identify the</w:t>
      </w:r>
      <w:r>
        <w:rPr>
          <w:spacing w:val="-14"/>
        </w:rPr>
        <w:t> </w:t>
      </w:r>
      <w:r>
        <w:rPr/>
        <w:t>correct</w:t>
      </w:r>
      <w:r>
        <w:rPr>
          <w:spacing w:val="-14"/>
        </w:rPr>
        <w:t> </w:t>
      </w:r>
      <w:r>
        <w:rPr/>
        <w:t>format</w:t>
      </w:r>
      <w:r>
        <w:rPr>
          <w:spacing w:val="-14"/>
        </w:rPr>
        <w:t> </w:t>
      </w:r>
      <w:r>
        <w:rPr/>
        <w:t>for</w:t>
      </w:r>
      <w:r>
        <w:rPr>
          <w:spacing w:val="-14"/>
        </w:rPr>
        <w:t> </w:t>
      </w:r>
      <w:r>
        <w:rPr/>
        <w:t>referencing</w:t>
      </w:r>
      <w:r>
        <w:rPr>
          <w:spacing w:val="-14"/>
        </w:rPr>
        <w:t> </w:t>
      </w:r>
      <w:r>
        <w:rPr/>
        <w:t>and</w:t>
      </w:r>
      <w:r>
        <w:rPr>
          <w:spacing w:val="-14"/>
        </w:rPr>
        <w:t> </w:t>
      </w:r>
      <w:r>
        <w:rPr/>
        <w:t>directs them</w:t>
      </w:r>
      <w:r>
        <w:rPr>
          <w:spacing w:val="-20"/>
        </w:rPr>
        <w:t> </w:t>
      </w:r>
      <w:r>
        <w:rPr/>
        <w:t>to</w:t>
      </w:r>
      <w:r>
        <w:rPr>
          <w:spacing w:val="-20"/>
        </w:rPr>
        <w:t> </w:t>
      </w:r>
      <w:r>
        <w:rPr/>
        <w:t>support</w:t>
      </w:r>
      <w:r>
        <w:rPr>
          <w:spacing w:val="-20"/>
        </w:rPr>
        <w:t> </w:t>
      </w:r>
      <w:r>
        <w:rPr/>
        <w:t>material.</w:t>
      </w:r>
    </w:p>
    <w:p>
      <w:pPr>
        <w:pStyle w:val="BodyText"/>
        <w:spacing w:before="2"/>
        <w:rPr>
          <w:sz w:val="20"/>
        </w:rPr>
      </w:pPr>
      <w:r>
        <w:rPr/>
        <w:br w:type="column"/>
      </w:r>
      <w:r>
        <w:rPr>
          <w:sz w:val="20"/>
        </w:rPr>
      </w:r>
    </w:p>
    <w:p>
      <w:pPr>
        <w:pStyle w:val="BodyText"/>
        <w:spacing w:line="249" w:lineRule="auto"/>
        <w:ind w:left="107" w:right="209"/>
      </w:pPr>
      <w:r>
        <w:rPr/>
        <w:t>In support of Summer School, the Library expanded</w:t>
      </w:r>
      <w:r>
        <w:rPr>
          <w:spacing w:val="-14"/>
        </w:rPr>
        <w:t> </w:t>
      </w:r>
      <w:r>
        <w:rPr/>
        <w:t>opening</w:t>
      </w:r>
      <w:r>
        <w:rPr>
          <w:spacing w:val="-14"/>
        </w:rPr>
        <w:t> </w:t>
      </w:r>
      <w:r>
        <w:rPr/>
        <w:t>hours</w:t>
      </w:r>
      <w:r>
        <w:rPr>
          <w:spacing w:val="-14"/>
        </w:rPr>
        <w:t> </w:t>
      </w:r>
      <w:r>
        <w:rPr/>
        <w:t>to</w:t>
      </w:r>
      <w:r>
        <w:rPr>
          <w:spacing w:val="-14"/>
        </w:rPr>
        <w:t> </w:t>
      </w:r>
      <w:r>
        <w:rPr/>
        <w:t>enable</w:t>
      </w:r>
      <w:r>
        <w:rPr>
          <w:spacing w:val="-14"/>
        </w:rPr>
        <w:t> </w:t>
      </w:r>
      <w:r>
        <w:rPr/>
        <w:t>access</w:t>
      </w:r>
      <w:r>
        <w:rPr>
          <w:spacing w:val="-14"/>
        </w:rPr>
        <w:t> </w:t>
      </w:r>
      <w:r>
        <w:rPr/>
        <w:t>to resources and </w:t>
      </w:r>
      <w:r>
        <w:rPr>
          <w:spacing w:val="2"/>
        </w:rPr>
        <w:t>services. </w:t>
      </w:r>
      <w:r>
        <w:rPr/>
        <w:t>Behind the scenes, Library staff collaborated with the academic community</w:t>
      </w:r>
      <w:r>
        <w:rPr>
          <w:spacing w:val="-20"/>
        </w:rPr>
        <w:t> </w:t>
      </w:r>
      <w:r>
        <w:rPr/>
        <w:t>to</w:t>
      </w:r>
      <w:r>
        <w:rPr>
          <w:spacing w:val="-20"/>
        </w:rPr>
        <w:t> </w:t>
      </w:r>
      <w:r>
        <w:rPr/>
        <w:t>ensure</w:t>
      </w:r>
      <w:r>
        <w:rPr>
          <w:spacing w:val="-20"/>
        </w:rPr>
        <w:t> </w:t>
      </w:r>
      <w:r>
        <w:rPr/>
        <w:t>that</w:t>
      </w:r>
      <w:r>
        <w:rPr>
          <w:spacing w:val="-20"/>
        </w:rPr>
        <w:t> </w:t>
      </w:r>
      <w:r>
        <w:rPr/>
        <w:t>essential</w:t>
      </w:r>
      <w:r>
        <w:rPr>
          <w:spacing w:val="-20"/>
        </w:rPr>
        <w:t> </w:t>
      </w:r>
      <w:r>
        <w:rPr/>
        <w:t>materials and</w:t>
      </w:r>
      <w:r>
        <w:rPr>
          <w:spacing w:val="-17"/>
        </w:rPr>
        <w:t> </w:t>
      </w:r>
      <w:r>
        <w:rPr/>
        <w:t>services</w:t>
      </w:r>
      <w:r>
        <w:rPr>
          <w:spacing w:val="-17"/>
        </w:rPr>
        <w:t> </w:t>
      </w:r>
      <w:r>
        <w:rPr/>
        <w:t>were</w:t>
      </w:r>
      <w:r>
        <w:rPr>
          <w:spacing w:val="-17"/>
        </w:rPr>
        <w:t> </w:t>
      </w:r>
      <w:r>
        <w:rPr/>
        <w:t>available</w:t>
      </w:r>
      <w:r>
        <w:rPr>
          <w:spacing w:val="-17"/>
        </w:rPr>
        <w:t> </w:t>
      </w:r>
      <w:r>
        <w:rPr/>
        <w:t>on</w:t>
      </w:r>
      <w:r>
        <w:rPr>
          <w:spacing w:val="-17"/>
        </w:rPr>
        <w:t> </w:t>
      </w:r>
      <w:r>
        <w:rPr/>
        <w:t>key</w:t>
      </w:r>
      <w:r>
        <w:rPr>
          <w:spacing w:val="-17"/>
        </w:rPr>
        <w:t> </w:t>
      </w:r>
      <w:r>
        <w:rPr/>
        <w:t>campuses and online – leveraging the Library’s innovative services such as digital learning </w:t>
      </w:r>
      <w:r>
        <w:rPr>
          <w:spacing w:val="2"/>
        </w:rPr>
        <w:t>objects</w:t>
      </w:r>
      <w:r>
        <w:rPr>
          <w:spacing w:val="-22"/>
        </w:rPr>
        <w:t> </w:t>
      </w:r>
      <w:r>
        <w:rPr/>
        <w:t>and</w:t>
      </w:r>
      <w:r>
        <w:rPr>
          <w:spacing w:val="-22"/>
        </w:rPr>
        <w:t> </w:t>
      </w:r>
      <w:r>
        <w:rPr/>
        <w:t>electronic</w:t>
      </w:r>
      <w:r>
        <w:rPr>
          <w:spacing w:val="-22"/>
        </w:rPr>
        <w:t> </w:t>
      </w:r>
      <w:r>
        <w:rPr/>
        <w:t>reading</w:t>
      </w:r>
      <w:r>
        <w:rPr>
          <w:spacing w:val="-22"/>
        </w:rPr>
        <w:t> </w:t>
      </w:r>
      <w:r>
        <w:rPr>
          <w:spacing w:val="2"/>
        </w:rPr>
        <w:t>lists.</w:t>
      </w:r>
    </w:p>
    <w:p>
      <w:pPr>
        <w:pStyle w:val="BodyText"/>
        <w:rPr>
          <w:sz w:val="14"/>
        </w:rPr>
      </w:pPr>
    </w:p>
    <w:p>
      <w:pPr>
        <w:pStyle w:val="BodyText"/>
        <w:spacing w:line="249" w:lineRule="auto"/>
        <w:ind w:left="107" w:right="53"/>
      </w:pPr>
      <w:r>
        <w:rPr/>
        <w:t>Student demand led to an expansion of the Library’s academic roving program to include additional support inside and outside core hours. This was met by increased service offerings by other literacy units, including student support services and the Mathematics Education Support Hub (MESH). More than 5,000 students engaged with the Library’s academic writing assistance program.</w:t>
      </w:r>
    </w:p>
    <w:p>
      <w:pPr>
        <w:pStyle w:val="BodyText"/>
        <w:spacing w:line="249" w:lineRule="auto"/>
        <w:ind w:left="107" w:right="312"/>
      </w:pPr>
      <w:r>
        <w:rPr/>
        <w:t>Because of its success, it will be expanded </w:t>
      </w:r>
      <w:r>
        <w:rPr>
          <w:w w:val="95"/>
        </w:rPr>
        <w:t>in </w:t>
      </w:r>
      <w:r>
        <w:rPr>
          <w:w w:val="90"/>
        </w:rPr>
        <w:t>2016 </w:t>
      </w:r>
      <w:r>
        <w:rPr>
          <w:w w:val="101"/>
        </w:rPr>
        <w:t>to </w:t>
      </w:r>
      <w:r>
        <w:rPr>
          <w:w w:val="98"/>
        </w:rPr>
        <w:t>form </w:t>
      </w:r>
      <w:r>
        <w:rPr>
          <w:w w:val="98"/>
        </w:rPr>
        <w:t>part </w:t>
      </w:r>
      <w:r>
        <w:rPr>
          <w:w w:val="99"/>
        </w:rPr>
        <w:t>of </w:t>
      </w:r>
      <w:r>
        <w:rPr>
          <w:w w:val="94"/>
        </w:rPr>
        <w:t>a </w:t>
      </w:r>
      <w:r>
        <w:rPr>
          <w:w w:val="97"/>
        </w:rPr>
        <w:t>new </w:t>
      </w:r>
      <w:r>
        <w:rPr>
          <w:w w:val="98"/>
        </w:rPr>
        <w:t>integrated</w:t>
      </w:r>
    </w:p>
    <w:p>
      <w:pPr>
        <w:pStyle w:val="BodyText"/>
        <w:spacing w:line="249" w:lineRule="auto"/>
        <w:ind w:left="107" w:right="112"/>
      </w:pPr>
      <w:r>
        <w:rPr/>
        <w:t>literacies support service for basic numeracy and digital literacies.</w:t>
      </w:r>
    </w:p>
    <w:p>
      <w:pPr>
        <w:pStyle w:val="BodyText"/>
        <w:spacing w:before="7"/>
        <w:rPr>
          <w:sz w:val="21"/>
        </w:rPr>
      </w:pPr>
    </w:p>
    <w:p>
      <w:pPr>
        <w:pStyle w:val="Heading8"/>
        <w:ind w:right="112"/>
      </w:pPr>
      <w:r>
        <w:rPr/>
        <w:t>RESEARCH</w:t>
      </w:r>
    </w:p>
    <w:p>
      <w:pPr>
        <w:pStyle w:val="BodyText"/>
        <w:spacing w:line="249" w:lineRule="auto" w:before="86"/>
        <w:ind w:left="107" w:right="133"/>
      </w:pPr>
      <w:r>
        <w:rPr/>
        <w:t>We continued to manage the University’s research</w:t>
      </w:r>
      <w:r>
        <w:rPr>
          <w:spacing w:val="-22"/>
        </w:rPr>
        <w:t> </w:t>
      </w:r>
      <w:r>
        <w:rPr/>
        <w:t>repository</w:t>
      </w:r>
      <w:r>
        <w:rPr>
          <w:spacing w:val="-22"/>
        </w:rPr>
        <w:t> </w:t>
      </w:r>
      <w:r>
        <w:rPr/>
        <w:t>(ResearchDirect),</w:t>
      </w:r>
      <w:r>
        <w:rPr>
          <w:spacing w:val="-22"/>
        </w:rPr>
        <w:t> </w:t>
      </w:r>
      <w:r>
        <w:rPr/>
        <w:t>which</w:t>
      </w:r>
      <w:r>
        <w:rPr>
          <w:spacing w:val="-22"/>
        </w:rPr>
        <w:t> </w:t>
      </w:r>
      <w:r>
        <w:rPr/>
        <w:t>is used to produce data required for the Higher Education</w:t>
      </w:r>
      <w:r>
        <w:rPr>
          <w:spacing w:val="-14"/>
        </w:rPr>
        <w:t> </w:t>
      </w:r>
      <w:r>
        <w:rPr/>
        <w:t>Research</w:t>
      </w:r>
      <w:r>
        <w:rPr>
          <w:spacing w:val="-14"/>
        </w:rPr>
        <w:t> </w:t>
      </w:r>
      <w:r>
        <w:rPr/>
        <w:t>Data</w:t>
      </w:r>
      <w:r>
        <w:rPr>
          <w:spacing w:val="-14"/>
        </w:rPr>
        <w:t> </w:t>
      </w:r>
      <w:r>
        <w:rPr/>
        <w:t>Collection</w:t>
      </w:r>
      <w:r>
        <w:rPr>
          <w:spacing w:val="-14"/>
        </w:rPr>
        <w:t> </w:t>
      </w:r>
      <w:r>
        <w:rPr>
          <w:spacing w:val="2"/>
        </w:rPr>
        <w:t>(HERDC) </w:t>
      </w:r>
      <w:r>
        <w:rPr/>
        <w:t>and Excellence in Research for Australia </w:t>
      </w:r>
      <w:r>
        <w:rPr>
          <w:spacing w:val="1"/>
          <w:w w:val="95"/>
        </w:rPr>
        <w:t>(ERA).</w:t>
      </w:r>
      <w:r>
        <w:rPr>
          <w:w w:val="95"/>
        </w:rPr>
        <w:t> </w:t>
      </w:r>
      <w:r>
        <w:rPr>
          <w:w w:val="97"/>
        </w:rPr>
        <w:t>Data </w:t>
      </w:r>
      <w:r>
        <w:rPr>
          <w:spacing w:val="1"/>
          <w:w w:val="98"/>
        </w:rPr>
        <w:t>collection</w:t>
      </w:r>
      <w:r>
        <w:rPr>
          <w:w w:val="98"/>
        </w:rPr>
        <w:t> </w:t>
      </w:r>
      <w:r>
        <w:rPr>
          <w:w w:val="98"/>
        </w:rPr>
        <w:t>for </w:t>
      </w:r>
      <w:r>
        <w:rPr>
          <w:spacing w:val="2"/>
          <w:w w:val="104"/>
        </w:rPr>
        <w:t>ERA</w:t>
      </w:r>
      <w:r>
        <w:rPr>
          <w:w w:val="104"/>
        </w:rPr>
        <w:t> </w:t>
      </w:r>
      <w:r>
        <w:rPr>
          <w:spacing w:val="1"/>
          <w:w w:val="88"/>
        </w:rPr>
        <w:t>2015</w:t>
      </w:r>
      <w:r>
        <w:rPr>
          <w:w w:val="88"/>
        </w:rPr>
        <w:t> </w:t>
      </w:r>
      <w:r>
        <w:rPr>
          <w:w w:val="96"/>
        </w:rPr>
        <w:t>was </w:t>
      </w:r>
      <w:r>
        <w:rPr/>
        <w:t>collected, properly managed and reported </w:t>
      </w:r>
      <w:r>
        <w:rPr>
          <w:w w:val="98"/>
        </w:rPr>
        <w:t>accurately </w:t>
      </w:r>
      <w:r>
        <w:rPr>
          <w:w w:val="98"/>
        </w:rPr>
        <w:t>for </w:t>
      </w:r>
      <w:r>
        <w:rPr>
          <w:spacing w:val="1"/>
          <w:w w:val="94"/>
        </w:rPr>
        <w:t>submission.</w:t>
      </w:r>
      <w:r>
        <w:rPr>
          <w:w w:val="94"/>
        </w:rPr>
        <w:t> </w:t>
      </w:r>
      <w:r>
        <w:rPr>
          <w:spacing w:val="1"/>
          <w:w w:val="80"/>
        </w:rPr>
        <w:t>In</w:t>
      </w:r>
      <w:r>
        <w:rPr>
          <w:w w:val="80"/>
        </w:rPr>
        <w:t> </w:t>
      </w:r>
      <w:r>
        <w:rPr>
          <w:spacing w:val="1"/>
          <w:w w:val="84"/>
        </w:rPr>
        <w:t>2015,</w:t>
      </w:r>
      <w:r>
        <w:rPr>
          <w:w w:val="84"/>
        </w:rPr>
        <w:t> </w:t>
      </w:r>
      <w:r>
        <w:rPr>
          <w:w w:val="97"/>
        </w:rPr>
        <w:t>the </w:t>
      </w:r>
      <w:r>
        <w:rPr>
          <w:spacing w:val="1"/>
          <w:w w:val="99"/>
        </w:rPr>
        <w:t>scope</w:t>
      </w:r>
      <w:r>
        <w:rPr>
          <w:w w:val="99"/>
        </w:rPr>
        <w:t> </w:t>
      </w:r>
      <w:r>
        <w:rPr/>
        <w:t>of ResearchDirect was expanded to include a research</w:t>
      </w:r>
      <w:r>
        <w:rPr>
          <w:spacing w:val="-17"/>
        </w:rPr>
        <w:t> </w:t>
      </w:r>
      <w:r>
        <w:rPr/>
        <w:t>data</w:t>
      </w:r>
      <w:r>
        <w:rPr>
          <w:spacing w:val="-17"/>
        </w:rPr>
        <w:t> </w:t>
      </w:r>
      <w:r>
        <w:rPr/>
        <w:t>catalogue</w:t>
      </w:r>
      <w:r>
        <w:rPr>
          <w:spacing w:val="-17"/>
        </w:rPr>
        <w:t> </w:t>
      </w:r>
      <w:r>
        <w:rPr/>
        <w:t>that</w:t>
      </w:r>
      <w:r>
        <w:rPr>
          <w:spacing w:val="-17"/>
        </w:rPr>
        <w:t> </w:t>
      </w:r>
      <w:r>
        <w:rPr/>
        <w:t>aims</w:t>
      </w:r>
      <w:r>
        <w:rPr>
          <w:spacing w:val="-17"/>
        </w:rPr>
        <w:t> </w:t>
      </w:r>
      <w:r>
        <w:rPr/>
        <w:t>to</w:t>
      </w:r>
      <w:r>
        <w:rPr>
          <w:spacing w:val="-17"/>
        </w:rPr>
        <w:t> </w:t>
      </w:r>
      <w:r>
        <w:rPr/>
        <w:t>increase the visibility of the University’s research internationally.</w:t>
      </w:r>
    </w:p>
    <w:p>
      <w:pPr>
        <w:pStyle w:val="BodyText"/>
        <w:rPr>
          <w:sz w:val="14"/>
        </w:rPr>
      </w:pPr>
    </w:p>
    <w:p>
      <w:pPr>
        <w:pStyle w:val="BodyText"/>
        <w:spacing w:line="249" w:lineRule="auto"/>
        <w:ind w:left="107" w:right="204"/>
      </w:pPr>
      <w:r>
        <w:rPr/>
        <w:t>The Library collaborated with eResearch to participate in an Australian National Data Service (ANDS) Major Open Data Collection </w:t>
      </w:r>
      <w:r>
        <w:rPr>
          <w:spacing w:val="2"/>
        </w:rPr>
        <w:t>(MODC) </w:t>
      </w:r>
      <w:r>
        <w:rPr/>
        <w:t>project. The project delivered essential infrastructure required for making end-to-end data capture services available to the research community and includes upgrades to </w:t>
      </w:r>
      <w:r>
        <w:rPr>
          <w:spacing w:val="2"/>
        </w:rPr>
        <w:t>HIEV </w:t>
      </w:r>
      <w:r>
        <w:rPr/>
        <w:t>infrastructure and the development of a small-scale research repository</w:t>
      </w:r>
      <w:r>
        <w:rPr>
          <w:spacing w:val="-16"/>
        </w:rPr>
        <w:t> </w:t>
      </w:r>
      <w:r>
        <w:rPr/>
        <w:t>service</w:t>
      </w:r>
      <w:r>
        <w:rPr>
          <w:spacing w:val="-16"/>
        </w:rPr>
        <w:t> </w:t>
      </w:r>
      <w:r>
        <w:rPr/>
        <w:t>using</w:t>
      </w:r>
      <w:r>
        <w:rPr>
          <w:spacing w:val="-16"/>
        </w:rPr>
        <w:t> </w:t>
      </w:r>
      <w:r>
        <w:rPr/>
        <w:t>the</w:t>
      </w:r>
      <w:r>
        <w:rPr>
          <w:spacing w:val="-16"/>
        </w:rPr>
        <w:t> </w:t>
      </w:r>
      <w:r>
        <w:rPr/>
        <w:t>Omeka</w:t>
      </w:r>
      <w:r>
        <w:rPr>
          <w:spacing w:val="-16"/>
        </w:rPr>
        <w:t> </w:t>
      </w:r>
      <w:r>
        <w:rPr/>
        <w:t>platform. The project highlighted the need to develop stronger</w:t>
      </w:r>
      <w:r>
        <w:rPr>
          <w:spacing w:val="-19"/>
        </w:rPr>
        <w:t> </w:t>
      </w:r>
      <w:r>
        <w:rPr/>
        <w:t>governance</w:t>
      </w:r>
      <w:r>
        <w:rPr>
          <w:spacing w:val="-19"/>
        </w:rPr>
        <w:t> </w:t>
      </w:r>
      <w:r>
        <w:rPr/>
        <w:t>for</w:t>
      </w:r>
      <w:r>
        <w:rPr>
          <w:spacing w:val="-19"/>
        </w:rPr>
        <w:t> </w:t>
      </w:r>
      <w:r>
        <w:rPr/>
        <w:t>research</w:t>
      </w:r>
      <w:r>
        <w:rPr>
          <w:spacing w:val="-19"/>
        </w:rPr>
        <w:t> </w:t>
      </w:r>
      <w:r>
        <w:rPr/>
        <w:t>data</w:t>
      </w:r>
    </w:p>
    <w:p>
      <w:pPr>
        <w:pStyle w:val="BodyText"/>
        <w:spacing w:line="249" w:lineRule="auto"/>
        <w:ind w:left="107" w:right="77"/>
      </w:pPr>
      <w:r>
        <w:rPr/>
        <w:t>management and, working with stakeholders, developed open access to research and research data management policies.</w:t>
      </w:r>
    </w:p>
    <w:p>
      <w:pPr>
        <w:pStyle w:val="BodyText"/>
        <w:spacing w:line="192" w:lineRule="exact"/>
        <w:ind w:left="107" w:right="112"/>
      </w:pPr>
      <w:r>
        <w:rPr/>
        <w:t>ResearchDirect was recognised as the</w:t>
      </w:r>
    </w:p>
    <w:p>
      <w:pPr>
        <w:spacing w:after="0" w:line="192" w:lineRule="exact"/>
        <w:sectPr>
          <w:type w:val="continuous"/>
          <w:pgSz w:w="11910" w:h="16840"/>
          <w:pgMar w:top="1580" w:bottom="280" w:left="800" w:right="800"/>
          <w:cols w:num="3" w:equalWidth="0">
            <w:col w:w="3316" w:space="124"/>
            <w:col w:w="3320" w:space="119"/>
            <w:col w:w="3431"/>
          </w:cols>
        </w:sectPr>
      </w:pPr>
    </w:p>
    <w:p>
      <w:pPr>
        <w:pStyle w:val="BodyText"/>
        <w:spacing w:before="10"/>
        <w:rPr>
          <w:sz w:val="28"/>
        </w:rPr>
      </w:pPr>
    </w:p>
    <w:p>
      <w:pPr>
        <w:pStyle w:val="Heading2"/>
        <w:ind w:right="7953"/>
        <w:rPr>
          <w:b w:val="0"/>
        </w:rPr>
      </w:pPr>
      <w:r>
        <w:rPr>
          <w:b w:val="0"/>
        </w:rPr>
        <w:t>Learning </w:t>
      </w:r>
      <w:r>
        <w:rPr>
          <w:b w:val="0"/>
          <w:spacing w:val="-3"/>
        </w:rPr>
        <w:t>and</w:t>
      </w:r>
      <w:r>
        <w:rPr>
          <w:b w:val="0"/>
          <w:spacing w:val="-2"/>
        </w:rPr>
        <w:t> </w:t>
      </w:r>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9" w:lineRule="auto"/>
        <w:ind w:left="107" w:right="-11"/>
      </w:pPr>
      <w:r>
        <w:rPr/>
        <w:t>central record of research activity at both the publication and data level.</w:t>
      </w:r>
    </w:p>
    <w:p>
      <w:pPr>
        <w:pStyle w:val="BodyText"/>
        <w:rPr>
          <w:sz w:val="14"/>
        </w:rPr>
      </w:pPr>
    </w:p>
    <w:p>
      <w:pPr>
        <w:pStyle w:val="BodyText"/>
        <w:spacing w:line="249" w:lineRule="auto"/>
        <w:ind w:left="107" w:right="-2"/>
      </w:pPr>
      <w:r>
        <w:rPr/>
        <w:t>As</w:t>
      </w:r>
      <w:r>
        <w:rPr>
          <w:spacing w:val="-17"/>
        </w:rPr>
        <w:t> </w:t>
      </w:r>
      <w:r>
        <w:rPr/>
        <w:t>an</w:t>
      </w:r>
      <w:r>
        <w:rPr>
          <w:spacing w:val="-17"/>
        </w:rPr>
        <w:t> </w:t>
      </w:r>
      <w:r>
        <w:rPr/>
        <w:t>extension</w:t>
      </w:r>
      <w:r>
        <w:rPr>
          <w:spacing w:val="-17"/>
        </w:rPr>
        <w:t> </w:t>
      </w:r>
      <w:r>
        <w:rPr/>
        <w:t>of</w:t>
      </w:r>
      <w:r>
        <w:rPr>
          <w:spacing w:val="-17"/>
        </w:rPr>
        <w:t> </w:t>
      </w:r>
      <w:r>
        <w:rPr/>
        <w:t>research</w:t>
      </w:r>
      <w:r>
        <w:rPr>
          <w:spacing w:val="-17"/>
        </w:rPr>
        <w:t> </w:t>
      </w:r>
      <w:r>
        <w:rPr/>
        <w:t>data</w:t>
      </w:r>
      <w:r>
        <w:rPr>
          <w:spacing w:val="-17"/>
        </w:rPr>
        <w:t> </w:t>
      </w:r>
      <w:r>
        <w:rPr/>
        <w:t>management work,</w:t>
      </w:r>
      <w:r>
        <w:rPr>
          <w:spacing w:val="-16"/>
        </w:rPr>
        <w:t> </w:t>
      </w:r>
      <w:r>
        <w:rPr/>
        <w:t>we</w:t>
      </w:r>
      <w:r>
        <w:rPr>
          <w:spacing w:val="-16"/>
        </w:rPr>
        <w:t> </w:t>
      </w:r>
      <w:r>
        <w:rPr/>
        <w:t>launched</w:t>
      </w:r>
      <w:r>
        <w:rPr>
          <w:spacing w:val="-16"/>
        </w:rPr>
        <w:t> </w:t>
      </w:r>
      <w:r>
        <w:rPr/>
        <w:t>a</w:t>
      </w:r>
      <w:r>
        <w:rPr>
          <w:spacing w:val="-16"/>
        </w:rPr>
        <w:t> </w:t>
      </w:r>
      <w:r>
        <w:rPr/>
        <w:t>new</w:t>
      </w:r>
      <w:r>
        <w:rPr>
          <w:spacing w:val="-16"/>
        </w:rPr>
        <w:t> </w:t>
      </w:r>
      <w:r>
        <w:rPr/>
        <w:t>service</w:t>
      </w:r>
      <w:r>
        <w:rPr>
          <w:spacing w:val="-16"/>
        </w:rPr>
        <w:t> </w:t>
      </w:r>
      <w:r>
        <w:rPr/>
        <w:t>that</w:t>
      </w:r>
      <w:r>
        <w:rPr>
          <w:spacing w:val="-16"/>
        </w:rPr>
        <w:t> </w:t>
      </w:r>
      <w:r>
        <w:rPr/>
        <w:t>focuses on</w:t>
      </w:r>
      <w:r>
        <w:rPr>
          <w:spacing w:val="-17"/>
        </w:rPr>
        <w:t> </w:t>
      </w:r>
      <w:r>
        <w:rPr/>
        <w:t>sourcing</w:t>
      </w:r>
      <w:r>
        <w:rPr>
          <w:spacing w:val="-17"/>
        </w:rPr>
        <w:t> </w:t>
      </w:r>
      <w:r>
        <w:rPr/>
        <w:t>research</w:t>
      </w:r>
      <w:r>
        <w:rPr>
          <w:spacing w:val="-17"/>
        </w:rPr>
        <w:t> </w:t>
      </w:r>
      <w:r>
        <w:rPr/>
        <w:t>datasets.</w:t>
      </w:r>
      <w:r>
        <w:rPr>
          <w:spacing w:val="-17"/>
        </w:rPr>
        <w:t> </w:t>
      </w:r>
      <w:r>
        <w:rPr/>
        <w:t>Amalgamating a number of dispersed data services from across the University and providing central management and distribution assists researchers in identifying readily available information, which can expedite or extend their research. Whether open, licensed or purchased,</w:t>
      </w:r>
      <w:r>
        <w:rPr>
          <w:spacing w:val="-15"/>
        </w:rPr>
        <w:t> </w:t>
      </w:r>
      <w:r>
        <w:rPr/>
        <w:t>the</w:t>
      </w:r>
      <w:r>
        <w:rPr>
          <w:spacing w:val="-15"/>
        </w:rPr>
        <w:t> </w:t>
      </w:r>
      <w:r>
        <w:rPr/>
        <w:t>Library</w:t>
      </w:r>
      <w:r>
        <w:rPr>
          <w:spacing w:val="-15"/>
        </w:rPr>
        <w:t> </w:t>
      </w:r>
      <w:r>
        <w:rPr/>
        <w:t>is</w:t>
      </w:r>
      <w:r>
        <w:rPr>
          <w:spacing w:val="-15"/>
        </w:rPr>
        <w:t> </w:t>
      </w:r>
      <w:r>
        <w:rPr/>
        <w:t>the</w:t>
      </w:r>
      <w:r>
        <w:rPr>
          <w:spacing w:val="-15"/>
        </w:rPr>
        <w:t> </w:t>
      </w:r>
      <w:r>
        <w:rPr/>
        <w:t>starting</w:t>
      </w:r>
      <w:r>
        <w:rPr>
          <w:spacing w:val="-15"/>
        </w:rPr>
        <w:t> </w:t>
      </w:r>
      <w:r>
        <w:rPr/>
        <w:t>point</w:t>
      </w:r>
    </w:p>
    <w:p>
      <w:pPr>
        <w:pStyle w:val="BodyText"/>
        <w:spacing w:line="249" w:lineRule="auto"/>
        <w:ind w:left="107" w:right="-11"/>
      </w:pPr>
      <w:r>
        <w:rPr/>
        <w:t>for providing data collections to support </w:t>
      </w:r>
      <w:r>
        <w:rPr>
          <w:w w:val="95"/>
        </w:rPr>
        <w:t>sustainable research.</w:t>
      </w:r>
    </w:p>
    <w:p>
      <w:pPr>
        <w:pStyle w:val="BodyText"/>
        <w:spacing w:before="7"/>
        <w:rPr>
          <w:sz w:val="21"/>
        </w:rPr>
      </w:pPr>
    </w:p>
    <w:p>
      <w:pPr>
        <w:pStyle w:val="Heading8"/>
        <w:ind w:right="-11"/>
      </w:pPr>
      <w:r>
        <w:rPr/>
        <w:t>ENGAGEMENT</w:t>
      </w:r>
    </w:p>
    <w:p>
      <w:pPr>
        <w:pStyle w:val="BodyText"/>
        <w:spacing w:line="249" w:lineRule="auto" w:before="86"/>
        <w:ind w:left="107" w:right="-3"/>
      </w:pPr>
      <w:r>
        <w:rPr/>
        <w:t>The</w:t>
      </w:r>
      <w:r>
        <w:rPr>
          <w:spacing w:val="-15"/>
        </w:rPr>
        <w:t> </w:t>
      </w:r>
      <w:r>
        <w:rPr/>
        <w:t>Library</w:t>
      </w:r>
      <w:r>
        <w:rPr>
          <w:spacing w:val="-15"/>
        </w:rPr>
        <w:t> </w:t>
      </w:r>
      <w:r>
        <w:rPr/>
        <w:t>made</w:t>
      </w:r>
      <w:r>
        <w:rPr>
          <w:spacing w:val="-15"/>
        </w:rPr>
        <w:t> </w:t>
      </w:r>
      <w:r>
        <w:rPr/>
        <w:t>the</w:t>
      </w:r>
      <w:r>
        <w:rPr>
          <w:spacing w:val="-15"/>
        </w:rPr>
        <w:t> </w:t>
      </w:r>
      <w:r>
        <w:rPr/>
        <w:t>raw</w:t>
      </w:r>
      <w:r>
        <w:rPr>
          <w:spacing w:val="-15"/>
        </w:rPr>
        <w:t> </w:t>
      </w:r>
      <w:r>
        <w:rPr/>
        <w:t>data</w:t>
      </w:r>
      <w:r>
        <w:rPr>
          <w:spacing w:val="-15"/>
        </w:rPr>
        <w:t> </w:t>
      </w:r>
      <w:r>
        <w:rPr/>
        <w:t>of</w:t>
      </w:r>
      <w:r>
        <w:rPr>
          <w:spacing w:val="-15"/>
        </w:rPr>
        <w:t> </w:t>
      </w:r>
      <w:r>
        <w:rPr/>
        <w:t>the</w:t>
      </w:r>
      <w:r>
        <w:rPr>
          <w:spacing w:val="-15"/>
        </w:rPr>
        <w:t> </w:t>
      </w:r>
      <w:r>
        <w:rPr/>
        <w:t>Farms</w:t>
      </w:r>
      <w:r>
        <w:rPr>
          <w:spacing w:val="-15"/>
        </w:rPr>
        <w:t> </w:t>
      </w:r>
      <w:r>
        <w:rPr/>
        <w:t>to Freeways research project digitally available. This project documents the experiences of women living in the Blacktown and Penrith </w:t>
      </w:r>
      <w:r>
        <w:rPr>
          <w:spacing w:val="1"/>
          <w:w w:val="95"/>
        </w:rPr>
        <w:t>areas</w:t>
      </w:r>
      <w:r>
        <w:rPr>
          <w:w w:val="95"/>
        </w:rPr>
        <w:t> </w:t>
      </w:r>
      <w:r>
        <w:rPr>
          <w:w w:val="97"/>
        </w:rPr>
        <w:t>since </w:t>
      </w:r>
      <w:r>
        <w:rPr>
          <w:w w:val="97"/>
        </w:rPr>
        <w:t>the </w:t>
      </w:r>
      <w:r>
        <w:rPr>
          <w:spacing w:val="1"/>
          <w:w w:val="96"/>
        </w:rPr>
        <w:t>early</w:t>
      </w:r>
      <w:r>
        <w:rPr>
          <w:w w:val="96"/>
        </w:rPr>
        <w:t> </w:t>
      </w:r>
      <w:r>
        <w:rPr>
          <w:spacing w:val="2"/>
          <w:w w:val="87"/>
        </w:rPr>
        <w:t>1950s.</w:t>
      </w:r>
      <w:r>
        <w:rPr>
          <w:w w:val="87"/>
        </w:rPr>
        <w:t> </w:t>
      </w:r>
      <w:r>
        <w:rPr>
          <w:spacing w:val="1"/>
          <w:w w:val="94"/>
        </w:rPr>
        <w:t>The</w:t>
      </w:r>
      <w:r>
        <w:rPr>
          <w:w w:val="94"/>
        </w:rPr>
        <w:t> </w:t>
      </w:r>
      <w:r>
        <w:rPr>
          <w:spacing w:val="1"/>
          <w:w w:val="98"/>
        </w:rPr>
        <w:t>collection</w:t>
      </w:r>
      <w:r>
        <w:rPr>
          <w:w w:val="98"/>
        </w:rPr>
        <w:t> </w:t>
      </w:r>
      <w:r>
        <w:rPr/>
        <w:t>includes images and transcripts that document the social changes brought about by rapid suburbanisation in the Western Sydney region in the post-war period. The collection</w:t>
      </w:r>
      <w:r>
        <w:rPr>
          <w:spacing w:val="-18"/>
        </w:rPr>
        <w:t> </w:t>
      </w:r>
      <w:r>
        <w:rPr/>
        <w:t>received</w:t>
      </w:r>
      <w:r>
        <w:rPr>
          <w:spacing w:val="-18"/>
        </w:rPr>
        <w:t> </w:t>
      </w:r>
      <w:r>
        <w:rPr/>
        <w:t>international</w:t>
      </w:r>
      <w:r>
        <w:rPr>
          <w:spacing w:val="-18"/>
        </w:rPr>
        <w:t> </w:t>
      </w:r>
      <w:r>
        <w:rPr/>
        <w:t>attention</w:t>
      </w:r>
    </w:p>
    <w:p>
      <w:pPr>
        <w:pStyle w:val="BodyText"/>
        <w:spacing w:line="249" w:lineRule="auto"/>
        <w:ind w:left="107" w:right="336"/>
      </w:pPr>
      <w:r>
        <w:rPr/>
        <w:t>for</w:t>
      </w:r>
      <w:r>
        <w:rPr>
          <w:spacing w:val="-15"/>
        </w:rPr>
        <w:t> </w:t>
      </w:r>
      <w:r>
        <w:rPr/>
        <w:t>its</w:t>
      </w:r>
      <w:r>
        <w:rPr>
          <w:spacing w:val="-15"/>
        </w:rPr>
        <w:t> </w:t>
      </w:r>
      <w:r>
        <w:rPr/>
        <w:t>content</w:t>
      </w:r>
      <w:r>
        <w:rPr>
          <w:spacing w:val="-15"/>
        </w:rPr>
        <w:t> </w:t>
      </w:r>
      <w:r>
        <w:rPr/>
        <w:t>and</w:t>
      </w:r>
      <w:r>
        <w:rPr>
          <w:spacing w:val="-15"/>
        </w:rPr>
        <w:t> </w:t>
      </w:r>
      <w:r>
        <w:rPr/>
        <w:t>use</w:t>
      </w:r>
      <w:r>
        <w:rPr>
          <w:spacing w:val="-15"/>
        </w:rPr>
        <w:t> </w:t>
      </w:r>
      <w:r>
        <w:rPr/>
        <w:t>of</w:t>
      </w:r>
      <w:r>
        <w:rPr>
          <w:spacing w:val="-15"/>
        </w:rPr>
        <w:t> </w:t>
      </w:r>
      <w:r>
        <w:rPr/>
        <w:t>the</w:t>
      </w:r>
      <w:r>
        <w:rPr>
          <w:spacing w:val="-15"/>
        </w:rPr>
        <w:t> </w:t>
      </w:r>
      <w:r>
        <w:rPr/>
        <w:t>open</w:t>
      </w:r>
      <w:r>
        <w:rPr>
          <w:spacing w:val="-15"/>
        </w:rPr>
        <w:t> </w:t>
      </w:r>
      <w:r>
        <w:rPr/>
        <w:t>source platform.</w:t>
      </w:r>
    </w:p>
    <w:p>
      <w:pPr>
        <w:pStyle w:val="BodyText"/>
        <w:rPr>
          <w:sz w:val="14"/>
        </w:rPr>
      </w:pPr>
    </w:p>
    <w:p>
      <w:pPr>
        <w:pStyle w:val="BodyText"/>
        <w:spacing w:line="249" w:lineRule="auto"/>
        <w:ind w:left="107" w:right="51"/>
      </w:pPr>
      <w:r>
        <w:rPr/>
        <w:t>As a means of promoting lifelong learning, we expanded our alumni offerings to sector-</w:t>
      </w:r>
    </w:p>
    <w:p>
      <w:pPr>
        <w:pStyle w:val="BodyText"/>
        <w:spacing w:line="249" w:lineRule="auto"/>
        <w:ind w:left="107" w:right="-11"/>
      </w:pPr>
      <w:r>
        <w:rPr/>
        <w:t>leading</w:t>
      </w:r>
      <w:r>
        <w:rPr>
          <w:spacing w:val="-20"/>
        </w:rPr>
        <w:t> </w:t>
      </w:r>
      <w:r>
        <w:rPr/>
        <w:t>levels.</w:t>
      </w:r>
      <w:r>
        <w:rPr>
          <w:spacing w:val="-20"/>
        </w:rPr>
        <w:t> </w:t>
      </w:r>
      <w:r>
        <w:rPr/>
        <w:t>Registered</w:t>
      </w:r>
      <w:r>
        <w:rPr>
          <w:spacing w:val="-20"/>
        </w:rPr>
        <w:t> </w:t>
      </w:r>
      <w:r>
        <w:rPr/>
        <w:t>alumni</w:t>
      </w:r>
      <w:r>
        <w:rPr>
          <w:spacing w:val="-20"/>
        </w:rPr>
        <w:t> </w:t>
      </w:r>
      <w:r>
        <w:rPr/>
        <w:t>are</w:t>
      </w:r>
      <w:r>
        <w:rPr>
          <w:spacing w:val="-20"/>
        </w:rPr>
        <w:t> </w:t>
      </w:r>
      <w:r>
        <w:rPr/>
        <w:t>now</w:t>
      </w:r>
      <w:r>
        <w:rPr>
          <w:spacing w:val="-20"/>
        </w:rPr>
        <w:t> </w:t>
      </w:r>
      <w:r>
        <w:rPr/>
        <w:t>able to access thousands of scholarly resources both</w:t>
      </w:r>
      <w:r>
        <w:rPr>
          <w:spacing w:val="-16"/>
        </w:rPr>
        <w:t> </w:t>
      </w:r>
      <w:r>
        <w:rPr/>
        <w:t>on</w:t>
      </w:r>
      <w:r>
        <w:rPr>
          <w:spacing w:val="-16"/>
        </w:rPr>
        <w:t> </w:t>
      </w:r>
      <w:r>
        <w:rPr/>
        <w:t>campus</w:t>
      </w:r>
      <w:r>
        <w:rPr>
          <w:spacing w:val="-16"/>
        </w:rPr>
        <w:t> </w:t>
      </w:r>
      <w:r>
        <w:rPr/>
        <w:t>and</w:t>
      </w:r>
      <w:r>
        <w:rPr>
          <w:spacing w:val="-16"/>
        </w:rPr>
        <w:t> </w:t>
      </w:r>
      <w:r>
        <w:rPr/>
        <w:t>from</w:t>
      </w:r>
      <w:r>
        <w:rPr>
          <w:spacing w:val="-16"/>
        </w:rPr>
        <w:t> </w:t>
      </w:r>
      <w:r>
        <w:rPr/>
        <w:t>home.</w:t>
      </w:r>
      <w:r>
        <w:rPr>
          <w:spacing w:val="-16"/>
        </w:rPr>
        <w:t> </w:t>
      </w:r>
      <w:r>
        <w:rPr/>
        <w:t>The</w:t>
      </w:r>
      <w:r>
        <w:rPr>
          <w:spacing w:val="-16"/>
        </w:rPr>
        <w:t> </w:t>
      </w:r>
      <w:r>
        <w:rPr/>
        <w:t>revised offerings also support the University’s engagement activities and help provide meaningful connections with the University Library beyond</w:t>
      </w:r>
      <w:r>
        <w:rPr>
          <w:spacing w:val="-26"/>
        </w:rPr>
        <w:t> </w:t>
      </w:r>
      <w:r>
        <w:rPr/>
        <w:t>graduation.</w:t>
      </w:r>
    </w:p>
    <w:p>
      <w:pPr>
        <w:pStyle w:val="BodyText"/>
        <w:rPr>
          <w:sz w:val="14"/>
        </w:rPr>
      </w:pPr>
    </w:p>
    <w:p>
      <w:pPr>
        <w:pStyle w:val="BodyText"/>
        <w:spacing w:line="249" w:lineRule="auto"/>
        <w:ind w:left="107" w:right="47"/>
      </w:pPr>
      <w:r>
        <w:rPr/>
        <w:t>As part of its strategic engagement agenda, </w:t>
      </w:r>
      <w:r>
        <w:rPr>
          <w:w w:val="97"/>
        </w:rPr>
        <w:t>the </w:t>
      </w:r>
      <w:r>
        <w:rPr>
          <w:w w:val="98"/>
        </w:rPr>
        <w:t>Library </w:t>
      </w:r>
      <w:r>
        <w:rPr>
          <w:w w:val="98"/>
        </w:rPr>
        <w:t>hosted </w:t>
      </w:r>
      <w:r>
        <w:rPr>
          <w:w w:val="99"/>
        </w:rPr>
        <w:t>about </w:t>
      </w:r>
      <w:r>
        <w:rPr>
          <w:w w:val="87"/>
        </w:rPr>
        <w:t>1,200 </w:t>
      </w:r>
      <w:r>
        <w:rPr>
          <w:w w:val="97"/>
        </w:rPr>
        <w:t>students </w:t>
      </w:r>
      <w:r>
        <w:rPr>
          <w:w w:val="98"/>
        </w:rPr>
        <w:t>from </w:t>
      </w:r>
      <w:r>
        <w:rPr/>
        <w:t>local schools through University outreach programs such as STEPS@UWS, First Foot Forward and Fast Forward. The Library engaged with the community as part of the widening participation program, contributing to Open Day, Course Decision Day, Western</w:t>
      </w:r>
    </w:p>
    <w:p>
      <w:pPr>
        <w:pStyle w:val="BodyText"/>
        <w:spacing w:line="249" w:lineRule="auto"/>
        <w:ind w:left="107" w:right="35"/>
      </w:pPr>
      <w:r>
        <w:rPr/>
        <w:t>U Day, the Pasifika Achievement </w:t>
      </w:r>
      <w:r>
        <w:rPr>
          <w:spacing w:val="-5"/>
        </w:rPr>
        <w:t>To </w:t>
      </w:r>
      <w:r>
        <w:rPr/>
        <w:t>Higher Education</w:t>
      </w:r>
      <w:r>
        <w:rPr>
          <w:spacing w:val="-20"/>
        </w:rPr>
        <w:t> </w:t>
      </w:r>
      <w:r>
        <w:rPr/>
        <w:t>(PATHE)</w:t>
      </w:r>
      <w:r>
        <w:rPr>
          <w:spacing w:val="-20"/>
        </w:rPr>
        <w:t> </w:t>
      </w:r>
      <w:r>
        <w:rPr/>
        <w:t>project,</w:t>
      </w:r>
      <w:r>
        <w:rPr>
          <w:spacing w:val="-20"/>
        </w:rPr>
        <w:t> </w:t>
      </w:r>
      <w:r>
        <w:rPr/>
        <w:t>Let’s</w:t>
      </w:r>
      <w:r>
        <w:rPr>
          <w:spacing w:val="-20"/>
        </w:rPr>
        <w:t> </w:t>
      </w:r>
      <w:r>
        <w:rPr/>
        <w:t>Talk</w:t>
      </w:r>
      <w:r>
        <w:rPr>
          <w:spacing w:val="-20"/>
        </w:rPr>
        <w:t> </w:t>
      </w:r>
      <w:r>
        <w:rPr/>
        <w:t>Uni,</w:t>
      </w:r>
      <w:r>
        <w:rPr>
          <w:spacing w:val="-20"/>
        </w:rPr>
        <w:t> </w:t>
      </w:r>
      <w:r>
        <w:rPr/>
        <w:t>the Learning</w:t>
      </w:r>
      <w:r>
        <w:rPr>
          <w:spacing w:val="-20"/>
        </w:rPr>
        <w:t> </w:t>
      </w:r>
      <w:r>
        <w:rPr/>
        <w:t>and</w:t>
      </w:r>
      <w:r>
        <w:rPr>
          <w:spacing w:val="-20"/>
        </w:rPr>
        <w:t> </w:t>
      </w:r>
      <w:r>
        <w:rPr/>
        <w:t>Teaching</w:t>
      </w:r>
      <w:r>
        <w:rPr>
          <w:spacing w:val="-20"/>
        </w:rPr>
        <w:t> </w:t>
      </w:r>
      <w:r>
        <w:rPr/>
        <w:t>Professional</w:t>
      </w:r>
      <w:r>
        <w:rPr>
          <w:spacing w:val="-20"/>
        </w:rPr>
        <w:t> </w:t>
      </w:r>
      <w:r>
        <w:rPr/>
        <w:t>Exchange Forum, Diploma Plus, Pathways to Dreaming and</w:t>
      </w:r>
      <w:r>
        <w:rPr>
          <w:spacing w:val="-34"/>
        </w:rPr>
        <w:t> </w:t>
      </w:r>
      <w:r>
        <w:rPr/>
        <w:t>Walking</w:t>
      </w:r>
      <w:r>
        <w:rPr>
          <w:spacing w:val="-34"/>
        </w:rPr>
        <w:t> </w:t>
      </w:r>
      <w:r>
        <w:rPr/>
        <w:t>Tall</w:t>
      </w:r>
      <w:r>
        <w:rPr>
          <w:spacing w:val="-34"/>
        </w:rPr>
        <w:t> </w:t>
      </w:r>
      <w:r>
        <w:rPr/>
        <w:t>Together.</w:t>
      </w:r>
    </w:p>
    <w:p>
      <w:pPr>
        <w:pStyle w:val="BodyText"/>
        <w:spacing w:before="4"/>
        <w:rPr>
          <w:sz w:val="17"/>
        </w:rPr>
      </w:pPr>
      <w:r>
        <w:rPr/>
        <w:br w:type="column"/>
      </w:r>
      <w:r>
        <w:rPr>
          <w:sz w:val="17"/>
        </w:rPr>
      </w:r>
    </w:p>
    <w:p>
      <w:pPr>
        <w:pStyle w:val="Heading8"/>
      </w:pPr>
      <w:r>
        <w:rPr/>
        <w:t>INNOVATION</w:t>
      </w:r>
    </w:p>
    <w:p>
      <w:pPr>
        <w:pStyle w:val="BodyText"/>
        <w:spacing w:line="249" w:lineRule="auto" w:before="86"/>
        <w:ind w:left="107" w:right="223"/>
      </w:pPr>
      <w:r>
        <w:rPr/>
        <w:t>Working with the Whitlam Institute and the</w:t>
      </w:r>
      <w:r>
        <w:rPr>
          <w:spacing w:val="-22"/>
        </w:rPr>
        <w:t> </w:t>
      </w:r>
      <w:r>
        <w:rPr/>
        <w:t>Digital</w:t>
      </w:r>
      <w:r>
        <w:rPr>
          <w:spacing w:val="-22"/>
        </w:rPr>
        <w:t> </w:t>
      </w:r>
      <w:r>
        <w:rPr/>
        <w:t>Humanities</w:t>
      </w:r>
      <w:r>
        <w:rPr>
          <w:spacing w:val="-22"/>
        </w:rPr>
        <w:t> </w:t>
      </w:r>
      <w:r>
        <w:rPr/>
        <w:t>Research</w:t>
      </w:r>
      <w:r>
        <w:rPr>
          <w:spacing w:val="-22"/>
        </w:rPr>
        <w:t> </w:t>
      </w:r>
      <w:r>
        <w:rPr/>
        <w:t>Group,</w:t>
      </w:r>
      <w:r>
        <w:rPr>
          <w:spacing w:val="-22"/>
        </w:rPr>
        <w:t> </w:t>
      </w:r>
      <w:r>
        <w:rPr/>
        <w:t>the</w:t>
      </w:r>
    </w:p>
    <w:p>
      <w:pPr>
        <w:pStyle w:val="BodyText"/>
        <w:spacing w:line="249" w:lineRule="auto"/>
        <w:ind w:left="107" w:right="42"/>
      </w:pPr>
      <w:r>
        <w:rPr/>
        <w:t>Library</w:t>
      </w:r>
      <w:r>
        <w:rPr>
          <w:spacing w:val="-12"/>
        </w:rPr>
        <w:t> </w:t>
      </w:r>
      <w:r>
        <w:rPr/>
        <w:t>developed</w:t>
      </w:r>
      <w:r>
        <w:rPr>
          <w:spacing w:val="-12"/>
        </w:rPr>
        <w:t> </w:t>
      </w:r>
      <w:r>
        <w:rPr/>
        <w:t>a</w:t>
      </w:r>
      <w:r>
        <w:rPr>
          <w:spacing w:val="-12"/>
        </w:rPr>
        <w:t> </w:t>
      </w:r>
      <w:r>
        <w:rPr/>
        <w:t>virtual</w:t>
      </w:r>
      <w:r>
        <w:rPr>
          <w:spacing w:val="-12"/>
        </w:rPr>
        <w:t> </w:t>
      </w:r>
      <w:r>
        <w:rPr/>
        <w:t>tour</w:t>
      </w:r>
      <w:r>
        <w:rPr>
          <w:spacing w:val="-12"/>
        </w:rPr>
        <w:t> </w:t>
      </w:r>
      <w:r>
        <w:rPr/>
        <w:t>of</w:t>
      </w:r>
      <w:r>
        <w:rPr>
          <w:spacing w:val="-12"/>
        </w:rPr>
        <w:t> </w:t>
      </w:r>
      <w:r>
        <w:rPr/>
        <w:t>the</w:t>
      </w:r>
      <w:r>
        <w:rPr>
          <w:spacing w:val="-12"/>
        </w:rPr>
        <w:t> </w:t>
      </w:r>
      <w:r>
        <w:rPr/>
        <w:t>Female Orphan School. The tour uses Bluetooth technology to dynamically update as visitors move through the building. The project was designed</w:t>
      </w:r>
      <w:r>
        <w:rPr>
          <w:spacing w:val="-17"/>
        </w:rPr>
        <w:t> </w:t>
      </w:r>
      <w:r>
        <w:rPr/>
        <w:t>to</w:t>
      </w:r>
      <w:r>
        <w:rPr>
          <w:spacing w:val="-17"/>
        </w:rPr>
        <w:t> </w:t>
      </w:r>
      <w:r>
        <w:rPr/>
        <w:t>help</w:t>
      </w:r>
      <w:r>
        <w:rPr>
          <w:spacing w:val="-17"/>
        </w:rPr>
        <w:t> </w:t>
      </w:r>
      <w:r>
        <w:rPr/>
        <w:t>represent</w:t>
      </w:r>
      <w:r>
        <w:rPr>
          <w:spacing w:val="-17"/>
        </w:rPr>
        <w:t> </w:t>
      </w:r>
      <w:r>
        <w:rPr/>
        <w:t>the</w:t>
      </w:r>
      <w:r>
        <w:rPr>
          <w:spacing w:val="-17"/>
        </w:rPr>
        <w:t> </w:t>
      </w:r>
      <w:r>
        <w:rPr/>
        <w:t>many</w:t>
      </w:r>
      <w:r>
        <w:rPr>
          <w:spacing w:val="-17"/>
        </w:rPr>
        <w:t> </w:t>
      </w:r>
      <w:r>
        <w:rPr/>
        <w:t>histories of the Female Orphan School building and is continually recognised within the sector as a leading</w:t>
      </w:r>
      <w:r>
        <w:rPr>
          <w:spacing w:val="-15"/>
        </w:rPr>
        <w:t> </w:t>
      </w:r>
      <w:r>
        <w:rPr/>
        <w:t>model</w:t>
      </w:r>
      <w:r>
        <w:rPr>
          <w:spacing w:val="-15"/>
        </w:rPr>
        <w:t> </w:t>
      </w:r>
      <w:r>
        <w:rPr/>
        <w:t>for</w:t>
      </w:r>
      <w:r>
        <w:rPr>
          <w:spacing w:val="-15"/>
        </w:rPr>
        <w:t> </w:t>
      </w:r>
      <w:r>
        <w:rPr/>
        <w:t>designing</w:t>
      </w:r>
      <w:r>
        <w:rPr>
          <w:spacing w:val="-15"/>
        </w:rPr>
        <w:t> </w:t>
      </w:r>
      <w:r>
        <w:rPr/>
        <w:t>user</w:t>
      </w:r>
      <w:r>
        <w:rPr>
          <w:spacing w:val="-15"/>
        </w:rPr>
        <w:t> </w:t>
      </w:r>
      <w:r>
        <w:rPr/>
        <w:t>experiences within</w:t>
      </w:r>
      <w:r>
        <w:rPr>
          <w:spacing w:val="-21"/>
        </w:rPr>
        <w:t> </w:t>
      </w:r>
      <w:r>
        <w:rPr/>
        <w:t>spaces</w:t>
      </w:r>
      <w:r>
        <w:rPr>
          <w:spacing w:val="-21"/>
        </w:rPr>
        <w:t> </w:t>
      </w:r>
      <w:r>
        <w:rPr/>
        <w:t>with</w:t>
      </w:r>
      <w:r>
        <w:rPr>
          <w:spacing w:val="-21"/>
        </w:rPr>
        <w:t> </w:t>
      </w:r>
      <w:r>
        <w:rPr/>
        <w:t>multiple</w:t>
      </w:r>
      <w:r>
        <w:rPr>
          <w:spacing w:val="-21"/>
        </w:rPr>
        <w:t> </w:t>
      </w:r>
      <w:r>
        <w:rPr/>
        <w:t>histories.</w:t>
      </w:r>
    </w:p>
    <w:p>
      <w:pPr>
        <w:pStyle w:val="BodyText"/>
        <w:rPr>
          <w:sz w:val="14"/>
        </w:rPr>
      </w:pPr>
    </w:p>
    <w:p>
      <w:pPr>
        <w:pStyle w:val="BodyText"/>
        <w:spacing w:line="249" w:lineRule="auto"/>
        <w:ind w:left="107"/>
      </w:pPr>
      <w:r>
        <w:rPr/>
        <w:t>In collaboration with eResearch, we also developed virtual tours of all the Libraries. Using Google technology, the tours highlight key</w:t>
      </w:r>
      <w:r>
        <w:rPr>
          <w:spacing w:val="-17"/>
        </w:rPr>
        <w:t> </w:t>
      </w:r>
      <w:r>
        <w:rPr/>
        <w:t>areas</w:t>
      </w:r>
      <w:r>
        <w:rPr>
          <w:spacing w:val="-17"/>
        </w:rPr>
        <w:t> </w:t>
      </w:r>
      <w:r>
        <w:rPr/>
        <w:t>and</w:t>
      </w:r>
      <w:r>
        <w:rPr>
          <w:spacing w:val="-17"/>
        </w:rPr>
        <w:t> </w:t>
      </w:r>
      <w:r>
        <w:rPr/>
        <w:t>provide</w:t>
      </w:r>
      <w:r>
        <w:rPr>
          <w:spacing w:val="-17"/>
        </w:rPr>
        <w:t> </w:t>
      </w:r>
      <w:r>
        <w:rPr/>
        <w:t>insights</w:t>
      </w:r>
      <w:r>
        <w:rPr>
          <w:spacing w:val="-17"/>
        </w:rPr>
        <w:t> </w:t>
      </w:r>
      <w:r>
        <w:rPr/>
        <w:t>into</w:t>
      </w:r>
      <w:r>
        <w:rPr>
          <w:spacing w:val="-17"/>
        </w:rPr>
        <w:t> </w:t>
      </w:r>
      <w:r>
        <w:rPr/>
        <w:t>University facilities. The tours also featured as </w:t>
      </w:r>
      <w:r>
        <w:rPr>
          <w:spacing w:val="2"/>
        </w:rPr>
        <w:t>part </w:t>
      </w:r>
      <w:r>
        <w:rPr/>
        <w:t>of the</w:t>
      </w:r>
      <w:r>
        <w:rPr>
          <w:spacing w:val="-16"/>
        </w:rPr>
        <w:t> </w:t>
      </w:r>
      <w:r>
        <w:rPr/>
        <w:t>‘Wonderama’</w:t>
      </w:r>
      <w:r>
        <w:rPr>
          <w:spacing w:val="-16"/>
        </w:rPr>
        <w:t> </w:t>
      </w:r>
      <w:r>
        <w:rPr/>
        <w:t>3D</w:t>
      </w:r>
      <w:r>
        <w:rPr>
          <w:spacing w:val="-16"/>
        </w:rPr>
        <w:t> </w:t>
      </w:r>
      <w:r>
        <w:rPr/>
        <w:t>installation</w:t>
      </w:r>
      <w:r>
        <w:rPr>
          <w:spacing w:val="-16"/>
        </w:rPr>
        <w:t> </w:t>
      </w:r>
      <w:r>
        <w:rPr/>
        <w:t>hosted</w:t>
      </w:r>
      <w:r>
        <w:rPr>
          <w:spacing w:val="-16"/>
        </w:rPr>
        <w:t> </w:t>
      </w:r>
      <w:r>
        <w:rPr/>
        <w:t>at</w:t>
      </w:r>
      <w:r>
        <w:rPr>
          <w:spacing w:val="-16"/>
        </w:rPr>
        <w:t> </w:t>
      </w:r>
      <w:r>
        <w:rPr/>
        <w:t>the Penrith</w:t>
      </w:r>
      <w:r>
        <w:rPr>
          <w:spacing w:val="-20"/>
        </w:rPr>
        <w:t> </w:t>
      </w:r>
      <w:r>
        <w:rPr/>
        <w:t>Library.</w:t>
      </w:r>
      <w:r>
        <w:rPr>
          <w:spacing w:val="-20"/>
        </w:rPr>
        <w:t> </w:t>
      </w:r>
      <w:r>
        <w:rPr/>
        <w:t>The</w:t>
      </w:r>
      <w:r>
        <w:rPr>
          <w:spacing w:val="-20"/>
        </w:rPr>
        <w:t> </w:t>
      </w:r>
      <w:r>
        <w:rPr/>
        <w:t>installation</w:t>
      </w:r>
      <w:r>
        <w:rPr>
          <w:spacing w:val="-20"/>
        </w:rPr>
        <w:t> </w:t>
      </w:r>
      <w:r>
        <w:rPr/>
        <w:t>gave</w:t>
      </w:r>
      <w:r>
        <w:rPr>
          <w:spacing w:val="-20"/>
        </w:rPr>
        <w:t> </w:t>
      </w:r>
      <w:r>
        <w:rPr/>
        <w:t>students an idea of Library offerings beyond their </w:t>
      </w:r>
      <w:r>
        <w:rPr>
          <w:spacing w:val="2"/>
        </w:rPr>
        <w:t>campus.</w:t>
      </w:r>
    </w:p>
    <w:p>
      <w:pPr>
        <w:pStyle w:val="BodyText"/>
        <w:rPr>
          <w:sz w:val="14"/>
        </w:rPr>
      </w:pPr>
    </w:p>
    <w:p>
      <w:pPr>
        <w:pStyle w:val="BodyText"/>
        <w:spacing w:line="249" w:lineRule="auto"/>
        <w:ind w:left="107" w:right="77"/>
      </w:pPr>
      <w:r>
        <w:rPr/>
        <w:t>Library</w:t>
      </w:r>
      <w:r>
        <w:rPr>
          <w:spacing w:val="-15"/>
        </w:rPr>
        <w:t> </w:t>
      </w:r>
      <w:r>
        <w:rPr/>
        <w:t>staff</w:t>
      </w:r>
      <w:r>
        <w:rPr>
          <w:spacing w:val="-15"/>
        </w:rPr>
        <w:t> </w:t>
      </w:r>
      <w:r>
        <w:rPr/>
        <w:t>received</w:t>
      </w:r>
      <w:r>
        <w:rPr>
          <w:spacing w:val="-15"/>
        </w:rPr>
        <w:t> </w:t>
      </w:r>
      <w:r>
        <w:rPr/>
        <w:t>an</w:t>
      </w:r>
      <w:r>
        <w:rPr>
          <w:spacing w:val="-15"/>
        </w:rPr>
        <w:t> </w:t>
      </w:r>
      <w:r>
        <w:rPr/>
        <w:t>honourable</w:t>
      </w:r>
      <w:r>
        <w:rPr>
          <w:spacing w:val="-15"/>
        </w:rPr>
        <w:t> </w:t>
      </w:r>
      <w:r>
        <w:rPr/>
        <w:t>mention </w:t>
      </w:r>
      <w:r>
        <w:rPr>
          <w:w w:val="95"/>
        </w:rPr>
        <w:t>in </w:t>
      </w:r>
      <w:r>
        <w:rPr>
          <w:w w:val="97"/>
        </w:rPr>
        <w:t>the </w:t>
      </w:r>
      <w:r>
        <w:rPr>
          <w:spacing w:val="1"/>
          <w:w w:val="88"/>
        </w:rPr>
        <w:t>2015</w:t>
      </w:r>
      <w:r>
        <w:rPr>
          <w:w w:val="88"/>
        </w:rPr>
        <w:t> </w:t>
      </w:r>
      <w:r>
        <w:rPr>
          <w:spacing w:val="-1"/>
          <w:w w:val="96"/>
        </w:rPr>
        <w:t>Turnitin</w:t>
      </w:r>
      <w:r>
        <w:rPr>
          <w:w w:val="96"/>
        </w:rPr>
        <w:t> </w:t>
      </w:r>
      <w:r>
        <w:rPr>
          <w:spacing w:val="1"/>
          <w:w w:val="98"/>
        </w:rPr>
        <w:t>Global</w:t>
      </w:r>
      <w:r>
        <w:rPr>
          <w:w w:val="98"/>
        </w:rPr>
        <w:t> </w:t>
      </w:r>
      <w:r>
        <w:rPr>
          <w:w w:val="94"/>
        </w:rPr>
        <w:t>Innovation</w:t>
      </w:r>
      <w:r>
        <w:rPr>
          <w:spacing w:val="-27"/>
          <w:w w:val="94"/>
        </w:rPr>
        <w:t> </w:t>
      </w:r>
      <w:r>
        <w:rPr>
          <w:spacing w:val="-1"/>
          <w:w w:val="100"/>
        </w:rPr>
        <w:t>Awards</w:t>
      </w:r>
      <w:r>
        <w:rPr>
          <w:w w:val="100"/>
        </w:rPr>
        <w:t> </w:t>
      </w:r>
      <w:r>
        <w:rPr/>
        <w:t>for demonstrating excellence in promoting academic integrity. The award recognises the innovative approach we take to student support,</w:t>
      </w:r>
      <w:r>
        <w:rPr>
          <w:spacing w:val="-14"/>
        </w:rPr>
        <w:t> </w:t>
      </w:r>
      <w:r>
        <w:rPr/>
        <w:t>focusing</w:t>
      </w:r>
      <w:r>
        <w:rPr>
          <w:spacing w:val="-14"/>
        </w:rPr>
        <w:t> </w:t>
      </w:r>
      <w:r>
        <w:rPr/>
        <w:t>on</w:t>
      </w:r>
      <w:r>
        <w:rPr>
          <w:spacing w:val="-14"/>
        </w:rPr>
        <w:t> </w:t>
      </w:r>
      <w:r>
        <w:rPr/>
        <w:t>the</w:t>
      </w:r>
      <w:r>
        <w:rPr>
          <w:spacing w:val="-14"/>
        </w:rPr>
        <w:t> </w:t>
      </w:r>
      <w:r>
        <w:rPr/>
        <w:t>online</w:t>
      </w:r>
      <w:r>
        <w:rPr>
          <w:spacing w:val="-14"/>
        </w:rPr>
        <w:t> </w:t>
      </w:r>
      <w:r>
        <w:rPr/>
        <w:t>support</w:t>
      </w:r>
    </w:p>
    <w:p>
      <w:pPr>
        <w:pStyle w:val="BodyText"/>
        <w:spacing w:line="249" w:lineRule="auto"/>
        <w:ind w:left="107" w:right="2"/>
      </w:pPr>
      <w:r>
        <w:rPr/>
        <w:t>materials</w:t>
      </w:r>
      <w:r>
        <w:rPr>
          <w:spacing w:val="-20"/>
        </w:rPr>
        <w:t> </w:t>
      </w:r>
      <w:r>
        <w:rPr/>
        <w:t>and</w:t>
      </w:r>
      <w:r>
        <w:rPr>
          <w:spacing w:val="-20"/>
        </w:rPr>
        <w:t> </w:t>
      </w:r>
      <w:r>
        <w:rPr/>
        <w:t>digital</w:t>
      </w:r>
      <w:r>
        <w:rPr>
          <w:spacing w:val="-20"/>
        </w:rPr>
        <w:t> </w:t>
      </w:r>
      <w:r>
        <w:rPr/>
        <w:t>infrastructure</w:t>
      </w:r>
      <w:r>
        <w:rPr>
          <w:spacing w:val="-20"/>
        </w:rPr>
        <w:t> </w:t>
      </w:r>
      <w:r>
        <w:rPr/>
        <w:t>that</w:t>
      </w:r>
      <w:r>
        <w:rPr>
          <w:spacing w:val="-20"/>
        </w:rPr>
        <w:t> </w:t>
      </w:r>
      <w:r>
        <w:rPr/>
        <w:t>ensure ubiquitous help and information for students. The University further acknowledged the Library’s</w:t>
      </w:r>
      <w:r>
        <w:rPr>
          <w:spacing w:val="-11"/>
        </w:rPr>
        <w:t> </w:t>
      </w:r>
      <w:r>
        <w:rPr/>
        <w:t>commitment</w:t>
      </w:r>
      <w:r>
        <w:rPr>
          <w:spacing w:val="-11"/>
        </w:rPr>
        <w:t> </w:t>
      </w:r>
      <w:r>
        <w:rPr/>
        <w:t>to</w:t>
      </w:r>
      <w:r>
        <w:rPr>
          <w:spacing w:val="-11"/>
        </w:rPr>
        <w:t> </w:t>
      </w:r>
      <w:r>
        <w:rPr/>
        <w:t>student</w:t>
      </w:r>
      <w:r>
        <w:rPr>
          <w:spacing w:val="-11"/>
        </w:rPr>
        <w:t> </w:t>
      </w:r>
      <w:r>
        <w:rPr/>
        <w:t>support</w:t>
      </w:r>
      <w:r>
        <w:rPr>
          <w:spacing w:val="-11"/>
        </w:rPr>
        <w:t> </w:t>
      </w:r>
      <w:r>
        <w:rPr/>
        <w:t>with a Western Sydney Citation for Outstanding Commitment to Student Learning for our outreach</w:t>
      </w:r>
      <w:r>
        <w:rPr>
          <w:spacing w:val="-17"/>
        </w:rPr>
        <w:t> </w:t>
      </w:r>
      <w:r>
        <w:rPr/>
        <w:t>program</w:t>
      </w:r>
      <w:r>
        <w:rPr>
          <w:spacing w:val="-17"/>
        </w:rPr>
        <w:t> </w:t>
      </w:r>
      <w:r>
        <w:rPr/>
        <w:t>for</w:t>
      </w:r>
      <w:r>
        <w:rPr>
          <w:spacing w:val="-17"/>
        </w:rPr>
        <w:t> </w:t>
      </w:r>
      <w:r>
        <w:rPr/>
        <w:t>struggling</w:t>
      </w:r>
      <w:r>
        <w:rPr>
          <w:spacing w:val="-17"/>
        </w:rPr>
        <w:t> </w:t>
      </w:r>
      <w:r>
        <w:rPr/>
        <w:t>students.</w:t>
      </w:r>
    </w:p>
    <w:p>
      <w:pPr>
        <w:pStyle w:val="BodyText"/>
        <w:spacing w:before="7"/>
        <w:rPr>
          <w:sz w:val="21"/>
        </w:rPr>
      </w:pPr>
    </w:p>
    <w:p>
      <w:pPr>
        <w:pStyle w:val="Heading8"/>
      </w:pPr>
      <w:r>
        <w:rPr>
          <w:w w:val="95"/>
        </w:rPr>
        <w:t>PEOPLE AND CULTURE</w:t>
      </w:r>
    </w:p>
    <w:p>
      <w:pPr>
        <w:pStyle w:val="BodyText"/>
        <w:spacing w:line="249" w:lineRule="auto" w:before="86"/>
        <w:ind w:left="107"/>
      </w:pPr>
      <w:r>
        <w:rPr/>
        <w:t>Demonstrating</w:t>
      </w:r>
      <w:r>
        <w:rPr>
          <w:spacing w:val="-16"/>
        </w:rPr>
        <w:t> </w:t>
      </w:r>
      <w:r>
        <w:rPr/>
        <w:t>our</w:t>
      </w:r>
      <w:r>
        <w:rPr>
          <w:spacing w:val="-16"/>
        </w:rPr>
        <w:t> </w:t>
      </w:r>
      <w:r>
        <w:rPr/>
        <w:t>commitment</w:t>
      </w:r>
      <w:r>
        <w:rPr>
          <w:spacing w:val="-16"/>
        </w:rPr>
        <w:t> </w:t>
      </w:r>
      <w:r>
        <w:rPr/>
        <w:t>to</w:t>
      </w:r>
      <w:r>
        <w:rPr>
          <w:spacing w:val="-16"/>
        </w:rPr>
        <w:t> </w:t>
      </w:r>
      <w:r>
        <w:rPr/>
        <w:t>developing a</w:t>
      </w:r>
      <w:r>
        <w:rPr>
          <w:spacing w:val="-24"/>
        </w:rPr>
        <w:t> </w:t>
      </w:r>
      <w:r>
        <w:rPr/>
        <w:t>dynamic,</w:t>
      </w:r>
      <w:r>
        <w:rPr>
          <w:spacing w:val="-24"/>
        </w:rPr>
        <w:t> </w:t>
      </w:r>
      <w:r>
        <w:rPr/>
        <w:t>skilled</w:t>
      </w:r>
      <w:r>
        <w:rPr>
          <w:spacing w:val="-24"/>
        </w:rPr>
        <w:t> </w:t>
      </w:r>
      <w:r>
        <w:rPr/>
        <w:t>and</w:t>
      </w:r>
      <w:r>
        <w:rPr>
          <w:spacing w:val="-24"/>
        </w:rPr>
        <w:t> </w:t>
      </w:r>
      <w:r>
        <w:rPr/>
        <w:t>innovative</w:t>
      </w:r>
      <w:r>
        <w:rPr>
          <w:spacing w:val="-24"/>
        </w:rPr>
        <w:t> </w:t>
      </w:r>
      <w:r>
        <w:rPr/>
        <w:t>culture,</w:t>
      </w:r>
    </w:p>
    <w:p>
      <w:pPr>
        <w:pStyle w:val="BodyText"/>
        <w:spacing w:line="249" w:lineRule="auto"/>
        <w:ind w:left="107" w:right="20"/>
      </w:pPr>
      <w:r>
        <w:rPr/>
        <w:t>80 per cent of Library staff participated in a developmental event or training activity in 2015.</w:t>
      </w:r>
      <w:r>
        <w:rPr>
          <w:spacing w:val="-23"/>
        </w:rPr>
        <w:t> </w:t>
      </w:r>
      <w:r>
        <w:rPr/>
        <w:t>In</w:t>
      </w:r>
      <w:r>
        <w:rPr>
          <w:spacing w:val="-23"/>
        </w:rPr>
        <w:t> </w:t>
      </w:r>
      <w:r>
        <w:rPr/>
        <w:t>addition</w:t>
      </w:r>
      <w:r>
        <w:rPr>
          <w:spacing w:val="-23"/>
        </w:rPr>
        <w:t> </w:t>
      </w:r>
      <w:r>
        <w:rPr/>
        <w:t>to</w:t>
      </w:r>
      <w:r>
        <w:rPr>
          <w:spacing w:val="-23"/>
        </w:rPr>
        <w:t> </w:t>
      </w:r>
      <w:r>
        <w:rPr/>
        <w:t>multiskilling</w:t>
      </w:r>
      <w:r>
        <w:rPr>
          <w:spacing w:val="-23"/>
        </w:rPr>
        <w:t> </w:t>
      </w:r>
      <w:r>
        <w:rPr/>
        <w:t>opportunities across</w:t>
      </w:r>
      <w:r>
        <w:rPr>
          <w:spacing w:val="-17"/>
        </w:rPr>
        <w:t> </w:t>
      </w:r>
      <w:r>
        <w:rPr/>
        <w:t>and</w:t>
      </w:r>
      <w:r>
        <w:rPr>
          <w:spacing w:val="-17"/>
        </w:rPr>
        <w:t> </w:t>
      </w:r>
      <w:r>
        <w:rPr/>
        <w:t>within</w:t>
      </w:r>
      <w:r>
        <w:rPr>
          <w:spacing w:val="-17"/>
        </w:rPr>
        <w:t> </w:t>
      </w:r>
      <w:r>
        <w:rPr/>
        <w:t>areas,</w:t>
      </w:r>
      <w:r>
        <w:rPr>
          <w:spacing w:val="-17"/>
        </w:rPr>
        <w:t> </w:t>
      </w:r>
      <w:r>
        <w:rPr/>
        <w:t>Library</w:t>
      </w:r>
      <w:r>
        <w:rPr>
          <w:spacing w:val="-17"/>
        </w:rPr>
        <w:t> </w:t>
      </w:r>
      <w:r>
        <w:rPr/>
        <w:t>staff</w:t>
      </w:r>
      <w:r>
        <w:rPr>
          <w:spacing w:val="-17"/>
        </w:rPr>
        <w:t> </w:t>
      </w:r>
      <w:r>
        <w:rPr/>
        <w:t>explored new technologies and approaches to existing </w:t>
      </w:r>
      <w:r>
        <w:rPr>
          <w:spacing w:val="2"/>
        </w:rPr>
        <w:t>tasks, </w:t>
      </w:r>
      <w:r>
        <w:rPr/>
        <w:t>contributed to Design for Learning showcases and the Professional Staff Forum, and</w:t>
      </w:r>
      <w:r>
        <w:rPr>
          <w:spacing w:val="-14"/>
        </w:rPr>
        <w:t> </w:t>
      </w:r>
      <w:r>
        <w:rPr/>
        <w:t>completed</w:t>
      </w:r>
      <w:r>
        <w:rPr>
          <w:spacing w:val="-14"/>
        </w:rPr>
        <w:t> </w:t>
      </w:r>
      <w:r>
        <w:rPr/>
        <w:t>qualifications</w:t>
      </w:r>
      <w:r>
        <w:rPr>
          <w:spacing w:val="-14"/>
        </w:rPr>
        <w:t> </w:t>
      </w:r>
      <w:r>
        <w:rPr/>
        <w:t>in</w:t>
      </w:r>
      <w:r>
        <w:rPr>
          <w:spacing w:val="-14"/>
        </w:rPr>
        <w:t> </w:t>
      </w:r>
      <w:r>
        <w:rPr/>
        <w:t>a</w:t>
      </w:r>
      <w:r>
        <w:rPr>
          <w:spacing w:val="-14"/>
        </w:rPr>
        <w:t> </w:t>
      </w:r>
      <w:r>
        <w:rPr/>
        <w:t>variety</w:t>
      </w:r>
    </w:p>
    <w:p>
      <w:pPr>
        <w:pStyle w:val="BodyText"/>
        <w:spacing w:line="249" w:lineRule="auto"/>
        <w:ind w:left="107" w:right="9"/>
      </w:pPr>
      <w:r>
        <w:rPr/>
        <w:t>of areas. Six staff members undertook international online courses in professional library services, enhancing both their skills and their understanding of different methods of providing online education. The range of</w:t>
      </w:r>
    </w:p>
    <w:p>
      <w:pPr>
        <w:pStyle w:val="BodyText"/>
        <w:spacing w:before="10"/>
      </w:pPr>
      <w:r>
        <w:rPr/>
        <w:br w:type="column"/>
      </w:r>
      <w:r>
        <w:rPr/>
      </w:r>
    </w:p>
    <w:p>
      <w:pPr>
        <w:pStyle w:val="BodyText"/>
        <w:spacing w:line="249" w:lineRule="auto"/>
        <w:ind w:left="107" w:right="112"/>
      </w:pPr>
      <w:r>
        <w:rPr/>
        <w:t>activities</w:t>
      </w:r>
      <w:r>
        <w:rPr>
          <w:spacing w:val="-14"/>
        </w:rPr>
        <w:t> </w:t>
      </w:r>
      <w:r>
        <w:rPr/>
        <w:t>highlights</w:t>
      </w:r>
      <w:r>
        <w:rPr>
          <w:spacing w:val="-14"/>
        </w:rPr>
        <w:t> </w:t>
      </w:r>
      <w:r>
        <w:rPr/>
        <w:t>the</w:t>
      </w:r>
      <w:r>
        <w:rPr>
          <w:spacing w:val="-14"/>
        </w:rPr>
        <w:t> </w:t>
      </w:r>
      <w:r>
        <w:rPr/>
        <w:t>breadth</w:t>
      </w:r>
      <w:r>
        <w:rPr>
          <w:spacing w:val="-14"/>
        </w:rPr>
        <w:t> </w:t>
      </w:r>
      <w:r>
        <w:rPr/>
        <w:t>of</w:t>
      </w:r>
      <w:r>
        <w:rPr>
          <w:spacing w:val="-14"/>
        </w:rPr>
        <w:t> </w:t>
      </w:r>
      <w:r>
        <w:rPr/>
        <w:t>knowledge and skills found within the Library and the willingness</w:t>
      </w:r>
      <w:r>
        <w:rPr>
          <w:spacing w:val="-16"/>
        </w:rPr>
        <w:t> </w:t>
      </w:r>
      <w:r>
        <w:rPr/>
        <w:t>of</w:t>
      </w:r>
      <w:r>
        <w:rPr>
          <w:spacing w:val="-16"/>
        </w:rPr>
        <w:t> </w:t>
      </w:r>
      <w:r>
        <w:rPr/>
        <w:t>our</w:t>
      </w:r>
      <w:r>
        <w:rPr>
          <w:spacing w:val="-16"/>
        </w:rPr>
        <w:t> </w:t>
      </w:r>
      <w:r>
        <w:rPr/>
        <w:t>staff</w:t>
      </w:r>
      <w:r>
        <w:rPr>
          <w:spacing w:val="-16"/>
        </w:rPr>
        <w:t> </w:t>
      </w:r>
      <w:r>
        <w:rPr/>
        <w:t>to</w:t>
      </w:r>
      <w:r>
        <w:rPr>
          <w:spacing w:val="-16"/>
        </w:rPr>
        <w:t> </w:t>
      </w:r>
      <w:r>
        <w:rPr/>
        <w:t>develop</w:t>
      </w:r>
      <w:r>
        <w:rPr>
          <w:spacing w:val="-16"/>
        </w:rPr>
        <w:t> </w:t>
      </w:r>
      <w:r>
        <w:rPr/>
        <w:t>new</w:t>
      </w:r>
      <w:r>
        <w:rPr>
          <w:spacing w:val="-16"/>
        </w:rPr>
        <w:t> </w:t>
      </w:r>
      <w:r>
        <w:rPr/>
        <w:t>skills</w:t>
      </w:r>
      <w:r>
        <w:rPr>
          <w:spacing w:val="-16"/>
        </w:rPr>
        <w:t> </w:t>
      </w:r>
      <w:r>
        <w:rPr/>
        <w:t>to support</w:t>
      </w:r>
      <w:r>
        <w:rPr>
          <w:spacing w:val="-17"/>
        </w:rPr>
        <w:t> </w:t>
      </w:r>
      <w:r>
        <w:rPr/>
        <w:t>the</w:t>
      </w:r>
      <w:r>
        <w:rPr>
          <w:spacing w:val="-17"/>
        </w:rPr>
        <w:t> </w:t>
      </w:r>
      <w:r>
        <w:rPr/>
        <w:t>University’s</w:t>
      </w:r>
      <w:r>
        <w:rPr>
          <w:spacing w:val="-17"/>
        </w:rPr>
        <w:t> </w:t>
      </w:r>
      <w:r>
        <w:rPr/>
        <w:t>strategic</w:t>
      </w:r>
      <w:r>
        <w:rPr>
          <w:spacing w:val="-17"/>
        </w:rPr>
        <w:t> </w:t>
      </w:r>
      <w:r>
        <w:rPr/>
        <w:t>agenda.</w:t>
      </w:r>
    </w:p>
    <w:p>
      <w:pPr>
        <w:pStyle w:val="BodyText"/>
        <w:rPr>
          <w:sz w:val="14"/>
        </w:rPr>
      </w:pPr>
    </w:p>
    <w:p>
      <w:pPr>
        <w:pStyle w:val="BodyText"/>
        <w:spacing w:line="249" w:lineRule="auto"/>
        <w:ind w:left="107" w:right="274"/>
      </w:pPr>
      <w:r>
        <w:rPr/>
        <w:t>The Library’s People and Culture Team </w:t>
      </w:r>
      <w:r>
        <w:rPr>
          <w:spacing w:val="3"/>
        </w:rPr>
        <w:t>(PaCT)</w:t>
      </w:r>
      <w:r>
        <w:rPr>
          <w:spacing w:val="-14"/>
        </w:rPr>
        <w:t> </w:t>
      </w:r>
      <w:r>
        <w:rPr/>
        <w:t>promoted</w:t>
      </w:r>
      <w:r>
        <w:rPr>
          <w:spacing w:val="-14"/>
        </w:rPr>
        <w:t> </w:t>
      </w:r>
      <w:r>
        <w:rPr/>
        <w:t>a</w:t>
      </w:r>
      <w:r>
        <w:rPr>
          <w:spacing w:val="-14"/>
        </w:rPr>
        <w:t> </w:t>
      </w:r>
      <w:r>
        <w:rPr/>
        <w:t>positive</w:t>
      </w:r>
      <w:r>
        <w:rPr>
          <w:spacing w:val="-14"/>
        </w:rPr>
        <w:t> </w:t>
      </w:r>
      <w:r>
        <w:rPr/>
        <w:t>and</w:t>
      </w:r>
      <w:r>
        <w:rPr>
          <w:spacing w:val="-14"/>
        </w:rPr>
        <w:t> </w:t>
      </w:r>
      <w:r>
        <w:rPr/>
        <w:t>productive culture within the Library by focusing on the development of key leadership and team</w:t>
      </w:r>
      <w:r>
        <w:rPr>
          <w:spacing w:val="-15"/>
        </w:rPr>
        <w:t> </w:t>
      </w:r>
      <w:r>
        <w:rPr/>
        <w:t>attributes.</w:t>
      </w:r>
      <w:r>
        <w:rPr>
          <w:spacing w:val="-15"/>
        </w:rPr>
        <w:t> </w:t>
      </w:r>
      <w:r>
        <w:rPr/>
        <w:t>All</w:t>
      </w:r>
      <w:r>
        <w:rPr>
          <w:spacing w:val="-15"/>
        </w:rPr>
        <w:t> </w:t>
      </w:r>
      <w:r>
        <w:rPr/>
        <w:t>staff</w:t>
      </w:r>
      <w:r>
        <w:rPr>
          <w:spacing w:val="-15"/>
        </w:rPr>
        <w:t> </w:t>
      </w:r>
      <w:r>
        <w:rPr/>
        <w:t>members</w:t>
      </w:r>
      <w:r>
        <w:rPr>
          <w:spacing w:val="-15"/>
        </w:rPr>
        <w:t> </w:t>
      </w:r>
      <w:r>
        <w:rPr/>
        <w:t>attended workshops that promoted reflection and developed mindfulness skills in staff, supporting</w:t>
      </w:r>
      <w:r>
        <w:rPr>
          <w:spacing w:val="-13"/>
        </w:rPr>
        <w:t> </w:t>
      </w:r>
      <w:r>
        <w:rPr/>
        <w:t>the</w:t>
      </w:r>
      <w:r>
        <w:rPr>
          <w:spacing w:val="-13"/>
        </w:rPr>
        <w:t> </w:t>
      </w:r>
      <w:r>
        <w:rPr/>
        <w:t>values-based</w:t>
      </w:r>
      <w:r>
        <w:rPr>
          <w:spacing w:val="-13"/>
        </w:rPr>
        <w:t> </w:t>
      </w:r>
      <w:r>
        <w:rPr/>
        <w:t>workforce</w:t>
      </w:r>
      <w:r>
        <w:rPr>
          <w:spacing w:val="-13"/>
        </w:rPr>
        <w:t> </w:t>
      </w:r>
      <w:r>
        <w:rPr/>
        <w:t>that</w:t>
      </w:r>
    </w:p>
    <w:p>
      <w:pPr>
        <w:pStyle w:val="BodyText"/>
        <w:spacing w:line="249" w:lineRule="auto"/>
        <w:ind w:left="107" w:right="174"/>
      </w:pPr>
      <w:r>
        <w:rPr/>
        <w:t>the</w:t>
      </w:r>
      <w:r>
        <w:rPr>
          <w:spacing w:val="-16"/>
        </w:rPr>
        <w:t> </w:t>
      </w:r>
      <w:r>
        <w:rPr/>
        <w:t>Library</w:t>
      </w:r>
      <w:r>
        <w:rPr>
          <w:spacing w:val="-16"/>
        </w:rPr>
        <w:t> </w:t>
      </w:r>
      <w:r>
        <w:rPr/>
        <w:t>aspires</w:t>
      </w:r>
      <w:r>
        <w:rPr>
          <w:spacing w:val="-16"/>
        </w:rPr>
        <w:t> </w:t>
      </w:r>
      <w:r>
        <w:rPr/>
        <w:t>to.</w:t>
      </w:r>
      <w:r>
        <w:rPr>
          <w:spacing w:val="-16"/>
        </w:rPr>
        <w:t> </w:t>
      </w:r>
      <w:r>
        <w:rPr>
          <w:spacing w:val="-5"/>
        </w:rPr>
        <w:t>To</w:t>
      </w:r>
      <w:r>
        <w:rPr>
          <w:spacing w:val="-16"/>
        </w:rPr>
        <w:t> </w:t>
      </w:r>
      <w:r>
        <w:rPr/>
        <w:t>further</w:t>
      </w:r>
      <w:r>
        <w:rPr>
          <w:spacing w:val="-16"/>
        </w:rPr>
        <w:t> </w:t>
      </w:r>
      <w:r>
        <w:rPr/>
        <w:t>the</w:t>
      </w:r>
      <w:r>
        <w:rPr>
          <w:spacing w:val="-16"/>
        </w:rPr>
        <w:t> </w:t>
      </w:r>
      <w:r>
        <w:rPr/>
        <w:t>Library’s positive culture, the </w:t>
      </w:r>
      <w:r>
        <w:rPr>
          <w:spacing w:val="2"/>
        </w:rPr>
        <w:t>PaCT </w:t>
      </w:r>
      <w:r>
        <w:rPr/>
        <w:t>team organised our inaugural end-of-year concert with staff members from all campuses attending to </w:t>
      </w:r>
      <w:r>
        <w:rPr>
          <w:w w:val="97"/>
        </w:rPr>
        <w:t>celebrate</w:t>
      </w:r>
      <w:r>
        <w:rPr>
          <w:spacing w:val="-8"/>
          <w:w w:val="97"/>
        </w:rPr>
        <w:t> </w:t>
      </w:r>
      <w:r>
        <w:rPr>
          <w:w w:val="97"/>
        </w:rPr>
        <w:t>the</w:t>
      </w:r>
      <w:r>
        <w:rPr>
          <w:spacing w:val="-8"/>
          <w:w w:val="97"/>
        </w:rPr>
        <w:t> </w:t>
      </w:r>
      <w:r>
        <w:rPr>
          <w:spacing w:val="1"/>
          <w:w w:val="98"/>
        </w:rPr>
        <w:t>Library’s</w:t>
      </w:r>
      <w:r>
        <w:rPr>
          <w:spacing w:val="-8"/>
          <w:w w:val="98"/>
        </w:rPr>
        <w:t> </w:t>
      </w:r>
      <w:r>
        <w:rPr>
          <w:spacing w:val="1"/>
          <w:w w:val="97"/>
        </w:rPr>
        <w:t>success</w:t>
      </w:r>
      <w:r>
        <w:rPr>
          <w:spacing w:val="-7"/>
          <w:w w:val="97"/>
        </w:rPr>
        <w:t> </w:t>
      </w:r>
      <w:r>
        <w:rPr>
          <w:w w:val="95"/>
        </w:rPr>
        <w:t>in</w:t>
      </w:r>
      <w:r>
        <w:rPr>
          <w:spacing w:val="-6"/>
          <w:w w:val="95"/>
        </w:rPr>
        <w:t> </w:t>
      </w:r>
      <w:r>
        <w:rPr>
          <w:spacing w:val="1"/>
          <w:w w:val="84"/>
        </w:rPr>
        <w:t>2015,</w:t>
      </w:r>
      <w:r>
        <w:rPr>
          <w:spacing w:val="-1"/>
          <w:w w:val="84"/>
        </w:rPr>
        <w:t> </w:t>
      </w:r>
      <w:r>
        <w:rPr>
          <w:spacing w:val="1"/>
          <w:w w:val="97"/>
        </w:rPr>
        <w:t>and</w:t>
      </w:r>
      <w:r>
        <w:rPr>
          <w:spacing w:val="-7"/>
          <w:w w:val="97"/>
        </w:rPr>
        <w:t> </w:t>
      </w:r>
      <w:r>
        <w:rPr>
          <w:spacing w:val="-1"/>
          <w:w w:val="101"/>
        </w:rPr>
        <w:t>to</w:t>
      </w:r>
      <w:r>
        <w:rPr>
          <w:w w:val="101"/>
        </w:rPr>
        <w:t> </w:t>
      </w:r>
      <w:r>
        <w:rPr/>
        <w:t>view</w:t>
      </w:r>
      <w:r>
        <w:rPr>
          <w:spacing w:val="-18"/>
        </w:rPr>
        <w:t> </w:t>
      </w:r>
      <w:r>
        <w:rPr/>
        <w:t>a</w:t>
      </w:r>
      <w:r>
        <w:rPr>
          <w:spacing w:val="-18"/>
        </w:rPr>
        <w:t> </w:t>
      </w:r>
      <w:r>
        <w:rPr/>
        <w:t>showcase</w:t>
      </w:r>
      <w:r>
        <w:rPr>
          <w:spacing w:val="-18"/>
        </w:rPr>
        <w:t> </w:t>
      </w:r>
      <w:r>
        <w:rPr/>
        <w:t>of</w:t>
      </w:r>
      <w:r>
        <w:rPr>
          <w:spacing w:val="-18"/>
        </w:rPr>
        <w:t> </w:t>
      </w:r>
      <w:r>
        <w:rPr/>
        <w:t>creativity,</w:t>
      </w:r>
      <w:r>
        <w:rPr>
          <w:spacing w:val="-18"/>
        </w:rPr>
        <w:t> </w:t>
      </w:r>
      <w:r>
        <w:rPr/>
        <w:t>knowledge</w:t>
      </w:r>
      <w:r>
        <w:rPr>
          <w:spacing w:val="-18"/>
        </w:rPr>
        <w:t> </w:t>
      </w:r>
      <w:r>
        <w:rPr/>
        <w:t>and </w:t>
      </w:r>
      <w:r>
        <w:rPr>
          <w:w w:val="95"/>
        </w:rPr>
        <w:t>professional </w:t>
      </w:r>
      <w:r>
        <w:rPr>
          <w:spacing w:val="3"/>
          <w:w w:val="95"/>
        </w:rPr>
        <w:t> </w:t>
      </w:r>
      <w:r>
        <w:rPr>
          <w:w w:val="95"/>
        </w:rPr>
        <w:t>achievements.</w:t>
      </w:r>
    </w:p>
    <w:p>
      <w:pPr>
        <w:pStyle w:val="BodyText"/>
      </w:pPr>
    </w:p>
    <w:p>
      <w:pPr>
        <w:pStyle w:val="Heading5"/>
        <w:spacing w:line="260" w:lineRule="exact" w:before="101"/>
        <w:ind w:right="388"/>
      </w:pPr>
      <w:bookmarkStart w:name="_TOC_250005" w:id="20"/>
      <w:bookmarkEnd w:id="20"/>
      <w:r>
        <w:rPr>
          <w:w w:val="95"/>
        </w:rPr>
        <w:t>OFFICE OF ABORIGINAL AND TORRES STRAIT</w:t>
      </w:r>
    </w:p>
    <w:p>
      <w:pPr>
        <w:pStyle w:val="Heading5"/>
        <w:spacing w:line="260" w:lineRule="exact"/>
        <w:ind w:right="26"/>
      </w:pPr>
      <w:bookmarkStart w:name="_TOC_250004" w:id="21"/>
      <w:r>
        <w:rPr>
          <w:w w:val="95"/>
        </w:rPr>
        <w:t>ISLANDER EMPLOYMENT AND </w:t>
      </w:r>
      <w:bookmarkEnd w:id="21"/>
      <w:r>
        <w:rPr/>
        <w:t>ENGAGEMENT</w:t>
      </w:r>
    </w:p>
    <w:p>
      <w:pPr>
        <w:pStyle w:val="BodyText"/>
        <w:spacing w:line="249" w:lineRule="auto" w:before="215"/>
        <w:ind w:left="107" w:right="148"/>
      </w:pPr>
      <w:r>
        <w:rPr/>
        <w:t>The Office of Aboriginal and Torres Strait Islander Employment and Engagement (OATSIEE) is a representative voice for Aboriginal and Torres Strait Islander employees including trainees, cadets, academics, professional staff and alumni. OATSIEE seeks to maximise employment opportunities for Aboriginal and Torres Strait Islander peoples at the University, and build collaborative networks and commercial partnerships within Western Sydney.</w:t>
      </w:r>
    </w:p>
    <w:p>
      <w:pPr>
        <w:pStyle w:val="BodyText"/>
        <w:rPr>
          <w:sz w:val="14"/>
        </w:rPr>
      </w:pPr>
    </w:p>
    <w:p>
      <w:pPr>
        <w:pStyle w:val="BodyText"/>
        <w:spacing w:line="249" w:lineRule="auto"/>
        <w:ind w:left="107" w:right="140"/>
      </w:pPr>
      <w:r>
        <w:rPr/>
        <w:t>The</w:t>
      </w:r>
      <w:r>
        <w:rPr>
          <w:spacing w:val="-18"/>
        </w:rPr>
        <w:t> </w:t>
      </w:r>
      <w:r>
        <w:rPr/>
        <w:t>Australian</w:t>
      </w:r>
      <w:r>
        <w:rPr>
          <w:spacing w:val="-18"/>
        </w:rPr>
        <w:t> </w:t>
      </w:r>
      <w:r>
        <w:rPr/>
        <w:t>Government’s</w:t>
      </w:r>
      <w:r>
        <w:rPr>
          <w:spacing w:val="-18"/>
        </w:rPr>
        <w:t> </w:t>
      </w:r>
      <w:r>
        <w:rPr/>
        <w:t>national</w:t>
      </w:r>
      <w:r>
        <w:rPr>
          <w:spacing w:val="-18"/>
        </w:rPr>
        <w:t> </w:t>
      </w:r>
      <w:r>
        <w:rPr/>
        <w:t>Review of</w:t>
      </w:r>
      <w:r>
        <w:rPr>
          <w:spacing w:val="-11"/>
        </w:rPr>
        <w:t> </w:t>
      </w:r>
      <w:r>
        <w:rPr/>
        <w:t>Higher</w:t>
      </w:r>
      <w:r>
        <w:rPr>
          <w:spacing w:val="-11"/>
        </w:rPr>
        <w:t> </w:t>
      </w:r>
      <w:r>
        <w:rPr/>
        <w:t>Education</w:t>
      </w:r>
      <w:r>
        <w:rPr>
          <w:spacing w:val="-11"/>
        </w:rPr>
        <w:t> </w:t>
      </w:r>
      <w:r>
        <w:rPr/>
        <w:t>Access</w:t>
      </w:r>
      <w:r>
        <w:rPr>
          <w:spacing w:val="-11"/>
        </w:rPr>
        <w:t> </w:t>
      </w:r>
      <w:r>
        <w:rPr/>
        <w:t>and</w:t>
      </w:r>
      <w:r>
        <w:rPr>
          <w:spacing w:val="-11"/>
        </w:rPr>
        <w:t> </w:t>
      </w:r>
      <w:r>
        <w:rPr/>
        <w:t>Outcomes</w:t>
      </w:r>
      <w:r>
        <w:rPr>
          <w:spacing w:val="-11"/>
        </w:rPr>
        <w:t> </w:t>
      </w:r>
      <w:r>
        <w:rPr/>
        <w:t>for Aboriginal and Torres Strait Islander People </w:t>
      </w:r>
      <w:r>
        <w:rPr>
          <w:spacing w:val="1"/>
          <w:w w:val="88"/>
        </w:rPr>
        <w:t>2012</w:t>
      </w:r>
      <w:r>
        <w:rPr>
          <w:w w:val="88"/>
        </w:rPr>
        <w:t> </w:t>
      </w:r>
      <w:r>
        <w:rPr>
          <w:w w:val="98"/>
        </w:rPr>
        <w:t>highlighted </w:t>
      </w:r>
      <w:r>
        <w:rPr>
          <w:w w:val="98"/>
        </w:rPr>
        <w:t>Western </w:t>
      </w:r>
      <w:r>
        <w:rPr>
          <w:spacing w:val="-1"/>
          <w:w w:val="99"/>
        </w:rPr>
        <w:t>Sydney</w:t>
      </w:r>
      <w:r>
        <w:rPr>
          <w:w w:val="99"/>
        </w:rPr>
        <w:t> </w:t>
      </w:r>
      <w:r>
        <w:rPr>
          <w:spacing w:val="1"/>
          <w:w w:val="97"/>
        </w:rPr>
        <w:t>University</w:t>
      </w:r>
      <w:r>
        <w:rPr>
          <w:w w:val="97"/>
        </w:rPr>
        <w:t> </w:t>
      </w:r>
      <w:r>
        <w:rPr/>
        <w:t>as an exemplar in several areas, for other Universities</w:t>
      </w:r>
      <w:r>
        <w:rPr>
          <w:spacing w:val="-30"/>
        </w:rPr>
        <w:t> </w:t>
      </w:r>
      <w:r>
        <w:rPr/>
        <w:t>to</w:t>
      </w:r>
      <w:r>
        <w:rPr>
          <w:spacing w:val="-30"/>
        </w:rPr>
        <w:t> </w:t>
      </w:r>
      <w:r>
        <w:rPr/>
        <w:t>follow.</w:t>
      </w:r>
      <w:r>
        <w:rPr>
          <w:spacing w:val="-30"/>
        </w:rPr>
        <w:t> </w:t>
      </w:r>
      <w:r>
        <w:rPr/>
        <w:t>These</w:t>
      </w:r>
      <w:r>
        <w:rPr>
          <w:spacing w:val="-30"/>
        </w:rPr>
        <w:t> </w:t>
      </w:r>
      <w:r>
        <w:rPr/>
        <w:t>areas</w:t>
      </w:r>
      <w:r>
        <w:rPr>
          <w:spacing w:val="-30"/>
        </w:rPr>
        <w:t> </w:t>
      </w:r>
      <w:r>
        <w:rPr/>
        <w:t>are:</w:t>
      </w:r>
    </w:p>
    <w:p>
      <w:pPr>
        <w:pStyle w:val="BodyText"/>
        <w:spacing w:before="11"/>
        <w:rPr>
          <w:sz w:val="13"/>
        </w:rPr>
      </w:pPr>
    </w:p>
    <w:p>
      <w:pPr>
        <w:pStyle w:val="BodyText"/>
        <w:spacing w:line="244" w:lineRule="auto"/>
        <w:ind w:left="333" w:right="112" w:hanging="227"/>
      </w:pPr>
      <w:r>
        <w:rPr>
          <w:rFonts w:ascii="Century Gothic" w:hAnsi="Century Gothic"/>
          <w:b/>
          <w:w w:val="115"/>
        </w:rPr>
        <w:t>≥ </w:t>
      </w:r>
      <w:r>
        <w:rPr>
          <w:w w:val="105"/>
        </w:rPr>
        <w:t>building professional pathways and </w:t>
      </w:r>
      <w:r>
        <w:rPr/>
        <w:t>responding to community need (section</w:t>
      </w:r>
    </w:p>
    <w:p>
      <w:pPr>
        <w:pStyle w:val="BodyText"/>
        <w:spacing w:line="249" w:lineRule="auto" w:before="3"/>
        <w:ind w:left="333" w:right="112"/>
      </w:pPr>
      <w:r>
        <w:rPr>
          <w:w w:val="95"/>
        </w:rPr>
        <w:t>11.3.3 – Western Sydney University </w:t>
      </w:r>
      <w:r>
        <w:rPr/>
        <w:t>Indigenous Graduate Attribute)</w:t>
      </w:r>
    </w:p>
    <w:p>
      <w:pPr>
        <w:pStyle w:val="BodyText"/>
        <w:spacing w:line="247" w:lineRule="auto" w:before="55"/>
        <w:ind w:left="333" w:right="112" w:hanging="227"/>
      </w:pPr>
      <w:r>
        <w:rPr>
          <w:rFonts w:ascii="Century Gothic" w:hAnsi="Century Gothic"/>
          <w:b/>
          <w:w w:val="115"/>
        </w:rPr>
        <w:t>≥ </w:t>
      </w:r>
      <w:r>
        <w:rPr/>
        <w:t>research, research training and university workforce (13.6.3 – Western Sydney University Aboriginal and Torres Strait Islander Research Strategy)</w:t>
      </w:r>
    </w:p>
    <w:p>
      <w:pPr>
        <w:spacing w:after="0" w:line="247" w:lineRule="auto"/>
        <w:sectPr>
          <w:type w:val="continuous"/>
          <w:pgSz w:w="11910" w:h="16840"/>
          <w:pgMar w:top="1580" w:bottom="280" w:left="800" w:right="800"/>
          <w:cols w:num="3" w:equalWidth="0">
            <w:col w:w="3314" w:space="126"/>
            <w:col w:w="3320" w:space="119"/>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1"/>
        <w:rPr>
          <w:sz w:val="20"/>
        </w:rPr>
      </w:pPr>
    </w:p>
    <w:p>
      <w:pPr>
        <w:pStyle w:val="BodyText"/>
        <w:spacing w:before="1"/>
        <w:ind w:left="107"/>
      </w:pPr>
      <w:r>
        <w:rPr>
          <w:rFonts w:ascii="Century Gothic" w:hAnsi="Century Gothic"/>
          <w:b/>
          <w:w w:val="115"/>
        </w:rPr>
        <w:t>≥ </w:t>
      </w:r>
      <w:r>
        <w:rPr/>
        <w:t>university culture and governance (14.1.3</w:t>
      </w:r>
    </w:p>
    <w:p>
      <w:pPr>
        <w:pStyle w:val="BodyText"/>
        <w:spacing w:line="249" w:lineRule="auto" w:before="4"/>
        <w:ind w:left="333" w:right="293"/>
      </w:pPr>
      <w:r>
        <w:rPr/>
        <w:t>– Western Sydney University Office of Aboriginal and Torres Strait Islander Employment and Engagement).</w:t>
      </w:r>
    </w:p>
    <w:p>
      <w:pPr>
        <w:pStyle w:val="BodyText"/>
        <w:rPr>
          <w:sz w:val="14"/>
        </w:rPr>
      </w:pPr>
    </w:p>
    <w:p>
      <w:pPr>
        <w:pStyle w:val="BodyText"/>
        <w:spacing w:line="249" w:lineRule="auto"/>
        <w:ind w:left="107" w:right="73"/>
      </w:pPr>
      <w:r>
        <w:rPr/>
        <w:t>This extensive and significant report makes many positive mentions of the University and the practices it is implementing. The recommendations of the report are available</w:t>
      </w:r>
    </w:p>
    <w:p>
      <w:pPr>
        <w:pStyle w:val="BodyText"/>
        <w:spacing w:line="244" w:lineRule="auto"/>
        <w:ind w:left="107"/>
        <w:rPr>
          <w:rFonts w:ascii="Calibri"/>
        </w:rPr>
      </w:pPr>
      <w:r>
        <w:rPr>
          <w:w w:val="110"/>
        </w:rPr>
        <w:t>at </w:t>
      </w:r>
      <w:r>
        <w:rPr>
          <w:rFonts w:ascii="Calibri"/>
          <w:w w:val="110"/>
        </w:rPr>
        <w:t>docs.education.gov.au/system/files/doc/ other/heaccessandoutcomesforaboriginal andtorresstraitislanderfinalreport.pdf</w:t>
      </w:r>
    </w:p>
    <w:p>
      <w:pPr>
        <w:pStyle w:val="BodyText"/>
        <w:spacing w:before="10"/>
        <w:rPr>
          <w:rFonts w:ascii="Calibri"/>
          <w:sz w:val="20"/>
        </w:rPr>
      </w:pPr>
    </w:p>
    <w:p>
      <w:pPr>
        <w:pStyle w:val="Heading8"/>
      </w:pPr>
      <w:r>
        <w:rPr/>
        <w:t>WORKING ON EMPLOYMENT</w:t>
      </w:r>
    </w:p>
    <w:p>
      <w:pPr>
        <w:pStyle w:val="BodyText"/>
        <w:spacing w:line="249" w:lineRule="auto" w:before="86"/>
        <w:ind w:left="107" w:right="89"/>
      </w:pPr>
      <w:r>
        <w:rPr/>
        <w:t>The number of Aboriginal and Torres Strait Islander staff members (full-time equivalent and casual) employed at UWS increased </w:t>
      </w:r>
      <w:r>
        <w:rPr>
          <w:spacing w:val="1"/>
          <w:w w:val="98"/>
        </w:rPr>
        <w:t>from</w:t>
      </w:r>
      <w:r>
        <w:rPr>
          <w:spacing w:val="-11"/>
          <w:w w:val="98"/>
        </w:rPr>
        <w:t> </w:t>
      </w:r>
      <w:r>
        <w:rPr>
          <w:spacing w:val="1"/>
          <w:w w:val="93"/>
        </w:rPr>
        <w:t>57</w:t>
      </w:r>
      <w:r>
        <w:rPr>
          <w:spacing w:val="-9"/>
          <w:w w:val="93"/>
        </w:rPr>
        <w:t> </w:t>
      </w:r>
      <w:r>
        <w:rPr>
          <w:spacing w:val="1"/>
          <w:w w:val="94"/>
        </w:rPr>
        <w:t>as</w:t>
      </w:r>
      <w:r>
        <w:rPr>
          <w:spacing w:val="-9"/>
          <w:w w:val="94"/>
        </w:rPr>
        <w:t> </w:t>
      </w:r>
      <w:r>
        <w:rPr>
          <w:w w:val="98"/>
        </w:rPr>
        <w:t>at</w:t>
      </w:r>
      <w:r>
        <w:rPr>
          <w:spacing w:val="-11"/>
          <w:w w:val="98"/>
        </w:rPr>
        <w:t> </w:t>
      </w:r>
      <w:r>
        <w:rPr>
          <w:spacing w:val="1"/>
          <w:w w:val="74"/>
        </w:rPr>
        <w:t>15 </w:t>
      </w:r>
      <w:r>
        <w:rPr>
          <w:spacing w:val="1"/>
          <w:w w:val="98"/>
        </w:rPr>
        <w:t>December</w:t>
      </w:r>
      <w:r>
        <w:rPr>
          <w:spacing w:val="-11"/>
          <w:w w:val="98"/>
        </w:rPr>
        <w:t> </w:t>
      </w:r>
      <w:r>
        <w:rPr>
          <w:spacing w:val="1"/>
          <w:w w:val="90"/>
        </w:rPr>
        <w:t>2014</w:t>
      </w:r>
      <w:r>
        <w:rPr>
          <w:spacing w:val="-7"/>
          <w:w w:val="90"/>
        </w:rPr>
        <w:t> </w:t>
      </w:r>
      <w:r>
        <w:rPr>
          <w:spacing w:val="-1"/>
          <w:w w:val="101"/>
        </w:rPr>
        <w:t>to</w:t>
      </w:r>
      <w:r>
        <w:rPr>
          <w:spacing w:val="-13"/>
          <w:w w:val="101"/>
        </w:rPr>
        <w:t> </w:t>
      </w:r>
      <w:r>
        <w:rPr>
          <w:spacing w:val="1"/>
          <w:w w:val="101"/>
        </w:rPr>
        <w:t>66</w:t>
      </w:r>
      <w:r>
        <w:rPr>
          <w:spacing w:val="-13"/>
          <w:w w:val="101"/>
        </w:rPr>
        <w:t> </w:t>
      </w:r>
      <w:r>
        <w:rPr>
          <w:spacing w:val="1"/>
          <w:w w:val="94"/>
        </w:rPr>
        <w:t>as</w:t>
      </w:r>
      <w:r>
        <w:rPr>
          <w:spacing w:val="-9"/>
          <w:w w:val="94"/>
        </w:rPr>
        <w:t> </w:t>
      </w:r>
      <w:r>
        <w:rPr>
          <w:w w:val="98"/>
        </w:rPr>
        <w:t>at</w:t>
      </w:r>
      <w:r>
        <w:rPr>
          <w:spacing w:val="-11"/>
          <w:w w:val="98"/>
        </w:rPr>
        <w:t> </w:t>
      </w:r>
      <w:r>
        <w:rPr>
          <w:spacing w:val="1"/>
          <w:w w:val="74"/>
        </w:rPr>
        <w:t>15</w:t>
      </w:r>
      <w:r>
        <w:rPr>
          <w:w w:val="74"/>
        </w:rPr>
        <w:t> </w:t>
      </w:r>
      <w:r>
        <w:rPr>
          <w:spacing w:val="1"/>
          <w:w w:val="98"/>
        </w:rPr>
        <w:t>December</w:t>
      </w:r>
      <w:r>
        <w:rPr>
          <w:w w:val="98"/>
        </w:rPr>
        <w:t> </w:t>
      </w:r>
      <w:r>
        <w:rPr>
          <w:spacing w:val="1"/>
          <w:w w:val="84"/>
        </w:rPr>
        <w:t>2015.</w:t>
      </w:r>
      <w:r>
        <w:rPr>
          <w:w w:val="84"/>
        </w:rPr>
        <w:t> </w:t>
      </w:r>
      <w:r>
        <w:rPr>
          <w:spacing w:val="-3"/>
          <w:w w:val="94"/>
        </w:rPr>
        <w:t>Ten</w:t>
      </w:r>
      <w:r>
        <w:rPr>
          <w:w w:val="94"/>
        </w:rPr>
        <w:t> </w:t>
      </w:r>
      <w:r>
        <w:rPr>
          <w:spacing w:val="1"/>
          <w:w w:val="97"/>
        </w:rPr>
        <w:t>per</w:t>
      </w:r>
      <w:r>
        <w:rPr>
          <w:w w:val="97"/>
        </w:rPr>
        <w:t> </w:t>
      </w:r>
      <w:r>
        <w:rPr>
          <w:w w:val="99"/>
        </w:rPr>
        <w:t>cent </w:t>
      </w:r>
      <w:r>
        <w:rPr>
          <w:w w:val="99"/>
        </w:rPr>
        <w:t>of </w:t>
      </w:r>
      <w:r>
        <w:rPr>
          <w:spacing w:val="1"/>
          <w:w w:val="97"/>
        </w:rPr>
        <w:t>those</w:t>
      </w:r>
      <w:r>
        <w:rPr>
          <w:w w:val="97"/>
        </w:rPr>
        <w:t> </w:t>
      </w:r>
      <w:r>
        <w:rPr>
          <w:spacing w:val="1"/>
          <w:w w:val="97"/>
        </w:rPr>
        <w:t>staff</w:t>
      </w:r>
      <w:r>
        <w:rPr>
          <w:w w:val="97"/>
        </w:rPr>
        <w:t> </w:t>
      </w:r>
      <w:r>
        <w:rPr/>
        <w:t>occupy</w:t>
      </w:r>
      <w:r>
        <w:rPr>
          <w:spacing w:val="-17"/>
        </w:rPr>
        <w:t> </w:t>
      </w:r>
      <w:r>
        <w:rPr/>
        <w:t>management</w:t>
      </w:r>
      <w:r>
        <w:rPr>
          <w:spacing w:val="-17"/>
        </w:rPr>
        <w:t> </w:t>
      </w:r>
      <w:r>
        <w:rPr/>
        <w:t>and</w:t>
      </w:r>
      <w:r>
        <w:rPr>
          <w:spacing w:val="-17"/>
        </w:rPr>
        <w:t> </w:t>
      </w:r>
      <w:r>
        <w:rPr/>
        <w:t>senior</w:t>
      </w:r>
      <w:r>
        <w:rPr>
          <w:spacing w:val="-17"/>
        </w:rPr>
        <w:t> </w:t>
      </w:r>
      <w:r>
        <w:rPr/>
        <w:t>executive</w:t>
      </w:r>
    </w:p>
    <w:p>
      <w:pPr>
        <w:pStyle w:val="BodyText"/>
        <w:spacing w:line="249" w:lineRule="auto"/>
        <w:ind w:left="107" w:right="-1"/>
      </w:pPr>
      <w:r>
        <w:rPr/>
        <w:t>roles.</w:t>
      </w:r>
      <w:r>
        <w:rPr>
          <w:spacing w:val="-20"/>
        </w:rPr>
        <w:t> </w:t>
      </w:r>
      <w:r>
        <w:rPr/>
        <w:t>Thirty-three</w:t>
      </w:r>
      <w:r>
        <w:rPr>
          <w:spacing w:val="-20"/>
        </w:rPr>
        <w:t> </w:t>
      </w:r>
      <w:r>
        <w:rPr/>
        <w:t>per</w:t>
      </w:r>
      <w:r>
        <w:rPr>
          <w:spacing w:val="-20"/>
        </w:rPr>
        <w:t> </w:t>
      </w:r>
      <w:r>
        <w:rPr/>
        <w:t>cent</w:t>
      </w:r>
      <w:r>
        <w:rPr>
          <w:spacing w:val="-20"/>
        </w:rPr>
        <w:t> </w:t>
      </w:r>
      <w:r>
        <w:rPr/>
        <w:t>are</w:t>
      </w:r>
      <w:r>
        <w:rPr>
          <w:spacing w:val="-20"/>
        </w:rPr>
        <w:t> </w:t>
      </w:r>
      <w:r>
        <w:rPr/>
        <w:t>on</w:t>
      </w:r>
      <w:r>
        <w:rPr>
          <w:spacing w:val="-20"/>
        </w:rPr>
        <w:t> </w:t>
      </w:r>
      <w:r>
        <w:rPr/>
        <w:t>limited-term employment</w:t>
      </w:r>
      <w:r>
        <w:rPr>
          <w:spacing w:val="-18"/>
        </w:rPr>
        <w:t> </w:t>
      </w:r>
      <w:r>
        <w:rPr/>
        <w:t>contracts</w:t>
      </w:r>
      <w:r>
        <w:rPr>
          <w:spacing w:val="-18"/>
        </w:rPr>
        <w:t> </w:t>
      </w:r>
      <w:r>
        <w:rPr/>
        <w:t>and</w:t>
      </w:r>
      <w:r>
        <w:rPr>
          <w:spacing w:val="-18"/>
        </w:rPr>
        <w:t> </w:t>
      </w:r>
      <w:r>
        <w:rPr/>
        <w:t>17</w:t>
      </w:r>
      <w:r>
        <w:rPr>
          <w:spacing w:val="-18"/>
        </w:rPr>
        <w:t> </w:t>
      </w:r>
      <w:r>
        <w:rPr/>
        <w:t>per</w:t>
      </w:r>
      <w:r>
        <w:rPr>
          <w:spacing w:val="-18"/>
        </w:rPr>
        <w:t> </w:t>
      </w:r>
      <w:r>
        <w:rPr/>
        <w:t>cent</w:t>
      </w:r>
      <w:r>
        <w:rPr>
          <w:spacing w:val="-18"/>
        </w:rPr>
        <w:t> </w:t>
      </w:r>
      <w:r>
        <w:rPr/>
        <w:t>are</w:t>
      </w:r>
      <w:r>
        <w:rPr>
          <w:spacing w:val="-18"/>
        </w:rPr>
        <w:t> </w:t>
      </w:r>
      <w:r>
        <w:rPr/>
        <w:t>on casual employment contracts. Twenty-three per</w:t>
      </w:r>
      <w:r>
        <w:rPr>
          <w:spacing w:val="-22"/>
        </w:rPr>
        <w:t> </w:t>
      </w:r>
      <w:r>
        <w:rPr/>
        <w:t>cent</w:t>
      </w:r>
      <w:r>
        <w:rPr>
          <w:spacing w:val="-22"/>
        </w:rPr>
        <w:t> </w:t>
      </w:r>
      <w:r>
        <w:rPr/>
        <w:t>are</w:t>
      </w:r>
      <w:r>
        <w:rPr>
          <w:spacing w:val="-22"/>
        </w:rPr>
        <w:t> </w:t>
      </w:r>
      <w:r>
        <w:rPr/>
        <w:t>employed</w:t>
      </w:r>
      <w:r>
        <w:rPr>
          <w:spacing w:val="-22"/>
        </w:rPr>
        <w:t> </w:t>
      </w:r>
      <w:r>
        <w:rPr/>
        <w:t>as</w:t>
      </w:r>
      <w:r>
        <w:rPr>
          <w:spacing w:val="-22"/>
        </w:rPr>
        <w:t> </w:t>
      </w:r>
      <w:r>
        <w:rPr>
          <w:spacing w:val="2"/>
        </w:rPr>
        <w:t>academics.</w:t>
      </w:r>
      <w:r>
        <w:rPr>
          <w:spacing w:val="-22"/>
        </w:rPr>
        <w:t> </w:t>
      </w:r>
      <w:r>
        <w:rPr/>
        <w:t>OATSIEE has started a campaign to target higher degree research students for early-career academic</w:t>
      </w:r>
      <w:r>
        <w:rPr>
          <w:spacing w:val="-29"/>
        </w:rPr>
        <w:t> </w:t>
      </w:r>
      <w:r>
        <w:rPr/>
        <w:t>pathways.</w:t>
      </w:r>
      <w:r>
        <w:rPr>
          <w:spacing w:val="-29"/>
        </w:rPr>
        <w:t> </w:t>
      </w:r>
      <w:r>
        <w:rPr/>
        <w:t>Currently</w:t>
      </w:r>
      <w:r>
        <w:rPr>
          <w:spacing w:val="-29"/>
        </w:rPr>
        <w:t> </w:t>
      </w:r>
      <w:r>
        <w:rPr/>
        <w:t>there</w:t>
      </w:r>
      <w:r>
        <w:rPr>
          <w:spacing w:val="-29"/>
        </w:rPr>
        <w:t> </w:t>
      </w:r>
      <w:r>
        <w:rPr/>
        <w:t>are</w:t>
      </w:r>
      <w:r>
        <w:rPr>
          <w:spacing w:val="-29"/>
        </w:rPr>
        <w:t> </w:t>
      </w:r>
      <w:r>
        <w:rPr>
          <w:w w:val="95"/>
        </w:rPr>
        <w:t>11</w:t>
      </w:r>
      <w:r>
        <w:rPr>
          <w:spacing w:val="-26"/>
          <w:w w:val="95"/>
        </w:rPr>
        <w:t> </w:t>
      </w:r>
      <w:r>
        <w:rPr/>
        <w:t>PhD students,</w:t>
      </w:r>
      <w:r>
        <w:rPr>
          <w:spacing w:val="-29"/>
        </w:rPr>
        <w:t> </w:t>
      </w:r>
      <w:r>
        <w:rPr>
          <w:spacing w:val="2"/>
        </w:rPr>
        <w:t>31</w:t>
      </w:r>
      <w:r>
        <w:rPr>
          <w:spacing w:val="-29"/>
        </w:rPr>
        <w:t> </w:t>
      </w:r>
      <w:r>
        <w:rPr/>
        <w:t>masters</w:t>
      </w:r>
      <w:r>
        <w:rPr>
          <w:spacing w:val="-29"/>
        </w:rPr>
        <w:t> </w:t>
      </w:r>
      <w:r>
        <w:rPr/>
        <w:t>students</w:t>
      </w:r>
      <w:r>
        <w:rPr>
          <w:spacing w:val="-29"/>
        </w:rPr>
        <w:t> </w:t>
      </w:r>
      <w:r>
        <w:rPr/>
        <w:t>(slightly</w:t>
      </w:r>
      <w:r>
        <w:rPr>
          <w:spacing w:val="-29"/>
        </w:rPr>
        <w:t> </w:t>
      </w:r>
      <w:r>
        <w:rPr/>
        <w:t>over</w:t>
      </w:r>
    </w:p>
    <w:p>
      <w:pPr>
        <w:pStyle w:val="BodyText"/>
        <w:spacing w:line="249" w:lineRule="auto"/>
        <w:ind w:left="107" w:right="68"/>
      </w:pPr>
      <w:r>
        <w:rPr/>
        <w:t>50</w:t>
      </w:r>
      <w:r>
        <w:rPr>
          <w:spacing w:val="-13"/>
        </w:rPr>
        <w:t> </w:t>
      </w:r>
      <w:r>
        <w:rPr/>
        <w:t>per</w:t>
      </w:r>
      <w:r>
        <w:rPr>
          <w:spacing w:val="-13"/>
        </w:rPr>
        <w:t> </w:t>
      </w:r>
      <w:r>
        <w:rPr/>
        <w:t>cent</w:t>
      </w:r>
      <w:r>
        <w:rPr>
          <w:spacing w:val="-13"/>
        </w:rPr>
        <w:t> </w:t>
      </w:r>
      <w:r>
        <w:rPr/>
        <w:t>of</w:t>
      </w:r>
      <w:r>
        <w:rPr>
          <w:spacing w:val="-13"/>
        </w:rPr>
        <w:t> </w:t>
      </w:r>
      <w:r>
        <w:rPr/>
        <w:t>whom</w:t>
      </w:r>
      <w:r>
        <w:rPr>
          <w:spacing w:val="-13"/>
        </w:rPr>
        <w:t> </w:t>
      </w:r>
      <w:r>
        <w:rPr/>
        <w:t>are</w:t>
      </w:r>
      <w:r>
        <w:rPr>
          <w:spacing w:val="-13"/>
        </w:rPr>
        <w:t> </w:t>
      </w:r>
      <w:r>
        <w:rPr/>
        <w:t>completing</w:t>
      </w:r>
      <w:r>
        <w:rPr>
          <w:spacing w:val="-13"/>
        </w:rPr>
        <w:t> </w:t>
      </w:r>
      <w:r>
        <w:rPr/>
        <w:t>a</w:t>
      </w:r>
      <w:r>
        <w:rPr>
          <w:spacing w:val="-13"/>
        </w:rPr>
        <w:t> </w:t>
      </w:r>
      <w:r>
        <w:rPr/>
        <w:t>Master of Teaching) and two graduate certificate students</w:t>
      </w:r>
      <w:r>
        <w:rPr>
          <w:spacing w:val="-17"/>
        </w:rPr>
        <w:t> </w:t>
      </w:r>
      <w:r>
        <w:rPr/>
        <w:t>enrolled.</w:t>
      </w:r>
      <w:r>
        <w:rPr>
          <w:spacing w:val="-17"/>
        </w:rPr>
        <w:t> </w:t>
      </w:r>
      <w:r>
        <w:rPr/>
        <w:t>Professional</w:t>
      </w:r>
      <w:r>
        <w:rPr>
          <w:spacing w:val="-17"/>
        </w:rPr>
        <w:t> </w:t>
      </w:r>
      <w:r>
        <w:rPr/>
        <w:t>and</w:t>
      </w:r>
      <w:r>
        <w:rPr>
          <w:spacing w:val="-17"/>
        </w:rPr>
        <w:t> </w:t>
      </w:r>
      <w:r>
        <w:rPr/>
        <w:t>academic staff continue to use professional coaching and</w:t>
      </w:r>
      <w:r>
        <w:rPr>
          <w:spacing w:val="-32"/>
        </w:rPr>
        <w:t> </w:t>
      </w:r>
      <w:r>
        <w:rPr/>
        <w:t>mentoring</w:t>
      </w:r>
      <w:r>
        <w:rPr>
          <w:spacing w:val="-32"/>
        </w:rPr>
        <w:t> </w:t>
      </w:r>
      <w:r>
        <w:rPr>
          <w:spacing w:val="2"/>
        </w:rPr>
        <w:t>services.</w:t>
      </w:r>
    </w:p>
    <w:p>
      <w:pPr>
        <w:pStyle w:val="BodyText"/>
        <w:spacing w:before="7"/>
        <w:rPr>
          <w:sz w:val="21"/>
        </w:rPr>
      </w:pPr>
    </w:p>
    <w:p>
      <w:pPr>
        <w:pStyle w:val="Heading8"/>
        <w:spacing w:line="249" w:lineRule="auto"/>
        <w:ind w:right="318"/>
      </w:pPr>
      <w:r>
        <w:rPr>
          <w:w w:val="95"/>
        </w:rPr>
        <w:t>ABORIGINAL AND TORRES STRAIT </w:t>
      </w:r>
      <w:r>
        <w:rPr/>
        <w:t>ISLANDER EMPLOYMENT AND </w:t>
      </w:r>
      <w:r>
        <w:rPr>
          <w:w w:val="95"/>
        </w:rPr>
        <w:t>ENGAGEMENT ACTION PLAN</w:t>
      </w:r>
    </w:p>
    <w:p>
      <w:pPr>
        <w:pStyle w:val="BodyText"/>
        <w:spacing w:line="249" w:lineRule="auto" w:before="79"/>
        <w:ind w:left="107" w:right="312"/>
      </w:pPr>
      <w:r>
        <w:rPr/>
        <w:t>The Aboriginal and Torres Strait Islander Employment and Engagement Action </w:t>
      </w:r>
      <w:r>
        <w:rPr>
          <w:w w:val="97"/>
        </w:rPr>
        <w:t>Plan </w:t>
      </w:r>
      <w:r>
        <w:rPr>
          <w:w w:val="89"/>
        </w:rPr>
        <w:t>2014–2017 </w:t>
      </w:r>
      <w:r>
        <w:rPr>
          <w:w w:val="97"/>
        </w:rPr>
        <w:t>sets </w:t>
      </w:r>
      <w:r>
        <w:rPr>
          <w:w w:val="95"/>
        </w:rPr>
        <w:t>in </w:t>
      </w:r>
      <w:r>
        <w:rPr>
          <w:w w:val="98"/>
        </w:rPr>
        <w:t>place </w:t>
      </w:r>
      <w:r>
        <w:rPr>
          <w:w w:val="96"/>
        </w:rPr>
        <w:t>six </w:t>
      </w:r>
      <w:r>
        <w:rPr>
          <w:w w:val="96"/>
        </w:rPr>
        <w:t>objectives </w:t>
      </w:r>
      <w:r>
        <w:rPr/>
        <w:t>to implement practical initiatives and</w:t>
      </w:r>
    </w:p>
    <w:p>
      <w:pPr>
        <w:pStyle w:val="BodyText"/>
        <w:spacing w:line="249" w:lineRule="auto"/>
        <w:ind w:left="107" w:right="17"/>
      </w:pPr>
      <w:r>
        <w:rPr/>
        <w:t>performance indicators that ensure Western Sydney University can meet the needs of Aboriginal</w:t>
      </w:r>
      <w:r>
        <w:rPr>
          <w:spacing w:val="-19"/>
        </w:rPr>
        <w:t> </w:t>
      </w:r>
      <w:r>
        <w:rPr/>
        <w:t>and</w:t>
      </w:r>
      <w:r>
        <w:rPr>
          <w:spacing w:val="-19"/>
        </w:rPr>
        <w:t> </w:t>
      </w:r>
      <w:r>
        <w:rPr/>
        <w:t>Torres</w:t>
      </w:r>
      <w:r>
        <w:rPr>
          <w:spacing w:val="-19"/>
        </w:rPr>
        <w:t> </w:t>
      </w:r>
      <w:r>
        <w:rPr/>
        <w:t>Strait</w:t>
      </w:r>
      <w:r>
        <w:rPr>
          <w:spacing w:val="-19"/>
        </w:rPr>
        <w:t> </w:t>
      </w:r>
      <w:r>
        <w:rPr/>
        <w:t>Islander</w:t>
      </w:r>
      <w:r>
        <w:rPr>
          <w:spacing w:val="-19"/>
        </w:rPr>
        <w:t> </w:t>
      </w:r>
      <w:r>
        <w:rPr/>
        <w:t>people</w:t>
      </w:r>
      <w:r>
        <w:rPr>
          <w:spacing w:val="-19"/>
        </w:rPr>
        <w:t> </w:t>
      </w:r>
      <w:r>
        <w:rPr/>
        <w:t>as an ‘employer of choice’. These objectives are outlined</w:t>
      </w:r>
      <w:r>
        <w:rPr>
          <w:spacing w:val="-31"/>
        </w:rPr>
        <w:t> </w:t>
      </w:r>
      <w:r>
        <w:rPr/>
        <w:t>below:</w:t>
      </w:r>
    </w:p>
    <w:p>
      <w:pPr>
        <w:pStyle w:val="BodyText"/>
        <w:spacing w:before="11"/>
        <w:rPr>
          <w:sz w:val="13"/>
        </w:rPr>
      </w:pPr>
    </w:p>
    <w:p>
      <w:pPr>
        <w:pStyle w:val="BodyText"/>
        <w:spacing w:line="247" w:lineRule="auto"/>
        <w:ind w:left="333" w:right="69" w:hanging="227"/>
      </w:pPr>
      <w:r>
        <w:rPr>
          <w:rFonts w:ascii="Century Gothic" w:hAnsi="Century Gothic"/>
          <w:b/>
          <w:w w:val="115"/>
        </w:rPr>
        <w:t>≥</w:t>
      </w:r>
      <w:r>
        <w:rPr>
          <w:rFonts w:ascii="Century Gothic" w:hAnsi="Century Gothic"/>
          <w:b/>
          <w:spacing w:val="27"/>
          <w:w w:val="115"/>
        </w:rPr>
        <w:t> </w:t>
      </w:r>
      <w:r>
        <w:rPr/>
        <w:t>Objective</w:t>
      </w:r>
      <w:r>
        <w:rPr>
          <w:spacing w:val="-20"/>
        </w:rPr>
        <w:t> </w:t>
      </w:r>
      <w:r>
        <w:rPr>
          <w:w w:val="95"/>
        </w:rPr>
        <w:t>1:</w:t>
      </w:r>
      <w:r>
        <w:rPr>
          <w:spacing w:val="-17"/>
          <w:w w:val="95"/>
        </w:rPr>
        <w:t> </w:t>
      </w:r>
      <w:r>
        <w:rPr/>
        <w:t>Increase</w:t>
      </w:r>
      <w:r>
        <w:rPr>
          <w:spacing w:val="-20"/>
        </w:rPr>
        <w:t> </w:t>
      </w:r>
      <w:r>
        <w:rPr/>
        <w:t>the</w:t>
      </w:r>
      <w:r>
        <w:rPr>
          <w:spacing w:val="-20"/>
        </w:rPr>
        <w:t> </w:t>
      </w:r>
      <w:r>
        <w:rPr/>
        <w:t>participation</w:t>
      </w:r>
      <w:r>
        <w:rPr>
          <w:spacing w:val="-20"/>
        </w:rPr>
        <w:t> </w:t>
      </w:r>
      <w:r>
        <w:rPr/>
        <w:t>rate and employment outcomes of Aboriginal and</w:t>
      </w:r>
      <w:r>
        <w:rPr>
          <w:spacing w:val="-22"/>
        </w:rPr>
        <w:t> </w:t>
      </w:r>
      <w:r>
        <w:rPr/>
        <w:t>Torres</w:t>
      </w:r>
      <w:r>
        <w:rPr>
          <w:spacing w:val="-22"/>
        </w:rPr>
        <w:t> </w:t>
      </w:r>
      <w:r>
        <w:rPr/>
        <w:t>Strait</w:t>
      </w:r>
      <w:r>
        <w:rPr>
          <w:spacing w:val="-22"/>
        </w:rPr>
        <w:t> </w:t>
      </w:r>
      <w:r>
        <w:rPr/>
        <w:t>Islander</w:t>
      </w:r>
      <w:r>
        <w:rPr>
          <w:spacing w:val="-22"/>
        </w:rPr>
        <w:t> </w:t>
      </w:r>
      <w:r>
        <w:rPr/>
        <w:t>people</w:t>
      </w:r>
      <w:r>
        <w:rPr>
          <w:spacing w:val="-22"/>
        </w:rPr>
        <w:t> </w:t>
      </w:r>
      <w:r>
        <w:rPr/>
        <w:t>across</w:t>
      </w:r>
      <w:r>
        <w:rPr>
          <w:spacing w:val="-22"/>
        </w:rPr>
        <w:t> </w:t>
      </w:r>
      <w:r>
        <w:rPr/>
        <w:t>all levels</w:t>
      </w:r>
      <w:r>
        <w:rPr>
          <w:spacing w:val="-23"/>
        </w:rPr>
        <w:t> </w:t>
      </w:r>
      <w:r>
        <w:rPr/>
        <w:t>of</w:t>
      </w:r>
      <w:r>
        <w:rPr>
          <w:spacing w:val="-23"/>
        </w:rPr>
        <w:t> </w:t>
      </w:r>
      <w:r>
        <w:rPr/>
        <w:t>Western</w:t>
      </w:r>
      <w:r>
        <w:rPr>
          <w:spacing w:val="-23"/>
        </w:rPr>
        <w:t> </w:t>
      </w:r>
      <w:r>
        <w:rPr/>
        <w:t>Sydney</w:t>
      </w:r>
      <w:r>
        <w:rPr>
          <w:spacing w:val="-23"/>
        </w:rPr>
        <w:t> </w:t>
      </w:r>
      <w:r>
        <w:rPr/>
        <w:t>University.</w:t>
      </w:r>
    </w:p>
    <w:p>
      <w:pPr>
        <w:pStyle w:val="BodyText"/>
        <w:spacing w:before="1"/>
        <w:rPr>
          <w:sz w:val="20"/>
        </w:rPr>
      </w:pPr>
      <w:r>
        <w:rPr/>
        <w:br w:type="column"/>
      </w:r>
      <w:r>
        <w:rPr>
          <w:sz w:val="20"/>
        </w:rPr>
      </w:r>
    </w:p>
    <w:p>
      <w:pPr>
        <w:pStyle w:val="BodyText"/>
        <w:spacing w:line="247" w:lineRule="auto"/>
        <w:ind w:left="333" w:right="58" w:hanging="227"/>
      </w:pPr>
      <w:r>
        <w:rPr>
          <w:rFonts w:ascii="Century Gothic" w:hAnsi="Century Gothic"/>
          <w:b/>
          <w:w w:val="115"/>
        </w:rPr>
        <w:t>≥ </w:t>
      </w:r>
      <w:r>
        <w:rPr/>
        <w:t>Objective 2: Ensure the University has the ability to meet the needs of Aboriginal and Torres Strait Islander people as an ‘employer of choice’.</w:t>
      </w:r>
    </w:p>
    <w:p>
      <w:pPr>
        <w:pStyle w:val="BodyText"/>
        <w:spacing w:line="247" w:lineRule="auto" w:before="57"/>
        <w:ind w:left="333" w:right="-9" w:hanging="227"/>
      </w:pPr>
      <w:r>
        <w:rPr>
          <w:rFonts w:ascii="Century Gothic" w:hAnsi="Century Gothic"/>
          <w:b/>
          <w:w w:val="115"/>
        </w:rPr>
        <w:t>≥ </w:t>
      </w:r>
      <w:r>
        <w:rPr/>
        <w:t>Objective 3: Develop leading strategies</w:t>
      </w:r>
      <w:r>
        <w:rPr>
          <w:spacing w:val="-35"/>
        </w:rPr>
        <w:t> </w:t>
      </w:r>
      <w:r>
        <w:rPr/>
        <w:t>and help shape the national agenda in relation to</w:t>
      </w:r>
      <w:r>
        <w:rPr>
          <w:spacing w:val="-15"/>
        </w:rPr>
        <w:t> </w:t>
      </w:r>
      <w:r>
        <w:rPr/>
        <w:t>the</w:t>
      </w:r>
      <w:r>
        <w:rPr>
          <w:spacing w:val="-15"/>
        </w:rPr>
        <w:t> </w:t>
      </w:r>
      <w:r>
        <w:rPr/>
        <w:t>employment</w:t>
      </w:r>
      <w:r>
        <w:rPr>
          <w:spacing w:val="-15"/>
        </w:rPr>
        <w:t> </w:t>
      </w:r>
      <w:r>
        <w:rPr/>
        <w:t>and</w:t>
      </w:r>
      <w:r>
        <w:rPr>
          <w:spacing w:val="-15"/>
        </w:rPr>
        <w:t> </w:t>
      </w:r>
      <w:r>
        <w:rPr/>
        <w:t>engagement</w:t>
      </w:r>
    </w:p>
    <w:p>
      <w:pPr>
        <w:pStyle w:val="BodyText"/>
        <w:spacing w:line="249" w:lineRule="auto" w:before="1"/>
        <w:ind w:left="333" w:right="320"/>
      </w:pPr>
      <w:r>
        <w:rPr/>
        <w:t>of</w:t>
      </w:r>
      <w:r>
        <w:rPr>
          <w:spacing w:val="-20"/>
        </w:rPr>
        <w:t> </w:t>
      </w:r>
      <w:r>
        <w:rPr/>
        <w:t>Aboriginal</w:t>
      </w:r>
      <w:r>
        <w:rPr>
          <w:spacing w:val="-20"/>
        </w:rPr>
        <w:t> </w:t>
      </w:r>
      <w:r>
        <w:rPr/>
        <w:t>and</w:t>
      </w:r>
      <w:r>
        <w:rPr>
          <w:spacing w:val="-20"/>
        </w:rPr>
        <w:t> </w:t>
      </w:r>
      <w:r>
        <w:rPr/>
        <w:t>Torres</w:t>
      </w:r>
      <w:r>
        <w:rPr>
          <w:spacing w:val="-20"/>
        </w:rPr>
        <w:t> </w:t>
      </w:r>
      <w:r>
        <w:rPr/>
        <w:t>Strait</w:t>
      </w:r>
      <w:r>
        <w:rPr>
          <w:spacing w:val="-20"/>
        </w:rPr>
        <w:t> </w:t>
      </w:r>
      <w:r>
        <w:rPr/>
        <w:t>Islander people.</w:t>
      </w:r>
    </w:p>
    <w:p>
      <w:pPr>
        <w:pStyle w:val="BodyText"/>
        <w:spacing w:line="247" w:lineRule="auto" w:before="55"/>
        <w:ind w:left="333" w:hanging="227"/>
      </w:pPr>
      <w:r>
        <w:rPr>
          <w:rFonts w:ascii="Century Gothic" w:hAnsi="Century Gothic"/>
          <w:b/>
          <w:w w:val="115"/>
        </w:rPr>
        <w:t>≥ </w:t>
      </w:r>
      <w:r>
        <w:rPr/>
        <w:t>Objective 4: Redress, through affirmative action in employment, the past disadvantages experienced by Aboriginal and Torres Strait Islander people.</w:t>
      </w:r>
    </w:p>
    <w:p>
      <w:pPr>
        <w:pStyle w:val="BodyText"/>
        <w:spacing w:line="247" w:lineRule="auto" w:before="57"/>
        <w:ind w:left="333" w:right="-17" w:hanging="227"/>
      </w:pPr>
      <w:r>
        <w:rPr>
          <w:rFonts w:ascii="Century Gothic" w:hAnsi="Century Gothic"/>
          <w:b/>
          <w:w w:val="115"/>
        </w:rPr>
        <w:t>≥ </w:t>
      </w:r>
      <w:r>
        <w:rPr/>
        <w:t>Objective 5: Create a work environment that is free from discrimination, promotes an understanding of Aboriginal and Torres Strait Islander culture and is culturally respectful and inclusive.</w:t>
      </w:r>
    </w:p>
    <w:p>
      <w:pPr>
        <w:pStyle w:val="BodyText"/>
        <w:spacing w:line="247" w:lineRule="auto" w:before="57"/>
        <w:ind w:left="333" w:hanging="227"/>
      </w:pPr>
      <w:r>
        <w:rPr>
          <w:rFonts w:ascii="Century Gothic" w:hAnsi="Century Gothic"/>
          <w:b/>
          <w:w w:val="115"/>
        </w:rPr>
        <w:t>≥ </w:t>
      </w:r>
      <w:r>
        <w:rPr/>
        <w:t>Objective 6: Build and develop a positive working relationship with the community and relevant stakeholders to ensure the improvement</w:t>
      </w:r>
      <w:r>
        <w:rPr>
          <w:spacing w:val="-25"/>
        </w:rPr>
        <w:t> </w:t>
      </w:r>
      <w:r>
        <w:rPr/>
        <w:t>of</w:t>
      </w:r>
      <w:r>
        <w:rPr>
          <w:spacing w:val="-25"/>
        </w:rPr>
        <w:t> </w:t>
      </w:r>
      <w:r>
        <w:rPr/>
        <w:t>employment</w:t>
      </w:r>
      <w:r>
        <w:rPr>
          <w:spacing w:val="-25"/>
        </w:rPr>
        <w:t> </w:t>
      </w:r>
      <w:r>
        <w:rPr/>
        <w:t>outcomes</w:t>
      </w:r>
      <w:r>
        <w:rPr>
          <w:spacing w:val="-25"/>
        </w:rPr>
        <w:t> </w:t>
      </w:r>
      <w:r>
        <w:rPr/>
        <w:t>for Aboriginal</w:t>
      </w:r>
      <w:r>
        <w:rPr>
          <w:spacing w:val="-37"/>
        </w:rPr>
        <w:t> </w:t>
      </w:r>
      <w:r>
        <w:rPr/>
        <w:t>and</w:t>
      </w:r>
      <w:r>
        <w:rPr>
          <w:spacing w:val="-37"/>
        </w:rPr>
        <w:t> </w:t>
      </w:r>
      <w:r>
        <w:rPr/>
        <w:t>Torres</w:t>
      </w:r>
      <w:r>
        <w:rPr>
          <w:spacing w:val="-37"/>
        </w:rPr>
        <w:t> </w:t>
      </w:r>
      <w:r>
        <w:rPr/>
        <w:t>Strait</w:t>
      </w:r>
      <w:r>
        <w:rPr>
          <w:spacing w:val="-37"/>
        </w:rPr>
        <w:t> </w:t>
      </w:r>
      <w:r>
        <w:rPr/>
        <w:t>Islander</w:t>
      </w:r>
      <w:r>
        <w:rPr>
          <w:spacing w:val="-37"/>
        </w:rPr>
        <w:t> </w:t>
      </w:r>
      <w:r>
        <w:rPr/>
        <w:t>people.</w:t>
      </w:r>
    </w:p>
    <w:p>
      <w:pPr>
        <w:pStyle w:val="BodyText"/>
        <w:spacing w:before="2"/>
        <w:rPr>
          <w:sz w:val="14"/>
        </w:rPr>
      </w:pPr>
    </w:p>
    <w:p>
      <w:pPr>
        <w:pStyle w:val="BodyText"/>
        <w:spacing w:line="200" w:lineRule="exact"/>
        <w:ind w:left="107" w:right="318"/>
      </w:pPr>
      <w:r>
        <w:rPr/>
        <w:t>See </w:t>
      </w:r>
      <w:r>
        <w:rPr>
          <w:rFonts w:ascii="Calibri"/>
        </w:rPr>
        <w:t>uws.edu.au/oatsiee/action_plan </w:t>
      </w:r>
      <w:r>
        <w:rPr/>
        <w:t>for more information.</w:t>
      </w:r>
    </w:p>
    <w:p>
      <w:pPr>
        <w:pStyle w:val="BodyText"/>
        <w:spacing w:before="1"/>
        <w:rPr>
          <w:sz w:val="14"/>
        </w:rPr>
      </w:pPr>
    </w:p>
    <w:p>
      <w:pPr>
        <w:pStyle w:val="BodyText"/>
        <w:spacing w:line="249" w:lineRule="auto"/>
        <w:ind w:left="107" w:right="235"/>
      </w:pPr>
      <w:r>
        <w:rPr/>
        <w:t>OATSIEE vigorously pursues a community engagement agenda by:</w:t>
      </w:r>
    </w:p>
    <w:p>
      <w:pPr>
        <w:pStyle w:val="BodyText"/>
        <w:spacing w:before="11"/>
        <w:rPr>
          <w:sz w:val="13"/>
        </w:rPr>
      </w:pPr>
    </w:p>
    <w:p>
      <w:pPr>
        <w:pStyle w:val="BodyText"/>
        <w:spacing w:line="247" w:lineRule="auto"/>
        <w:ind w:left="333" w:right="22" w:hanging="227"/>
      </w:pPr>
      <w:r>
        <w:rPr>
          <w:rFonts w:ascii="Century Gothic" w:hAnsi="Century Gothic"/>
          <w:b/>
          <w:w w:val="115"/>
        </w:rPr>
        <w:t>≥ </w:t>
      </w:r>
      <w:r>
        <w:rPr/>
        <w:t>founding the Aboriginal and Torres Strait Islander Employment and Engagement Advisory Board, which includes a majority of Aboriginal and Torres Strait Islander Elders, leaders and cultural advisors from Western Sydney who volunteer their expertise and time to provide advice and assistance to the office</w:t>
      </w:r>
    </w:p>
    <w:p>
      <w:pPr>
        <w:pStyle w:val="BodyText"/>
        <w:spacing w:line="247" w:lineRule="auto" w:before="57"/>
        <w:ind w:left="333" w:right="203" w:hanging="227"/>
      </w:pPr>
      <w:r>
        <w:rPr>
          <w:rFonts w:ascii="Century Gothic" w:hAnsi="Century Gothic"/>
          <w:b/>
          <w:w w:val="115"/>
        </w:rPr>
        <w:t>≥  </w:t>
      </w:r>
      <w:r>
        <w:rPr/>
        <w:t>being one of the principal contact points for and nexus between multiple communities in Western Sydney and beyond</w:t>
      </w:r>
      <w:r>
        <w:rPr>
          <w:spacing w:val="-14"/>
        </w:rPr>
        <w:t> </w:t>
      </w:r>
      <w:r>
        <w:rPr/>
        <w:t>to</w:t>
      </w:r>
      <w:r>
        <w:rPr>
          <w:spacing w:val="-14"/>
        </w:rPr>
        <w:t> </w:t>
      </w:r>
      <w:r>
        <w:rPr/>
        <w:t>arrange</w:t>
      </w:r>
      <w:r>
        <w:rPr>
          <w:spacing w:val="-14"/>
        </w:rPr>
        <w:t> </w:t>
      </w:r>
      <w:r>
        <w:rPr/>
        <w:t>University</w:t>
      </w:r>
      <w:r>
        <w:rPr>
          <w:spacing w:val="-14"/>
        </w:rPr>
        <w:t> </w:t>
      </w:r>
      <w:r>
        <w:rPr/>
        <w:t>sponsored ‘Welcome</w:t>
      </w:r>
      <w:r>
        <w:rPr>
          <w:spacing w:val="-13"/>
        </w:rPr>
        <w:t> </w:t>
      </w:r>
      <w:r>
        <w:rPr/>
        <w:t>to</w:t>
      </w:r>
      <w:r>
        <w:rPr>
          <w:spacing w:val="-13"/>
        </w:rPr>
        <w:t> </w:t>
      </w:r>
      <w:r>
        <w:rPr/>
        <w:t>Country’</w:t>
      </w:r>
      <w:r>
        <w:rPr>
          <w:spacing w:val="-13"/>
        </w:rPr>
        <w:t> </w:t>
      </w:r>
      <w:r>
        <w:rPr/>
        <w:t>addresses,</w:t>
      </w:r>
      <w:r>
        <w:rPr>
          <w:spacing w:val="-13"/>
        </w:rPr>
        <w:t> </w:t>
      </w:r>
      <w:r>
        <w:rPr/>
        <w:t>and</w:t>
      </w:r>
    </w:p>
    <w:p>
      <w:pPr>
        <w:pStyle w:val="BodyText"/>
        <w:spacing w:line="249" w:lineRule="auto" w:before="1"/>
        <w:ind w:left="333" w:right="65"/>
      </w:pPr>
      <w:r>
        <w:rPr/>
        <w:t>celebratory and ceremonial events within the workplace</w:t>
      </w:r>
    </w:p>
    <w:p>
      <w:pPr>
        <w:pStyle w:val="BodyText"/>
        <w:spacing w:line="247" w:lineRule="auto" w:before="55"/>
        <w:ind w:left="333" w:right="23" w:hanging="227"/>
      </w:pPr>
      <w:r>
        <w:rPr>
          <w:rFonts w:ascii="Century Gothic" w:hAnsi="Century Gothic"/>
          <w:b/>
          <w:w w:val="115"/>
        </w:rPr>
        <w:t>≥  </w:t>
      </w:r>
      <w:r>
        <w:rPr/>
        <w:t>collaborating as </w:t>
      </w:r>
      <w:r>
        <w:rPr>
          <w:spacing w:val="2"/>
        </w:rPr>
        <w:t>part </w:t>
      </w:r>
      <w:r>
        <w:rPr/>
        <w:t>of and supporting local Aboriginal and Torres Strait Islander community-driven</w:t>
      </w:r>
      <w:r>
        <w:rPr>
          <w:spacing w:val="-17"/>
        </w:rPr>
        <w:t> </w:t>
      </w:r>
      <w:r>
        <w:rPr/>
        <w:t>initiatives</w:t>
      </w:r>
      <w:r>
        <w:rPr>
          <w:spacing w:val="-17"/>
        </w:rPr>
        <w:t> </w:t>
      </w:r>
      <w:r>
        <w:rPr/>
        <w:t>in</w:t>
      </w:r>
      <w:r>
        <w:rPr>
          <w:spacing w:val="-17"/>
        </w:rPr>
        <w:t> </w:t>
      </w:r>
      <w:r>
        <w:rPr/>
        <w:t>the</w:t>
      </w:r>
      <w:r>
        <w:rPr>
          <w:spacing w:val="-17"/>
        </w:rPr>
        <w:t> </w:t>
      </w:r>
      <w:r>
        <w:rPr/>
        <w:t>context of</w:t>
      </w:r>
      <w:r>
        <w:rPr>
          <w:spacing w:val="-20"/>
        </w:rPr>
        <w:t> </w:t>
      </w:r>
      <w:r>
        <w:rPr/>
        <w:t>employment</w:t>
      </w:r>
      <w:r>
        <w:rPr>
          <w:spacing w:val="-20"/>
        </w:rPr>
        <w:t> </w:t>
      </w:r>
      <w:r>
        <w:rPr/>
        <w:t>and</w:t>
      </w:r>
      <w:r>
        <w:rPr>
          <w:spacing w:val="-20"/>
        </w:rPr>
        <w:t> </w:t>
      </w:r>
      <w:r>
        <w:rPr/>
        <w:t>training.</w:t>
      </w:r>
    </w:p>
    <w:p>
      <w:pPr>
        <w:pStyle w:val="BodyText"/>
        <w:spacing w:before="8"/>
        <w:rPr>
          <w:sz w:val="20"/>
        </w:rPr>
      </w:pPr>
      <w:r>
        <w:rPr/>
        <w:br w:type="column"/>
      </w:r>
      <w:r>
        <w:rPr>
          <w:sz w:val="20"/>
        </w:rPr>
      </w:r>
    </w:p>
    <w:p>
      <w:pPr>
        <w:pStyle w:val="Heading8"/>
        <w:ind w:right="287"/>
      </w:pPr>
      <w:r>
        <w:rPr>
          <w:w w:val="95"/>
        </w:rPr>
        <w:t>ELDERS ON CAMPUS</w:t>
      </w:r>
    </w:p>
    <w:p>
      <w:pPr>
        <w:pStyle w:val="BodyText"/>
        <w:spacing w:line="249" w:lineRule="auto" w:before="86"/>
        <w:ind w:left="107" w:right="109"/>
      </w:pPr>
      <w:r>
        <w:rPr/>
        <w:t>The Western Sydney University Elders on Campus workplace program aims to preserve cultural knowledge for future generations.</w:t>
      </w:r>
    </w:p>
    <w:p>
      <w:pPr>
        <w:pStyle w:val="BodyText"/>
        <w:spacing w:line="249" w:lineRule="auto"/>
        <w:ind w:left="107" w:right="250"/>
      </w:pPr>
      <w:r>
        <w:rPr/>
        <w:t>Our Elders on </w:t>
      </w:r>
      <w:r>
        <w:rPr>
          <w:spacing w:val="2"/>
        </w:rPr>
        <w:t>Campus </w:t>
      </w:r>
      <w:r>
        <w:rPr/>
        <w:t>are an invaluable human</w:t>
      </w:r>
      <w:r>
        <w:rPr>
          <w:spacing w:val="-20"/>
        </w:rPr>
        <w:t> </w:t>
      </w:r>
      <w:r>
        <w:rPr/>
        <w:t>and</w:t>
      </w:r>
      <w:r>
        <w:rPr>
          <w:spacing w:val="-20"/>
        </w:rPr>
        <w:t> </w:t>
      </w:r>
      <w:r>
        <w:rPr/>
        <w:t>social</w:t>
      </w:r>
      <w:r>
        <w:rPr>
          <w:spacing w:val="-20"/>
        </w:rPr>
        <w:t> </w:t>
      </w:r>
      <w:r>
        <w:rPr/>
        <w:t>resource</w:t>
      </w:r>
      <w:r>
        <w:rPr>
          <w:spacing w:val="-20"/>
        </w:rPr>
        <w:t> </w:t>
      </w:r>
      <w:r>
        <w:rPr/>
        <w:t>for</w:t>
      </w:r>
      <w:r>
        <w:rPr>
          <w:spacing w:val="-20"/>
        </w:rPr>
        <w:t> </w:t>
      </w:r>
      <w:r>
        <w:rPr/>
        <w:t>all</w:t>
      </w:r>
      <w:r>
        <w:rPr>
          <w:spacing w:val="-20"/>
        </w:rPr>
        <w:t> </w:t>
      </w:r>
      <w:r>
        <w:rPr/>
        <w:t>of</w:t>
      </w:r>
      <w:r>
        <w:rPr>
          <w:spacing w:val="-20"/>
        </w:rPr>
        <w:t> </w:t>
      </w:r>
      <w:r>
        <w:rPr>
          <w:spacing w:val="2"/>
        </w:rPr>
        <w:t>us.</w:t>
      </w:r>
      <w:r>
        <w:rPr>
          <w:spacing w:val="-20"/>
        </w:rPr>
        <w:t> </w:t>
      </w:r>
      <w:r>
        <w:rPr/>
        <w:t>They serve</w:t>
      </w:r>
      <w:r>
        <w:rPr>
          <w:spacing w:val="-14"/>
        </w:rPr>
        <w:t> </w:t>
      </w:r>
      <w:r>
        <w:rPr/>
        <w:t>as</w:t>
      </w:r>
      <w:r>
        <w:rPr>
          <w:spacing w:val="-14"/>
        </w:rPr>
        <w:t> </w:t>
      </w:r>
      <w:r>
        <w:rPr/>
        <w:t>advisors</w:t>
      </w:r>
      <w:r>
        <w:rPr>
          <w:spacing w:val="-14"/>
        </w:rPr>
        <w:t> </w:t>
      </w:r>
      <w:r>
        <w:rPr/>
        <w:t>on</w:t>
      </w:r>
      <w:r>
        <w:rPr>
          <w:spacing w:val="-14"/>
        </w:rPr>
        <w:t> </w:t>
      </w:r>
      <w:r>
        <w:rPr/>
        <w:t>matters</w:t>
      </w:r>
      <w:r>
        <w:rPr>
          <w:spacing w:val="-14"/>
        </w:rPr>
        <w:t> </w:t>
      </w:r>
      <w:r>
        <w:rPr/>
        <w:t>of</w:t>
      </w:r>
      <w:r>
        <w:rPr>
          <w:spacing w:val="-14"/>
        </w:rPr>
        <w:t> </w:t>
      </w:r>
      <w:r>
        <w:rPr/>
        <w:t>protocol</w:t>
      </w:r>
      <w:r>
        <w:rPr>
          <w:spacing w:val="-5"/>
        </w:rPr>
        <w:t> </w:t>
      </w:r>
      <w:r>
        <w:rPr/>
        <w:t>and</w:t>
      </w:r>
      <w:r>
        <w:rPr>
          <w:spacing w:val="-12"/>
        </w:rPr>
        <w:t> </w:t>
      </w:r>
      <w:r>
        <w:rPr/>
        <w:t>governance,</w:t>
      </w:r>
      <w:r>
        <w:rPr>
          <w:spacing w:val="-20"/>
        </w:rPr>
        <w:t> </w:t>
      </w:r>
      <w:r>
        <w:rPr/>
        <w:t>and</w:t>
      </w:r>
      <w:r>
        <w:rPr>
          <w:spacing w:val="-20"/>
        </w:rPr>
        <w:t> </w:t>
      </w:r>
      <w:r>
        <w:rPr/>
        <w:t>facilitate</w:t>
      </w:r>
      <w:r>
        <w:rPr>
          <w:spacing w:val="-20"/>
        </w:rPr>
        <w:t> </w:t>
      </w:r>
      <w:r>
        <w:rPr/>
        <w:t>engagement</w:t>
      </w:r>
      <w:r>
        <w:rPr>
          <w:spacing w:val="-9"/>
        </w:rPr>
        <w:t> </w:t>
      </w:r>
      <w:r>
        <w:rPr/>
        <w:t>with their</w:t>
      </w:r>
      <w:r>
        <w:rPr>
          <w:spacing w:val="-18"/>
        </w:rPr>
        <w:t> </w:t>
      </w:r>
      <w:r>
        <w:rPr/>
        <w:t>communities.</w:t>
      </w:r>
      <w:r>
        <w:rPr>
          <w:spacing w:val="-18"/>
        </w:rPr>
        <w:t> </w:t>
      </w:r>
      <w:r>
        <w:rPr/>
        <w:t>They</w:t>
      </w:r>
      <w:r>
        <w:rPr>
          <w:spacing w:val="-18"/>
        </w:rPr>
        <w:t> </w:t>
      </w:r>
      <w:r>
        <w:rPr/>
        <w:t>support,</w:t>
      </w:r>
      <w:r>
        <w:rPr>
          <w:spacing w:val="-18"/>
        </w:rPr>
        <w:t> </w:t>
      </w:r>
      <w:r>
        <w:rPr/>
        <w:t>guide</w:t>
      </w:r>
      <w:r>
        <w:rPr>
          <w:spacing w:val="-10"/>
        </w:rPr>
        <w:t> </w:t>
      </w:r>
      <w:r>
        <w:rPr/>
        <w:t>and mentor Western Sydney University in successfully engaging with Aboriginal and Torres Strait Islander communities. They provide</w:t>
      </w:r>
      <w:r>
        <w:rPr>
          <w:spacing w:val="-14"/>
        </w:rPr>
        <w:t> </w:t>
      </w:r>
      <w:r>
        <w:rPr/>
        <w:t>us</w:t>
      </w:r>
      <w:r>
        <w:rPr>
          <w:spacing w:val="-14"/>
        </w:rPr>
        <w:t> </w:t>
      </w:r>
      <w:r>
        <w:rPr/>
        <w:t>with</w:t>
      </w:r>
      <w:r>
        <w:rPr>
          <w:spacing w:val="-14"/>
        </w:rPr>
        <w:t> </w:t>
      </w:r>
      <w:r>
        <w:rPr/>
        <w:t>practical</w:t>
      </w:r>
      <w:r>
        <w:rPr>
          <w:spacing w:val="-14"/>
        </w:rPr>
        <w:t> </w:t>
      </w:r>
      <w:r>
        <w:rPr/>
        <w:t>insight</w:t>
      </w:r>
      <w:r>
        <w:rPr>
          <w:spacing w:val="-14"/>
        </w:rPr>
        <w:t> </w:t>
      </w:r>
      <w:r>
        <w:rPr/>
        <w:t>into</w:t>
      </w:r>
      <w:r>
        <w:rPr>
          <w:spacing w:val="-14"/>
        </w:rPr>
        <w:t> </w:t>
      </w:r>
      <w:r>
        <w:rPr/>
        <w:t>and</w:t>
      </w:r>
    </w:p>
    <w:p>
      <w:pPr>
        <w:pStyle w:val="BodyText"/>
        <w:spacing w:line="249" w:lineRule="auto"/>
        <w:ind w:left="107" w:right="162"/>
      </w:pPr>
      <w:r>
        <w:rPr/>
        <w:t>understanding of their cultural protocols and sensitivities. They share their knowledge, they tell us their stories, they educate us</w:t>
      </w:r>
    </w:p>
    <w:p>
      <w:pPr>
        <w:pStyle w:val="BodyText"/>
        <w:spacing w:line="249" w:lineRule="auto"/>
        <w:ind w:left="107" w:right="121"/>
      </w:pPr>
      <w:r>
        <w:rPr/>
        <w:t>on their histories and they teach us their languages</w:t>
      </w:r>
      <w:r>
        <w:rPr>
          <w:spacing w:val="-15"/>
        </w:rPr>
        <w:t> </w:t>
      </w:r>
      <w:r>
        <w:rPr/>
        <w:t>so</w:t>
      </w:r>
      <w:r>
        <w:rPr>
          <w:spacing w:val="-15"/>
        </w:rPr>
        <w:t> </w:t>
      </w:r>
      <w:r>
        <w:rPr/>
        <w:t>that</w:t>
      </w:r>
      <w:r>
        <w:rPr>
          <w:spacing w:val="-15"/>
        </w:rPr>
        <w:t> </w:t>
      </w:r>
      <w:r>
        <w:rPr/>
        <w:t>we</w:t>
      </w:r>
      <w:r>
        <w:rPr>
          <w:spacing w:val="-15"/>
        </w:rPr>
        <w:t> </w:t>
      </w:r>
      <w:r>
        <w:rPr/>
        <w:t>can</w:t>
      </w:r>
      <w:r>
        <w:rPr>
          <w:spacing w:val="-15"/>
        </w:rPr>
        <w:t> </w:t>
      </w:r>
      <w:r>
        <w:rPr/>
        <w:t>grow</w:t>
      </w:r>
      <w:r>
        <w:rPr>
          <w:spacing w:val="-15"/>
        </w:rPr>
        <w:t> </w:t>
      </w:r>
      <w:r>
        <w:rPr/>
        <w:t>closer</w:t>
      </w:r>
      <w:r>
        <w:rPr>
          <w:spacing w:val="-15"/>
        </w:rPr>
        <w:t> </w:t>
      </w:r>
      <w:r>
        <w:rPr/>
        <w:t>through understanding</w:t>
      </w:r>
      <w:r>
        <w:rPr>
          <w:spacing w:val="-19"/>
        </w:rPr>
        <w:t> </w:t>
      </w:r>
      <w:r>
        <w:rPr/>
        <w:t>and</w:t>
      </w:r>
      <w:r>
        <w:rPr>
          <w:spacing w:val="-19"/>
        </w:rPr>
        <w:t> </w:t>
      </w:r>
      <w:r>
        <w:rPr/>
        <w:t>mutual</w:t>
      </w:r>
      <w:r>
        <w:rPr>
          <w:spacing w:val="-19"/>
        </w:rPr>
        <w:t> </w:t>
      </w:r>
      <w:r>
        <w:rPr/>
        <w:t>respect.</w:t>
      </w:r>
    </w:p>
    <w:p>
      <w:pPr>
        <w:pStyle w:val="BodyText"/>
        <w:rPr>
          <w:sz w:val="14"/>
        </w:rPr>
      </w:pPr>
    </w:p>
    <w:p>
      <w:pPr>
        <w:pStyle w:val="BodyText"/>
        <w:spacing w:line="249" w:lineRule="auto"/>
        <w:ind w:left="107" w:right="255"/>
      </w:pPr>
      <w:r>
        <w:rPr/>
        <w:t>Congratulations to our Elders on Campus for</w:t>
      </w:r>
      <w:r>
        <w:rPr>
          <w:spacing w:val="-16"/>
        </w:rPr>
        <w:t> </w:t>
      </w:r>
      <w:r>
        <w:rPr/>
        <w:t>receiving</w:t>
      </w:r>
      <w:r>
        <w:rPr>
          <w:spacing w:val="-16"/>
        </w:rPr>
        <w:t> </w:t>
      </w:r>
      <w:r>
        <w:rPr/>
        <w:t>the</w:t>
      </w:r>
      <w:r>
        <w:rPr>
          <w:spacing w:val="-16"/>
        </w:rPr>
        <w:t> </w:t>
      </w:r>
      <w:r>
        <w:rPr/>
        <w:t>Aboriginal</w:t>
      </w:r>
      <w:r>
        <w:rPr>
          <w:spacing w:val="-16"/>
        </w:rPr>
        <w:t> </w:t>
      </w:r>
      <w:r>
        <w:rPr/>
        <w:t>and</w:t>
      </w:r>
      <w:r>
        <w:rPr>
          <w:spacing w:val="-16"/>
        </w:rPr>
        <w:t> </w:t>
      </w:r>
      <w:r>
        <w:rPr/>
        <w:t>Torres</w:t>
      </w:r>
      <w:r>
        <w:rPr>
          <w:spacing w:val="-16"/>
        </w:rPr>
        <w:t> </w:t>
      </w:r>
      <w:r>
        <w:rPr/>
        <w:t>Strait Islander Advisory Council Elders National Group Award for contributions in higher education. Congratulations to Aunty Jean South,</w:t>
      </w:r>
      <w:r>
        <w:rPr>
          <w:spacing w:val="-20"/>
        </w:rPr>
        <w:t> </w:t>
      </w:r>
      <w:r>
        <w:rPr/>
        <w:t>Elder</w:t>
      </w:r>
      <w:r>
        <w:rPr>
          <w:spacing w:val="-20"/>
        </w:rPr>
        <w:t> </w:t>
      </w:r>
      <w:r>
        <w:rPr/>
        <w:t>in</w:t>
      </w:r>
      <w:r>
        <w:rPr>
          <w:spacing w:val="-20"/>
        </w:rPr>
        <w:t> </w:t>
      </w:r>
      <w:r>
        <w:rPr/>
        <w:t>Residence,</w:t>
      </w:r>
      <w:r>
        <w:rPr>
          <w:spacing w:val="-20"/>
        </w:rPr>
        <w:t> </w:t>
      </w:r>
      <w:r>
        <w:rPr/>
        <w:t>for</w:t>
      </w:r>
      <w:r>
        <w:rPr>
          <w:spacing w:val="-20"/>
        </w:rPr>
        <w:t> </w:t>
      </w:r>
      <w:r>
        <w:rPr/>
        <w:t>receiving</w:t>
      </w:r>
      <w:r>
        <w:rPr>
          <w:spacing w:val="-20"/>
        </w:rPr>
        <w:t> </w:t>
      </w:r>
      <w:r>
        <w:rPr/>
        <w:t>the</w:t>
      </w:r>
    </w:p>
    <w:p>
      <w:pPr>
        <w:pStyle w:val="BodyText"/>
        <w:spacing w:line="249" w:lineRule="auto"/>
        <w:ind w:left="107" w:right="121"/>
        <w:jc w:val="both"/>
      </w:pPr>
      <w:r>
        <w:rPr/>
        <w:t>council’s Elders National Individual Award for contributions</w:t>
      </w:r>
      <w:r>
        <w:rPr>
          <w:spacing w:val="-19"/>
        </w:rPr>
        <w:t> </w:t>
      </w:r>
      <w:r>
        <w:rPr/>
        <w:t>in</w:t>
      </w:r>
      <w:r>
        <w:rPr>
          <w:spacing w:val="-19"/>
        </w:rPr>
        <w:t> </w:t>
      </w:r>
      <w:r>
        <w:rPr/>
        <w:t>higher</w:t>
      </w:r>
      <w:r>
        <w:rPr>
          <w:spacing w:val="-19"/>
        </w:rPr>
        <w:t> </w:t>
      </w:r>
      <w:r>
        <w:rPr/>
        <w:t>education.</w:t>
      </w:r>
      <w:r>
        <w:rPr>
          <w:spacing w:val="-19"/>
        </w:rPr>
        <w:t> </w:t>
      </w:r>
      <w:r>
        <w:rPr/>
        <w:t>The</w:t>
      </w:r>
      <w:r>
        <w:rPr>
          <w:spacing w:val="-19"/>
        </w:rPr>
        <w:t> </w:t>
      </w:r>
      <w:r>
        <w:rPr/>
        <w:t>awards </w:t>
      </w:r>
      <w:r>
        <w:rPr>
          <w:w w:val="97"/>
        </w:rPr>
        <w:t>were</w:t>
      </w:r>
      <w:r>
        <w:rPr>
          <w:spacing w:val="-8"/>
          <w:w w:val="97"/>
        </w:rPr>
        <w:t> </w:t>
      </w:r>
      <w:r>
        <w:rPr>
          <w:spacing w:val="1"/>
          <w:w w:val="97"/>
        </w:rPr>
        <w:t>presented</w:t>
      </w:r>
      <w:r>
        <w:rPr>
          <w:spacing w:val="-8"/>
          <w:w w:val="97"/>
        </w:rPr>
        <w:t> </w:t>
      </w:r>
      <w:r>
        <w:rPr>
          <w:w w:val="95"/>
        </w:rPr>
        <w:t>in</w:t>
      </w:r>
      <w:r>
        <w:rPr>
          <w:spacing w:val="-7"/>
          <w:w w:val="95"/>
        </w:rPr>
        <w:t> </w:t>
      </w:r>
      <w:r>
        <w:rPr>
          <w:spacing w:val="1"/>
          <w:w w:val="97"/>
        </w:rPr>
        <w:t>Melbourne</w:t>
      </w:r>
      <w:r>
        <w:rPr>
          <w:spacing w:val="-8"/>
          <w:w w:val="97"/>
        </w:rPr>
        <w:t> </w:t>
      </w:r>
      <w:r>
        <w:rPr>
          <w:spacing w:val="1"/>
          <w:w w:val="98"/>
        </w:rPr>
        <w:t>on</w:t>
      </w:r>
      <w:r>
        <w:rPr>
          <w:spacing w:val="-9"/>
          <w:w w:val="98"/>
        </w:rPr>
        <w:t> </w:t>
      </w:r>
      <w:r>
        <w:rPr>
          <w:spacing w:val="-2"/>
          <w:w w:val="98"/>
        </w:rPr>
        <w:t>24</w:t>
      </w:r>
      <w:r>
        <w:rPr>
          <w:spacing w:val="-9"/>
          <w:w w:val="98"/>
        </w:rPr>
        <w:t> </w:t>
      </w:r>
      <w:r>
        <w:rPr>
          <w:spacing w:val="1"/>
          <w:w w:val="98"/>
        </w:rPr>
        <w:t>June</w:t>
      </w:r>
      <w:r>
        <w:rPr>
          <w:spacing w:val="-9"/>
          <w:w w:val="98"/>
        </w:rPr>
        <w:t> </w:t>
      </w:r>
      <w:r>
        <w:rPr>
          <w:spacing w:val="1"/>
          <w:w w:val="84"/>
        </w:rPr>
        <w:t>2015.</w:t>
      </w:r>
    </w:p>
    <w:p>
      <w:pPr>
        <w:pStyle w:val="BodyText"/>
        <w:spacing w:before="7"/>
        <w:rPr>
          <w:sz w:val="21"/>
        </w:rPr>
      </w:pPr>
    </w:p>
    <w:p>
      <w:pPr>
        <w:pStyle w:val="Heading8"/>
        <w:ind w:right="287"/>
      </w:pPr>
      <w:r>
        <w:rPr>
          <w:w w:val="95"/>
        </w:rPr>
        <w:t>ENGAGEMENT ACTIVITIES</w:t>
      </w:r>
    </w:p>
    <w:p>
      <w:pPr>
        <w:pStyle w:val="BodyText"/>
        <w:spacing w:before="86"/>
        <w:ind w:left="107" w:right="287"/>
      </w:pPr>
      <w:r>
        <w:rPr/>
        <w:t>OATSIEE manages and coordinates:</w:t>
      </w:r>
    </w:p>
    <w:p>
      <w:pPr>
        <w:pStyle w:val="BodyText"/>
        <w:spacing w:before="7"/>
        <w:rPr>
          <w:sz w:val="14"/>
        </w:rPr>
      </w:pPr>
    </w:p>
    <w:p>
      <w:pPr>
        <w:pStyle w:val="BodyText"/>
        <w:spacing w:line="247" w:lineRule="auto"/>
        <w:ind w:left="333" w:right="121" w:hanging="227"/>
      </w:pPr>
      <w:r>
        <w:rPr>
          <w:rFonts w:ascii="Century Gothic" w:hAnsi="Century Gothic"/>
          <w:b/>
          <w:w w:val="115"/>
        </w:rPr>
        <w:t>≥  </w:t>
      </w:r>
      <w:r>
        <w:rPr/>
        <w:t>the quarterly meetings of the Aboriginal and</w:t>
      </w:r>
      <w:r>
        <w:rPr>
          <w:spacing w:val="-23"/>
        </w:rPr>
        <w:t> </w:t>
      </w:r>
      <w:r>
        <w:rPr/>
        <w:t>Torres</w:t>
      </w:r>
      <w:r>
        <w:rPr>
          <w:spacing w:val="-23"/>
        </w:rPr>
        <w:t> </w:t>
      </w:r>
      <w:r>
        <w:rPr/>
        <w:t>Strait</w:t>
      </w:r>
      <w:r>
        <w:rPr>
          <w:spacing w:val="-23"/>
        </w:rPr>
        <w:t> </w:t>
      </w:r>
      <w:r>
        <w:rPr/>
        <w:t>Islander</w:t>
      </w:r>
      <w:r>
        <w:rPr>
          <w:spacing w:val="-23"/>
        </w:rPr>
        <w:t> </w:t>
      </w:r>
      <w:r>
        <w:rPr/>
        <w:t>Employment</w:t>
      </w:r>
      <w:r>
        <w:rPr>
          <w:spacing w:val="-23"/>
        </w:rPr>
        <w:t> </w:t>
      </w:r>
      <w:r>
        <w:rPr/>
        <w:t>and Engagement Advisory</w:t>
      </w:r>
      <w:r>
        <w:rPr>
          <w:spacing w:val="1"/>
        </w:rPr>
        <w:t> </w:t>
      </w:r>
      <w:r>
        <w:rPr/>
        <w:t>Board</w:t>
      </w:r>
    </w:p>
    <w:p>
      <w:pPr>
        <w:pStyle w:val="BodyText"/>
        <w:spacing w:line="247" w:lineRule="auto" w:before="57"/>
        <w:ind w:left="333" w:right="121" w:hanging="227"/>
      </w:pPr>
      <w:r>
        <w:rPr>
          <w:rFonts w:ascii="Century Gothic" w:hAnsi="Century Gothic"/>
          <w:b/>
          <w:w w:val="115"/>
        </w:rPr>
        <w:t>≥ </w:t>
      </w:r>
      <w:r>
        <w:rPr>
          <w:w w:val="105"/>
        </w:rPr>
        <w:t>University-sponsored ‘Welcome to </w:t>
      </w:r>
      <w:r>
        <w:rPr/>
        <w:t>Country’ addresses, and celebratory and ceremonial events</w:t>
      </w:r>
    </w:p>
    <w:p>
      <w:pPr>
        <w:pStyle w:val="BodyText"/>
        <w:spacing w:line="244" w:lineRule="auto" w:before="57"/>
        <w:ind w:left="333" w:right="599" w:hanging="227"/>
      </w:pPr>
      <w:r>
        <w:rPr>
          <w:rFonts w:ascii="Century Gothic" w:hAnsi="Century Gothic"/>
          <w:b/>
          <w:w w:val="115"/>
        </w:rPr>
        <w:t>≥</w:t>
      </w:r>
      <w:r>
        <w:rPr>
          <w:rFonts w:ascii="Century Gothic" w:hAnsi="Century Gothic"/>
          <w:b/>
          <w:spacing w:val="-1"/>
          <w:w w:val="115"/>
        </w:rPr>
        <w:t> </w:t>
      </w:r>
      <w:r>
        <w:rPr>
          <w:w w:val="105"/>
        </w:rPr>
        <w:t>Aboriginal</w:t>
      </w:r>
      <w:r>
        <w:rPr>
          <w:spacing w:val="-33"/>
          <w:w w:val="105"/>
        </w:rPr>
        <w:t> </w:t>
      </w:r>
      <w:r>
        <w:rPr>
          <w:w w:val="105"/>
        </w:rPr>
        <w:t>and</w:t>
      </w:r>
      <w:r>
        <w:rPr>
          <w:spacing w:val="-33"/>
          <w:w w:val="105"/>
        </w:rPr>
        <w:t> </w:t>
      </w:r>
      <w:r>
        <w:rPr>
          <w:w w:val="105"/>
        </w:rPr>
        <w:t>Torres</w:t>
      </w:r>
      <w:r>
        <w:rPr>
          <w:spacing w:val="-33"/>
          <w:w w:val="105"/>
        </w:rPr>
        <w:t> </w:t>
      </w:r>
      <w:r>
        <w:rPr>
          <w:w w:val="105"/>
        </w:rPr>
        <w:t>Strait</w:t>
      </w:r>
      <w:r>
        <w:rPr>
          <w:spacing w:val="-33"/>
          <w:w w:val="105"/>
        </w:rPr>
        <w:t> </w:t>
      </w:r>
      <w:r>
        <w:rPr>
          <w:w w:val="105"/>
        </w:rPr>
        <w:t>Islander </w:t>
      </w:r>
      <w:r>
        <w:rPr/>
        <w:t>workplace</w:t>
      </w:r>
      <w:r>
        <w:rPr>
          <w:spacing w:val="-23"/>
        </w:rPr>
        <w:t> </w:t>
      </w:r>
      <w:r>
        <w:rPr/>
        <w:t>relations</w:t>
      </w:r>
    </w:p>
    <w:p>
      <w:pPr>
        <w:pStyle w:val="BodyText"/>
        <w:spacing w:line="247" w:lineRule="auto" w:before="58"/>
        <w:ind w:left="333" w:right="287" w:hanging="227"/>
      </w:pPr>
      <w:r>
        <w:rPr>
          <w:rFonts w:ascii="Century Gothic" w:hAnsi="Century Gothic"/>
          <w:b/>
          <w:w w:val="115"/>
        </w:rPr>
        <w:t>≥ </w:t>
      </w:r>
      <w:r>
        <w:rPr/>
        <w:t>the NAIDOC Week Annual Online Quiz, aimed at engaging members of the University community</w:t>
      </w:r>
    </w:p>
    <w:p>
      <w:pPr>
        <w:pStyle w:val="BodyText"/>
        <w:spacing w:line="247" w:lineRule="auto" w:before="57"/>
        <w:ind w:left="333" w:right="153" w:hanging="227"/>
      </w:pPr>
      <w:r>
        <w:rPr>
          <w:rFonts w:ascii="Century Gothic" w:hAnsi="Century Gothic"/>
          <w:b/>
          <w:w w:val="115"/>
        </w:rPr>
        <w:t>≥ </w:t>
      </w:r>
      <w:r>
        <w:rPr/>
        <w:t>the annual Yarramundi Lecture, which provides the University community with an opportunity to honour contributions to contemporary culture by Aboriginal and Torres Strait Islander peoples.</w:t>
      </w:r>
    </w:p>
    <w:p>
      <w:pPr>
        <w:spacing w:after="0" w:line="247" w:lineRule="auto"/>
        <w:sectPr>
          <w:type w:val="continuous"/>
          <w:pgSz w:w="11910" w:h="16840"/>
          <w:pgMar w:top="1580" w:bottom="280" w:left="800" w:right="800"/>
          <w:cols w:num="3" w:equalWidth="0">
            <w:col w:w="3320" w:space="119"/>
            <w:col w:w="3320" w:space="119"/>
            <w:col w:w="3432"/>
          </w:cols>
        </w:sectPr>
      </w:pPr>
    </w:p>
    <w:p>
      <w:pPr>
        <w:pStyle w:val="BodyText"/>
        <w:spacing w:before="10"/>
        <w:rPr>
          <w:sz w:val="28"/>
        </w:rPr>
      </w:pPr>
    </w:p>
    <w:p>
      <w:pPr>
        <w:pStyle w:val="Heading2"/>
        <w:ind w:right="7953"/>
        <w:rPr>
          <w:b w:val="0"/>
        </w:rPr>
      </w:pPr>
      <w:r>
        <w:rPr>
          <w:b w:val="0"/>
        </w:rPr>
        <w:t>Learning </w:t>
      </w:r>
      <w:r>
        <w:rPr>
          <w:b w:val="0"/>
          <w:spacing w:val="-3"/>
        </w:rPr>
        <w:t>and</w:t>
      </w:r>
      <w:r>
        <w:rPr>
          <w:b w:val="0"/>
          <w:spacing w:val="-2"/>
        </w:rPr>
        <w:t> </w:t>
      </w:r>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46"/>
          <w:footerReference w:type="default" r:id="rId47"/>
          <w:pgSz w:w="11910" w:h="16840"/>
          <w:pgMar w:footer="473" w:header="494" w:top="680" w:bottom="660" w:left="800" w:right="800"/>
        </w:sectPr>
      </w:pPr>
    </w:p>
    <w:p>
      <w:pPr>
        <w:pStyle w:val="BodyText"/>
        <w:spacing w:before="9"/>
        <w:rPr>
          <w:rFonts w:ascii="Chronicle Text G1"/>
          <w:b w:val="0"/>
          <w:sz w:val="18"/>
        </w:rPr>
      </w:pPr>
    </w:p>
    <w:p>
      <w:pPr>
        <w:pStyle w:val="Heading8"/>
        <w:ind w:right="-17"/>
      </w:pPr>
      <w:r>
        <w:rPr>
          <w:w w:val="95"/>
        </w:rPr>
        <w:t>ENGAGEMENT PROJECTS</w:t>
      </w:r>
    </w:p>
    <w:p>
      <w:pPr>
        <w:pStyle w:val="BodyText"/>
        <w:spacing w:line="249" w:lineRule="auto" w:before="86"/>
        <w:ind w:left="107" w:right="-17"/>
      </w:pPr>
      <w:r>
        <w:rPr/>
        <w:t>As </w:t>
      </w:r>
      <w:r>
        <w:rPr>
          <w:spacing w:val="2"/>
        </w:rPr>
        <w:t>part </w:t>
      </w:r>
      <w:r>
        <w:rPr/>
        <w:t>of the University’s 25th Anniversary celebrations,</w:t>
      </w:r>
      <w:r>
        <w:rPr>
          <w:spacing w:val="-19"/>
        </w:rPr>
        <w:t> </w:t>
      </w:r>
      <w:r>
        <w:rPr/>
        <w:t>OATSIEE</w:t>
      </w:r>
      <w:r>
        <w:rPr>
          <w:spacing w:val="-19"/>
        </w:rPr>
        <w:t> </w:t>
      </w:r>
      <w:r>
        <w:rPr/>
        <w:t>led</w:t>
      </w:r>
      <w:r>
        <w:rPr>
          <w:spacing w:val="-19"/>
        </w:rPr>
        <w:t> </w:t>
      </w:r>
      <w:r>
        <w:rPr/>
        <w:t>the</w:t>
      </w:r>
      <w:r>
        <w:rPr>
          <w:spacing w:val="-19"/>
        </w:rPr>
        <w:t> </w:t>
      </w:r>
      <w:r>
        <w:rPr/>
        <w:t>Generations</w:t>
      </w:r>
      <w:r>
        <w:rPr>
          <w:spacing w:val="-19"/>
        </w:rPr>
        <w:t> </w:t>
      </w:r>
      <w:r>
        <w:rPr/>
        <w:t>of Knowledge</w:t>
      </w:r>
      <w:r>
        <w:rPr>
          <w:spacing w:val="-15"/>
        </w:rPr>
        <w:t> </w:t>
      </w:r>
      <w:r>
        <w:rPr/>
        <w:t>project,</w:t>
      </w:r>
      <w:r>
        <w:rPr>
          <w:spacing w:val="-15"/>
        </w:rPr>
        <w:t> </w:t>
      </w:r>
      <w:r>
        <w:rPr/>
        <w:t>which</w:t>
      </w:r>
      <w:r>
        <w:rPr>
          <w:spacing w:val="-15"/>
        </w:rPr>
        <w:t> </w:t>
      </w:r>
      <w:r>
        <w:rPr/>
        <w:t>traced</w:t>
      </w:r>
      <w:r>
        <w:rPr>
          <w:spacing w:val="-15"/>
        </w:rPr>
        <w:t> </w:t>
      </w:r>
      <w:r>
        <w:rPr/>
        <w:t>many</w:t>
      </w:r>
      <w:r>
        <w:rPr>
          <w:spacing w:val="-15"/>
        </w:rPr>
        <w:t> </w:t>
      </w:r>
      <w:r>
        <w:rPr/>
        <w:t>of</w:t>
      </w:r>
      <w:r>
        <w:rPr>
          <w:spacing w:val="-15"/>
        </w:rPr>
        <w:t> </w:t>
      </w:r>
      <w:r>
        <w:rPr/>
        <w:t>the lives and clanal journeys that have inscribed ‘dream tracks’ across Western Sydney, and how these illustrate major turning points in the</w:t>
      </w:r>
      <w:r>
        <w:rPr>
          <w:spacing w:val="-19"/>
        </w:rPr>
        <w:t> </w:t>
      </w:r>
      <w:r>
        <w:rPr/>
        <w:t>University’s</w:t>
      </w:r>
      <w:r>
        <w:rPr>
          <w:spacing w:val="-19"/>
        </w:rPr>
        <w:t> </w:t>
      </w:r>
      <w:r>
        <w:rPr/>
        <w:t>history</w:t>
      </w:r>
      <w:r>
        <w:rPr>
          <w:spacing w:val="-19"/>
        </w:rPr>
        <w:t> </w:t>
      </w:r>
      <w:r>
        <w:rPr/>
        <w:t>and</w:t>
      </w:r>
      <w:r>
        <w:rPr>
          <w:spacing w:val="-19"/>
        </w:rPr>
        <w:t> </w:t>
      </w:r>
      <w:r>
        <w:rPr/>
        <w:t>development.</w:t>
      </w:r>
      <w:r>
        <w:rPr>
          <w:spacing w:val="-19"/>
        </w:rPr>
        <w:t> </w:t>
      </w:r>
      <w:r>
        <w:rPr/>
        <w:t>This knowledge was recorded and authored with the</w:t>
      </w:r>
      <w:r>
        <w:rPr>
          <w:spacing w:val="-22"/>
        </w:rPr>
        <w:t> </w:t>
      </w:r>
      <w:r>
        <w:rPr/>
        <w:t>Elders’</w:t>
      </w:r>
      <w:r>
        <w:rPr>
          <w:spacing w:val="-22"/>
        </w:rPr>
        <w:t> </w:t>
      </w:r>
      <w:r>
        <w:rPr/>
        <w:t>guidance.</w:t>
      </w:r>
    </w:p>
    <w:p>
      <w:pPr>
        <w:pStyle w:val="BodyText"/>
        <w:rPr>
          <w:sz w:val="14"/>
        </w:rPr>
      </w:pPr>
    </w:p>
    <w:p>
      <w:pPr>
        <w:pStyle w:val="BodyText"/>
        <w:ind w:left="107" w:right="-17"/>
      </w:pPr>
      <w:r>
        <w:rPr/>
        <w:t>Key project outcomes included:</w:t>
      </w:r>
    </w:p>
    <w:p>
      <w:pPr>
        <w:pStyle w:val="BodyText"/>
        <w:spacing w:before="7"/>
        <w:rPr>
          <w:sz w:val="14"/>
        </w:rPr>
      </w:pPr>
    </w:p>
    <w:p>
      <w:pPr>
        <w:pStyle w:val="BodyText"/>
        <w:spacing w:line="247" w:lineRule="auto"/>
        <w:ind w:left="333" w:right="124" w:hanging="227"/>
        <w:rPr>
          <w:rFonts w:ascii="Calibri" w:hAnsi="Calibri"/>
        </w:rPr>
      </w:pPr>
      <w:r>
        <w:rPr>
          <w:rFonts w:ascii="Century Gothic" w:hAnsi="Century Gothic"/>
          <w:b/>
          <w:w w:val="115"/>
        </w:rPr>
        <w:t>≥ </w:t>
      </w:r>
      <w:r>
        <w:rPr/>
        <w:t>Generations of Knowledge exhibitions, including the ‘Virtual World Pre-Contact </w:t>
      </w:r>
      <w:r>
        <w:rPr>
          <w:w w:val="89"/>
        </w:rPr>
        <w:t>1770’ </w:t>
      </w:r>
      <w:r>
        <w:rPr>
          <w:w w:val="97"/>
        </w:rPr>
        <w:t>cultural </w:t>
      </w:r>
      <w:r>
        <w:rPr>
          <w:w w:val="95"/>
        </w:rPr>
        <w:t>exhibition. </w:t>
      </w:r>
      <w:r>
        <w:rPr>
          <w:w w:val="96"/>
        </w:rPr>
        <w:t>See </w:t>
      </w:r>
      <w:r>
        <w:rPr>
          <w:rFonts w:ascii="Calibri" w:hAnsi="Calibri"/>
        </w:rPr>
        <w:t>theage.com.au/national/virtual- dreaming--indigenous-australia- restored-in-the-digital-world-20151211- gllw5g</w:t>
      </w:r>
    </w:p>
    <w:p>
      <w:pPr>
        <w:pStyle w:val="BodyText"/>
        <w:spacing w:before="47"/>
        <w:ind w:left="107" w:right="-17"/>
      </w:pPr>
      <w:r>
        <w:rPr>
          <w:rFonts w:ascii="Century Gothic" w:hAnsi="Century Gothic"/>
          <w:b/>
          <w:w w:val="105"/>
        </w:rPr>
        <w:t>≥ </w:t>
      </w:r>
      <w:r>
        <w:rPr>
          <w:w w:val="105"/>
        </w:rPr>
        <w:t>OATSIEE website</w:t>
      </w:r>
    </w:p>
    <w:p>
      <w:pPr>
        <w:pStyle w:val="BodyText"/>
        <w:spacing w:line="244" w:lineRule="auto" w:before="60"/>
        <w:ind w:left="333" w:right="-17" w:hanging="227"/>
        <w:rPr>
          <w:rFonts w:ascii="Calibri" w:hAnsi="Calibri"/>
        </w:rPr>
      </w:pPr>
      <w:r>
        <w:rPr>
          <w:rFonts w:ascii="Century Gothic" w:hAnsi="Century Gothic"/>
          <w:b/>
          <w:w w:val="115"/>
        </w:rPr>
        <w:t>≥ </w:t>
      </w:r>
      <w:r>
        <w:rPr/>
        <w:t>a limited-edition </w:t>
      </w:r>
      <w:r>
        <w:rPr>
          <w:rFonts w:ascii="Century Gothic" w:hAnsi="Century Gothic"/>
          <w:i/>
        </w:rPr>
        <w:t>Generations of </w:t>
      </w:r>
      <w:r>
        <w:rPr>
          <w:rFonts w:ascii="Century Gothic" w:hAnsi="Century Gothic"/>
          <w:i/>
        </w:rPr>
        <w:t>Knowledge </w:t>
      </w:r>
      <w:r>
        <w:rPr/>
        <w:t>commemorative book and ebook. See </w:t>
      </w:r>
      <w:r>
        <w:rPr>
          <w:rFonts w:ascii="Calibri" w:hAnsi="Calibri"/>
        </w:rPr>
        <w:t>issuu.com/uwspublications/ docs/ext5218_yarramundi_lecture_gok_ book?e=3800682/10388401</w:t>
      </w:r>
    </w:p>
    <w:p>
      <w:pPr>
        <w:pStyle w:val="BodyText"/>
        <w:spacing w:before="8"/>
        <w:rPr>
          <w:rFonts w:ascii="Calibri"/>
          <w:sz w:val="23"/>
        </w:rPr>
      </w:pPr>
    </w:p>
    <w:p>
      <w:pPr>
        <w:pStyle w:val="Heading5"/>
        <w:spacing w:line="260" w:lineRule="exact"/>
        <w:ind w:right="15"/>
      </w:pPr>
      <w:bookmarkStart w:name="_TOC_250003" w:id="22"/>
      <w:r>
        <w:rPr>
          <w:spacing w:val="-4"/>
          <w:w w:val="95"/>
        </w:rPr>
        <w:t>MULTICULTURAL </w:t>
      </w:r>
      <w:r>
        <w:rPr>
          <w:w w:val="95"/>
        </w:rPr>
        <w:t>POLICY AND </w:t>
      </w:r>
      <w:bookmarkEnd w:id="22"/>
      <w:r>
        <w:rPr/>
        <w:t>SERVICES</w:t>
      </w:r>
    </w:p>
    <w:p>
      <w:pPr>
        <w:pStyle w:val="BodyText"/>
        <w:spacing w:line="249" w:lineRule="auto" w:before="214"/>
        <w:ind w:left="107" w:right="-17"/>
      </w:pPr>
      <w:r>
        <w:rPr/>
        <w:t>The strength of Western Sydney University is its diverse student population. The University continues to build on this strength by expanding opportunities for all students and supporting a flourishing inclusive culture.</w:t>
      </w:r>
    </w:p>
    <w:p>
      <w:pPr>
        <w:pStyle w:val="BodyText"/>
        <w:spacing w:before="7"/>
        <w:rPr>
          <w:sz w:val="21"/>
        </w:rPr>
      </w:pPr>
    </w:p>
    <w:p>
      <w:pPr>
        <w:pStyle w:val="Heading8"/>
        <w:spacing w:line="249" w:lineRule="auto"/>
        <w:ind w:right="-17"/>
      </w:pPr>
      <w:r>
        <w:rPr>
          <w:w w:val="95"/>
        </w:rPr>
        <w:t>SOCIAL COHESION AND </w:t>
      </w:r>
      <w:r>
        <w:rPr/>
        <w:t>MULTICULTURALISM</w:t>
      </w:r>
    </w:p>
    <w:p>
      <w:pPr>
        <w:pStyle w:val="BodyText"/>
        <w:spacing w:line="249" w:lineRule="auto" w:before="79"/>
        <w:ind w:left="107" w:right="35"/>
      </w:pPr>
      <w:r>
        <w:rPr>
          <w:spacing w:val="1"/>
          <w:w w:val="80"/>
        </w:rPr>
        <w:t>In</w:t>
      </w:r>
      <w:r>
        <w:rPr>
          <w:w w:val="80"/>
        </w:rPr>
        <w:t> </w:t>
      </w:r>
      <w:r>
        <w:rPr>
          <w:spacing w:val="1"/>
          <w:w w:val="100"/>
        </w:rPr>
        <w:t>July</w:t>
      </w:r>
      <w:r>
        <w:rPr>
          <w:w w:val="100"/>
        </w:rPr>
        <w:t> </w:t>
      </w:r>
      <w:r>
        <w:rPr>
          <w:spacing w:val="1"/>
          <w:w w:val="84"/>
        </w:rPr>
        <w:t>2015,</w:t>
      </w:r>
      <w:r>
        <w:rPr>
          <w:w w:val="84"/>
        </w:rPr>
        <w:t> </w:t>
      </w:r>
      <w:r>
        <w:rPr>
          <w:w w:val="97"/>
        </w:rPr>
        <w:t>the </w:t>
      </w:r>
      <w:r>
        <w:rPr>
          <w:spacing w:val="1"/>
          <w:w w:val="97"/>
        </w:rPr>
        <w:t>University</w:t>
      </w:r>
      <w:r>
        <w:rPr>
          <w:w w:val="97"/>
        </w:rPr>
        <w:t> </w:t>
      </w:r>
      <w:r>
        <w:rPr>
          <w:spacing w:val="1"/>
          <w:w w:val="98"/>
        </w:rPr>
        <w:t>hosted</w:t>
      </w:r>
      <w:r>
        <w:rPr>
          <w:w w:val="98"/>
        </w:rPr>
        <w:t> </w:t>
      </w:r>
      <w:r>
        <w:rPr>
          <w:w w:val="94"/>
        </w:rPr>
        <w:t>a </w:t>
      </w:r>
      <w:r>
        <w:rPr>
          <w:spacing w:val="1"/>
          <w:w w:val="97"/>
        </w:rPr>
        <w:t>highly</w:t>
      </w:r>
      <w:r>
        <w:rPr>
          <w:w w:val="97"/>
        </w:rPr>
        <w:t> </w:t>
      </w:r>
      <w:r>
        <w:rPr/>
        <w:t>successful Advancing Community Cohesion Conference,</w:t>
      </w:r>
      <w:r>
        <w:rPr>
          <w:spacing w:val="-17"/>
        </w:rPr>
        <w:t> </w:t>
      </w:r>
      <w:r>
        <w:rPr/>
        <w:t>bringing</w:t>
      </w:r>
      <w:r>
        <w:rPr>
          <w:spacing w:val="-17"/>
        </w:rPr>
        <w:t> </w:t>
      </w:r>
      <w:r>
        <w:rPr/>
        <w:t>together</w:t>
      </w:r>
      <w:r>
        <w:rPr>
          <w:spacing w:val="-17"/>
        </w:rPr>
        <w:t> </w:t>
      </w:r>
      <w:r>
        <w:rPr/>
        <w:t>Australian</w:t>
      </w:r>
      <w:r>
        <w:rPr>
          <w:spacing w:val="-17"/>
        </w:rPr>
        <w:t> </w:t>
      </w:r>
      <w:r>
        <w:rPr/>
        <w:t>and international experts on social cohesion and multicultural issues to discuss best practice for</w:t>
      </w:r>
      <w:r>
        <w:rPr>
          <w:spacing w:val="-12"/>
        </w:rPr>
        <w:t> </w:t>
      </w:r>
      <w:r>
        <w:rPr/>
        <w:t>promoting</w:t>
      </w:r>
      <w:r>
        <w:rPr>
          <w:spacing w:val="-12"/>
        </w:rPr>
        <w:t> </w:t>
      </w:r>
      <w:r>
        <w:rPr/>
        <w:t>and</w:t>
      </w:r>
      <w:r>
        <w:rPr>
          <w:spacing w:val="-12"/>
        </w:rPr>
        <w:t> </w:t>
      </w:r>
      <w:r>
        <w:rPr/>
        <w:t>developing</w:t>
      </w:r>
      <w:r>
        <w:rPr>
          <w:spacing w:val="-12"/>
        </w:rPr>
        <w:t> </w:t>
      </w:r>
      <w:r>
        <w:rPr/>
        <w:t>social</w:t>
      </w:r>
      <w:r>
        <w:rPr>
          <w:spacing w:val="-12"/>
        </w:rPr>
        <w:t> </w:t>
      </w:r>
      <w:r>
        <w:rPr/>
        <w:t>cohesion in</w:t>
      </w:r>
      <w:r>
        <w:rPr>
          <w:spacing w:val="-27"/>
        </w:rPr>
        <w:t> </w:t>
      </w:r>
      <w:r>
        <w:rPr/>
        <w:t>Australia.</w:t>
      </w:r>
    </w:p>
    <w:p>
      <w:pPr>
        <w:pStyle w:val="BodyText"/>
        <w:rPr>
          <w:sz w:val="14"/>
        </w:rPr>
      </w:pPr>
    </w:p>
    <w:p>
      <w:pPr>
        <w:pStyle w:val="BodyText"/>
        <w:spacing w:line="249" w:lineRule="auto"/>
        <w:ind w:left="107" w:right="37"/>
      </w:pPr>
      <w:r>
        <w:rPr/>
        <w:t>More than 350 participants attended, including government ministers and officials, researchers and community representatives from multicultural organisations and Muslim groups. The conference was opened by the Governor-General, His Excellency General</w:t>
      </w:r>
    </w:p>
    <w:p>
      <w:pPr>
        <w:pStyle w:val="BodyText"/>
        <w:spacing w:before="9"/>
      </w:pPr>
      <w:r>
        <w:rPr/>
        <w:br w:type="column"/>
      </w:r>
      <w:r>
        <w:rPr/>
      </w:r>
    </w:p>
    <w:p>
      <w:pPr>
        <w:pStyle w:val="BodyText"/>
        <w:spacing w:line="249" w:lineRule="auto" w:before="1"/>
        <w:ind w:left="107" w:right="230"/>
      </w:pPr>
      <w:r>
        <w:rPr/>
        <w:t>the Honourable Sir Peter Cosgrove, AK MC, and prominent speakers included Western Sydney University Chancellor Professor Peter Shergold, AC; Senator the</w:t>
      </w:r>
    </w:p>
    <w:p>
      <w:pPr>
        <w:pStyle w:val="BodyText"/>
        <w:spacing w:line="249" w:lineRule="auto"/>
        <w:ind w:left="107" w:right="-5"/>
      </w:pPr>
      <w:r>
        <w:rPr/>
        <w:t>Honourable Concetta Fierravanti-Wells, then Parliamentary Secretary to the Minister for Social</w:t>
      </w:r>
      <w:r>
        <w:rPr>
          <w:spacing w:val="-19"/>
        </w:rPr>
        <w:t> </w:t>
      </w:r>
      <w:r>
        <w:rPr/>
        <w:t>Services;</w:t>
      </w:r>
      <w:r>
        <w:rPr>
          <w:spacing w:val="-19"/>
        </w:rPr>
        <w:t> </w:t>
      </w:r>
      <w:r>
        <w:rPr/>
        <w:t>the</w:t>
      </w:r>
      <w:r>
        <w:rPr>
          <w:spacing w:val="-19"/>
        </w:rPr>
        <w:t> </w:t>
      </w:r>
      <w:r>
        <w:rPr/>
        <w:t>Honourable</w:t>
      </w:r>
      <w:r>
        <w:rPr>
          <w:spacing w:val="-19"/>
        </w:rPr>
        <w:t> </w:t>
      </w:r>
      <w:r>
        <w:rPr/>
        <w:t>Michael</w:t>
      </w:r>
      <w:r>
        <w:rPr>
          <w:spacing w:val="-19"/>
        </w:rPr>
        <w:t> </w:t>
      </w:r>
      <w:r>
        <w:rPr/>
        <w:t>Kirby, AC CMG; His Excellency Doctor </w:t>
      </w:r>
      <w:r>
        <w:rPr>
          <w:spacing w:val="2"/>
        </w:rPr>
        <w:t>Hassan </w:t>
      </w:r>
      <w:r>
        <w:rPr/>
        <w:t>El- Laithy,</w:t>
      </w:r>
      <w:r>
        <w:rPr>
          <w:spacing w:val="-13"/>
        </w:rPr>
        <w:t> </w:t>
      </w:r>
      <w:r>
        <w:rPr/>
        <w:t>then</w:t>
      </w:r>
      <w:r>
        <w:rPr>
          <w:spacing w:val="-13"/>
        </w:rPr>
        <w:t> </w:t>
      </w:r>
      <w:r>
        <w:rPr/>
        <w:t>Ambassador</w:t>
      </w:r>
      <w:r>
        <w:rPr>
          <w:spacing w:val="-13"/>
        </w:rPr>
        <w:t> </w:t>
      </w:r>
      <w:r>
        <w:rPr/>
        <w:t>of</w:t>
      </w:r>
      <w:r>
        <w:rPr>
          <w:spacing w:val="-13"/>
        </w:rPr>
        <w:t> </w:t>
      </w:r>
      <w:r>
        <w:rPr/>
        <w:t>the</w:t>
      </w:r>
      <w:r>
        <w:rPr>
          <w:spacing w:val="-13"/>
        </w:rPr>
        <w:t> </w:t>
      </w:r>
      <w:r>
        <w:rPr/>
        <w:t>Arab</w:t>
      </w:r>
      <w:r>
        <w:rPr>
          <w:spacing w:val="-13"/>
        </w:rPr>
        <w:t> </w:t>
      </w:r>
      <w:r>
        <w:rPr/>
        <w:t>Republic of</w:t>
      </w:r>
      <w:r>
        <w:rPr>
          <w:spacing w:val="-21"/>
        </w:rPr>
        <w:t> </w:t>
      </w:r>
      <w:r>
        <w:rPr/>
        <w:t>Egypt;</w:t>
      </w:r>
      <w:r>
        <w:rPr>
          <w:spacing w:val="-21"/>
        </w:rPr>
        <w:t> </w:t>
      </w:r>
      <w:r>
        <w:rPr/>
        <w:t>Dr</w:t>
      </w:r>
      <w:r>
        <w:rPr>
          <w:spacing w:val="-21"/>
        </w:rPr>
        <w:t> </w:t>
      </w:r>
      <w:r>
        <w:rPr/>
        <w:t>Tim</w:t>
      </w:r>
      <w:r>
        <w:rPr>
          <w:spacing w:val="-21"/>
        </w:rPr>
        <w:t> </w:t>
      </w:r>
      <w:r>
        <w:rPr/>
        <w:t>Soutphommasane,</w:t>
      </w:r>
      <w:r>
        <w:rPr>
          <w:spacing w:val="-21"/>
        </w:rPr>
        <w:t> </w:t>
      </w:r>
      <w:r>
        <w:rPr/>
        <w:t>Australia’s Race</w:t>
      </w:r>
      <w:r>
        <w:rPr>
          <w:spacing w:val="-25"/>
        </w:rPr>
        <w:t> </w:t>
      </w:r>
      <w:r>
        <w:rPr/>
        <w:t>Discrimination</w:t>
      </w:r>
      <w:r>
        <w:rPr>
          <w:spacing w:val="-25"/>
        </w:rPr>
        <w:t> </w:t>
      </w:r>
      <w:r>
        <w:rPr/>
        <w:t>Commissioner;</w:t>
      </w:r>
      <w:r>
        <w:rPr>
          <w:spacing w:val="-25"/>
        </w:rPr>
        <w:t> </w:t>
      </w:r>
      <w:r>
        <w:rPr/>
        <w:t>and</w:t>
      </w:r>
    </w:p>
    <w:p>
      <w:pPr>
        <w:pStyle w:val="BodyText"/>
        <w:spacing w:line="249" w:lineRule="auto"/>
        <w:ind w:left="107" w:right="207"/>
      </w:pPr>
      <w:r>
        <w:rPr/>
        <w:t>Tim Wilson, then Australian Human Rights Commissioner.</w:t>
      </w:r>
    </w:p>
    <w:p>
      <w:pPr>
        <w:pStyle w:val="BodyText"/>
        <w:spacing w:before="7"/>
        <w:rPr>
          <w:sz w:val="21"/>
        </w:rPr>
      </w:pPr>
    </w:p>
    <w:p>
      <w:pPr>
        <w:pStyle w:val="Heading8"/>
      </w:pPr>
      <w:r>
        <w:rPr>
          <w:w w:val="95"/>
        </w:rPr>
        <w:t>CHALLENGING RACISM</w:t>
      </w:r>
    </w:p>
    <w:p>
      <w:pPr>
        <w:pStyle w:val="BodyText"/>
        <w:spacing w:line="249" w:lineRule="auto" w:before="86"/>
        <w:ind w:left="107" w:right="52"/>
      </w:pPr>
      <w:r>
        <w:rPr/>
        <w:t>The University’s ‘Challenging Racism Project’ Team has been conducting important research on racism in Australia since 1998 that has helped to develop anti-racism tools and strategies which are readily available</w:t>
      </w:r>
    </w:p>
    <w:p>
      <w:pPr>
        <w:pStyle w:val="BodyText"/>
        <w:spacing w:line="249" w:lineRule="auto"/>
        <w:ind w:left="107" w:right="4"/>
      </w:pPr>
      <w:r>
        <w:rPr/>
        <w:t>for public use. An example is the Interactive National Map, which is based on the findings of more than 12 years of in-depth study and </w:t>
      </w:r>
      <w:r>
        <w:rPr>
          <w:w w:val="97"/>
        </w:rPr>
        <w:t>comprehensive </w:t>
      </w:r>
      <w:r>
        <w:rPr>
          <w:w w:val="97"/>
        </w:rPr>
        <w:t>surveys </w:t>
      </w:r>
      <w:r>
        <w:rPr>
          <w:w w:val="99"/>
        </w:rPr>
        <w:t>of </w:t>
      </w:r>
      <w:r>
        <w:rPr>
          <w:w w:val="97"/>
        </w:rPr>
        <w:t>more </w:t>
      </w:r>
      <w:r>
        <w:rPr>
          <w:spacing w:val="1"/>
          <w:w w:val="97"/>
        </w:rPr>
        <w:t>than</w:t>
      </w:r>
      <w:r>
        <w:rPr>
          <w:w w:val="97"/>
        </w:rPr>
        <w:t> </w:t>
      </w:r>
      <w:r>
        <w:rPr>
          <w:spacing w:val="2"/>
          <w:w w:val="88"/>
        </w:rPr>
        <w:t>12,500</w:t>
      </w:r>
      <w:r>
        <w:rPr>
          <w:w w:val="88"/>
        </w:rPr>
        <w:t> </w:t>
      </w:r>
      <w:r>
        <w:rPr/>
        <w:t>Australians. The map provides a clear picture of everyday Australians’ perspectives on issues of racism, ethnic-relations and cultural diversity.</w:t>
      </w:r>
      <w:r>
        <w:rPr>
          <w:spacing w:val="-24"/>
        </w:rPr>
        <w:t> </w:t>
      </w:r>
      <w:r>
        <w:rPr/>
        <w:t>State</w:t>
      </w:r>
      <w:r>
        <w:rPr>
          <w:spacing w:val="-24"/>
        </w:rPr>
        <w:t> </w:t>
      </w:r>
      <w:r>
        <w:rPr/>
        <w:t>comparisons</w:t>
      </w:r>
      <w:r>
        <w:rPr>
          <w:spacing w:val="-24"/>
        </w:rPr>
        <w:t> </w:t>
      </w:r>
      <w:r>
        <w:rPr/>
        <w:t>are</w:t>
      </w:r>
      <w:r>
        <w:rPr>
          <w:spacing w:val="-24"/>
        </w:rPr>
        <w:t> </w:t>
      </w:r>
      <w:r>
        <w:rPr/>
        <w:t>also</w:t>
      </w:r>
      <w:r>
        <w:rPr>
          <w:spacing w:val="-24"/>
        </w:rPr>
        <w:t> </w:t>
      </w:r>
      <w:r>
        <w:rPr/>
        <w:t>available, showing how attitudes and experiences vary across</w:t>
      </w:r>
      <w:r>
        <w:rPr>
          <w:spacing w:val="-28"/>
        </w:rPr>
        <w:t> </w:t>
      </w:r>
      <w:r>
        <w:rPr/>
        <w:t>Australia.</w:t>
      </w:r>
    </w:p>
    <w:p>
      <w:pPr>
        <w:pStyle w:val="BodyText"/>
        <w:rPr>
          <w:sz w:val="14"/>
        </w:rPr>
      </w:pPr>
    </w:p>
    <w:p>
      <w:pPr>
        <w:pStyle w:val="BodyText"/>
        <w:spacing w:line="249" w:lineRule="auto"/>
        <w:ind w:left="107" w:right="40"/>
      </w:pPr>
      <w:r>
        <w:rPr>
          <w:spacing w:val="1"/>
          <w:w w:val="80"/>
        </w:rPr>
        <w:t>In</w:t>
      </w:r>
      <w:r>
        <w:rPr>
          <w:w w:val="80"/>
        </w:rPr>
        <w:t> </w:t>
      </w:r>
      <w:r>
        <w:rPr>
          <w:spacing w:val="1"/>
          <w:w w:val="86"/>
        </w:rPr>
        <w:t>2014,</w:t>
      </w:r>
      <w:r>
        <w:rPr>
          <w:w w:val="86"/>
        </w:rPr>
        <w:t> </w:t>
      </w:r>
      <w:r>
        <w:rPr>
          <w:w w:val="97"/>
        </w:rPr>
        <w:t>the </w:t>
      </w:r>
      <w:r>
        <w:rPr>
          <w:spacing w:val="1"/>
          <w:w w:val="97"/>
        </w:rPr>
        <w:t>University</w:t>
      </w:r>
      <w:r>
        <w:rPr>
          <w:w w:val="97"/>
        </w:rPr>
        <w:t> </w:t>
      </w:r>
      <w:r>
        <w:rPr>
          <w:spacing w:val="1"/>
          <w:w w:val="99"/>
        </w:rPr>
        <w:t>conducted</w:t>
      </w:r>
      <w:r>
        <w:rPr>
          <w:w w:val="99"/>
        </w:rPr>
        <w:t> </w:t>
      </w:r>
      <w:r>
        <w:rPr>
          <w:w w:val="94"/>
        </w:rPr>
        <w:t>a</w:t>
      </w:r>
      <w:r>
        <w:rPr>
          <w:spacing w:val="-25"/>
          <w:w w:val="94"/>
        </w:rPr>
        <w:t> </w:t>
      </w:r>
      <w:r>
        <w:rPr>
          <w:spacing w:val="1"/>
          <w:w w:val="98"/>
        </w:rPr>
        <w:t>Bystander</w:t>
      </w:r>
      <w:r>
        <w:rPr>
          <w:w w:val="98"/>
        </w:rPr>
        <w:t> </w:t>
      </w:r>
      <w:r>
        <w:rPr/>
        <w:t>Anti-Racism Survey in conjunction with its Anti-Racism </w:t>
      </w:r>
      <w:r>
        <w:rPr>
          <w:spacing w:val="2"/>
        </w:rPr>
        <w:t>Campaign. </w:t>
      </w:r>
      <w:r>
        <w:rPr/>
        <w:t>Following evaluation and analysis of the survey and extensive testing, the Team produced four Bystander </w:t>
      </w:r>
      <w:r>
        <w:rPr>
          <w:spacing w:val="1"/>
          <w:w w:val="97"/>
        </w:rPr>
        <w:t>anti-racism</w:t>
      </w:r>
      <w:r>
        <w:rPr>
          <w:w w:val="97"/>
        </w:rPr>
        <w:t> </w:t>
      </w:r>
      <w:r>
        <w:rPr>
          <w:spacing w:val="1"/>
          <w:w w:val="98"/>
        </w:rPr>
        <w:t>campaign</w:t>
      </w:r>
      <w:r>
        <w:rPr>
          <w:w w:val="98"/>
        </w:rPr>
        <w:t> </w:t>
      </w:r>
      <w:r>
        <w:rPr>
          <w:spacing w:val="1"/>
          <w:w w:val="98"/>
        </w:rPr>
        <w:t>videos</w:t>
      </w:r>
      <w:r>
        <w:rPr>
          <w:w w:val="98"/>
        </w:rPr>
        <w:t> </w:t>
      </w:r>
      <w:r>
        <w:rPr>
          <w:w w:val="95"/>
        </w:rPr>
        <w:t>in </w:t>
      </w:r>
      <w:r>
        <w:rPr>
          <w:spacing w:val="1"/>
          <w:w w:val="88"/>
        </w:rPr>
        <w:t>2015</w:t>
      </w:r>
      <w:r>
        <w:rPr>
          <w:w w:val="88"/>
        </w:rPr>
        <w:t> </w:t>
      </w:r>
      <w:r>
        <w:rPr>
          <w:spacing w:val="-1"/>
          <w:w w:val="101"/>
        </w:rPr>
        <w:t>to</w:t>
      </w:r>
      <w:r>
        <w:rPr>
          <w:w w:val="101"/>
        </w:rPr>
        <w:t> </w:t>
      </w:r>
      <w:r>
        <w:rPr/>
        <w:t>educate</w:t>
      </w:r>
      <w:r>
        <w:rPr>
          <w:spacing w:val="-13"/>
        </w:rPr>
        <w:t> </w:t>
      </w:r>
      <w:r>
        <w:rPr/>
        <w:t>people</w:t>
      </w:r>
      <w:r>
        <w:rPr>
          <w:spacing w:val="-13"/>
        </w:rPr>
        <w:t> </w:t>
      </w:r>
      <w:r>
        <w:rPr/>
        <w:t>about</w:t>
      </w:r>
      <w:r>
        <w:rPr>
          <w:spacing w:val="-13"/>
        </w:rPr>
        <w:t> </w:t>
      </w:r>
      <w:r>
        <w:rPr/>
        <w:t>the</w:t>
      </w:r>
      <w:r>
        <w:rPr>
          <w:spacing w:val="-13"/>
        </w:rPr>
        <w:t> </w:t>
      </w:r>
      <w:r>
        <w:rPr>
          <w:spacing w:val="2"/>
        </w:rPr>
        <w:t>sort</w:t>
      </w:r>
      <w:r>
        <w:rPr>
          <w:spacing w:val="-13"/>
        </w:rPr>
        <w:t> </w:t>
      </w:r>
      <w:r>
        <w:rPr/>
        <w:t>of</w:t>
      </w:r>
      <w:r>
        <w:rPr>
          <w:spacing w:val="-13"/>
        </w:rPr>
        <w:t> </w:t>
      </w:r>
      <w:r>
        <w:rPr/>
        <w:t>actions</w:t>
      </w:r>
      <w:r>
        <w:rPr>
          <w:spacing w:val="-13"/>
        </w:rPr>
        <w:t> </w:t>
      </w:r>
      <w:r>
        <w:rPr/>
        <w:t>they can</w:t>
      </w:r>
      <w:r>
        <w:rPr>
          <w:spacing w:val="-20"/>
        </w:rPr>
        <w:t> </w:t>
      </w:r>
      <w:r>
        <w:rPr/>
        <w:t>take</w:t>
      </w:r>
      <w:r>
        <w:rPr>
          <w:spacing w:val="-20"/>
        </w:rPr>
        <w:t> </w:t>
      </w:r>
      <w:r>
        <w:rPr/>
        <w:t>as</w:t>
      </w:r>
      <w:r>
        <w:rPr>
          <w:spacing w:val="-20"/>
        </w:rPr>
        <w:t> </w:t>
      </w:r>
      <w:r>
        <w:rPr/>
        <w:t>witnesses</w:t>
      </w:r>
      <w:r>
        <w:rPr>
          <w:spacing w:val="-20"/>
        </w:rPr>
        <w:t> </w:t>
      </w:r>
      <w:r>
        <w:rPr/>
        <w:t>of</w:t>
      </w:r>
      <w:r>
        <w:rPr>
          <w:spacing w:val="-20"/>
        </w:rPr>
        <w:t> </w:t>
      </w:r>
      <w:r>
        <w:rPr/>
        <w:t>racism.</w:t>
      </w:r>
    </w:p>
    <w:p>
      <w:pPr>
        <w:pStyle w:val="BodyText"/>
        <w:rPr>
          <w:sz w:val="14"/>
        </w:rPr>
      </w:pPr>
    </w:p>
    <w:p>
      <w:pPr>
        <w:pStyle w:val="BodyText"/>
        <w:spacing w:line="249" w:lineRule="auto"/>
        <w:ind w:left="107" w:right="318"/>
      </w:pPr>
      <w:r>
        <w:rPr>
          <w:spacing w:val="1"/>
          <w:w w:val="80"/>
        </w:rPr>
        <w:t>In</w:t>
      </w:r>
      <w:r>
        <w:rPr>
          <w:w w:val="80"/>
        </w:rPr>
        <w:t> </w:t>
      </w:r>
      <w:r>
        <w:rPr>
          <w:spacing w:val="1"/>
          <w:w w:val="84"/>
        </w:rPr>
        <w:t>2015,</w:t>
      </w:r>
      <w:r>
        <w:rPr>
          <w:w w:val="84"/>
        </w:rPr>
        <w:t> </w:t>
      </w:r>
      <w:r>
        <w:rPr>
          <w:w w:val="97"/>
        </w:rPr>
        <w:t>the </w:t>
      </w:r>
      <w:r>
        <w:rPr>
          <w:spacing w:val="1"/>
          <w:w w:val="97"/>
        </w:rPr>
        <w:t>Challenging</w:t>
      </w:r>
      <w:r>
        <w:rPr>
          <w:w w:val="97"/>
        </w:rPr>
        <w:t> </w:t>
      </w:r>
      <w:r>
        <w:rPr>
          <w:w w:val="97"/>
        </w:rPr>
        <w:t>Racism </w:t>
      </w:r>
      <w:r>
        <w:rPr>
          <w:spacing w:val="1"/>
          <w:w w:val="97"/>
        </w:rPr>
        <w:t>Project</w:t>
      </w:r>
      <w:r>
        <w:rPr>
          <w:w w:val="97"/>
        </w:rPr>
        <w:t> </w:t>
      </w:r>
      <w:r>
        <w:rPr/>
        <w:t>Team</w:t>
      </w:r>
      <w:r>
        <w:rPr>
          <w:spacing w:val="-19"/>
        </w:rPr>
        <w:t> </w:t>
      </w:r>
      <w:r>
        <w:rPr/>
        <w:t>also</w:t>
      </w:r>
      <w:r>
        <w:rPr>
          <w:spacing w:val="-19"/>
        </w:rPr>
        <w:t> </w:t>
      </w:r>
      <w:r>
        <w:rPr/>
        <w:t>released</w:t>
      </w:r>
      <w:r>
        <w:rPr>
          <w:spacing w:val="-19"/>
        </w:rPr>
        <w:t> </w:t>
      </w:r>
      <w:r>
        <w:rPr/>
        <w:t>a</w:t>
      </w:r>
      <w:r>
        <w:rPr>
          <w:spacing w:val="-19"/>
        </w:rPr>
        <w:t> </w:t>
      </w:r>
      <w:r>
        <w:rPr/>
        <w:t>report</w:t>
      </w:r>
      <w:r>
        <w:rPr>
          <w:spacing w:val="-19"/>
        </w:rPr>
        <w:t> </w:t>
      </w:r>
      <w:r>
        <w:rPr/>
        <w:t>entitled</w:t>
      </w:r>
      <w:r>
        <w:rPr>
          <w:spacing w:val="-19"/>
        </w:rPr>
        <w:t> </w:t>
      </w:r>
      <w:r>
        <w:rPr>
          <w:spacing w:val="2"/>
        </w:rPr>
        <w:t>‘The </w:t>
      </w:r>
      <w:r>
        <w:rPr/>
        <w:t>resilience and ordinariness of Australian Muslims’. This study was commissioned by</w:t>
      </w:r>
      <w:r>
        <w:rPr>
          <w:spacing w:val="-25"/>
        </w:rPr>
        <w:t> </w:t>
      </w:r>
      <w:r>
        <w:rPr/>
        <w:t>Western</w:t>
      </w:r>
      <w:r>
        <w:rPr>
          <w:spacing w:val="-25"/>
        </w:rPr>
        <w:t> </w:t>
      </w:r>
      <w:r>
        <w:rPr/>
        <w:t>Sydney</w:t>
      </w:r>
      <w:r>
        <w:rPr>
          <w:spacing w:val="-25"/>
        </w:rPr>
        <w:t> </w:t>
      </w:r>
      <w:r>
        <w:rPr/>
        <w:t>University,</w:t>
      </w:r>
      <w:r>
        <w:rPr>
          <w:spacing w:val="-25"/>
        </w:rPr>
        <w:t> </w:t>
      </w:r>
      <w:r>
        <w:rPr/>
        <w:t>the</w:t>
      </w:r>
      <w:r>
        <w:rPr>
          <w:spacing w:val="-25"/>
        </w:rPr>
        <w:t> </w:t>
      </w:r>
      <w:r>
        <w:rPr/>
        <w:t>Islamic</w:t>
      </w:r>
    </w:p>
    <w:p>
      <w:pPr>
        <w:pStyle w:val="BodyText"/>
        <w:spacing w:line="249" w:lineRule="auto"/>
        <w:ind w:left="107" w:right="88"/>
      </w:pPr>
      <w:r>
        <w:rPr/>
        <w:t>Sciences</w:t>
      </w:r>
      <w:r>
        <w:rPr>
          <w:spacing w:val="-12"/>
        </w:rPr>
        <w:t> </w:t>
      </w:r>
      <w:r>
        <w:rPr/>
        <w:t>and</w:t>
      </w:r>
      <w:r>
        <w:rPr>
          <w:spacing w:val="-12"/>
        </w:rPr>
        <w:t> </w:t>
      </w:r>
      <w:r>
        <w:rPr/>
        <w:t>Research</w:t>
      </w:r>
      <w:r>
        <w:rPr>
          <w:spacing w:val="-12"/>
        </w:rPr>
        <w:t> </w:t>
      </w:r>
      <w:r>
        <w:rPr/>
        <w:t>Academy</w:t>
      </w:r>
      <w:r>
        <w:rPr>
          <w:spacing w:val="-12"/>
        </w:rPr>
        <w:t> </w:t>
      </w:r>
      <w:r>
        <w:rPr/>
        <w:t>of</w:t>
      </w:r>
      <w:r>
        <w:rPr>
          <w:spacing w:val="-12"/>
        </w:rPr>
        <w:t> </w:t>
      </w:r>
      <w:r>
        <w:rPr/>
        <w:t>Australia and Charles Sturt University to investigate the experiences and perceptions of ordinary Muslims</w:t>
      </w:r>
      <w:r>
        <w:rPr>
          <w:spacing w:val="-20"/>
        </w:rPr>
        <w:t> </w:t>
      </w:r>
      <w:r>
        <w:rPr/>
        <w:t>in</w:t>
      </w:r>
      <w:r>
        <w:rPr>
          <w:spacing w:val="-20"/>
        </w:rPr>
        <w:t> </w:t>
      </w:r>
      <w:r>
        <w:rPr/>
        <w:t>Sydney.</w:t>
      </w:r>
      <w:r>
        <w:rPr>
          <w:spacing w:val="-20"/>
        </w:rPr>
        <w:t> </w:t>
      </w:r>
      <w:r>
        <w:rPr/>
        <w:t>The</w:t>
      </w:r>
      <w:r>
        <w:rPr>
          <w:spacing w:val="-20"/>
        </w:rPr>
        <w:t> </w:t>
      </w:r>
      <w:r>
        <w:rPr/>
        <w:t>findings</w:t>
      </w:r>
      <w:r>
        <w:rPr>
          <w:spacing w:val="-20"/>
        </w:rPr>
        <w:t> </w:t>
      </w:r>
      <w:r>
        <w:rPr/>
        <w:t>of</w:t>
      </w:r>
      <w:r>
        <w:rPr>
          <w:spacing w:val="-20"/>
        </w:rPr>
        <w:t> </w:t>
      </w:r>
      <w:r>
        <w:rPr/>
        <w:t>this</w:t>
      </w:r>
      <w:r>
        <w:rPr>
          <w:spacing w:val="-20"/>
        </w:rPr>
        <w:t> </w:t>
      </w:r>
      <w:r>
        <w:rPr/>
        <w:t>report suggest that Australia’s values of diversity and multiculturalism give hope to Australian Muslims and make them more resilient in dealing with the pressures of Islamophobia and</w:t>
      </w:r>
      <w:r>
        <w:rPr>
          <w:spacing w:val="-31"/>
        </w:rPr>
        <w:t> </w:t>
      </w:r>
      <w:r>
        <w:rPr/>
        <w:t>racism.</w:t>
      </w:r>
    </w:p>
    <w:p>
      <w:pPr>
        <w:pStyle w:val="BodyText"/>
        <w:spacing w:before="4"/>
        <w:rPr>
          <w:sz w:val="17"/>
        </w:rPr>
      </w:pPr>
      <w:r>
        <w:rPr/>
        <w:br w:type="column"/>
      </w:r>
      <w:r>
        <w:rPr>
          <w:sz w:val="17"/>
        </w:rPr>
      </w:r>
    </w:p>
    <w:p>
      <w:pPr>
        <w:pStyle w:val="Heading8"/>
        <w:ind w:right="112"/>
      </w:pPr>
      <w:r>
        <w:rPr>
          <w:w w:val="95"/>
        </w:rPr>
        <w:t>COMMUNITY DINNERS</w:t>
      </w:r>
    </w:p>
    <w:p>
      <w:pPr>
        <w:pStyle w:val="BodyText"/>
        <w:spacing w:line="249" w:lineRule="auto" w:before="86"/>
        <w:ind w:left="107" w:right="127"/>
      </w:pPr>
      <w:r>
        <w:rPr/>
        <w:t>The popular Community Dinner Program </w:t>
      </w:r>
      <w:r>
        <w:rPr>
          <w:spacing w:val="1"/>
          <w:w w:val="98"/>
        </w:rPr>
        <w:t>continued</w:t>
      </w:r>
      <w:r>
        <w:rPr>
          <w:w w:val="98"/>
        </w:rPr>
        <w:t> </w:t>
      </w:r>
      <w:r>
        <w:rPr>
          <w:w w:val="95"/>
        </w:rPr>
        <w:t>in </w:t>
      </w:r>
      <w:r>
        <w:rPr>
          <w:spacing w:val="1"/>
          <w:w w:val="88"/>
        </w:rPr>
        <w:t>2015</w:t>
      </w:r>
      <w:r>
        <w:rPr>
          <w:w w:val="88"/>
        </w:rPr>
        <w:t> </w:t>
      </w:r>
      <w:r>
        <w:rPr>
          <w:w w:val="98"/>
        </w:rPr>
        <w:t>with </w:t>
      </w:r>
      <w:r>
        <w:rPr>
          <w:w w:val="97"/>
        </w:rPr>
        <w:t>four </w:t>
      </w:r>
      <w:r>
        <w:rPr>
          <w:spacing w:val="1"/>
          <w:w w:val="99"/>
        </w:rPr>
        <w:t>community</w:t>
      </w:r>
      <w:r>
        <w:rPr>
          <w:w w:val="99"/>
        </w:rPr>
        <w:t> </w:t>
      </w:r>
      <w:r>
        <w:rPr/>
        <w:t>dinners held on campus to recognise and celebrate the multicultural communities who contribute to the success of the University. These included Chinese, Indian and Vietnamese</w:t>
      </w:r>
      <w:r>
        <w:rPr>
          <w:spacing w:val="-18"/>
        </w:rPr>
        <w:t> </w:t>
      </w:r>
      <w:r>
        <w:rPr/>
        <w:t>community</w:t>
      </w:r>
      <w:r>
        <w:rPr>
          <w:spacing w:val="-18"/>
        </w:rPr>
        <w:t> </w:t>
      </w:r>
      <w:r>
        <w:rPr/>
        <w:t>dinners,</w:t>
      </w:r>
      <w:r>
        <w:rPr>
          <w:spacing w:val="-18"/>
        </w:rPr>
        <w:t> </w:t>
      </w:r>
      <w:r>
        <w:rPr/>
        <w:t>as</w:t>
      </w:r>
      <w:r>
        <w:rPr>
          <w:spacing w:val="-18"/>
        </w:rPr>
        <w:t> </w:t>
      </w:r>
      <w:r>
        <w:rPr/>
        <w:t>well</w:t>
      </w:r>
      <w:r>
        <w:rPr>
          <w:spacing w:val="-18"/>
        </w:rPr>
        <w:t> </w:t>
      </w:r>
      <w:r>
        <w:rPr/>
        <w:t>as</w:t>
      </w:r>
      <w:r>
        <w:rPr>
          <w:spacing w:val="-18"/>
        </w:rPr>
        <w:t> </w:t>
      </w:r>
      <w:r>
        <w:rPr/>
        <w:t>the </w:t>
      </w:r>
      <w:r>
        <w:rPr>
          <w:w w:val="95"/>
        </w:rPr>
        <w:t>Ramadan</w:t>
      </w:r>
      <w:r>
        <w:rPr>
          <w:spacing w:val="-6"/>
          <w:w w:val="95"/>
        </w:rPr>
        <w:t> </w:t>
      </w:r>
      <w:r>
        <w:rPr>
          <w:w w:val="95"/>
        </w:rPr>
        <w:t>Iftar.</w:t>
      </w:r>
    </w:p>
    <w:p>
      <w:pPr>
        <w:pStyle w:val="BodyText"/>
        <w:spacing w:before="7"/>
        <w:rPr>
          <w:sz w:val="21"/>
        </w:rPr>
      </w:pPr>
    </w:p>
    <w:p>
      <w:pPr>
        <w:pStyle w:val="Heading8"/>
        <w:ind w:right="112"/>
      </w:pPr>
      <w:r>
        <w:rPr>
          <w:w w:val="95"/>
        </w:rPr>
        <w:t>COMMUNITY PARTNERSHIPS</w:t>
      </w:r>
    </w:p>
    <w:p>
      <w:pPr>
        <w:pStyle w:val="BodyText"/>
        <w:spacing w:line="249" w:lineRule="auto" w:before="86"/>
        <w:ind w:left="107" w:right="258"/>
      </w:pPr>
      <w:r>
        <w:rPr/>
        <w:t>The University continues to work with </w:t>
      </w:r>
      <w:r>
        <w:rPr>
          <w:w w:val="98"/>
        </w:rPr>
        <w:t>Western </w:t>
      </w:r>
      <w:r>
        <w:rPr>
          <w:w w:val="99"/>
        </w:rPr>
        <w:t>Sydney </w:t>
      </w:r>
      <w:r>
        <w:rPr>
          <w:w w:val="95"/>
        </w:rPr>
        <w:t>communities. </w:t>
      </w:r>
      <w:r>
        <w:rPr>
          <w:w w:val="80"/>
        </w:rPr>
        <w:t>In </w:t>
      </w:r>
      <w:r>
        <w:rPr>
          <w:w w:val="84"/>
        </w:rPr>
        <w:t>2015, </w:t>
      </w:r>
      <w:r>
        <w:rPr>
          <w:w w:val="99"/>
        </w:rPr>
        <w:t>it </w:t>
      </w:r>
      <w:r>
        <w:rPr/>
        <w:t>sponsored Parramasala, the Australian Festival of South Asian Arts, at Parramatta, for the fourth year in a row.</w:t>
      </w:r>
    </w:p>
    <w:p>
      <w:pPr>
        <w:pStyle w:val="BodyText"/>
        <w:spacing w:before="7"/>
        <w:rPr>
          <w:sz w:val="21"/>
        </w:rPr>
      </w:pPr>
    </w:p>
    <w:p>
      <w:pPr>
        <w:pStyle w:val="Heading8"/>
        <w:spacing w:line="249" w:lineRule="auto"/>
        <w:ind w:right="112"/>
      </w:pPr>
      <w:r>
        <w:rPr>
          <w:w w:val="95"/>
        </w:rPr>
        <w:t>INTERNATIONAL STUDENTS’ SOCIAL </w:t>
      </w:r>
      <w:r>
        <w:rPr/>
        <w:t>ENGAGEMENTS AND LEADERSHIP PROGRAM</w:t>
      </w:r>
    </w:p>
    <w:p>
      <w:pPr>
        <w:pStyle w:val="BodyText"/>
        <w:spacing w:line="249" w:lineRule="auto" w:before="79"/>
        <w:ind w:left="107" w:right="203"/>
      </w:pPr>
      <w:r>
        <w:rPr/>
        <w:t>UWS International’s annual Social Engagement and Leadership Program promotes engagement between international students and the Australian community. Participants include an equal mix of international and domestic students. Throughout the program, students explore cross-cultural understanding, globalisation and social responsibility concepts. All students are provided with guidance and advice</w:t>
      </w:r>
      <w:r>
        <w:rPr>
          <w:spacing w:val="-13"/>
        </w:rPr>
        <w:t> </w:t>
      </w:r>
      <w:r>
        <w:rPr/>
        <w:t>from</w:t>
      </w:r>
      <w:r>
        <w:rPr>
          <w:spacing w:val="-13"/>
        </w:rPr>
        <w:t> </w:t>
      </w:r>
      <w:r>
        <w:rPr/>
        <w:t>academics</w:t>
      </w:r>
      <w:r>
        <w:rPr>
          <w:spacing w:val="-13"/>
        </w:rPr>
        <w:t> </w:t>
      </w:r>
      <w:r>
        <w:rPr/>
        <w:t>and</w:t>
      </w:r>
      <w:r>
        <w:rPr>
          <w:spacing w:val="-13"/>
        </w:rPr>
        <w:t> </w:t>
      </w:r>
      <w:r>
        <w:rPr/>
        <w:t>program</w:t>
      </w:r>
      <w:r>
        <w:rPr>
          <w:spacing w:val="-13"/>
        </w:rPr>
        <w:t> </w:t>
      </w:r>
      <w:r>
        <w:rPr/>
        <w:t>leaders on</w:t>
      </w:r>
      <w:r>
        <w:rPr>
          <w:spacing w:val="-14"/>
        </w:rPr>
        <w:t> </w:t>
      </w:r>
      <w:r>
        <w:rPr/>
        <w:t>how</w:t>
      </w:r>
      <w:r>
        <w:rPr>
          <w:spacing w:val="-14"/>
        </w:rPr>
        <w:t> </w:t>
      </w:r>
      <w:r>
        <w:rPr/>
        <w:t>to</w:t>
      </w:r>
      <w:r>
        <w:rPr>
          <w:spacing w:val="-14"/>
        </w:rPr>
        <w:t> </w:t>
      </w:r>
      <w:r>
        <w:rPr/>
        <w:t>effectively</w:t>
      </w:r>
      <w:r>
        <w:rPr>
          <w:spacing w:val="-14"/>
        </w:rPr>
        <w:t> </w:t>
      </w:r>
      <w:r>
        <w:rPr/>
        <w:t>engage</w:t>
      </w:r>
      <w:r>
        <w:rPr>
          <w:spacing w:val="-14"/>
        </w:rPr>
        <w:t> </w:t>
      </w:r>
      <w:r>
        <w:rPr/>
        <w:t>and</w:t>
      </w:r>
      <w:r>
        <w:rPr>
          <w:spacing w:val="-14"/>
        </w:rPr>
        <w:t> </w:t>
      </w:r>
      <w:r>
        <w:rPr/>
        <w:t>collaborate</w:t>
      </w:r>
    </w:p>
    <w:p>
      <w:pPr>
        <w:pStyle w:val="BodyText"/>
        <w:spacing w:line="249" w:lineRule="auto"/>
        <w:ind w:left="107" w:right="112"/>
      </w:pPr>
      <w:r>
        <w:rPr/>
        <w:t>with</w:t>
      </w:r>
      <w:r>
        <w:rPr>
          <w:spacing w:val="-17"/>
        </w:rPr>
        <w:t> </w:t>
      </w:r>
      <w:r>
        <w:rPr/>
        <w:t>each</w:t>
      </w:r>
      <w:r>
        <w:rPr>
          <w:spacing w:val="-17"/>
        </w:rPr>
        <w:t> </w:t>
      </w:r>
      <w:r>
        <w:rPr/>
        <w:t>other</w:t>
      </w:r>
      <w:r>
        <w:rPr>
          <w:spacing w:val="-17"/>
        </w:rPr>
        <w:t> </w:t>
      </w:r>
      <w:r>
        <w:rPr/>
        <w:t>while</w:t>
      </w:r>
      <w:r>
        <w:rPr>
          <w:spacing w:val="-17"/>
        </w:rPr>
        <w:t> </w:t>
      </w:r>
      <w:r>
        <w:rPr/>
        <w:t>drawing</w:t>
      </w:r>
      <w:r>
        <w:rPr>
          <w:spacing w:val="-17"/>
        </w:rPr>
        <w:t> </w:t>
      </w:r>
      <w:r>
        <w:rPr/>
        <w:t>on</w:t>
      </w:r>
      <w:r>
        <w:rPr>
          <w:spacing w:val="-17"/>
        </w:rPr>
        <w:t> </w:t>
      </w:r>
      <w:r>
        <w:rPr/>
        <w:t>their</w:t>
      </w:r>
      <w:r>
        <w:rPr>
          <w:spacing w:val="-17"/>
        </w:rPr>
        <w:t> </w:t>
      </w:r>
      <w:r>
        <w:rPr/>
        <w:t>cultural diversity.</w:t>
      </w:r>
    </w:p>
    <w:p>
      <w:pPr>
        <w:pStyle w:val="BodyText"/>
        <w:spacing w:before="6"/>
        <w:rPr>
          <w:sz w:val="22"/>
        </w:rPr>
      </w:pPr>
    </w:p>
    <w:p>
      <w:pPr>
        <w:pStyle w:val="Heading5"/>
        <w:spacing w:before="1"/>
        <w:ind w:right="112"/>
      </w:pPr>
      <w:bookmarkStart w:name="_TOC_250002" w:id="23"/>
      <w:bookmarkEnd w:id="23"/>
      <w:r>
        <w:rPr>
          <w:w w:val="95"/>
        </w:rPr>
        <w:t>EQUITY AND DIVERSITY</w:t>
      </w:r>
    </w:p>
    <w:p>
      <w:pPr>
        <w:pStyle w:val="BodyText"/>
        <w:rPr>
          <w:rFonts w:ascii="Gotham Narrow Bold"/>
          <w:b/>
          <w:sz w:val="25"/>
        </w:rPr>
      </w:pPr>
    </w:p>
    <w:p>
      <w:pPr>
        <w:pStyle w:val="Heading8"/>
        <w:spacing w:line="249" w:lineRule="auto"/>
        <w:ind w:right="584"/>
      </w:pPr>
      <w:r>
        <w:rPr/>
        <w:t>STAFF CONFIDENCE IN EQUITY AND </w:t>
      </w:r>
      <w:r>
        <w:rPr>
          <w:w w:val="95"/>
        </w:rPr>
        <w:t>DIVERSITY IS HIGH</w:t>
      </w:r>
    </w:p>
    <w:p>
      <w:pPr>
        <w:pStyle w:val="BodyText"/>
        <w:spacing w:line="249" w:lineRule="auto" w:before="79"/>
        <w:ind w:left="107" w:right="385"/>
      </w:pPr>
      <w:r>
        <w:rPr/>
        <w:t>Equity and diversity are key values of the University,</w:t>
      </w:r>
      <w:r>
        <w:rPr>
          <w:spacing w:val="-24"/>
        </w:rPr>
        <w:t> </w:t>
      </w:r>
      <w:r>
        <w:rPr/>
        <w:t>so</w:t>
      </w:r>
      <w:r>
        <w:rPr>
          <w:spacing w:val="-24"/>
        </w:rPr>
        <w:t> </w:t>
      </w:r>
      <w:r>
        <w:rPr/>
        <w:t>it</w:t>
      </w:r>
      <w:r>
        <w:rPr>
          <w:spacing w:val="-24"/>
        </w:rPr>
        <w:t> </w:t>
      </w:r>
      <w:r>
        <w:rPr/>
        <w:t>was</w:t>
      </w:r>
      <w:r>
        <w:rPr>
          <w:spacing w:val="-24"/>
        </w:rPr>
        <w:t> </w:t>
      </w:r>
      <w:r>
        <w:rPr/>
        <w:t>very</w:t>
      </w:r>
      <w:r>
        <w:rPr>
          <w:spacing w:val="-24"/>
        </w:rPr>
        <w:t> </w:t>
      </w:r>
      <w:r>
        <w:rPr/>
        <w:t>pleasing</w:t>
      </w:r>
      <w:r>
        <w:rPr>
          <w:spacing w:val="-24"/>
        </w:rPr>
        <w:t> </w:t>
      </w:r>
      <w:r>
        <w:rPr/>
        <w:t>that</w:t>
      </w:r>
      <w:r>
        <w:rPr>
          <w:spacing w:val="-24"/>
        </w:rPr>
        <w:t> </w:t>
      </w:r>
      <w:r>
        <w:rPr/>
        <w:t>the </w:t>
      </w:r>
      <w:r>
        <w:rPr>
          <w:w w:val="90"/>
        </w:rPr>
        <w:t>2016 </w:t>
      </w:r>
      <w:r>
        <w:rPr>
          <w:spacing w:val="-2"/>
          <w:w w:val="100"/>
        </w:rPr>
        <w:t>MyVoice</w:t>
      </w:r>
      <w:r>
        <w:rPr>
          <w:w w:val="100"/>
        </w:rPr>
        <w:t> </w:t>
      </w:r>
      <w:r>
        <w:rPr>
          <w:spacing w:val="-1"/>
          <w:w w:val="97"/>
        </w:rPr>
        <w:t>survey</w:t>
      </w:r>
      <w:r>
        <w:rPr>
          <w:w w:val="97"/>
        </w:rPr>
        <w:t> </w:t>
      </w:r>
      <w:r>
        <w:rPr>
          <w:w w:val="98"/>
        </w:rPr>
        <w:t>confirmed </w:t>
      </w:r>
      <w:r>
        <w:rPr>
          <w:spacing w:val="-1"/>
          <w:w w:val="98"/>
        </w:rPr>
        <w:t>strong</w:t>
      </w:r>
      <w:r>
        <w:rPr>
          <w:w w:val="98"/>
        </w:rPr>
        <w:t> </w:t>
      </w:r>
      <w:r>
        <w:rPr/>
        <w:t>staff</w:t>
      </w:r>
      <w:r>
        <w:rPr>
          <w:spacing w:val="-25"/>
        </w:rPr>
        <w:t> </w:t>
      </w:r>
      <w:r>
        <w:rPr/>
        <w:t>confidence</w:t>
      </w:r>
      <w:r>
        <w:rPr>
          <w:spacing w:val="-25"/>
        </w:rPr>
        <w:t> </w:t>
      </w:r>
      <w:r>
        <w:rPr/>
        <w:t>in</w:t>
      </w:r>
      <w:r>
        <w:rPr>
          <w:spacing w:val="-25"/>
        </w:rPr>
        <w:t> </w:t>
      </w:r>
      <w:r>
        <w:rPr/>
        <w:t>the</w:t>
      </w:r>
      <w:r>
        <w:rPr>
          <w:spacing w:val="-25"/>
        </w:rPr>
        <w:t> </w:t>
      </w:r>
      <w:r>
        <w:rPr/>
        <w:t>University’s</w:t>
      </w:r>
      <w:r>
        <w:rPr>
          <w:spacing w:val="-25"/>
        </w:rPr>
        <w:t> </w:t>
      </w:r>
      <w:r>
        <w:rPr/>
        <w:t>capacity to</w:t>
      </w:r>
      <w:r>
        <w:rPr>
          <w:spacing w:val="-30"/>
        </w:rPr>
        <w:t> </w:t>
      </w:r>
      <w:r>
        <w:rPr/>
        <w:t>provide</w:t>
      </w:r>
      <w:r>
        <w:rPr>
          <w:spacing w:val="-30"/>
        </w:rPr>
        <w:t> </w:t>
      </w:r>
      <w:r>
        <w:rPr/>
        <w:t>an</w:t>
      </w:r>
      <w:r>
        <w:rPr>
          <w:spacing w:val="-30"/>
        </w:rPr>
        <w:t> </w:t>
      </w:r>
      <w:r>
        <w:rPr/>
        <w:t>environment</w:t>
      </w:r>
      <w:r>
        <w:rPr>
          <w:spacing w:val="-30"/>
        </w:rPr>
        <w:t> </w:t>
      </w:r>
      <w:r>
        <w:rPr/>
        <w:t>where</w:t>
      </w:r>
      <w:r>
        <w:rPr>
          <w:spacing w:val="-30"/>
        </w:rPr>
        <w:t> </w:t>
      </w:r>
      <w:r>
        <w:rPr/>
        <w:t>equal</w:t>
      </w:r>
    </w:p>
    <w:p>
      <w:pPr>
        <w:pStyle w:val="BodyText"/>
        <w:spacing w:line="249" w:lineRule="auto"/>
        <w:ind w:left="107" w:right="26"/>
      </w:pPr>
      <w:r>
        <w:rPr/>
        <w:t>employment opportunity is encouraged and discrimination actively prevented. This result was</w:t>
      </w:r>
      <w:r>
        <w:rPr>
          <w:spacing w:val="-24"/>
        </w:rPr>
        <w:t> </w:t>
      </w:r>
      <w:r>
        <w:rPr/>
        <w:t>up</w:t>
      </w:r>
      <w:r>
        <w:rPr>
          <w:spacing w:val="-24"/>
        </w:rPr>
        <w:t> </w:t>
      </w:r>
      <w:r>
        <w:rPr/>
        <w:t>to</w:t>
      </w:r>
      <w:r>
        <w:rPr>
          <w:spacing w:val="-24"/>
        </w:rPr>
        <w:t> </w:t>
      </w:r>
      <w:r>
        <w:rPr/>
        <w:t>15</w:t>
      </w:r>
      <w:r>
        <w:rPr>
          <w:spacing w:val="-24"/>
        </w:rPr>
        <w:t> </w:t>
      </w:r>
      <w:r>
        <w:rPr/>
        <w:t>per</w:t>
      </w:r>
      <w:r>
        <w:rPr>
          <w:spacing w:val="-24"/>
        </w:rPr>
        <w:t> </w:t>
      </w:r>
      <w:r>
        <w:rPr/>
        <w:t>cent</w:t>
      </w:r>
      <w:r>
        <w:rPr>
          <w:spacing w:val="-24"/>
        </w:rPr>
        <w:t> </w:t>
      </w:r>
      <w:r>
        <w:rPr/>
        <w:t>higher</w:t>
      </w:r>
      <w:r>
        <w:rPr>
          <w:spacing w:val="-24"/>
        </w:rPr>
        <w:t> </w:t>
      </w:r>
      <w:r>
        <w:rPr/>
        <w:t>than</w:t>
      </w:r>
      <w:r>
        <w:rPr>
          <w:spacing w:val="-24"/>
        </w:rPr>
        <w:t> </w:t>
      </w:r>
      <w:r>
        <w:rPr/>
        <w:t>that</w:t>
      </w:r>
      <w:r>
        <w:rPr>
          <w:spacing w:val="-24"/>
        </w:rPr>
        <w:t> </w:t>
      </w:r>
      <w:r>
        <w:rPr/>
        <w:t>of</w:t>
      </w:r>
      <w:r>
        <w:rPr>
          <w:spacing w:val="-24"/>
        </w:rPr>
        <w:t> </w:t>
      </w:r>
      <w:r>
        <w:rPr/>
        <w:t>other benchmarked universities and was noted as </w:t>
      </w:r>
      <w:r>
        <w:rPr>
          <w:w w:val="97"/>
        </w:rPr>
        <w:t>one</w:t>
      </w:r>
      <w:r>
        <w:rPr>
          <w:spacing w:val="-14"/>
          <w:w w:val="97"/>
        </w:rPr>
        <w:t> </w:t>
      </w:r>
      <w:r>
        <w:rPr>
          <w:spacing w:val="-1"/>
          <w:w w:val="99"/>
        </w:rPr>
        <w:t>of</w:t>
      </w:r>
      <w:r>
        <w:rPr>
          <w:spacing w:val="-15"/>
          <w:w w:val="99"/>
        </w:rPr>
        <w:t> </w:t>
      </w:r>
      <w:r>
        <w:rPr>
          <w:w w:val="97"/>
        </w:rPr>
        <w:t>the</w:t>
      </w:r>
      <w:r>
        <w:rPr>
          <w:spacing w:val="-15"/>
          <w:w w:val="97"/>
        </w:rPr>
        <w:t> </w:t>
      </w:r>
      <w:r>
        <w:rPr>
          <w:spacing w:val="-1"/>
          <w:w w:val="101"/>
        </w:rPr>
        <w:t>top</w:t>
      </w:r>
      <w:r>
        <w:rPr>
          <w:spacing w:val="-16"/>
          <w:w w:val="101"/>
        </w:rPr>
        <w:t> </w:t>
      </w:r>
      <w:r>
        <w:rPr>
          <w:spacing w:val="1"/>
          <w:w w:val="82"/>
        </w:rPr>
        <w:t>10</w:t>
      </w:r>
      <w:r>
        <w:rPr>
          <w:spacing w:val="-7"/>
          <w:w w:val="82"/>
        </w:rPr>
        <w:t> </w:t>
      </w:r>
      <w:r>
        <w:rPr>
          <w:w w:val="97"/>
        </w:rPr>
        <w:t>differences</w:t>
      </w:r>
      <w:r>
        <w:rPr>
          <w:spacing w:val="-14"/>
          <w:w w:val="97"/>
        </w:rPr>
        <w:t> </w:t>
      </w:r>
      <w:r>
        <w:rPr>
          <w:w w:val="98"/>
        </w:rPr>
        <w:t>between</w:t>
      </w:r>
      <w:r>
        <w:rPr>
          <w:spacing w:val="-15"/>
          <w:w w:val="98"/>
        </w:rPr>
        <w:t> </w:t>
      </w:r>
      <w:r>
        <w:rPr>
          <w:spacing w:val="-1"/>
          <w:w w:val="98"/>
        </w:rPr>
        <w:t>Western</w:t>
      </w:r>
      <w:r>
        <w:rPr>
          <w:w w:val="98"/>
        </w:rPr>
        <w:t> </w:t>
      </w:r>
      <w:r>
        <w:rPr/>
        <w:t>Sydney</w:t>
      </w:r>
      <w:r>
        <w:rPr>
          <w:spacing w:val="-38"/>
        </w:rPr>
        <w:t> </w:t>
      </w:r>
      <w:r>
        <w:rPr/>
        <w:t>University</w:t>
      </w:r>
      <w:r>
        <w:rPr>
          <w:spacing w:val="-38"/>
        </w:rPr>
        <w:t> </w:t>
      </w:r>
      <w:r>
        <w:rPr/>
        <w:t>and</w:t>
      </w:r>
      <w:r>
        <w:rPr>
          <w:spacing w:val="-38"/>
        </w:rPr>
        <w:t> </w:t>
      </w:r>
      <w:r>
        <w:rPr/>
        <w:t>other</w:t>
      </w:r>
      <w:r>
        <w:rPr>
          <w:spacing w:val="-38"/>
        </w:rPr>
        <w:t> </w:t>
      </w:r>
      <w:r>
        <w:rPr/>
        <w:t>similar</w:t>
      </w:r>
      <w:r>
        <w:rPr>
          <w:spacing w:val="-38"/>
        </w:rPr>
        <w:t> </w:t>
      </w:r>
      <w:r>
        <w:rPr/>
        <w:t>universities.</w:t>
      </w:r>
    </w:p>
    <w:p>
      <w:pPr>
        <w:spacing w:after="0" w:line="249" w:lineRule="auto"/>
        <w:sectPr>
          <w:type w:val="continuous"/>
          <w:pgSz w:w="11910" w:h="16840"/>
          <w:pgMar w:top="1580" w:bottom="280" w:left="800" w:right="800"/>
          <w:cols w:num="3" w:equalWidth="0">
            <w:col w:w="3302" w:space="138"/>
            <w:col w:w="3320" w:space="119"/>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9"/>
        <w:rPr>
          <w:sz w:val="20"/>
        </w:rPr>
      </w:pPr>
    </w:p>
    <w:p>
      <w:pPr>
        <w:pStyle w:val="Heading8"/>
        <w:ind w:right="177"/>
      </w:pPr>
      <w:r>
        <w:rPr>
          <w:w w:val="95"/>
        </w:rPr>
        <w:t>ALLY NETWORK</w:t>
      </w:r>
    </w:p>
    <w:p>
      <w:pPr>
        <w:pStyle w:val="BodyText"/>
        <w:spacing w:line="249" w:lineRule="auto" w:before="86"/>
        <w:ind w:left="107" w:right="177"/>
      </w:pPr>
      <w:r>
        <w:rPr>
          <w:spacing w:val="1"/>
          <w:w w:val="97"/>
        </w:rPr>
        <w:t>During</w:t>
      </w:r>
      <w:r>
        <w:rPr>
          <w:w w:val="97"/>
        </w:rPr>
        <w:t> </w:t>
      </w:r>
      <w:r>
        <w:rPr>
          <w:spacing w:val="1"/>
          <w:w w:val="84"/>
        </w:rPr>
        <w:t>2015,</w:t>
      </w:r>
      <w:r>
        <w:rPr>
          <w:w w:val="84"/>
        </w:rPr>
        <w:t> </w:t>
      </w:r>
      <w:r>
        <w:rPr>
          <w:w w:val="97"/>
        </w:rPr>
        <w:t>the </w:t>
      </w:r>
      <w:r>
        <w:rPr>
          <w:spacing w:val="1"/>
          <w:w w:val="99"/>
        </w:rPr>
        <w:t>Equity</w:t>
      </w:r>
      <w:r>
        <w:rPr>
          <w:w w:val="99"/>
        </w:rPr>
        <w:t> </w:t>
      </w:r>
      <w:r>
        <w:rPr>
          <w:spacing w:val="1"/>
          <w:w w:val="97"/>
        </w:rPr>
        <w:t>and</w:t>
      </w:r>
      <w:r>
        <w:rPr>
          <w:w w:val="97"/>
        </w:rPr>
        <w:t> </w:t>
      </w:r>
      <w:r>
        <w:rPr>
          <w:spacing w:val="1"/>
          <w:w w:val="97"/>
        </w:rPr>
        <w:t>Diversity</w:t>
      </w:r>
      <w:r>
        <w:rPr>
          <w:w w:val="97"/>
        </w:rPr>
        <w:t> </w:t>
      </w:r>
      <w:r>
        <w:rPr>
          <w:w w:val="97"/>
        </w:rPr>
        <w:t>team </w:t>
      </w:r>
      <w:r>
        <w:rPr/>
        <w:t>continued</w:t>
      </w:r>
      <w:r>
        <w:rPr>
          <w:spacing w:val="-15"/>
        </w:rPr>
        <w:t> </w:t>
      </w:r>
      <w:r>
        <w:rPr/>
        <w:t>to</w:t>
      </w:r>
      <w:r>
        <w:rPr>
          <w:spacing w:val="-15"/>
        </w:rPr>
        <w:t> </w:t>
      </w:r>
      <w:r>
        <w:rPr/>
        <w:t>run</w:t>
      </w:r>
      <w:r>
        <w:rPr>
          <w:spacing w:val="-15"/>
        </w:rPr>
        <w:t> </w:t>
      </w:r>
      <w:r>
        <w:rPr/>
        <w:t>one</w:t>
      </w:r>
      <w:r>
        <w:rPr>
          <w:spacing w:val="-15"/>
        </w:rPr>
        <w:t> </w:t>
      </w:r>
      <w:r>
        <w:rPr/>
        <w:t>of</w:t>
      </w:r>
      <w:r>
        <w:rPr>
          <w:spacing w:val="-15"/>
        </w:rPr>
        <w:t> </w:t>
      </w:r>
      <w:r>
        <w:rPr/>
        <w:t>the</w:t>
      </w:r>
      <w:r>
        <w:rPr>
          <w:spacing w:val="-15"/>
        </w:rPr>
        <w:t> </w:t>
      </w:r>
      <w:r>
        <w:rPr/>
        <w:t>longest</w:t>
      </w:r>
      <w:r>
        <w:rPr>
          <w:spacing w:val="-15"/>
        </w:rPr>
        <w:t> </w:t>
      </w:r>
      <w:r>
        <w:rPr/>
        <w:t>existing Ally Networks in Australia, which was established eight years ago. The Network </w:t>
      </w:r>
      <w:r>
        <w:rPr>
          <w:spacing w:val="2"/>
        </w:rPr>
        <w:t>supports </w:t>
      </w:r>
      <w:r>
        <w:rPr/>
        <w:t>our LGBTI-identifying students and staff members, and is co-convened by recognised</w:t>
      </w:r>
      <w:r>
        <w:rPr>
          <w:spacing w:val="-14"/>
        </w:rPr>
        <w:t> </w:t>
      </w:r>
      <w:r>
        <w:rPr/>
        <w:t>academic</w:t>
      </w:r>
      <w:r>
        <w:rPr>
          <w:spacing w:val="-14"/>
        </w:rPr>
        <w:t> </w:t>
      </w:r>
      <w:r>
        <w:rPr/>
        <w:t>leaders</w:t>
      </w:r>
      <w:r>
        <w:rPr>
          <w:spacing w:val="-14"/>
        </w:rPr>
        <w:t> </w:t>
      </w:r>
      <w:r>
        <w:rPr/>
        <w:t>in</w:t>
      </w:r>
      <w:r>
        <w:rPr>
          <w:spacing w:val="-14"/>
        </w:rPr>
        <w:t> </w:t>
      </w:r>
      <w:r>
        <w:rPr/>
        <w:t>gender</w:t>
      </w:r>
      <w:r>
        <w:rPr>
          <w:spacing w:val="-14"/>
        </w:rPr>
        <w:t> </w:t>
      </w:r>
      <w:r>
        <w:rPr/>
        <w:t>and sexuality</w:t>
      </w:r>
      <w:r>
        <w:rPr>
          <w:spacing w:val="-22"/>
        </w:rPr>
        <w:t> </w:t>
      </w:r>
      <w:r>
        <w:rPr/>
        <w:t>diversity,</w:t>
      </w:r>
      <w:r>
        <w:rPr>
          <w:spacing w:val="-22"/>
        </w:rPr>
        <w:t> </w:t>
      </w:r>
      <w:r>
        <w:rPr/>
        <w:t>Dr</w:t>
      </w:r>
      <w:r>
        <w:rPr>
          <w:spacing w:val="-22"/>
        </w:rPr>
        <w:t> </w:t>
      </w:r>
      <w:r>
        <w:rPr/>
        <w:t>Tinashe</w:t>
      </w:r>
      <w:r>
        <w:rPr>
          <w:spacing w:val="-22"/>
        </w:rPr>
        <w:t> </w:t>
      </w:r>
      <w:r>
        <w:rPr/>
        <w:t>Dune</w:t>
      </w:r>
      <w:r>
        <w:rPr>
          <w:spacing w:val="-22"/>
        </w:rPr>
        <w:t> </w:t>
      </w:r>
      <w:r>
        <w:rPr/>
        <w:t>and</w:t>
      </w:r>
      <w:r>
        <w:rPr>
          <w:spacing w:val="-22"/>
        </w:rPr>
        <w:t> </w:t>
      </w:r>
      <w:r>
        <w:rPr/>
        <w:t>Dr</w:t>
      </w:r>
    </w:p>
    <w:p>
      <w:pPr>
        <w:pStyle w:val="BodyText"/>
        <w:spacing w:line="205" w:lineRule="exact"/>
        <w:ind w:left="107" w:right="177"/>
        <w:rPr>
          <w:sz w:val="22"/>
        </w:rPr>
      </w:pPr>
      <w:r>
        <w:rPr/>
        <w:t>Luce De Buitleir Andrews</w:t>
      </w:r>
      <w:r>
        <w:rPr>
          <w:sz w:val="22"/>
        </w:rPr>
        <w:t>.</w:t>
      </w:r>
    </w:p>
    <w:p>
      <w:pPr>
        <w:pStyle w:val="BodyText"/>
        <w:spacing w:before="7"/>
      </w:pPr>
    </w:p>
    <w:p>
      <w:pPr>
        <w:pStyle w:val="Heading8"/>
        <w:spacing w:before="1"/>
        <w:ind w:right="177"/>
      </w:pPr>
      <w:r>
        <w:rPr>
          <w:color w:val="636466"/>
          <w:w w:val="95"/>
        </w:rPr>
        <w:t>Inaugural Mardi Gras Participation</w:t>
      </w:r>
    </w:p>
    <w:p>
      <w:pPr>
        <w:pStyle w:val="BodyText"/>
        <w:spacing w:line="249" w:lineRule="auto" w:before="86"/>
        <w:ind w:left="107" w:right="129"/>
      </w:pPr>
      <w:r>
        <w:rPr>
          <w:w w:val="80"/>
        </w:rPr>
        <w:t>In </w:t>
      </w:r>
      <w:r>
        <w:rPr>
          <w:w w:val="84"/>
        </w:rPr>
        <w:t>2015, </w:t>
      </w:r>
      <w:r>
        <w:rPr>
          <w:w w:val="97"/>
        </w:rPr>
        <w:t>the </w:t>
      </w:r>
      <w:r>
        <w:rPr>
          <w:spacing w:val="-1"/>
          <w:w w:val="97"/>
        </w:rPr>
        <w:t>University</w:t>
      </w:r>
      <w:r>
        <w:rPr>
          <w:w w:val="97"/>
        </w:rPr>
        <w:t> </w:t>
      </w:r>
      <w:r>
        <w:rPr>
          <w:spacing w:val="-1"/>
          <w:w w:val="98"/>
        </w:rPr>
        <w:t>participated</w:t>
      </w:r>
      <w:r>
        <w:rPr>
          <w:w w:val="98"/>
        </w:rPr>
        <w:t> </w:t>
      </w:r>
      <w:r>
        <w:rPr>
          <w:spacing w:val="-1"/>
          <w:w w:val="98"/>
        </w:rPr>
        <w:t>officially</w:t>
      </w:r>
      <w:r>
        <w:rPr>
          <w:w w:val="98"/>
        </w:rPr>
        <w:t> </w:t>
      </w:r>
      <w:r>
        <w:rPr/>
        <w:t>in the Sydney Gay and Lesbian Mardi Gras parade</w:t>
      </w:r>
      <w:r>
        <w:rPr>
          <w:spacing w:val="-23"/>
        </w:rPr>
        <w:t> </w:t>
      </w:r>
      <w:r>
        <w:rPr/>
        <w:t>for</w:t>
      </w:r>
      <w:r>
        <w:rPr>
          <w:spacing w:val="-23"/>
        </w:rPr>
        <w:t> </w:t>
      </w:r>
      <w:r>
        <w:rPr/>
        <w:t>the</w:t>
      </w:r>
      <w:r>
        <w:rPr>
          <w:spacing w:val="-23"/>
        </w:rPr>
        <w:t> </w:t>
      </w:r>
      <w:r>
        <w:rPr/>
        <w:t>first</w:t>
      </w:r>
      <w:r>
        <w:rPr>
          <w:spacing w:val="-23"/>
        </w:rPr>
        <w:t> </w:t>
      </w:r>
      <w:r>
        <w:rPr/>
        <w:t>time.</w:t>
      </w:r>
      <w:r>
        <w:rPr>
          <w:spacing w:val="-23"/>
        </w:rPr>
        <w:t> </w:t>
      </w:r>
      <w:r>
        <w:rPr/>
        <w:t>Staff</w:t>
      </w:r>
      <w:r>
        <w:rPr>
          <w:spacing w:val="-23"/>
        </w:rPr>
        <w:t> </w:t>
      </w:r>
      <w:r>
        <w:rPr/>
        <w:t>and</w:t>
      </w:r>
      <w:r>
        <w:rPr>
          <w:spacing w:val="-23"/>
        </w:rPr>
        <w:t> </w:t>
      </w:r>
      <w:r>
        <w:rPr/>
        <w:t>students paraded to demonstrate the University’s support</w:t>
      </w:r>
      <w:r>
        <w:rPr>
          <w:spacing w:val="-26"/>
        </w:rPr>
        <w:t> </w:t>
      </w:r>
      <w:r>
        <w:rPr/>
        <w:t>for</w:t>
      </w:r>
      <w:r>
        <w:rPr>
          <w:spacing w:val="-26"/>
        </w:rPr>
        <w:t> </w:t>
      </w:r>
      <w:r>
        <w:rPr/>
        <w:t>inclusion</w:t>
      </w:r>
      <w:r>
        <w:rPr>
          <w:spacing w:val="-26"/>
        </w:rPr>
        <w:t> </w:t>
      </w:r>
      <w:r>
        <w:rPr/>
        <w:t>and</w:t>
      </w:r>
      <w:r>
        <w:rPr>
          <w:spacing w:val="-26"/>
        </w:rPr>
        <w:t> </w:t>
      </w:r>
      <w:r>
        <w:rPr/>
        <w:t>diversity.</w:t>
      </w:r>
      <w:r>
        <w:rPr>
          <w:spacing w:val="-26"/>
        </w:rPr>
        <w:t> </w:t>
      </w:r>
      <w:r>
        <w:rPr/>
        <w:t>Following the parade, the University float received an avalanche</w:t>
      </w:r>
      <w:r>
        <w:rPr>
          <w:spacing w:val="-30"/>
        </w:rPr>
        <w:t> </w:t>
      </w:r>
      <w:r>
        <w:rPr/>
        <w:t>of</w:t>
      </w:r>
      <w:r>
        <w:rPr>
          <w:spacing w:val="-30"/>
        </w:rPr>
        <w:t> </w:t>
      </w:r>
      <w:r>
        <w:rPr/>
        <w:t>positive</w:t>
      </w:r>
      <w:r>
        <w:rPr>
          <w:spacing w:val="-30"/>
        </w:rPr>
        <w:t> </w:t>
      </w:r>
      <w:r>
        <w:rPr/>
        <w:t>feedback</w:t>
      </w:r>
      <w:r>
        <w:rPr>
          <w:spacing w:val="-30"/>
        </w:rPr>
        <w:t> </w:t>
      </w:r>
      <w:r>
        <w:rPr/>
        <w:t>on</w:t>
      </w:r>
      <w:r>
        <w:rPr>
          <w:spacing w:val="-30"/>
        </w:rPr>
        <w:t> </w:t>
      </w:r>
      <w:r>
        <w:rPr/>
        <w:t>Facebook,</w:t>
      </w:r>
    </w:p>
    <w:p>
      <w:pPr>
        <w:pStyle w:val="BodyText"/>
        <w:spacing w:line="249" w:lineRule="auto"/>
        <w:ind w:left="107" w:right="-3"/>
      </w:pPr>
      <w:r>
        <w:rPr>
          <w:spacing w:val="-3"/>
        </w:rPr>
        <w:t>Twitter,</w:t>
      </w:r>
      <w:r>
        <w:rPr>
          <w:spacing w:val="-27"/>
        </w:rPr>
        <w:t> </w:t>
      </w:r>
      <w:r>
        <w:rPr>
          <w:spacing w:val="-5"/>
        </w:rPr>
        <w:t>YouTube</w:t>
      </w:r>
      <w:r>
        <w:rPr>
          <w:spacing w:val="-27"/>
        </w:rPr>
        <w:t> </w:t>
      </w:r>
      <w:r>
        <w:rPr/>
        <w:t>and</w:t>
      </w:r>
      <w:r>
        <w:rPr>
          <w:spacing w:val="-27"/>
        </w:rPr>
        <w:t> </w:t>
      </w:r>
      <w:r>
        <w:rPr/>
        <w:t>Yammer.</w:t>
      </w:r>
      <w:r>
        <w:rPr>
          <w:spacing w:val="-27"/>
        </w:rPr>
        <w:t> </w:t>
      </w:r>
      <w:r>
        <w:rPr/>
        <w:t>Many</w:t>
      </w:r>
      <w:r>
        <w:rPr>
          <w:spacing w:val="-27"/>
        </w:rPr>
        <w:t> </w:t>
      </w:r>
      <w:r>
        <w:rPr/>
        <w:t>students expressed</w:t>
      </w:r>
      <w:r>
        <w:rPr>
          <w:spacing w:val="-23"/>
        </w:rPr>
        <w:t> </w:t>
      </w:r>
      <w:r>
        <w:rPr/>
        <w:t>their</w:t>
      </w:r>
      <w:r>
        <w:rPr>
          <w:spacing w:val="-23"/>
        </w:rPr>
        <w:t> </w:t>
      </w:r>
      <w:r>
        <w:rPr/>
        <w:t>pride</w:t>
      </w:r>
      <w:r>
        <w:rPr>
          <w:spacing w:val="-23"/>
        </w:rPr>
        <w:t> </w:t>
      </w:r>
      <w:r>
        <w:rPr/>
        <w:t>in</w:t>
      </w:r>
      <w:r>
        <w:rPr>
          <w:spacing w:val="-23"/>
        </w:rPr>
        <w:t> </w:t>
      </w:r>
      <w:r>
        <w:rPr/>
        <w:t>the</w:t>
      </w:r>
      <w:r>
        <w:rPr>
          <w:spacing w:val="-23"/>
        </w:rPr>
        <w:t> </w:t>
      </w:r>
      <w:r>
        <w:rPr/>
        <w:t>University</w:t>
      </w:r>
      <w:r>
        <w:rPr>
          <w:spacing w:val="-23"/>
        </w:rPr>
        <w:t> </w:t>
      </w:r>
      <w:r>
        <w:rPr/>
        <w:t>float</w:t>
      </w:r>
      <w:r>
        <w:rPr>
          <w:spacing w:val="-23"/>
        </w:rPr>
        <w:t> </w:t>
      </w:r>
      <w:r>
        <w:rPr/>
        <w:t>on Facebook. For instance, one student posted this comment: “I was in the crowd and so pleased</w:t>
      </w:r>
      <w:r>
        <w:rPr>
          <w:spacing w:val="-28"/>
        </w:rPr>
        <w:t> </w:t>
      </w:r>
      <w:r>
        <w:rPr/>
        <w:t>to</w:t>
      </w:r>
      <w:r>
        <w:rPr>
          <w:spacing w:val="-28"/>
        </w:rPr>
        <w:t> </w:t>
      </w:r>
      <w:r>
        <w:rPr/>
        <w:t>see</w:t>
      </w:r>
      <w:r>
        <w:rPr>
          <w:spacing w:val="-28"/>
        </w:rPr>
        <w:t> </w:t>
      </w:r>
      <w:r>
        <w:rPr/>
        <w:t>my</w:t>
      </w:r>
      <w:r>
        <w:rPr>
          <w:spacing w:val="-28"/>
        </w:rPr>
        <w:t> </w:t>
      </w:r>
      <w:r>
        <w:rPr/>
        <w:t>University,</w:t>
      </w:r>
      <w:r>
        <w:rPr>
          <w:spacing w:val="-28"/>
        </w:rPr>
        <w:t> </w:t>
      </w:r>
      <w:r>
        <w:rPr/>
        <w:t>where</w:t>
      </w:r>
      <w:r>
        <w:rPr>
          <w:spacing w:val="-28"/>
        </w:rPr>
        <w:t> </w:t>
      </w:r>
      <w:r>
        <w:rPr/>
        <w:t>I</w:t>
      </w:r>
      <w:r>
        <w:rPr>
          <w:spacing w:val="-28"/>
        </w:rPr>
        <w:t> </w:t>
      </w:r>
      <w:r>
        <w:rPr/>
        <w:t>study</w:t>
      </w:r>
      <w:r>
        <w:rPr>
          <w:spacing w:val="-28"/>
        </w:rPr>
        <w:t> </w:t>
      </w:r>
      <w:r>
        <w:rPr/>
        <w:t>and work,</w:t>
      </w:r>
      <w:r>
        <w:rPr>
          <w:spacing w:val="-26"/>
        </w:rPr>
        <w:t> </w:t>
      </w:r>
      <w:r>
        <w:rPr/>
        <w:t>represented</w:t>
      </w:r>
      <w:r>
        <w:rPr>
          <w:spacing w:val="-26"/>
        </w:rPr>
        <w:t> </w:t>
      </w:r>
      <w:r>
        <w:rPr/>
        <w:t>in</w:t>
      </w:r>
      <w:r>
        <w:rPr>
          <w:spacing w:val="-26"/>
        </w:rPr>
        <w:t> </w:t>
      </w:r>
      <w:r>
        <w:rPr/>
        <w:t>the</w:t>
      </w:r>
      <w:r>
        <w:rPr>
          <w:spacing w:val="-26"/>
        </w:rPr>
        <w:t> </w:t>
      </w:r>
      <w:r>
        <w:rPr/>
        <w:t>parade.</w:t>
      </w:r>
      <w:r>
        <w:rPr>
          <w:spacing w:val="-26"/>
        </w:rPr>
        <w:t> </w:t>
      </w:r>
      <w:r>
        <w:rPr/>
        <w:t>It</w:t>
      </w:r>
      <w:r>
        <w:rPr>
          <w:spacing w:val="-26"/>
        </w:rPr>
        <w:t> </w:t>
      </w:r>
      <w:r>
        <w:rPr/>
        <w:t>was</w:t>
      </w:r>
      <w:r>
        <w:rPr>
          <w:spacing w:val="-26"/>
        </w:rPr>
        <w:t> </w:t>
      </w:r>
      <w:r>
        <w:rPr/>
        <w:t>a</w:t>
      </w:r>
      <w:r>
        <w:rPr>
          <w:spacing w:val="-26"/>
        </w:rPr>
        <w:t> </w:t>
      </w:r>
      <w:r>
        <w:rPr/>
        <w:t>very proud</w:t>
      </w:r>
      <w:r>
        <w:rPr>
          <w:spacing w:val="-24"/>
        </w:rPr>
        <w:t> </w:t>
      </w:r>
      <w:r>
        <w:rPr/>
        <w:t>moment</w:t>
      </w:r>
      <w:r>
        <w:rPr>
          <w:spacing w:val="-24"/>
        </w:rPr>
        <w:t> </w:t>
      </w:r>
      <w:r>
        <w:rPr/>
        <w:t>and</w:t>
      </w:r>
      <w:r>
        <w:rPr>
          <w:spacing w:val="-24"/>
        </w:rPr>
        <w:t> </w:t>
      </w:r>
      <w:r>
        <w:rPr/>
        <w:t>so</w:t>
      </w:r>
      <w:r>
        <w:rPr>
          <w:spacing w:val="-24"/>
        </w:rPr>
        <w:t> </w:t>
      </w:r>
      <w:r>
        <w:rPr/>
        <w:t>good</w:t>
      </w:r>
      <w:r>
        <w:rPr>
          <w:spacing w:val="-24"/>
        </w:rPr>
        <w:t> </w:t>
      </w:r>
      <w:r>
        <w:rPr/>
        <w:t>to</w:t>
      </w:r>
      <w:r>
        <w:rPr>
          <w:spacing w:val="-24"/>
        </w:rPr>
        <w:t> </w:t>
      </w:r>
      <w:r>
        <w:rPr/>
        <w:t>feel</w:t>
      </w:r>
      <w:r>
        <w:rPr>
          <w:spacing w:val="-24"/>
        </w:rPr>
        <w:t> </w:t>
      </w:r>
      <w:r>
        <w:rPr/>
        <w:t>accepted.”</w:t>
      </w:r>
    </w:p>
    <w:p>
      <w:pPr>
        <w:pStyle w:val="BodyText"/>
        <w:spacing w:before="7"/>
        <w:rPr>
          <w:sz w:val="21"/>
        </w:rPr>
      </w:pPr>
    </w:p>
    <w:p>
      <w:pPr>
        <w:pStyle w:val="Heading8"/>
        <w:ind w:right="177"/>
      </w:pPr>
      <w:r>
        <w:rPr>
          <w:w w:val="95"/>
        </w:rPr>
        <w:t>GENDER EQUALITY</w:t>
      </w:r>
    </w:p>
    <w:p>
      <w:pPr>
        <w:pStyle w:val="BodyText"/>
        <w:spacing w:before="3"/>
        <w:rPr>
          <w:rFonts w:ascii="Gotham Narrow Bold"/>
          <w:b/>
          <w:sz w:val="9"/>
        </w:rPr>
      </w:pPr>
    </w:p>
    <w:p>
      <w:pPr>
        <w:pStyle w:val="BodyText"/>
        <w:ind w:left="107"/>
        <w:rPr>
          <w:rFonts w:ascii="Gotham Narrow Bold"/>
          <w:sz w:val="20"/>
        </w:rPr>
      </w:pPr>
      <w:r>
        <w:rPr>
          <w:rFonts w:ascii="Gotham Narrow Bold"/>
          <w:sz w:val="20"/>
        </w:rPr>
        <w:drawing>
          <wp:inline distT="0" distB="0" distL="0" distR="0">
            <wp:extent cx="1162135" cy="540067"/>
            <wp:effectExtent l="0" t="0" r="0" b="0"/>
            <wp:docPr id="5" name="image26.png" descr=""/>
            <wp:cNvGraphicFramePr>
              <a:graphicFrameLocks noChangeAspect="1"/>
            </wp:cNvGraphicFramePr>
            <a:graphic>
              <a:graphicData uri="http://schemas.openxmlformats.org/drawingml/2006/picture">
                <pic:pic>
                  <pic:nvPicPr>
                    <pic:cNvPr id="6" name="image26.png"/>
                    <pic:cNvPicPr/>
                  </pic:nvPicPr>
                  <pic:blipFill>
                    <a:blip r:embed="rId48" cstate="print"/>
                    <a:stretch>
                      <a:fillRect/>
                    </a:stretch>
                  </pic:blipFill>
                  <pic:spPr>
                    <a:xfrm>
                      <a:off x="0" y="0"/>
                      <a:ext cx="1162135" cy="540067"/>
                    </a:xfrm>
                    <a:prstGeom prst="rect">
                      <a:avLst/>
                    </a:prstGeom>
                  </pic:spPr>
                </pic:pic>
              </a:graphicData>
            </a:graphic>
          </wp:inline>
        </w:drawing>
      </w:r>
      <w:r>
        <w:rPr>
          <w:rFonts w:ascii="Gotham Narrow Bold"/>
          <w:sz w:val="20"/>
        </w:rPr>
      </w:r>
    </w:p>
    <w:p>
      <w:pPr>
        <w:spacing w:line="249" w:lineRule="auto" w:before="131"/>
        <w:ind w:left="107" w:right="244" w:firstLine="0"/>
        <w:jc w:val="left"/>
        <w:rPr>
          <w:rFonts w:ascii="Gotham Narrow Bold"/>
          <w:b/>
          <w:sz w:val="16"/>
        </w:rPr>
      </w:pPr>
      <w:r>
        <w:rPr>
          <w:rFonts w:ascii="Gotham Narrow Bold"/>
          <w:b/>
          <w:color w:val="636466"/>
          <w:spacing w:val="2"/>
          <w:sz w:val="16"/>
        </w:rPr>
        <w:t>University</w:t>
      </w:r>
      <w:r>
        <w:rPr>
          <w:rFonts w:ascii="Gotham Narrow Bold"/>
          <w:b/>
          <w:color w:val="636466"/>
          <w:spacing w:val="-25"/>
          <w:sz w:val="16"/>
        </w:rPr>
        <w:t> </w:t>
      </w:r>
      <w:r>
        <w:rPr>
          <w:rFonts w:ascii="Gotham Narrow Bold"/>
          <w:b/>
          <w:color w:val="636466"/>
          <w:sz w:val="16"/>
        </w:rPr>
        <w:t>Recognised</w:t>
      </w:r>
      <w:r>
        <w:rPr>
          <w:rFonts w:ascii="Gotham Narrow Bold"/>
          <w:b/>
          <w:color w:val="636466"/>
          <w:spacing w:val="-25"/>
          <w:sz w:val="16"/>
        </w:rPr>
        <w:t> </w:t>
      </w:r>
      <w:r>
        <w:rPr>
          <w:rFonts w:ascii="Gotham Narrow Bold"/>
          <w:b/>
          <w:color w:val="636466"/>
          <w:sz w:val="16"/>
        </w:rPr>
        <w:t>as</w:t>
      </w:r>
      <w:r>
        <w:rPr>
          <w:rFonts w:ascii="Gotham Narrow Bold"/>
          <w:b/>
          <w:color w:val="636466"/>
          <w:spacing w:val="-25"/>
          <w:sz w:val="16"/>
        </w:rPr>
        <w:t> </w:t>
      </w:r>
      <w:r>
        <w:rPr>
          <w:rFonts w:ascii="Gotham Narrow Bold"/>
          <w:b/>
          <w:color w:val="636466"/>
          <w:sz w:val="16"/>
        </w:rPr>
        <w:t>an</w:t>
      </w:r>
      <w:r>
        <w:rPr>
          <w:rFonts w:ascii="Gotham Narrow Bold"/>
          <w:b/>
          <w:color w:val="636466"/>
          <w:spacing w:val="-25"/>
          <w:sz w:val="16"/>
        </w:rPr>
        <w:t> </w:t>
      </w:r>
      <w:r>
        <w:rPr>
          <w:rFonts w:ascii="Gotham Narrow Bold"/>
          <w:b/>
          <w:color w:val="636466"/>
          <w:sz w:val="16"/>
        </w:rPr>
        <w:t>Employer</w:t>
      </w:r>
      <w:r>
        <w:rPr>
          <w:rFonts w:ascii="Gotham Narrow Bold"/>
          <w:b/>
          <w:color w:val="636466"/>
          <w:spacing w:val="-25"/>
          <w:sz w:val="16"/>
        </w:rPr>
        <w:t> </w:t>
      </w:r>
      <w:r>
        <w:rPr>
          <w:rFonts w:ascii="Gotham Narrow Bold"/>
          <w:b/>
          <w:color w:val="636466"/>
          <w:sz w:val="16"/>
        </w:rPr>
        <w:t>of </w:t>
      </w:r>
      <w:r>
        <w:rPr>
          <w:rFonts w:ascii="Gotham Narrow Bold"/>
          <w:b/>
          <w:color w:val="636466"/>
          <w:w w:val="95"/>
          <w:sz w:val="16"/>
        </w:rPr>
        <w:t>Choice for </w:t>
      </w:r>
      <w:r>
        <w:rPr>
          <w:rFonts w:ascii="Gotham Narrow Bold"/>
          <w:b/>
          <w:color w:val="636466"/>
          <w:spacing w:val="2"/>
          <w:w w:val="95"/>
          <w:sz w:val="16"/>
        </w:rPr>
        <w:t>Gender</w:t>
      </w:r>
      <w:r>
        <w:rPr>
          <w:rFonts w:ascii="Gotham Narrow Bold"/>
          <w:b/>
          <w:color w:val="636466"/>
          <w:spacing w:val="6"/>
          <w:w w:val="95"/>
          <w:sz w:val="16"/>
        </w:rPr>
        <w:t> </w:t>
      </w:r>
      <w:r>
        <w:rPr>
          <w:rFonts w:ascii="Gotham Narrow Bold"/>
          <w:b/>
          <w:color w:val="636466"/>
          <w:spacing w:val="2"/>
          <w:w w:val="95"/>
          <w:sz w:val="16"/>
        </w:rPr>
        <w:t>Equality</w:t>
      </w:r>
    </w:p>
    <w:p>
      <w:pPr>
        <w:pStyle w:val="BodyText"/>
        <w:spacing w:line="249" w:lineRule="auto" w:before="79"/>
        <w:ind w:left="107"/>
      </w:pPr>
      <w:r>
        <w:rPr/>
        <w:t>Western Sydney University was once again recognised for its longstanding efforts in improving gender equality in the workplace. The</w:t>
      </w:r>
      <w:r>
        <w:rPr>
          <w:spacing w:val="-26"/>
        </w:rPr>
        <w:t> </w:t>
      </w:r>
      <w:r>
        <w:rPr/>
        <w:t>University</w:t>
      </w:r>
      <w:r>
        <w:rPr>
          <w:spacing w:val="-26"/>
        </w:rPr>
        <w:t> </w:t>
      </w:r>
      <w:r>
        <w:rPr/>
        <w:t>met</w:t>
      </w:r>
      <w:r>
        <w:rPr>
          <w:spacing w:val="-26"/>
        </w:rPr>
        <w:t> </w:t>
      </w:r>
      <w:r>
        <w:rPr/>
        <w:t>the</w:t>
      </w:r>
      <w:r>
        <w:rPr>
          <w:spacing w:val="-26"/>
        </w:rPr>
        <w:t> </w:t>
      </w:r>
      <w:r>
        <w:rPr/>
        <w:t>stringent</w:t>
      </w:r>
      <w:r>
        <w:rPr>
          <w:spacing w:val="-26"/>
        </w:rPr>
        <w:t> </w:t>
      </w:r>
      <w:r>
        <w:rPr/>
        <w:t>criteria</w:t>
      </w:r>
      <w:r>
        <w:rPr>
          <w:spacing w:val="-26"/>
        </w:rPr>
        <w:t> </w:t>
      </w:r>
      <w:r>
        <w:rPr/>
        <w:t>to</w:t>
      </w:r>
      <w:r>
        <w:rPr>
          <w:spacing w:val="-26"/>
        </w:rPr>
        <w:t> </w:t>
      </w:r>
      <w:r>
        <w:rPr/>
        <w:t>join a</w:t>
      </w:r>
      <w:r>
        <w:rPr>
          <w:spacing w:val="-24"/>
        </w:rPr>
        <w:t> </w:t>
      </w:r>
      <w:r>
        <w:rPr/>
        <w:t>list</w:t>
      </w:r>
      <w:r>
        <w:rPr>
          <w:spacing w:val="-24"/>
        </w:rPr>
        <w:t> </w:t>
      </w:r>
      <w:r>
        <w:rPr/>
        <w:t>of</w:t>
      </w:r>
      <w:r>
        <w:rPr>
          <w:spacing w:val="-24"/>
        </w:rPr>
        <w:t> </w:t>
      </w:r>
      <w:r>
        <w:rPr/>
        <w:t>90</w:t>
      </w:r>
      <w:r>
        <w:rPr>
          <w:spacing w:val="-24"/>
        </w:rPr>
        <w:t> </w:t>
      </w:r>
      <w:r>
        <w:rPr/>
        <w:t>organisations</w:t>
      </w:r>
      <w:r>
        <w:rPr>
          <w:spacing w:val="-24"/>
        </w:rPr>
        <w:t> </w:t>
      </w:r>
      <w:r>
        <w:rPr/>
        <w:t>nationwide</w:t>
      </w:r>
      <w:r>
        <w:rPr>
          <w:spacing w:val="-24"/>
        </w:rPr>
        <w:t> </w:t>
      </w:r>
      <w:r>
        <w:rPr/>
        <w:t>to</w:t>
      </w:r>
      <w:r>
        <w:rPr>
          <w:spacing w:val="-24"/>
        </w:rPr>
        <w:t> </w:t>
      </w:r>
      <w:r>
        <w:rPr/>
        <w:t>receive the Employer of Choice for Gender Equality (EOCGE) citation, awarded by the Australian Government’s Workplace Gender Equality Agency (WGEA). This is the 11th consecutive year</w:t>
      </w:r>
      <w:r>
        <w:rPr>
          <w:spacing w:val="-31"/>
        </w:rPr>
        <w:t> </w:t>
      </w:r>
      <w:r>
        <w:rPr/>
        <w:t>that</w:t>
      </w:r>
      <w:r>
        <w:rPr>
          <w:spacing w:val="-31"/>
        </w:rPr>
        <w:t> </w:t>
      </w:r>
      <w:r>
        <w:rPr/>
        <w:t>the</w:t>
      </w:r>
      <w:r>
        <w:rPr>
          <w:spacing w:val="-31"/>
        </w:rPr>
        <w:t> </w:t>
      </w:r>
      <w:r>
        <w:rPr/>
        <w:t>University</w:t>
      </w:r>
      <w:r>
        <w:rPr>
          <w:spacing w:val="-31"/>
        </w:rPr>
        <w:t> </w:t>
      </w:r>
      <w:r>
        <w:rPr/>
        <w:t>has</w:t>
      </w:r>
      <w:r>
        <w:rPr>
          <w:spacing w:val="-31"/>
        </w:rPr>
        <w:t> </w:t>
      </w:r>
      <w:r>
        <w:rPr/>
        <w:t>received</w:t>
      </w:r>
      <w:r>
        <w:rPr>
          <w:spacing w:val="-31"/>
        </w:rPr>
        <w:t> </w:t>
      </w:r>
      <w:r>
        <w:rPr/>
        <w:t>the</w:t>
      </w:r>
      <w:r>
        <w:rPr>
          <w:spacing w:val="-31"/>
        </w:rPr>
        <w:t> </w:t>
      </w:r>
      <w:r>
        <w:rPr/>
        <w:t>award.</w:t>
      </w:r>
    </w:p>
    <w:p>
      <w:pPr>
        <w:pStyle w:val="BodyText"/>
        <w:rPr>
          <w:sz w:val="14"/>
        </w:rPr>
      </w:pPr>
    </w:p>
    <w:p>
      <w:pPr>
        <w:pStyle w:val="BodyText"/>
        <w:spacing w:line="249" w:lineRule="auto"/>
        <w:ind w:left="107" w:right="424"/>
      </w:pPr>
      <w:r>
        <w:rPr/>
        <w:t>To maintain momentum and continue </w:t>
      </w:r>
      <w:r>
        <w:rPr>
          <w:w w:val="101"/>
        </w:rPr>
        <w:t>to </w:t>
      </w:r>
      <w:r>
        <w:rPr>
          <w:w w:val="98"/>
        </w:rPr>
        <w:t>improve </w:t>
      </w:r>
      <w:r>
        <w:rPr>
          <w:w w:val="97"/>
        </w:rPr>
        <w:t>gender </w:t>
      </w:r>
      <w:r>
        <w:rPr>
          <w:w w:val="94"/>
        </w:rPr>
        <w:t>equality, </w:t>
      </w:r>
      <w:r>
        <w:rPr>
          <w:w w:val="95"/>
        </w:rPr>
        <w:t>in </w:t>
      </w:r>
      <w:r>
        <w:rPr>
          <w:w w:val="88"/>
        </w:rPr>
        <w:t>2015 </w:t>
      </w:r>
      <w:r>
        <w:rPr>
          <w:w w:val="97"/>
        </w:rPr>
        <w:t>the</w:t>
      </w:r>
    </w:p>
    <w:p>
      <w:pPr>
        <w:pStyle w:val="BodyText"/>
        <w:spacing w:line="249" w:lineRule="auto"/>
        <w:ind w:left="107" w:right="20"/>
      </w:pPr>
      <w:r>
        <w:rPr/>
        <w:t>University set new targets of 40 per cent representation of women in management and 40 per cent representation of women on internal and external recruitment shortlists</w:t>
      </w:r>
    </w:p>
    <w:p>
      <w:pPr>
        <w:pStyle w:val="BodyText"/>
        <w:spacing w:before="2"/>
        <w:rPr>
          <w:sz w:val="20"/>
        </w:rPr>
      </w:pPr>
      <w:r>
        <w:rPr/>
        <w:br w:type="column"/>
      </w:r>
      <w:r>
        <w:rPr>
          <w:sz w:val="20"/>
        </w:rPr>
      </w:r>
    </w:p>
    <w:p>
      <w:pPr>
        <w:pStyle w:val="BodyText"/>
        <w:spacing w:line="249" w:lineRule="auto" w:before="1"/>
        <w:ind w:left="107" w:right="6"/>
      </w:pPr>
      <w:r>
        <w:rPr/>
        <w:t>by 2020. The University also launched new grants and awards to support researchers focusing</w:t>
      </w:r>
      <w:r>
        <w:rPr>
          <w:spacing w:val="-17"/>
        </w:rPr>
        <w:t> </w:t>
      </w:r>
      <w:r>
        <w:rPr/>
        <w:t>on</w:t>
      </w:r>
      <w:r>
        <w:rPr>
          <w:spacing w:val="-17"/>
        </w:rPr>
        <w:t> </w:t>
      </w:r>
      <w:r>
        <w:rPr/>
        <w:t>early</w:t>
      </w:r>
      <w:r>
        <w:rPr>
          <w:spacing w:val="-17"/>
        </w:rPr>
        <w:t> </w:t>
      </w:r>
      <w:r>
        <w:rPr/>
        <w:t>career</w:t>
      </w:r>
      <w:r>
        <w:rPr>
          <w:spacing w:val="-17"/>
        </w:rPr>
        <w:t> </w:t>
      </w:r>
      <w:r>
        <w:rPr/>
        <w:t>development,</w:t>
      </w:r>
      <w:r>
        <w:rPr>
          <w:spacing w:val="-17"/>
        </w:rPr>
        <w:t> </w:t>
      </w:r>
      <w:r>
        <w:rPr/>
        <w:t>gender equity</w:t>
      </w:r>
      <w:r>
        <w:rPr>
          <w:spacing w:val="-17"/>
        </w:rPr>
        <w:t> </w:t>
      </w:r>
      <w:r>
        <w:rPr/>
        <w:t>and</w:t>
      </w:r>
      <w:r>
        <w:rPr>
          <w:spacing w:val="-17"/>
        </w:rPr>
        <w:t> </w:t>
      </w:r>
      <w:r>
        <w:rPr/>
        <w:t>career</w:t>
      </w:r>
      <w:r>
        <w:rPr>
          <w:spacing w:val="-17"/>
        </w:rPr>
        <w:t> </w:t>
      </w:r>
      <w:r>
        <w:rPr/>
        <w:t>interruption.</w:t>
      </w:r>
      <w:r>
        <w:rPr>
          <w:spacing w:val="-17"/>
        </w:rPr>
        <w:t> </w:t>
      </w:r>
      <w:r>
        <w:rPr/>
        <w:t>Grants</w:t>
      </w:r>
      <w:r>
        <w:rPr>
          <w:spacing w:val="-17"/>
        </w:rPr>
        <w:t> </w:t>
      </w:r>
      <w:r>
        <w:rPr/>
        <w:t>include a Conference Support Scheme, a </w:t>
      </w:r>
      <w:r>
        <w:rPr>
          <w:spacing w:val="2"/>
        </w:rPr>
        <w:t>Career </w:t>
      </w:r>
      <w:r>
        <w:rPr/>
        <w:t>Interruption</w:t>
      </w:r>
      <w:r>
        <w:rPr>
          <w:spacing w:val="-17"/>
        </w:rPr>
        <w:t> </w:t>
      </w:r>
      <w:r>
        <w:rPr/>
        <w:t>Support</w:t>
      </w:r>
      <w:r>
        <w:rPr>
          <w:spacing w:val="-17"/>
        </w:rPr>
        <w:t> </w:t>
      </w:r>
      <w:r>
        <w:rPr/>
        <w:t>Scheme</w:t>
      </w:r>
      <w:r>
        <w:rPr>
          <w:spacing w:val="-17"/>
        </w:rPr>
        <w:t> </w:t>
      </w:r>
      <w:r>
        <w:rPr/>
        <w:t>and</w:t>
      </w:r>
      <w:r>
        <w:rPr>
          <w:spacing w:val="-17"/>
        </w:rPr>
        <w:t> </w:t>
      </w:r>
      <w:r>
        <w:rPr/>
        <w:t>a</w:t>
      </w:r>
      <w:r>
        <w:rPr>
          <w:spacing w:val="-17"/>
        </w:rPr>
        <w:t> </w:t>
      </w:r>
      <w:r>
        <w:rPr/>
        <w:t>Women’s Research</w:t>
      </w:r>
      <w:r>
        <w:rPr>
          <w:spacing w:val="-36"/>
        </w:rPr>
        <w:t> </w:t>
      </w:r>
      <w:r>
        <w:rPr/>
        <w:t>Fellowship.</w:t>
      </w:r>
    </w:p>
    <w:p>
      <w:pPr>
        <w:pStyle w:val="BodyText"/>
        <w:rPr>
          <w:sz w:val="17"/>
        </w:rPr>
      </w:pPr>
    </w:p>
    <w:p>
      <w:pPr>
        <w:pStyle w:val="Heading8"/>
        <w:spacing w:line="249" w:lineRule="auto"/>
        <w:ind w:right="6"/>
      </w:pPr>
      <w:r>
        <w:rPr>
          <w:color w:val="636466"/>
          <w:w w:val="95"/>
        </w:rPr>
        <w:t>Vice-Chancellor Named Pay Equity </w:t>
      </w:r>
      <w:r>
        <w:rPr>
          <w:color w:val="636466"/>
        </w:rPr>
        <w:t>Ambassador</w:t>
      </w:r>
    </w:p>
    <w:p>
      <w:pPr>
        <w:pStyle w:val="BodyText"/>
        <w:spacing w:line="249" w:lineRule="auto" w:before="79"/>
        <w:ind w:left="107" w:right="-14"/>
      </w:pPr>
      <w:r>
        <w:rPr/>
        <w:t>In 2015, Vice-Chancellor Professor Barney Glover expanded his leadership role as a champion of gender equality by joining other chief executives to become a Pay Equity Ambassador</w:t>
      </w:r>
      <w:r>
        <w:rPr>
          <w:spacing w:val="-20"/>
        </w:rPr>
        <w:t> </w:t>
      </w:r>
      <w:r>
        <w:rPr/>
        <w:t>as</w:t>
      </w:r>
      <w:r>
        <w:rPr>
          <w:spacing w:val="-20"/>
        </w:rPr>
        <w:t> </w:t>
      </w:r>
      <w:r>
        <w:rPr/>
        <w:t>part</w:t>
      </w:r>
      <w:r>
        <w:rPr>
          <w:spacing w:val="-20"/>
        </w:rPr>
        <w:t> </w:t>
      </w:r>
      <w:r>
        <w:rPr/>
        <w:t>of</w:t>
      </w:r>
      <w:r>
        <w:rPr>
          <w:spacing w:val="-20"/>
        </w:rPr>
        <w:t> </w:t>
      </w:r>
      <w:r>
        <w:rPr/>
        <w:t>the</w:t>
      </w:r>
      <w:r>
        <w:rPr>
          <w:spacing w:val="-20"/>
        </w:rPr>
        <w:t> </w:t>
      </w:r>
      <w:r>
        <w:rPr/>
        <w:t>Workplace</w:t>
      </w:r>
      <w:r>
        <w:rPr>
          <w:spacing w:val="-20"/>
        </w:rPr>
        <w:t> </w:t>
      </w:r>
      <w:r>
        <w:rPr/>
        <w:t>Gender Equality</w:t>
      </w:r>
      <w:r>
        <w:rPr>
          <w:spacing w:val="-27"/>
        </w:rPr>
        <w:t> </w:t>
      </w:r>
      <w:r>
        <w:rPr/>
        <w:t>Agency’s</w:t>
      </w:r>
      <w:r>
        <w:rPr>
          <w:spacing w:val="-27"/>
        </w:rPr>
        <w:t> </w:t>
      </w:r>
      <w:r>
        <w:rPr/>
        <w:t>campaign</w:t>
      </w:r>
      <w:r>
        <w:rPr>
          <w:spacing w:val="-27"/>
        </w:rPr>
        <w:t> </w:t>
      </w:r>
      <w:r>
        <w:rPr/>
        <w:t>to</w:t>
      </w:r>
      <w:r>
        <w:rPr>
          <w:spacing w:val="-27"/>
        </w:rPr>
        <w:t> </w:t>
      </w:r>
      <w:r>
        <w:rPr/>
        <w:t>raise</w:t>
      </w:r>
      <w:r>
        <w:rPr>
          <w:spacing w:val="-27"/>
        </w:rPr>
        <w:t> </w:t>
      </w:r>
      <w:r>
        <w:rPr/>
        <w:t>awareness and understanding of the importance of pay equity.</w:t>
      </w:r>
      <w:r>
        <w:rPr>
          <w:spacing w:val="-24"/>
        </w:rPr>
        <w:t> </w:t>
      </w:r>
      <w:r>
        <w:rPr/>
        <w:t>As</w:t>
      </w:r>
      <w:r>
        <w:rPr>
          <w:spacing w:val="-24"/>
        </w:rPr>
        <w:t> </w:t>
      </w:r>
      <w:r>
        <w:rPr/>
        <w:t>a</w:t>
      </w:r>
      <w:r>
        <w:rPr>
          <w:spacing w:val="-24"/>
        </w:rPr>
        <w:t> </w:t>
      </w:r>
      <w:r>
        <w:rPr/>
        <w:t>Pay</w:t>
      </w:r>
      <w:r>
        <w:rPr>
          <w:spacing w:val="-24"/>
        </w:rPr>
        <w:t> </w:t>
      </w:r>
      <w:r>
        <w:rPr/>
        <w:t>Equity</w:t>
      </w:r>
      <w:r>
        <w:rPr>
          <w:spacing w:val="-24"/>
        </w:rPr>
        <w:t> </w:t>
      </w:r>
      <w:r>
        <w:rPr/>
        <w:t>Ambassador,</w:t>
      </w:r>
      <w:r>
        <w:rPr>
          <w:spacing w:val="-24"/>
        </w:rPr>
        <w:t> </w:t>
      </w:r>
      <w:r>
        <w:rPr/>
        <w:t>Professor Glover is urging employers to undertake gender pay equity analyses to identify the underlying factors contributing to gender pay gaps</w:t>
      </w:r>
      <w:r>
        <w:rPr>
          <w:spacing w:val="-38"/>
        </w:rPr>
        <w:t> </w:t>
      </w:r>
      <w:r>
        <w:rPr/>
        <w:t>in</w:t>
      </w:r>
      <w:r>
        <w:rPr>
          <w:spacing w:val="-38"/>
        </w:rPr>
        <w:t> </w:t>
      </w:r>
      <w:r>
        <w:rPr/>
        <w:t>their</w:t>
      </w:r>
      <w:r>
        <w:rPr>
          <w:spacing w:val="-38"/>
        </w:rPr>
        <w:t> </w:t>
      </w:r>
      <w:r>
        <w:rPr/>
        <w:t>organisations.</w:t>
      </w:r>
    </w:p>
    <w:p>
      <w:pPr>
        <w:pStyle w:val="BodyText"/>
        <w:rPr>
          <w:sz w:val="17"/>
        </w:rPr>
      </w:pPr>
    </w:p>
    <w:p>
      <w:pPr>
        <w:pStyle w:val="Heading8"/>
        <w:ind w:right="6"/>
      </w:pPr>
      <w:r>
        <w:rPr>
          <w:color w:val="636466"/>
        </w:rPr>
        <w:t>Athena SWAN Pilot Program</w:t>
      </w:r>
    </w:p>
    <w:p>
      <w:pPr>
        <w:pStyle w:val="BodyText"/>
        <w:spacing w:line="249" w:lineRule="auto" w:before="86"/>
        <w:ind w:left="107" w:right="6"/>
      </w:pPr>
      <w:r>
        <w:rPr>
          <w:spacing w:val="1"/>
          <w:w w:val="80"/>
        </w:rPr>
        <w:t>In</w:t>
      </w:r>
      <w:r>
        <w:rPr>
          <w:w w:val="80"/>
        </w:rPr>
        <w:t> </w:t>
      </w:r>
      <w:r>
        <w:rPr>
          <w:spacing w:val="1"/>
          <w:w w:val="84"/>
        </w:rPr>
        <w:t>2015,</w:t>
      </w:r>
      <w:r>
        <w:rPr>
          <w:w w:val="84"/>
        </w:rPr>
        <w:t> </w:t>
      </w:r>
      <w:r>
        <w:rPr>
          <w:w w:val="97"/>
        </w:rPr>
        <w:t>the </w:t>
      </w:r>
      <w:r>
        <w:rPr>
          <w:spacing w:val="1"/>
          <w:w w:val="97"/>
        </w:rPr>
        <w:t>University</w:t>
      </w:r>
      <w:r>
        <w:rPr>
          <w:w w:val="97"/>
        </w:rPr>
        <w:t> </w:t>
      </w:r>
      <w:r>
        <w:rPr>
          <w:w w:val="96"/>
        </w:rPr>
        <w:t>was </w:t>
      </w:r>
      <w:r>
        <w:rPr>
          <w:spacing w:val="1"/>
          <w:w w:val="98"/>
        </w:rPr>
        <w:t>selected</w:t>
      </w:r>
      <w:r>
        <w:rPr>
          <w:w w:val="98"/>
        </w:rPr>
        <w:t> </w:t>
      </w:r>
      <w:r>
        <w:rPr>
          <w:spacing w:val="-1"/>
          <w:w w:val="101"/>
        </w:rPr>
        <w:t>to</w:t>
      </w:r>
      <w:r>
        <w:rPr>
          <w:w w:val="101"/>
        </w:rPr>
        <w:t> </w:t>
      </w:r>
      <w:r>
        <w:rPr/>
        <w:t>participate in the Australian pilot of the Athena SWAN Program. We are joining </w:t>
      </w:r>
      <w:r>
        <w:rPr>
          <w:spacing w:val="2"/>
        </w:rPr>
        <w:t>31 </w:t>
      </w:r>
      <w:r>
        <w:rPr/>
        <w:t>other</w:t>
      </w:r>
      <w:r>
        <w:rPr>
          <w:spacing w:val="-20"/>
        </w:rPr>
        <w:t> </w:t>
      </w:r>
      <w:r>
        <w:rPr/>
        <w:t>science</w:t>
      </w:r>
      <w:r>
        <w:rPr>
          <w:spacing w:val="-20"/>
        </w:rPr>
        <w:t> </w:t>
      </w:r>
      <w:r>
        <w:rPr/>
        <w:t>organisations</w:t>
      </w:r>
      <w:r>
        <w:rPr>
          <w:spacing w:val="-20"/>
        </w:rPr>
        <w:t> </w:t>
      </w:r>
      <w:r>
        <w:rPr/>
        <w:t>and</w:t>
      </w:r>
      <w:r>
        <w:rPr>
          <w:spacing w:val="-20"/>
        </w:rPr>
        <w:t> </w:t>
      </w:r>
      <w:r>
        <w:rPr/>
        <w:t>universities</w:t>
      </w:r>
      <w:r>
        <w:rPr>
          <w:spacing w:val="-20"/>
        </w:rPr>
        <w:t> </w:t>
      </w:r>
      <w:r>
        <w:rPr/>
        <w:t>in this pilot program to improve the promotion and retention of women and gender minorities</w:t>
      </w:r>
      <w:r>
        <w:rPr>
          <w:spacing w:val="-19"/>
        </w:rPr>
        <w:t> </w:t>
      </w:r>
      <w:r>
        <w:rPr/>
        <w:t>in</w:t>
      </w:r>
      <w:r>
        <w:rPr>
          <w:spacing w:val="-19"/>
        </w:rPr>
        <w:t> </w:t>
      </w:r>
      <w:r>
        <w:rPr/>
        <w:t>the</w:t>
      </w:r>
      <w:r>
        <w:rPr>
          <w:spacing w:val="-19"/>
        </w:rPr>
        <w:t> </w:t>
      </w:r>
      <w:r>
        <w:rPr/>
        <w:t>fields</w:t>
      </w:r>
      <w:r>
        <w:rPr>
          <w:spacing w:val="-19"/>
        </w:rPr>
        <w:t> </w:t>
      </w:r>
      <w:r>
        <w:rPr/>
        <w:t>of</w:t>
      </w:r>
      <w:r>
        <w:rPr>
          <w:spacing w:val="-19"/>
        </w:rPr>
        <w:t> </w:t>
      </w:r>
      <w:r>
        <w:rPr/>
        <w:t>science,</w:t>
      </w:r>
      <w:r>
        <w:rPr>
          <w:spacing w:val="-19"/>
        </w:rPr>
        <w:t> </w:t>
      </w:r>
      <w:r>
        <w:rPr/>
        <w:t>technology, engineering</w:t>
      </w:r>
      <w:r>
        <w:rPr>
          <w:spacing w:val="-26"/>
        </w:rPr>
        <w:t> </w:t>
      </w:r>
      <w:r>
        <w:rPr/>
        <w:t>and</w:t>
      </w:r>
      <w:r>
        <w:rPr>
          <w:spacing w:val="-26"/>
        </w:rPr>
        <w:t> </w:t>
      </w:r>
      <w:r>
        <w:rPr/>
        <w:t>mathematics</w:t>
      </w:r>
      <w:r>
        <w:rPr>
          <w:spacing w:val="-26"/>
        </w:rPr>
        <w:t> </w:t>
      </w:r>
      <w:r>
        <w:rPr/>
        <w:t>(STEM).</w:t>
      </w:r>
    </w:p>
    <w:p>
      <w:pPr>
        <w:pStyle w:val="BodyText"/>
        <w:spacing w:line="249" w:lineRule="auto"/>
        <w:ind w:left="107" w:right="22"/>
      </w:pPr>
      <w:r>
        <w:rPr/>
        <w:t>Increasing</w:t>
      </w:r>
      <w:r>
        <w:rPr>
          <w:spacing w:val="-21"/>
        </w:rPr>
        <w:t> </w:t>
      </w:r>
      <w:r>
        <w:rPr/>
        <w:t>the</w:t>
      </w:r>
      <w:r>
        <w:rPr>
          <w:spacing w:val="-21"/>
        </w:rPr>
        <w:t> </w:t>
      </w:r>
      <w:r>
        <w:rPr/>
        <w:t>representation</w:t>
      </w:r>
      <w:r>
        <w:rPr>
          <w:spacing w:val="-21"/>
        </w:rPr>
        <w:t> </w:t>
      </w:r>
      <w:r>
        <w:rPr/>
        <w:t>of</w:t>
      </w:r>
      <w:r>
        <w:rPr>
          <w:spacing w:val="-21"/>
        </w:rPr>
        <w:t> </w:t>
      </w:r>
      <w:r>
        <w:rPr/>
        <w:t>women</w:t>
      </w:r>
      <w:r>
        <w:rPr>
          <w:spacing w:val="-21"/>
        </w:rPr>
        <w:t> </w:t>
      </w:r>
      <w:r>
        <w:rPr/>
        <w:t>in</w:t>
      </w:r>
      <w:r>
        <w:rPr>
          <w:spacing w:val="-21"/>
        </w:rPr>
        <w:t> </w:t>
      </w:r>
      <w:r>
        <w:rPr/>
        <w:t>the STEM disciplines will provide role models for young women. It is hoped it will encourage young women in Western Sydney schools to pursue</w:t>
      </w:r>
      <w:r>
        <w:rPr>
          <w:spacing w:val="-18"/>
        </w:rPr>
        <w:t> </w:t>
      </w:r>
      <w:r>
        <w:rPr/>
        <w:t>a</w:t>
      </w:r>
      <w:r>
        <w:rPr>
          <w:spacing w:val="-18"/>
        </w:rPr>
        <w:t> </w:t>
      </w:r>
      <w:r>
        <w:rPr/>
        <w:t>career</w:t>
      </w:r>
      <w:r>
        <w:rPr>
          <w:spacing w:val="-18"/>
        </w:rPr>
        <w:t> </w:t>
      </w:r>
      <w:r>
        <w:rPr/>
        <w:t>in</w:t>
      </w:r>
      <w:r>
        <w:rPr>
          <w:spacing w:val="-18"/>
        </w:rPr>
        <w:t> </w:t>
      </w:r>
      <w:r>
        <w:rPr>
          <w:spacing w:val="2"/>
        </w:rPr>
        <w:t>STEM,</w:t>
      </w:r>
      <w:r>
        <w:rPr>
          <w:spacing w:val="-18"/>
        </w:rPr>
        <w:t> </w:t>
      </w:r>
      <w:r>
        <w:rPr/>
        <w:t>which</w:t>
      </w:r>
      <w:r>
        <w:rPr>
          <w:spacing w:val="-18"/>
        </w:rPr>
        <w:t> </w:t>
      </w:r>
      <w:r>
        <w:rPr/>
        <w:t>will</w:t>
      </w:r>
      <w:r>
        <w:rPr>
          <w:spacing w:val="-18"/>
        </w:rPr>
        <w:t> </w:t>
      </w:r>
      <w:r>
        <w:rPr/>
        <w:t>help</w:t>
      </w:r>
      <w:r>
        <w:rPr>
          <w:spacing w:val="-18"/>
        </w:rPr>
        <w:t> </w:t>
      </w:r>
      <w:r>
        <w:rPr/>
        <w:t>build a</w:t>
      </w:r>
      <w:r>
        <w:rPr>
          <w:spacing w:val="-16"/>
        </w:rPr>
        <w:t> </w:t>
      </w:r>
      <w:r>
        <w:rPr/>
        <w:t>larger,</w:t>
      </w:r>
      <w:r>
        <w:rPr>
          <w:spacing w:val="-16"/>
        </w:rPr>
        <w:t> </w:t>
      </w:r>
      <w:r>
        <w:rPr/>
        <w:t>more</w:t>
      </w:r>
      <w:r>
        <w:rPr>
          <w:spacing w:val="-16"/>
        </w:rPr>
        <w:t> </w:t>
      </w:r>
      <w:r>
        <w:rPr/>
        <w:t>skilled</w:t>
      </w:r>
      <w:r>
        <w:rPr>
          <w:spacing w:val="-16"/>
        </w:rPr>
        <w:t> </w:t>
      </w:r>
      <w:r>
        <w:rPr/>
        <w:t>workforce</w:t>
      </w:r>
      <w:r>
        <w:rPr>
          <w:spacing w:val="-16"/>
        </w:rPr>
        <w:t> </w:t>
      </w:r>
      <w:r>
        <w:rPr/>
        <w:t>equipped</w:t>
      </w:r>
      <w:r>
        <w:rPr>
          <w:spacing w:val="-16"/>
        </w:rPr>
        <w:t> </w:t>
      </w:r>
      <w:r>
        <w:rPr/>
        <w:t>for the</w:t>
      </w:r>
      <w:r>
        <w:rPr>
          <w:spacing w:val="-22"/>
        </w:rPr>
        <w:t> </w:t>
      </w:r>
      <w:r>
        <w:rPr/>
        <w:t>jobs</w:t>
      </w:r>
      <w:r>
        <w:rPr>
          <w:spacing w:val="-22"/>
        </w:rPr>
        <w:t> </w:t>
      </w:r>
      <w:r>
        <w:rPr/>
        <w:t>of</w:t>
      </w:r>
      <w:r>
        <w:rPr>
          <w:spacing w:val="-22"/>
        </w:rPr>
        <w:t> </w:t>
      </w:r>
      <w:r>
        <w:rPr/>
        <w:t>the</w:t>
      </w:r>
      <w:r>
        <w:rPr>
          <w:spacing w:val="-22"/>
        </w:rPr>
        <w:t> </w:t>
      </w:r>
      <w:r>
        <w:rPr/>
        <w:t>future.</w:t>
      </w:r>
    </w:p>
    <w:p>
      <w:pPr>
        <w:pStyle w:val="BodyText"/>
        <w:spacing w:before="6"/>
        <w:rPr>
          <w:sz w:val="14"/>
        </w:rPr>
      </w:pPr>
    </w:p>
    <w:p>
      <w:pPr>
        <w:pStyle w:val="Heading8"/>
        <w:ind w:right="6"/>
      </w:pPr>
      <w:r>
        <w:rPr>
          <w:color w:val="636466"/>
          <w:w w:val="95"/>
        </w:rPr>
        <w:t>Unconscious Bias</w:t>
      </w:r>
    </w:p>
    <w:p>
      <w:pPr>
        <w:pStyle w:val="BodyText"/>
        <w:spacing w:line="249" w:lineRule="auto" w:before="86"/>
        <w:ind w:left="107" w:right="3"/>
      </w:pPr>
      <w:r>
        <w:rPr>
          <w:w w:val="94"/>
        </w:rPr>
        <w:t>The </w:t>
      </w:r>
      <w:r>
        <w:rPr>
          <w:w w:val="88"/>
        </w:rPr>
        <w:t>2015 </w:t>
      </w:r>
      <w:r>
        <w:rPr>
          <w:w w:val="98"/>
        </w:rPr>
        <w:t>Staff </w:t>
      </w:r>
      <w:r>
        <w:rPr>
          <w:w w:val="94"/>
        </w:rPr>
        <w:t>International </w:t>
      </w:r>
      <w:r>
        <w:rPr>
          <w:w w:val="98"/>
        </w:rPr>
        <w:t>Women’s </w:t>
      </w:r>
      <w:r>
        <w:rPr>
          <w:w w:val="98"/>
        </w:rPr>
        <w:t>Day </w:t>
      </w:r>
      <w:r>
        <w:rPr/>
        <w:t>Breakfast featured guest speaker Dr Jennifer Whelan, Director of Psynapse Psychometrics.</w:t>
      </w:r>
    </w:p>
    <w:p>
      <w:pPr>
        <w:pStyle w:val="BodyText"/>
        <w:spacing w:line="249" w:lineRule="auto"/>
        <w:ind w:left="107" w:right="233"/>
      </w:pPr>
      <w:r>
        <w:rPr/>
        <w:t>A full house listened to Dr Whelan’s excellent presentation, </w:t>
      </w:r>
      <w:r>
        <w:rPr>
          <w:spacing w:val="2"/>
        </w:rPr>
        <w:t>‘The </w:t>
      </w:r>
      <w:r>
        <w:rPr/>
        <w:t>Myth of Merit and</w:t>
      </w:r>
      <w:r>
        <w:rPr>
          <w:spacing w:val="-17"/>
        </w:rPr>
        <w:t> </w:t>
      </w:r>
      <w:r>
        <w:rPr/>
        <w:t>Unconscious</w:t>
      </w:r>
      <w:r>
        <w:rPr>
          <w:spacing w:val="-17"/>
        </w:rPr>
        <w:t> </w:t>
      </w:r>
      <w:r>
        <w:rPr/>
        <w:t>Bias’,</w:t>
      </w:r>
      <w:r>
        <w:rPr>
          <w:spacing w:val="-17"/>
        </w:rPr>
        <w:t> </w:t>
      </w:r>
      <w:r>
        <w:rPr/>
        <w:t>which</w:t>
      </w:r>
      <w:r>
        <w:rPr>
          <w:spacing w:val="-17"/>
        </w:rPr>
        <w:t> </w:t>
      </w:r>
      <w:r>
        <w:rPr/>
        <w:t>looked</w:t>
      </w:r>
      <w:r>
        <w:rPr>
          <w:spacing w:val="-17"/>
        </w:rPr>
        <w:t> </w:t>
      </w:r>
      <w:r>
        <w:rPr/>
        <w:t>at</w:t>
      </w:r>
      <w:r>
        <w:rPr>
          <w:spacing w:val="-17"/>
        </w:rPr>
        <w:t> </w:t>
      </w:r>
      <w:r>
        <w:rPr/>
        <w:t>the</w:t>
      </w:r>
    </w:p>
    <w:p>
      <w:pPr>
        <w:pStyle w:val="BodyText"/>
        <w:spacing w:line="249" w:lineRule="auto"/>
        <w:ind w:left="107" w:right="6"/>
      </w:pPr>
      <w:r>
        <w:rPr/>
        <w:t>impact</w:t>
      </w:r>
      <w:r>
        <w:rPr>
          <w:spacing w:val="-13"/>
        </w:rPr>
        <w:t> </w:t>
      </w:r>
      <w:r>
        <w:rPr/>
        <w:t>of</w:t>
      </w:r>
      <w:r>
        <w:rPr>
          <w:spacing w:val="-13"/>
        </w:rPr>
        <w:t> </w:t>
      </w:r>
      <w:r>
        <w:rPr/>
        <w:t>unconscious</w:t>
      </w:r>
      <w:r>
        <w:rPr>
          <w:spacing w:val="-13"/>
        </w:rPr>
        <w:t> </w:t>
      </w:r>
      <w:r>
        <w:rPr/>
        <w:t>biases</w:t>
      </w:r>
      <w:r>
        <w:rPr>
          <w:spacing w:val="-13"/>
        </w:rPr>
        <w:t> </w:t>
      </w:r>
      <w:r>
        <w:rPr/>
        <w:t>and</w:t>
      </w:r>
      <w:r>
        <w:rPr>
          <w:spacing w:val="-13"/>
        </w:rPr>
        <w:t> </w:t>
      </w:r>
      <w:r>
        <w:rPr/>
        <w:t>stereotypes on gender equality and diversity in the workplace. Following the success of this presentation, Dr Whelan was invited back to deliver</w:t>
      </w:r>
      <w:r>
        <w:rPr>
          <w:spacing w:val="-15"/>
        </w:rPr>
        <w:t> </w:t>
      </w:r>
      <w:r>
        <w:rPr/>
        <w:t>workshops</w:t>
      </w:r>
      <w:r>
        <w:rPr>
          <w:spacing w:val="-15"/>
        </w:rPr>
        <w:t> </w:t>
      </w:r>
      <w:r>
        <w:rPr/>
        <w:t>on</w:t>
      </w:r>
      <w:r>
        <w:rPr>
          <w:spacing w:val="-15"/>
        </w:rPr>
        <w:t> </w:t>
      </w:r>
      <w:r>
        <w:rPr/>
        <w:t>unconscious</w:t>
      </w:r>
      <w:r>
        <w:rPr>
          <w:spacing w:val="-15"/>
        </w:rPr>
        <w:t> </w:t>
      </w:r>
      <w:r>
        <w:rPr/>
        <w:t>bias</w:t>
      </w:r>
      <w:r>
        <w:rPr>
          <w:spacing w:val="-15"/>
        </w:rPr>
        <w:t> </w:t>
      </w:r>
      <w:r>
        <w:rPr/>
        <w:t>to</w:t>
      </w:r>
      <w:r>
        <w:rPr>
          <w:spacing w:val="-15"/>
        </w:rPr>
        <w:t> </w:t>
      </w:r>
      <w:r>
        <w:rPr/>
        <w:t>the Executive</w:t>
      </w:r>
      <w:r>
        <w:rPr>
          <w:spacing w:val="-22"/>
        </w:rPr>
        <w:t> </w:t>
      </w:r>
      <w:r>
        <w:rPr/>
        <w:t>and</w:t>
      </w:r>
      <w:r>
        <w:rPr>
          <w:spacing w:val="-22"/>
        </w:rPr>
        <w:t> </w:t>
      </w:r>
      <w:r>
        <w:rPr/>
        <w:t>senior</w:t>
      </w:r>
      <w:r>
        <w:rPr>
          <w:spacing w:val="-22"/>
        </w:rPr>
        <w:t> </w:t>
      </w:r>
      <w:r>
        <w:rPr/>
        <w:t>managers.</w:t>
      </w:r>
    </w:p>
    <w:p>
      <w:pPr>
        <w:pStyle w:val="BodyText"/>
        <w:spacing w:before="9"/>
        <w:rPr>
          <w:sz w:val="20"/>
        </w:rPr>
      </w:pPr>
      <w:r>
        <w:rPr/>
        <w:br w:type="column"/>
      </w:r>
      <w:r>
        <w:rPr>
          <w:sz w:val="20"/>
        </w:rPr>
      </w:r>
    </w:p>
    <w:p>
      <w:pPr>
        <w:pStyle w:val="Heading8"/>
        <w:spacing w:line="249" w:lineRule="auto"/>
        <w:ind w:right="224"/>
      </w:pPr>
      <w:r>
        <w:rPr/>
        <w:t>INTERNATIONAL HUMAN RIGHTS </w:t>
      </w:r>
      <w:r>
        <w:rPr>
          <w:w w:val="95"/>
        </w:rPr>
        <w:t>EDUCATION CONFERENCE SERIES</w:t>
      </w:r>
    </w:p>
    <w:p>
      <w:pPr>
        <w:pStyle w:val="BodyText"/>
        <w:spacing w:line="249" w:lineRule="auto" w:before="79"/>
        <w:ind w:left="107" w:right="563"/>
      </w:pPr>
      <w:r>
        <w:rPr/>
        <w:t>Dr Sev Ozdowski, Director of Equity and</w:t>
      </w:r>
      <w:r>
        <w:rPr>
          <w:spacing w:val="-20"/>
        </w:rPr>
        <w:t> </w:t>
      </w:r>
      <w:r>
        <w:rPr/>
        <w:t>Diversity,</w:t>
      </w:r>
      <w:r>
        <w:rPr>
          <w:spacing w:val="-20"/>
        </w:rPr>
        <w:t> </w:t>
      </w:r>
      <w:r>
        <w:rPr/>
        <w:t>continued</w:t>
      </w:r>
      <w:r>
        <w:rPr>
          <w:spacing w:val="-20"/>
        </w:rPr>
        <w:t> </w:t>
      </w:r>
      <w:r>
        <w:rPr/>
        <w:t>his</w:t>
      </w:r>
      <w:r>
        <w:rPr>
          <w:spacing w:val="-20"/>
        </w:rPr>
        <w:t> </w:t>
      </w:r>
      <w:r>
        <w:rPr/>
        <w:t>Foundation</w:t>
      </w:r>
    </w:p>
    <w:p>
      <w:pPr>
        <w:pStyle w:val="BodyText"/>
        <w:spacing w:line="249" w:lineRule="auto"/>
        <w:ind w:left="107" w:right="337"/>
      </w:pPr>
      <w:r>
        <w:rPr/>
        <w:t>Convenor and Series Coordinator role for the International Human Rights Education </w:t>
      </w:r>
      <w:r>
        <w:rPr>
          <w:w w:val="97"/>
        </w:rPr>
        <w:t>Conference </w:t>
      </w:r>
      <w:r>
        <w:rPr>
          <w:w w:val="95"/>
        </w:rPr>
        <w:t>series </w:t>
      </w:r>
      <w:r>
        <w:rPr>
          <w:w w:val="98"/>
        </w:rPr>
        <w:t>throughout </w:t>
      </w:r>
      <w:r>
        <w:rPr>
          <w:w w:val="84"/>
        </w:rPr>
        <w:t>2015. </w:t>
      </w:r>
      <w:r>
        <w:rPr>
          <w:w w:val="94"/>
        </w:rPr>
        <w:t>The</w:t>
      </w:r>
    </w:p>
    <w:p>
      <w:pPr>
        <w:pStyle w:val="BodyText"/>
        <w:spacing w:line="249" w:lineRule="auto"/>
        <w:ind w:left="107" w:right="120"/>
      </w:pPr>
      <w:r>
        <w:rPr/>
        <w:t>University</w:t>
      </w:r>
      <w:r>
        <w:rPr>
          <w:spacing w:val="-16"/>
        </w:rPr>
        <w:t> </w:t>
      </w:r>
      <w:r>
        <w:rPr/>
        <w:t>plays</w:t>
      </w:r>
      <w:r>
        <w:rPr>
          <w:spacing w:val="-16"/>
        </w:rPr>
        <w:t> </w:t>
      </w:r>
      <w:r>
        <w:rPr/>
        <w:t>a</w:t>
      </w:r>
      <w:r>
        <w:rPr>
          <w:spacing w:val="-16"/>
        </w:rPr>
        <w:t> </w:t>
      </w:r>
      <w:r>
        <w:rPr/>
        <w:t>pivotal</w:t>
      </w:r>
      <w:r>
        <w:rPr>
          <w:spacing w:val="-16"/>
        </w:rPr>
        <w:t> </w:t>
      </w:r>
      <w:r>
        <w:rPr/>
        <w:t>role</w:t>
      </w:r>
      <w:r>
        <w:rPr>
          <w:spacing w:val="-16"/>
        </w:rPr>
        <w:t> </w:t>
      </w:r>
      <w:r>
        <w:rPr/>
        <w:t>in</w:t>
      </w:r>
      <w:r>
        <w:rPr>
          <w:spacing w:val="-16"/>
        </w:rPr>
        <w:t> </w:t>
      </w:r>
      <w:r>
        <w:rPr/>
        <w:t>planning</w:t>
      </w:r>
      <w:r>
        <w:rPr>
          <w:spacing w:val="-16"/>
        </w:rPr>
        <w:t> </w:t>
      </w:r>
      <w:r>
        <w:rPr/>
        <w:t>and holding this international conference series. The</w:t>
      </w:r>
      <w:r>
        <w:rPr>
          <w:spacing w:val="-16"/>
        </w:rPr>
        <w:t> </w:t>
      </w:r>
      <w:r>
        <w:rPr/>
        <w:t>sixth</w:t>
      </w:r>
      <w:r>
        <w:rPr>
          <w:spacing w:val="-16"/>
        </w:rPr>
        <w:t> </w:t>
      </w:r>
      <w:r>
        <w:rPr/>
        <w:t>conference</w:t>
      </w:r>
      <w:r>
        <w:rPr>
          <w:spacing w:val="-16"/>
        </w:rPr>
        <w:t> </w:t>
      </w:r>
      <w:r>
        <w:rPr/>
        <w:t>took</w:t>
      </w:r>
      <w:r>
        <w:rPr>
          <w:spacing w:val="-16"/>
        </w:rPr>
        <w:t> </w:t>
      </w:r>
      <w:r>
        <w:rPr/>
        <w:t>place</w:t>
      </w:r>
      <w:r>
        <w:rPr>
          <w:spacing w:val="-16"/>
        </w:rPr>
        <w:t> </w:t>
      </w:r>
      <w:r>
        <w:rPr/>
        <w:t>in</w:t>
      </w:r>
      <w:r>
        <w:rPr>
          <w:spacing w:val="-16"/>
        </w:rPr>
        <w:t> </w:t>
      </w:r>
      <w:r>
        <w:rPr/>
        <w:t>December </w:t>
      </w:r>
      <w:r>
        <w:rPr>
          <w:spacing w:val="1"/>
          <w:w w:val="88"/>
        </w:rPr>
        <w:t>2015</w:t>
      </w:r>
      <w:r>
        <w:rPr>
          <w:w w:val="88"/>
        </w:rPr>
        <w:t> </w:t>
      </w:r>
      <w:r>
        <w:rPr>
          <w:w w:val="95"/>
        </w:rPr>
        <w:t>in </w:t>
      </w:r>
      <w:r>
        <w:rPr>
          <w:w w:val="97"/>
        </w:rPr>
        <w:t>the </w:t>
      </w:r>
      <w:r>
        <w:rPr>
          <w:spacing w:val="1"/>
          <w:w w:val="94"/>
        </w:rPr>
        <w:t>Netherlands,</w:t>
      </w:r>
      <w:r>
        <w:rPr>
          <w:w w:val="94"/>
        </w:rPr>
        <w:t> </w:t>
      </w:r>
      <w:r>
        <w:rPr>
          <w:spacing w:val="1"/>
          <w:w w:val="97"/>
        </w:rPr>
        <w:t>and</w:t>
      </w:r>
      <w:r>
        <w:rPr>
          <w:w w:val="97"/>
        </w:rPr>
        <w:t> </w:t>
      </w:r>
      <w:r>
        <w:rPr>
          <w:w w:val="97"/>
        </w:rPr>
        <w:t>the </w:t>
      </w:r>
      <w:r>
        <w:rPr>
          <w:w w:val="97"/>
        </w:rPr>
        <w:t>seventh </w:t>
      </w:r>
      <w:r>
        <w:rPr>
          <w:w w:val="95"/>
        </w:rPr>
        <w:t>is </w:t>
      </w:r>
      <w:r>
        <w:rPr>
          <w:spacing w:val="1"/>
          <w:w w:val="98"/>
        </w:rPr>
        <w:t>being</w:t>
      </w:r>
      <w:r>
        <w:rPr>
          <w:w w:val="98"/>
        </w:rPr>
        <w:t> </w:t>
      </w:r>
      <w:r>
        <w:rPr>
          <w:spacing w:val="1"/>
          <w:w w:val="97"/>
        </w:rPr>
        <w:t>arranged</w:t>
      </w:r>
      <w:r>
        <w:rPr>
          <w:w w:val="97"/>
        </w:rPr>
        <w:t> </w:t>
      </w:r>
      <w:r>
        <w:rPr>
          <w:w w:val="98"/>
        </w:rPr>
        <w:t>for </w:t>
      </w:r>
      <w:r>
        <w:rPr>
          <w:spacing w:val="1"/>
          <w:w w:val="90"/>
        </w:rPr>
        <w:t>2016</w:t>
      </w:r>
      <w:r>
        <w:rPr>
          <w:w w:val="90"/>
        </w:rPr>
        <w:t> </w:t>
      </w:r>
      <w:r>
        <w:rPr>
          <w:w w:val="95"/>
        </w:rPr>
        <w:t>in</w:t>
      </w:r>
      <w:r>
        <w:rPr>
          <w:spacing w:val="-25"/>
          <w:w w:val="95"/>
        </w:rPr>
        <w:t> </w:t>
      </w:r>
      <w:r>
        <w:rPr>
          <w:spacing w:val="1"/>
          <w:w w:val="92"/>
        </w:rPr>
        <w:t>Chile.</w:t>
      </w:r>
    </w:p>
    <w:p>
      <w:pPr>
        <w:pStyle w:val="BodyText"/>
        <w:spacing w:before="7"/>
        <w:rPr>
          <w:sz w:val="21"/>
        </w:rPr>
      </w:pPr>
    </w:p>
    <w:p>
      <w:pPr>
        <w:pStyle w:val="Heading8"/>
        <w:spacing w:line="249" w:lineRule="auto"/>
        <w:ind w:right="224"/>
      </w:pPr>
      <w:r>
        <w:rPr>
          <w:w w:val="95"/>
        </w:rPr>
        <w:t>NATIONAL DISABILITY COORDINATION OFFICER PROGRAM</w:t>
      </w:r>
    </w:p>
    <w:p>
      <w:pPr>
        <w:pStyle w:val="BodyText"/>
        <w:spacing w:line="249" w:lineRule="auto" w:before="79"/>
        <w:ind w:left="107" w:right="125"/>
      </w:pPr>
      <w:r>
        <w:rPr/>
        <w:t>The National Disability Coordination Officer (NDCO) program is funded by the federal Department of Education and Training. The University hosts two regions (South Western Sydney</w:t>
      </w:r>
      <w:r>
        <w:rPr>
          <w:spacing w:val="-20"/>
        </w:rPr>
        <w:t> </w:t>
      </w:r>
      <w:r>
        <w:rPr/>
        <w:t>and</w:t>
      </w:r>
      <w:r>
        <w:rPr>
          <w:spacing w:val="-20"/>
        </w:rPr>
        <w:t> </w:t>
      </w:r>
      <w:r>
        <w:rPr/>
        <w:t>Western</w:t>
      </w:r>
      <w:r>
        <w:rPr>
          <w:spacing w:val="-20"/>
        </w:rPr>
        <w:t> </w:t>
      </w:r>
      <w:r>
        <w:rPr/>
        <w:t>Sydney),</w:t>
      </w:r>
      <w:r>
        <w:rPr>
          <w:spacing w:val="-20"/>
        </w:rPr>
        <w:t> </w:t>
      </w:r>
      <w:r>
        <w:rPr/>
        <w:t>and</w:t>
      </w:r>
      <w:r>
        <w:rPr>
          <w:spacing w:val="-20"/>
        </w:rPr>
        <w:t> </w:t>
      </w:r>
      <w:r>
        <w:rPr/>
        <w:t>the</w:t>
      </w:r>
      <w:r>
        <w:rPr>
          <w:spacing w:val="-20"/>
        </w:rPr>
        <w:t> </w:t>
      </w:r>
      <w:r>
        <w:rPr/>
        <w:t>funding period for the current contract is from July </w:t>
      </w:r>
      <w:r>
        <w:rPr>
          <w:spacing w:val="1"/>
          <w:w w:val="88"/>
        </w:rPr>
        <w:t>2013</w:t>
      </w:r>
      <w:r>
        <w:rPr>
          <w:w w:val="88"/>
        </w:rPr>
        <w:t> </w:t>
      </w:r>
      <w:r>
        <w:rPr>
          <w:w w:val="97"/>
        </w:rPr>
        <w:t>until </w:t>
      </w:r>
      <w:r>
        <w:rPr>
          <w:spacing w:val="1"/>
          <w:w w:val="102"/>
        </w:rPr>
        <w:t>30</w:t>
      </w:r>
      <w:r>
        <w:rPr>
          <w:w w:val="102"/>
        </w:rPr>
        <w:t> </w:t>
      </w:r>
      <w:r>
        <w:rPr>
          <w:spacing w:val="1"/>
          <w:w w:val="98"/>
        </w:rPr>
        <w:t>June</w:t>
      </w:r>
      <w:r>
        <w:rPr>
          <w:spacing w:val="-32"/>
          <w:w w:val="98"/>
        </w:rPr>
        <w:t> </w:t>
      </w:r>
      <w:r>
        <w:rPr>
          <w:spacing w:val="2"/>
          <w:w w:val="85"/>
        </w:rPr>
        <w:t>2016.</w:t>
      </w:r>
    </w:p>
    <w:p>
      <w:pPr>
        <w:pStyle w:val="BodyText"/>
        <w:rPr>
          <w:sz w:val="14"/>
        </w:rPr>
      </w:pPr>
    </w:p>
    <w:p>
      <w:pPr>
        <w:pStyle w:val="BodyText"/>
        <w:spacing w:line="249" w:lineRule="auto"/>
        <w:ind w:left="107" w:right="385"/>
      </w:pPr>
      <w:r>
        <w:rPr>
          <w:spacing w:val="1"/>
          <w:w w:val="80"/>
        </w:rPr>
        <w:t>In</w:t>
      </w:r>
      <w:r>
        <w:rPr>
          <w:w w:val="80"/>
        </w:rPr>
        <w:t> </w:t>
      </w:r>
      <w:r>
        <w:rPr>
          <w:spacing w:val="1"/>
          <w:w w:val="84"/>
        </w:rPr>
        <w:t>2015,</w:t>
      </w:r>
      <w:r>
        <w:rPr>
          <w:w w:val="84"/>
        </w:rPr>
        <w:t> </w:t>
      </w:r>
      <w:r>
        <w:rPr>
          <w:w w:val="97"/>
        </w:rPr>
        <w:t>the </w:t>
      </w:r>
      <w:r>
        <w:rPr>
          <w:spacing w:val="1"/>
          <w:w w:val="98"/>
        </w:rPr>
        <w:t>program</w:t>
      </w:r>
      <w:r>
        <w:rPr>
          <w:w w:val="98"/>
        </w:rPr>
        <w:t> </w:t>
      </w:r>
      <w:r>
        <w:rPr>
          <w:w w:val="97"/>
        </w:rPr>
        <w:t>featured </w:t>
      </w:r>
      <w:r>
        <w:rPr>
          <w:spacing w:val="1"/>
          <w:w w:val="98"/>
        </w:rPr>
        <w:t>activities</w:t>
      </w:r>
      <w:r>
        <w:rPr>
          <w:w w:val="98"/>
        </w:rPr>
        <w:t> </w:t>
      </w:r>
      <w:r>
        <w:rPr/>
        <w:t>and</w:t>
      </w:r>
      <w:r>
        <w:rPr>
          <w:spacing w:val="-17"/>
        </w:rPr>
        <w:t> </w:t>
      </w:r>
      <w:r>
        <w:rPr/>
        <w:t>events</w:t>
      </w:r>
      <w:r>
        <w:rPr>
          <w:spacing w:val="-17"/>
        </w:rPr>
        <w:t> </w:t>
      </w:r>
      <w:r>
        <w:rPr/>
        <w:t>held</w:t>
      </w:r>
      <w:r>
        <w:rPr>
          <w:spacing w:val="-17"/>
        </w:rPr>
        <w:t> </w:t>
      </w:r>
      <w:r>
        <w:rPr/>
        <w:t>in</w:t>
      </w:r>
      <w:r>
        <w:rPr>
          <w:spacing w:val="-17"/>
        </w:rPr>
        <w:t> </w:t>
      </w:r>
      <w:r>
        <w:rPr/>
        <w:t>partnership</w:t>
      </w:r>
      <w:r>
        <w:rPr>
          <w:spacing w:val="-17"/>
        </w:rPr>
        <w:t> </w:t>
      </w:r>
      <w:r>
        <w:rPr/>
        <w:t>with</w:t>
      </w:r>
      <w:r>
        <w:rPr>
          <w:spacing w:val="-17"/>
        </w:rPr>
        <w:t> </w:t>
      </w:r>
      <w:r>
        <w:rPr/>
        <w:t>major stakeholders,</w:t>
      </w:r>
      <w:r>
        <w:rPr>
          <w:spacing w:val="-22"/>
        </w:rPr>
        <w:t> </w:t>
      </w:r>
      <w:r>
        <w:rPr/>
        <w:t>including</w:t>
      </w:r>
      <w:r>
        <w:rPr>
          <w:spacing w:val="-22"/>
        </w:rPr>
        <w:t> </w:t>
      </w:r>
      <w:r>
        <w:rPr/>
        <w:t>expos,</w:t>
      </w:r>
      <w:r>
        <w:rPr>
          <w:spacing w:val="-22"/>
        </w:rPr>
        <w:t> </w:t>
      </w:r>
      <w:r>
        <w:rPr/>
        <w:t>forums</w:t>
      </w:r>
      <w:r>
        <w:rPr>
          <w:spacing w:val="-22"/>
        </w:rPr>
        <w:t> </w:t>
      </w:r>
      <w:r>
        <w:rPr/>
        <w:t>and</w:t>
      </w:r>
    </w:p>
    <w:p>
      <w:pPr>
        <w:pStyle w:val="BodyText"/>
        <w:spacing w:line="249" w:lineRule="auto"/>
        <w:ind w:left="107" w:right="56"/>
      </w:pPr>
      <w:r>
        <w:rPr/>
        <w:t>networking events. In addition, the program gained specific funding from the Department of Education and Training for a strategic project to update and expand a student workbook, developing an electronic version and a workbook specifically for Aboriginal and Torres Strait Islander students.</w:t>
      </w:r>
    </w:p>
    <w:p>
      <w:pPr>
        <w:pStyle w:val="BodyText"/>
        <w:spacing w:before="7"/>
        <w:rPr>
          <w:sz w:val="21"/>
        </w:rPr>
      </w:pPr>
    </w:p>
    <w:p>
      <w:pPr>
        <w:pStyle w:val="Heading8"/>
        <w:ind w:right="224"/>
      </w:pPr>
      <w:r>
        <w:rPr>
          <w:w w:val="95"/>
        </w:rPr>
        <w:t>OPEN FORA SERIES</w:t>
      </w:r>
    </w:p>
    <w:p>
      <w:pPr>
        <w:pStyle w:val="BodyText"/>
        <w:spacing w:line="249" w:lineRule="auto" w:before="86"/>
        <w:ind w:left="107" w:right="99"/>
      </w:pPr>
      <w:r>
        <w:rPr>
          <w:spacing w:val="1"/>
          <w:w w:val="80"/>
        </w:rPr>
        <w:t>In</w:t>
      </w:r>
      <w:r>
        <w:rPr>
          <w:w w:val="80"/>
        </w:rPr>
        <w:t> </w:t>
      </w:r>
      <w:r>
        <w:rPr>
          <w:spacing w:val="1"/>
          <w:w w:val="84"/>
        </w:rPr>
        <w:t>2015,</w:t>
      </w:r>
      <w:r>
        <w:rPr>
          <w:w w:val="84"/>
        </w:rPr>
        <w:t> </w:t>
      </w:r>
      <w:r>
        <w:rPr>
          <w:w w:val="97"/>
        </w:rPr>
        <w:t>the </w:t>
      </w:r>
      <w:r>
        <w:rPr>
          <w:w w:val="97"/>
        </w:rPr>
        <w:t>University’s </w:t>
      </w:r>
      <w:r>
        <w:rPr>
          <w:spacing w:val="1"/>
          <w:w w:val="98"/>
        </w:rPr>
        <w:t>Open</w:t>
      </w:r>
      <w:r>
        <w:rPr>
          <w:w w:val="98"/>
        </w:rPr>
        <w:t> </w:t>
      </w:r>
      <w:r>
        <w:rPr>
          <w:spacing w:val="1"/>
          <w:w w:val="99"/>
        </w:rPr>
        <w:t>Fora</w:t>
      </w:r>
      <w:r>
        <w:rPr>
          <w:w w:val="99"/>
        </w:rPr>
        <w:t> </w:t>
      </w:r>
      <w:r>
        <w:rPr>
          <w:spacing w:val="1"/>
          <w:w w:val="95"/>
        </w:rPr>
        <w:t>series</w:t>
      </w:r>
      <w:r>
        <w:rPr>
          <w:w w:val="95"/>
        </w:rPr>
        <w:t> </w:t>
      </w:r>
      <w:r>
        <w:rPr/>
        <w:t>attracted more than </w:t>
      </w:r>
      <w:r>
        <w:rPr>
          <w:spacing w:val="2"/>
        </w:rPr>
        <w:t>800 </w:t>
      </w:r>
      <w:r>
        <w:rPr/>
        <w:t>participants to hear speakers from international platforms speak on global issues. Fora topics included The Arab</w:t>
      </w:r>
      <w:r>
        <w:rPr>
          <w:spacing w:val="-20"/>
        </w:rPr>
        <w:t> </w:t>
      </w:r>
      <w:r>
        <w:rPr/>
        <w:t>Spring,</w:t>
      </w:r>
      <w:r>
        <w:rPr>
          <w:spacing w:val="-20"/>
        </w:rPr>
        <w:t> </w:t>
      </w:r>
      <w:r>
        <w:rPr/>
        <w:t>with</w:t>
      </w:r>
      <w:r>
        <w:rPr>
          <w:spacing w:val="-20"/>
        </w:rPr>
        <w:t> </w:t>
      </w:r>
      <w:r>
        <w:rPr/>
        <w:t>speaker</w:t>
      </w:r>
      <w:r>
        <w:rPr>
          <w:spacing w:val="-20"/>
        </w:rPr>
        <w:t> </w:t>
      </w:r>
      <w:r>
        <w:rPr/>
        <w:t>Dr</w:t>
      </w:r>
      <w:r>
        <w:rPr>
          <w:spacing w:val="-20"/>
        </w:rPr>
        <w:t> </w:t>
      </w:r>
      <w:r>
        <w:rPr>
          <w:spacing w:val="2"/>
        </w:rPr>
        <w:t>Hassan</w:t>
      </w:r>
      <w:r>
        <w:rPr>
          <w:spacing w:val="-20"/>
        </w:rPr>
        <w:t> </w:t>
      </w:r>
      <w:r>
        <w:rPr/>
        <w:t>El-Laithy, the Egyptian Ambassador to Australia; The North Korea Commission of Inquiry, with The </w:t>
      </w:r>
      <w:r>
        <w:rPr>
          <w:spacing w:val="2"/>
        </w:rPr>
        <w:t>Hon. </w:t>
      </w:r>
      <w:r>
        <w:rPr/>
        <w:t>Michael Kirby, AC, CMG; The Eastern Ukraine, with Ukrainian scholar Dr Dmytro </w:t>
      </w:r>
      <w:r>
        <w:rPr>
          <w:spacing w:val="2"/>
        </w:rPr>
        <w:t>Khutkyy; </w:t>
      </w:r>
      <w:r>
        <w:rPr/>
        <w:t>Countering the Radicalisation of Muslim Youth, with Muslim community leader Mr</w:t>
      </w:r>
      <w:r>
        <w:rPr>
          <w:spacing w:val="-24"/>
        </w:rPr>
        <w:t> </w:t>
      </w:r>
      <w:r>
        <w:rPr/>
        <w:t>Keysar</w:t>
      </w:r>
      <w:r>
        <w:rPr>
          <w:spacing w:val="-24"/>
        </w:rPr>
        <w:t> </w:t>
      </w:r>
      <w:r>
        <w:rPr/>
        <w:t>Trad;</w:t>
      </w:r>
      <w:r>
        <w:rPr>
          <w:spacing w:val="-24"/>
        </w:rPr>
        <w:t> </w:t>
      </w:r>
      <w:r>
        <w:rPr/>
        <w:t>and</w:t>
      </w:r>
      <w:r>
        <w:rPr>
          <w:spacing w:val="-24"/>
        </w:rPr>
        <w:t> </w:t>
      </w:r>
      <w:r>
        <w:rPr/>
        <w:t>Positive</w:t>
      </w:r>
      <w:r>
        <w:rPr>
          <w:spacing w:val="-24"/>
        </w:rPr>
        <w:t> </w:t>
      </w:r>
      <w:r>
        <w:rPr/>
        <w:t>Peace,</w:t>
      </w:r>
      <w:r>
        <w:rPr>
          <w:spacing w:val="-24"/>
        </w:rPr>
        <w:t> </w:t>
      </w:r>
      <w:r>
        <w:rPr/>
        <w:t>with</w:t>
      </w:r>
    </w:p>
    <w:p>
      <w:pPr>
        <w:pStyle w:val="BodyText"/>
        <w:spacing w:line="249" w:lineRule="auto"/>
        <w:ind w:left="107" w:right="334"/>
      </w:pPr>
      <w:r>
        <w:rPr/>
        <w:t>Mr</w:t>
      </w:r>
      <w:r>
        <w:rPr>
          <w:spacing w:val="-17"/>
        </w:rPr>
        <w:t> </w:t>
      </w:r>
      <w:r>
        <w:rPr/>
        <w:t>Steve</w:t>
      </w:r>
      <w:r>
        <w:rPr>
          <w:spacing w:val="-17"/>
        </w:rPr>
        <w:t> </w:t>
      </w:r>
      <w:r>
        <w:rPr/>
        <w:t>Killelea,</w:t>
      </w:r>
      <w:r>
        <w:rPr>
          <w:spacing w:val="-17"/>
        </w:rPr>
        <w:t> </w:t>
      </w:r>
      <w:r>
        <w:rPr>
          <w:spacing w:val="2"/>
        </w:rPr>
        <w:t>AM,</w:t>
      </w:r>
      <w:r>
        <w:rPr>
          <w:spacing w:val="-17"/>
        </w:rPr>
        <w:t> </w:t>
      </w:r>
      <w:r>
        <w:rPr/>
        <w:t>founder</w:t>
      </w:r>
      <w:r>
        <w:rPr>
          <w:spacing w:val="-17"/>
        </w:rPr>
        <w:t> </w:t>
      </w:r>
      <w:r>
        <w:rPr/>
        <w:t>of</w:t>
      </w:r>
      <w:r>
        <w:rPr>
          <w:spacing w:val="-17"/>
        </w:rPr>
        <w:t> </w:t>
      </w:r>
      <w:r>
        <w:rPr/>
        <w:t>the</w:t>
      </w:r>
      <w:r>
        <w:rPr>
          <w:spacing w:val="-17"/>
        </w:rPr>
        <w:t> </w:t>
      </w:r>
      <w:r>
        <w:rPr/>
        <w:t>Global Peace</w:t>
      </w:r>
      <w:r>
        <w:rPr>
          <w:spacing w:val="-19"/>
        </w:rPr>
        <w:t> </w:t>
      </w:r>
      <w:r>
        <w:rPr/>
        <w:t>Index.</w:t>
      </w:r>
      <w:r>
        <w:rPr>
          <w:spacing w:val="-19"/>
        </w:rPr>
        <w:t> </w:t>
      </w:r>
      <w:r>
        <w:rPr/>
        <w:t>The</w:t>
      </w:r>
      <w:r>
        <w:rPr>
          <w:spacing w:val="-19"/>
        </w:rPr>
        <w:t> </w:t>
      </w:r>
      <w:r>
        <w:rPr/>
        <w:t>Fora</w:t>
      </w:r>
      <w:r>
        <w:rPr>
          <w:spacing w:val="-19"/>
        </w:rPr>
        <w:t> </w:t>
      </w:r>
      <w:r>
        <w:rPr/>
        <w:t>are</w:t>
      </w:r>
      <w:r>
        <w:rPr>
          <w:spacing w:val="-19"/>
        </w:rPr>
        <w:t> </w:t>
      </w:r>
      <w:r>
        <w:rPr/>
        <w:t>televised</w:t>
      </w:r>
      <w:r>
        <w:rPr>
          <w:spacing w:val="-19"/>
        </w:rPr>
        <w:t> </w:t>
      </w:r>
      <w:r>
        <w:rPr/>
        <w:t>by</w:t>
      </w:r>
      <w:r>
        <w:rPr>
          <w:spacing w:val="-19"/>
        </w:rPr>
        <w:t> </w:t>
      </w:r>
      <w:r>
        <w:rPr>
          <w:spacing w:val="2"/>
        </w:rPr>
        <w:t>TVS </w:t>
      </w:r>
      <w:r>
        <w:rPr/>
        <w:t>and</w:t>
      </w:r>
      <w:r>
        <w:rPr>
          <w:spacing w:val="-17"/>
        </w:rPr>
        <w:t> </w:t>
      </w:r>
      <w:r>
        <w:rPr/>
        <w:t>are</w:t>
      </w:r>
      <w:r>
        <w:rPr>
          <w:spacing w:val="-17"/>
        </w:rPr>
        <w:t> </w:t>
      </w:r>
      <w:r>
        <w:rPr/>
        <w:t>available</w:t>
      </w:r>
      <w:r>
        <w:rPr>
          <w:spacing w:val="-17"/>
        </w:rPr>
        <w:t> </w:t>
      </w:r>
      <w:r>
        <w:rPr/>
        <w:t>online</w:t>
      </w:r>
      <w:r>
        <w:rPr>
          <w:spacing w:val="-17"/>
        </w:rPr>
        <w:t> </w:t>
      </w:r>
      <w:r>
        <w:rPr/>
        <w:t>at</w:t>
      </w:r>
      <w:r>
        <w:rPr>
          <w:spacing w:val="-17"/>
        </w:rPr>
        <w:t> </w:t>
      </w:r>
      <w:r>
        <w:rPr/>
        <w:t>the</w:t>
      </w:r>
      <w:r>
        <w:rPr>
          <w:spacing w:val="-17"/>
        </w:rPr>
        <w:t> </w:t>
      </w:r>
      <w:r>
        <w:rPr/>
        <w:t>University’s </w:t>
      </w:r>
      <w:r>
        <w:rPr>
          <w:spacing w:val="-4"/>
          <w:w w:val="95"/>
        </w:rPr>
        <w:t>YouTube</w:t>
      </w:r>
      <w:r>
        <w:rPr>
          <w:spacing w:val="24"/>
          <w:w w:val="95"/>
        </w:rPr>
        <w:t> </w:t>
      </w:r>
      <w:r>
        <w:rPr>
          <w:w w:val="95"/>
        </w:rPr>
        <w:t>channel.</w:t>
      </w:r>
    </w:p>
    <w:p>
      <w:pPr>
        <w:spacing w:after="0" w:line="249" w:lineRule="auto"/>
        <w:sectPr>
          <w:type w:val="continuous"/>
          <w:pgSz w:w="11910" w:h="16840"/>
          <w:pgMar w:top="1580" w:bottom="280" w:left="800" w:right="800"/>
          <w:cols w:num="3" w:equalWidth="0">
            <w:col w:w="3312" w:space="128"/>
            <w:col w:w="3309" w:space="131"/>
            <w:col w:w="3430"/>
          </w:cols>
        </w:sectPr>
      </w:pPr>
    </w:p>
    <w:p>
      <w:pPr>
        <w:pStyle w:val="BodyText"/>
        <w:spacing w:before="10"/>
        <w:rPr>
          <w:sz w:val="28"/>
        </w:rPr>
      </w:pPr>
    </w:p>
    <w:p>
      <w:pPr>
        <w:pStyle w:val="Heading2"/>
        <w:ind w:right="7953"/>
        <w:rPr>
          <w:b w:val="0"/>
        </w:rPr>
      </w:pPr>
      <w:r>
        <w:rPr>
          <w:b w:val="0"/>
        </w:rPr>
        <w:t>Learning </w:t>
      </w:r>
      <w:r>
        <w:rPr>
          <w:b w:val="0"/>
          <w:spacing w:val="-3"/>
        </w:rPr>
        <w:t>and</w:t>
      </w:r>
      <w:r>
        <w:rPr>
          <w:b w:val="0"/>
          <w:spacing w:val="-2"/>
        </w:rPr>
        <w:t> </w:t>
      </w:r>
      <w:r>
        <w:rPr>
          <w:b w:val="0"/>
          <w:spacing w:val="-8"/>
        </w:rPr>
        <w:t>Teaching</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5"/>
        <w:rPr>
          <w:rFonts w:ascii="Chronicle Text G1"/>
          <w:b w:val="0"/>
          <w:sz w:val="17"/>
        </w:rPr>
      </w:pPr>
    </w:p>
    <w:p>
      <w:pPr>
        <w:pStyle w:val="Heading8"/>
        <w:spacing w:line="249" w:lineRule="auto"/>
        <w:ind w:right="6642"/>
      </w:pPr>
      <w:r>
        <w:rPr>
          <w:w w:val="95"/>
        </w:rPr>
        <w:t>WORKPLACE ADJUSTMENTS FOR STAFF MEMBERS WITH DISABILITY</w:t>
      </w:r>
    </w:p>
    <w:p>
      <w:pPr>
        <w:pStyle w:val="BodyText"/>
        <w:spacing w:line="249" w:lineRule="auto" w:before="79"/>
        <w:ind w:left="107" w:right="6958"/>
      </w:pPr>
      <w:r>
        <w:rPr/>
        <w:t>The</w:t>
      </w:r>
      <w:r>
        <w:rPr>
          <w:spacing w:val="-15"/>
        </w:rPr>
        <w:t> </w:t>
      </w:r>
      <w:r>
        <w:rPr/>
        <w:t>University</w:t>
      </w:r>
      <w:r>
        <w:rPr>
          <w:spacing w:val="-15"/>
        </w:rPr>
        <w:t> </w:t>
      </w:r>
      <w:r>
        <w:rPr/>
        <w:t>continues</w:t>
      </w:r>
      <w:r>
        <w:rPr>
          <w:spacing w:val="-15"/>
        </w:rPr>
        <w:t> </w:t>
      </w:r>
      <w:r>
        <w:rPr/>
        <w:t>to</w:t>
      </w:r>
      <w:r>
        <w:rPr>
          <w:spacing w:val="-15"/>
        </w:rPr>
        <w:t> </w:t>
      </w:r>
      <w:r>
        <w:rPr/>
        <w:t>be</w:t>
      </w:r>
      <w:r>
        <w:rPr>
          <w:spacing w:val="-15"/>
        </w:rPr>
        <w:t> </w:t>
      </w:r>
      <w:r>
        <w:rPr/>
        <w:t>a</w:t>
      </w:r>
      <w:r>
        <w:rPr>
          <w:spacing w:val="-15"/>
        </w:rPr>
        <w:t> </w:t>
      </w:r>
      <w:r>
        <w:rPr/>
        <w:t>sector</w:t>
      </w:r>
      <w:r>
        <w:rPr>
          <w:spacing w:val="-15"/>
        </w:rPr>
        <w:t> </w:t>
      </w:r>
      <w:r>
        <w:rPr/>
        <w:t>leader in staff inclusivity with our Staff Workplace Adjustment</w:t>
      </w:r>
      <w:r>
        <w:rPr>
          <w:spacing w:val="-19"/>
        </w:rPr>
        <w:t> </w:t>
      </w:r>
      <w:r>
        <w:rPr/>
        <w:t>Scheme,</w:t>
      </w:r>
      <w:r>
        <w:rPr>
          <w:spacing w:val="-19"/>
        </w:rPr>
        <w:t> </w:t>
      </w:r>
      <w:r>
        <w:rPr/>
        <w:t>an</w:t>
      </w:r>
      <w:r>
        <w:rPr>
          <w:spacing w:val="-19"/>
        </w:rPr>
        <w:t> </w:t>
      </w:r>
      <w:r>
        <w:rPr/>
        <w:t>exemplar</w:t>
      </w:r>
      <w:r>
        <w:rPr>
          <w:spacing w:val="-19"/>
        </w:rPr>
        <w:t> </w:t>
      </w:r>
      <w:r>
        <w:rPr/>
        <w:t>of</w:t>
      </w:r>
      <w:r>
        <w:rPr>
          <w:spacing w:val="-19"/>
        </w:rPr>
        <w:t> </w:t>
      </w:r>
      <w:r>
        <w:rPr/>
        <w:t>inclusive practice within the higher education sector and large corporates generally. A centralised Staff Workplace Adjustment Fund provides assistive equipment, software, training and additional occupational assessments and advice, where necessary, for staff members managing a broad range of physical and mental conditions. Currently, 353 staff members have reasonable adjustments administered by Equity and Diversity to help ensure</w:t>
      </w:r>
      <w:r>
        <w:rPr>
          <w:spacing w:val="-17"/>
        </w:rPr>
        <w:t> </w:t>
      </w:r>
      <w:r>
        <w:rPr/>
        <w:t>they</w:t>
      </w:r>
      <w:r>
        <w:rPr>
          <w:spacing w:val="-17"/>
        </w:rPr>
        <w:t> </w:t>
      </w:r>
      <w:r>
        <w:rPr/>
        <w:t>can</w:t>
      </w:r>
      <w:r>
        <w:rPr>
          <w:spacing w:val="-17"/>
        </w:rPr>
        <w:t> </w:t>
      </w:r>
      <w:r>
        <w:rPr/>
        <w:t>function</w:t>
      </w:r>
      <w:r>
        <w:rPr>
          <w:spacing w:val="-17"/>
        </w:rPr>
        <w:t> </w:t>
      </w:r>
      <w:r>
        <w:rPr/>
        <w:t>as</w:t>
      </w:r>
      <w:r>
        <w:rPr>
          <w:spacing w:val="-17"/>
        </w:rPr>
        <w:t> </w:t>
      </w:r>
      <w:r>
        <w:rPr/>
        <w:t>effectively</w:t>
      </w:r>
      <w:r>
        <w:rPr>
          <w:spacing w:val="-17"/>
        </w:rPr>
        <w:t> </w:t>
      </w:r>
      <w:r>
        <w:rPr/>
        <w:t>in</w:t>
      </w:r>
      <w:r>
        <w:rPr>
          <w:spacing w:val="-17"/>
        </w:rPr>
        <w:t> </w:t>
      </w:r>
      <w:r>
        <w:rPr/>
        <w:t>their role</w:t>
      </w:r>
      <w:r>
        <w:rPr>
          <w:spacing w:val="-19"/>
        </w:rPr>
        <w:t> </w:t>
      </w:r>
      <w:r>
        <w:rPr/>
        <w:t>as</w:t>
      </w:r>
      <w:r>
        <w:rPr>
          <w:spacing w:val="-19"/>
        </w:rPr>
        <w:t> </w:t>
      </w:r>
      <w:r>
        <w:rPr/>
        <w:t>staff</w:t>
      </w:r>
      <w:r>
        <w:rPr>
          <w:spacing w:val="-19"/>
        </w:rPr>
        <w:t> </w:t>
      </w:r>
      <w:r>
        <w:rPr/>
        <w:t>without</w:t>
      </w:r>
      <w:r>
        <w:rPr>
          <w:spacing w:val="-19"/>
        </w:rPr>
        <w:t> </w:t>
      </w:r>
      <w:r>
        <w:rPr/>
        <w:t>disability.</w:t>
      </w:r>
      <w:r>
        <w:rPr>
          <w:spacing w:val="-19"/>
        </w:rPr>
        <w:t> </w:t>
      </w:r>
      <w:r>
        <w:rPr/>
        <w:t>This</w:t>
      </w:r>
      <w:r>
        <w:rPr>
          <w:spacing w:val="-19"/>
        </w:rPr>
        <w:t> </w:t>
      </w:r>
      <w:r>
        <w:rPr/>
        <w:t>represents an increase of more than 14 per cent during </w:t>
      </w:r>
      <w:r>
        <w:rPr>
          <w:spacing w:val="1"/>
          <w:w w:val="84"/>
        </w:rPr>
        <w:t>2015,</w:t>
      </w:r>
      <w:r>
        <w:rPr>
          <w:w w:val="84"/>
        </w:rPr>
        <w:t> </w:t>
      </w:r>
      <w:r>
        <w:rPr>
          <w:spacing w:val="1"/>
          <w:w w:val="99"/>
        </w:rPr>
        <w:t>accommodating</w:t>
      </w:r>
      <w:r>
        <w:rPr>
          <w:w w:val="99"/>
        </w:rPr>
        <w:t> </w:t>
      </w:r>
      <w:r>
        <w:rPr>
          <w:spacing w:val="2"/>
          <w:w w:val="74"/>
        </w:rPr>
        <w:t>51</w:t>
      </w:r>
      <w:r>
        <w:rPr>
          <w:w w:val="74"/>
        </w:rPr>
        <w:t> </w:t>
      </w:r>
      <w:r>
        <w:rPr>
          <w:spacing w:val="1"/>
          <w:w w:val="97"/>
        </w:rPr>
        <w:t>additional</w:t>
      </w:r>
      <w:r>
        <w:rPr>
          <w:w w:val="97"/>
        </w:rPr>
        <w:t> </w:t>
      </w:r>
      <w:r>
        <w:rPr>
          <w:spacing w:val="1"/>
          <w:w w:val="97"/>
        </w:rPr>
        <w:t>staff</w:t>
      </w:r>
      <w:r>
        <w:rPr>
          <w:w w:val="97"/>
        </w:rPr>
        <w:t> </w:t>
      </w:r>
      <w:r>
        <w:rPr/>
        <w:t>members</w:t>
      </w:r>
      <w:r>
        <w:rPr>
          <w:spacing w:val="-23"/>
        </w:rPr>
        <w:t> </w:t>
      </w:r>
      <w:r>
        <w:rPr/>
        <w:t>with</w:t>
      </w:r>
      <w:r>
        <w:rPr>
          <w:spacing w:val="-23"/>
        </w:rPr>
        <w:t> </w:t>
      </w:r>
      <w:r>
        <w:rPr/>
        <w:t>disability.</w:t>
      </w:r>
    </w:p>
    <w:p>
      <w:pPr>
        <w:spacing w:after="0" w:line="249" w:lineRule="auto"/>
        <w:sectPr>
          <w:footerReference w:type="even" r:id="rId49"/>
          <w:footerReference w:type="default" r:id="rId50"/>
          <w:pgSz w:w="11910" w:h="16840"/>
          <w:pgMar w:footer="473" w:header="494" w:top="680" w:bottom="660" w:left="800" w:right="800"/>
          <w:pgNumType w:start="42"/>
        </w:sectPr>
      </w:pPr>
    </w:p>
    <w:p>
      <w:pPr>
        <w:pStyle w:val="BodyText"/>
        <w:spacing w:before="10"/>
        <w:rPr>
          <w:sz w:val="28"/>
        </w:rPr>
      </w:pPr>
    </w:p>
    <w:p>
      <w:pPr>
        <w:pStyle w:val="Heading2"/>
        <w:spacing w:line="240" w:lineRule="auto" w:before="27"/>
        <w:ind w:right="6642"/>
        <w:rPr>
          <w:b w:val="0"/>
        </w:rPr>
      </w:pPr>
      <w:bookmarkStart w:name="_TOC_250001" w:id="24"/>
      <w:bookmarkEnd w:id="24"/>
      <w:r>
        <w:rPr>
          <w:b w:val="0"/>
        </w:rPr>
        <w:t>Research</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24"/>
        </w:rPr>
      </w:pPr>
    </w:p>
    <w:p>
      <w:pPr>
        <w:spacing w:after="0"/>
        <w:rPr>
          <w:rFonts w:ascii="Chronicle Text G1"/>
          <w:sz w:val="24"/>
        </w:rPr>
        <w:sectPr>
          <w:pgSz w:w="11910" w:h="16840"/>
          <w:pgMar w:header="494" w:footer="473" w:top="680" w:bottom="660" w:left="800" w:right="800"/>
        </w:sectPr>
      </w:pPr>
    </w:p>
    <w:p>
      <w:pPr>
        <w:pStyle w:val="Heading5"/>
        <w:spacing w:line="260" w:lineRule="exact" w:before="88"/>
        <w:ind w:left="114" w:right="6"/>
      </w:pPr>
      <w:bookmarkStart w:name="_TOC_250000" w:id="25"/>
      <w:r>
        <w:rPr>
          <w:w w:val="95"/>
        </w:rPr>
        <w:t>RESEARCH STRATEGY AND </w:t>
      </w:r>
      <w:bookmarkEnd w:id="25"/>
      <w:r>
        <w:rPr/>
        <w:t>PERFORMANCE</w:t>
      </w:r>
    </w:p>
    <w:p>
      <w:pPr>
        <w:pStyle w:val="BodyText"/>
        <w:spacing w:line="247" w:lineRule="auto" w:before="214"/>
        <w:ind w:left="107" w:right="241"/>
      </w:pPr>
      <w:r>
        <w:rPr>
          <w:spacing w:val="1"/>
          <w:w w:val="80"/>
        </w:rPr>
        <w:t>In</w:t>
      </w:r>
      <w:r>
        <w:rPr>
          <w:w w:val="80"/>
        </w:rPr>
        <w:t> </w:t>
      </w:r>
      <w:r>
        <w:rPr>
          <w:spacing w:val="1"/>
          <w:w w:val="84"/>
        </w:rPr>
        <w:t>2015,</w:t>
      </w:r>
      <w:r>
        <w:rPr>
          <w:w w:val="84"/>
        </w:rPr>
        <w:t> </w:t>
      </w:r>
      <w:r>
        <w:rPr>
          <w:w w:val="97"/>
        </w:rPr>
        <w:t>the </w:t>
      </w:r>
      <w:r>
        <w:rPr>
          <w:spacing w:val="1"/>
          <w:w w:val="96"/>
        </w:rPr>
        <w:t>Research</w:t>
      </w:r>
      <w:r>
        <w:rPr>
          <w:w w:val="96"/>
        </w:rPr>
        <w:t> </w:t>
      </w:r>
      <w:r>
        <w:rPr>
          <w:spacing w:val="1"/>
          <w:w w:val="97"/>
        </w:rPr>
        <w:t>and</w:t>
      </w:r>
      <w:r>
        <w:rPr>
          <w:w w:val="97"/>
        </w:rPr>
        <w:t> </w:t>
      </w:r>
      <w:r>
        <w:rPr>
          <w:spacing w:val="1"/>
          <w:w w:val="98"/>
        </w:rPr>
        <w:t>Development</w:t>
      </w:r>
      <w:r>
        <w:rPr>
          <w:w w:val="98"/>
        </w:rPr>
        <w:t> </w:t>
      </w:r>
      <w:r>
        <w:rPr/>
        <w:t>Division</w:t>
      </w:r>
      <w:r>
        <w:rPr>
          <w:spacing w:val="-37"/>
        </w:rPr>
        <w:t> </w:t>
      </w:r>
      <w:r>
        <w:rPr/>
        <w:t>began</w:t>
      </w:r>
      <w:r>
        <w:rPr>
          <w:spacing w:val="-37"/>
        </w:rPr>
        <w:t> </w:t>
      </w:r>
      <w:r>
        <w:rPr/>
        <w:t>implementing</w:t>
      </w:r>
      <w:r>
        <w:rPr>
          <w:spacing w:val="-37"/>
        </w:rPr>
        <w:t> </w:t>
      </w:r>
      <w:r>
        <w:rPr/>
        <w:t>the</w:t>
      </w:r>
      <w:r>
        <w:rPr>
          <w:spacing w:val="-37"/>
        </w:rPr>
        <w:t> </w:t>
      </w:r>
      <w:r>
        <w:rPr>
          <w:rFonts w:ascii="Century Gothic" w:hAnsi="Century Gothic"/>
          <w:i/>
        </w:rPr>
        <w:t>Research </w:t>
      </w:r>
      <w:r>
        <w:rPr>
          <w:rFonts w:ascii="Century Gothic" w:hAnsi="Century Gothic"/>
          <w:i/>
          <w:spacing w:val="1"/>
          <w:w w:val="80"/>
        </w:rPr>
        <w:t>and</w:t>
      </w:r>
      <w:r>
        <w:rPr>
          <w:rFonts w:ascii="Century Gothic" w:hAnsi="Century Gothic"/>
          <w:i/>
          <w:w w:val="80"/>
        </w:rPr>
        <w:t> </w:t>
      </w:r>
      <w:r>
        <w:rPr>
          <w:rFonts w:ascii="Century Gothic" w:hAnsi="Century Gothic"/>
          <w:i/>
          <w:spacing w:val="1"/>
          <w:w w:val="85"/>
        </w:rPr>
        <w:t>Development</w:t>
      </w:r>
      <w:r>
        <w:rPr>
          <w:rFonts w:ascii="Century Gothic" w:hAnsi="Century Gothic"/>
          <w:i/>
          <w:w w:val="85"/>
        </w:rPr>
        <w:t> </w:t>
      </w:r>
      <w:r>
        <w:rPr>
          <w:rFonts w:ascii="Century Gothic" w:hAnsi="Century Gothic"/>
          <w:i/>
          <w:spacing w:val="1"/>
          <w:w w:val="87"/>
        </w:rPr>
        <w:t>2015–2017</w:t>
      </w:r>
      <w:r>
        <w:rPr>
          <w:rFonts w:ascii="Century Gothic" w:hAnsi="Century Gothic"/>
          <w:i/>
          <w:w w:val="87"/>
        </w:rPr>
        <w:t> </w:t>
      </w:r>
      <w:r>
        <w:rPr>
          <w:spacing w:val="1"/>
          <w:w w:val="91"/>
        </w:rPr>
        <w:t>plan,</w:t>
      </w:r>
      <w:r>
        <w:rPr>
          <w:w w:val="91"/>
        </w:rPr>
        <w:t> </w:t>
      </w:r>
      <w:r>
        <w:rPr>
          <w:w w:val="98"/>
        </w:rPr>
        <w:t>which </w:t>
      </w:r>
      <w:r>
        <w:rPr/>
        <w:t>has seen the Office of the Deputy Vice- Chancellor (Research and Development) focus</w:t>
      </w:r>
      <w:r>
        <w:rPr>
          <w:spacing w:val="-17"/>
        </w:rPr>
        <w:t> </w:t>
      </w:r>
      <w:r>
        <w:rPr/>
        <w:t>on</w:t>
      </w:r>
      <w:r>
        <w:rPr>
          <w:spacing w:val="-17"/>
        </w:rPr>
        <w:t> </w:t>
      </w:r>
      <w:r>
        <w:rPr/>
        <w:t>research-driven</w:t>
      </w:r>
      <w:r>
        <w:rPr>
          <w:spacing w:val="-17"/>
        </w:rPr>
        <w:t> </w:t>
      </w:r>
      <w:r>
        <w:rPr/>
        <w:t>impact.</w:t>
      </w:r>
      <w:r>
        <w:rPr>
          <w:spacing w:val="-17"/>
        </w:rPr>
        <w:t> </w:t>
      </w:r>
      <w:r>
        <w:rPr/>
        <w:t>Each</w:t>
      </w:r>
    </w:p>
    <w:p>
      <w:pPr>
        <w:pStyle w:val="BodyText"/>
        <w:spacing w:line="249" w:lineRule="auto" w:before="1"/>
        <w:ind w:left="107" w:right="73"/>
        <w:jc w:val="both"/>
      </w:pPr>
      <w:r>
        <w:rPr/>
        <w:t>Research</w:t>
      </w:r>
      <w:r>
        <w:rPr>
          <w:spacing w:val="-19"/>
        </w:rPr>
        <w:t> </w:t>
      </w:r>
      <w:r>
        <w:rPr/>
        <w:t>Institute</w:t>
      </w:r>
      <w:r>
        <w:rPr>
          <w:spacing w:val="-19"/>
        </w:rPr>
        <w:t> </w:t>
      </w:r>
      <w:r>
        <w:rPr/>
        <w:t>and</w:t>
      </w:r>
      <w:r>
        <w:rPr>
          <w:spacing w:val="-19"/>
        </w:rPr>
        <w:t> </w:t>
      </w:r>
      <w:r>
        <w:rPr/>
        <w:t>School</w:t>
      </w:r>
      <w:r>
        <w:rPr>
          <w:spacing w:val="-19"/>
        </w:rPr>
        <w:t> </w:t>
      </w:r>
      <w:r>
        <w:rPr/>
        <w:t>has</w:t>
      </w:r>
      <w:r>
        <w:rPr>
          <w:spacing w:val="-19"/>
        </w:rPr>
        <w:t> </w:t>
      </w:r>
      <w:r>
        <w:rPr/>
        <w:t>prepared</w:t>
      </w:r>
      <w:r>
        <w:rPr>
          <w:spacing w:val="-19"/>
        </w:rPr>
        <w:t> </w:t>
      </w:r>
      <w:r>
        <w:rPr/>
        <w:t>a research</w:t>
      </w:r>
      <w:r>
        <w:rPr>
          <w:spacing w:val="-17"/>
        </w:rPr>
        <w:t> </w:t>
      </w:r>
      <w:r>
        <w:rPr/>
        <w:t>plan</w:t>
      </w:r>
      <w:r>
        <w:rPr>
          <w:spacing w:val="-17"/>
        </w:rPr>
        <w:t> </w:t>
      </w:r>
      <w:r>
        <w:rPr/>
        <w:t>that</w:t>
      </w:r>
      <w:r>
        <w:rPr>
          <w:spacing w:val="-17"/>
        </w:rPr>
        <w:t> </w:t>
      </w:r>
      <w:r>
        <w:rPr/>
        <w:t>aligns</w:t>
      </w:r>
      <w:r>
        <w:rPr>
          <w:spacing w:val="-17"/>
        </w:rPr>
        <w:t> </w:t>
      </w:r>
      <w:r>
        <w:rPr/>
        <w:t>with</w:t>
      </w:r>
      <w:r>
        <w:rPr>
          <w:spacing w:val="-17"/>
        </w:rPr>
        <w:t> </w:t>
      </w:r>
      <w:r>
        <w:rPr/>
        <w:t>the</w:t>
      </w:r>
      <w:r>
        <w:rPr>
          <w:spacing w:val="-17"/>
        </w:rPr>
        <w:t> </w:t>
      </w:r>
      <w:r>
        <w:rPr/>
        <w:t>goals</w:t>
      </w:r>
      <w:r>
        <w:rPr>
          <w:spacing w:val="-17"/>
        </w:rPr>
        <w:t> </w:t>
      </w:r>
      <w:r>
        <w:rPr/>
        <w:t>of</w:t>
      </w:r>
      <w:r>
        <w:rPr>
          <w:spacing w:val="-17"/>
        </w:rPr>
        <w:t> </w:t>
      </w:r>
      <w:r>
        <w:rPr/>
        <w:t>the University’s</w:t>
      </w:r>
      <w:r>
        <w:rPr>
          <w:spacing w:val="-33"/>
        </w:rPr>
        <w:t> </w:t>
      </w:r>
      <w:r>
        <w:rPr/>
        <w:t>plan.</w:t>
      </w:r>
    </w:p>
    <w:p>
      <w:pPr>
        <w:pStyle w:val="BodyText"/>
        <w:rPr>
          <w:sz w:val="14"/>
        </w:rPr>
      </w:pPr>
    </w:p>
    <w:p>
      <w:pPr>
        <w:pStyle w:val="BodyText"/>
        <w:spacing w:line="247" w:lineRule="auto"/>
        <w:ind w:left="107" w:right="66"/>
      </w:pPr>
      <w:r>
        <w:rPr/>
        <w:t>The Division has been working with researchers</w:t>
      </w:r>
      <w:r>
        <w:rPr>
          <w:spacing w:val="-16"/>
        </w:rPr>
        <w:t> </w:t>
      </w:r>
      <w:r>
        <w:rPr/>
        <w:t>to</w:t>
      </w:r>
      <w:r>
        <w:rPr>
          <w:spacing w:val="-16"/>
        </w:rPr>
        <w:t> </w:t>
      </w:r>
      <w:r>
        <w:rPr/>
        <w:t>develop</w:t>
      </w:r>
      <w:r>
        <w:rPr>
          <w:spacing w:val="-16"/>
        </w:rPr>
        <w:t> </w:t>
      </w:r>
      <w:r>
        <w:rPr/>
        <w:t>research</w:t>
      </w:r>
      <w:r>
        <w:rPr>
          <w:spacing w:val="-16"/>
        </w:rPr>
        <w:t> </w:t>
      </w:r>
      <w:r>
        <w:rPr/>
        <w:t>impact</w:t>
      </w:r>
      <w:r>
        <w:rPr>
          <w:spacing w:val="-16"/>
        </w:rPr>
        <w:t> </w:t>
      </w:r>
      <w:r>
        <w:rPr/>
        <w:t>case studies and has produced 19 one-minute research snapshot videos highlighting research impact. These videos and the first issue of the Division’s bi-annual flagship research magazine, </w:t>
      </w:r>
      <w:r>
        <w:rPr>
          <w:rFonts w:ascii="Century Gothic" w:hAnsi="Century Gothic"/>
          <w:i/>
        </w:rPr>
        <w:t>Gamechangers</w:t>
      </w:r>
      <w:r>
        <w:rPr/>
        <w:t>, were launched as </w:t>
      </w:r>
      <w:r>
        <w:rPr>
          <w:spacing w:val="2"/>
        </w:rPr>
        <w:t>part </w:t>
      </w:r>
      <w:r>
        <w:rPr/>
        <w:t>of the Research Week Program of Events, held 26–30 October </w:t>
      </w:r>
      <w:r>
        <w:rPr>
          <w:spacing w:val="1"/>
          <w:w w:val="84"/>
        </w:rPr>
        <w:t>2015,</w:t>
      </w:r>
      <w:r>
        <w:rPr>
          <w:spacing w:val="-1"/>
          <w:w w:val="84"/>
        </w:rPr>
        <w:t> </w:t>
      </w:r>
      <w:r>
        <w:rPr>
          <w:spacing w:val="1"/>
          <w:w w:val="97"/>
        </w:rPr>
        <w:t>and</w:t>
      </w:r>
      <w:r>
        <w:rPr>
          <w:spacing w:val="-8"/>
          <w:w w:val="97"/>
        </w:rPr>
        <w:t> </w:t>
      </w:r>
      <w:r>
        <w:rPr>
          <w:w w:val="97"/>
        </w:rPr>
        <w:t>this</w:t>
      </w:r>
      <w:r>
        <w:rPr>
          <w:spacing w:val="-7"/>
          <w:w w:val="97"/>
        </w:rPr>
        <w:t> </w:t>
      </w:r>
      <w:r>
        <w:rPr>
          <w:w w:val="96"/>
        </w:rPr>
        <w:t>material</w:t>
      </w:r>
      <w:r>
        <w:rPr>
          <w:spacing w:val="-7"/>
          <w:w w:val="96"/>
        </w:rPr>
        <w:t> </w:t>
      </w:r>
      <w:r>
        <w:rPr>
          <w:w w:val="95"/>
        </w:rPr>
        <w:t>is</w:t>
      </w:r>
      <w:r>
        <w:rPr>
          <w:spacing w:val="-7"/>
          <w:w w:val="95"/>
        </w:rPr>
        <w:t> </w:t>
      </w:r>
      <w:r>
        <w:rPr>
          <w:w w:val="99"/>
        </w:rPr>
        <w:t>now</w:t>
      </w:r>
      <w:r>
        <w:rPr>
          <w:spacing w:val="-8"/>
          <w:w w:val="99"/>
        </w:rPr>
        <w:t> </w:t>
      </w:r>
      <w:r>
        <w:rPr>
          <w:w w:val="96"/>
        </w:rPr>
        <w:t>available</w:t>
      </w:r>
      <w:r>
        <w:rPr>
          <w:spacing w:val="-7"/>
          <w:w w:val="96"/>
        </w:rPr>
        <w:t> </w:t>
      </w:r>
      <w:r>
        <w:rPr>
          <w:spacing w:val="1"/>
          <w:w w:val="98"/>
        </w:rPr>
        <w:t>on</w:t>
      </w:r>
      <w:r>
        <w:rPr>
          <w:spacing w:val="-8"/>
          <w:w w:val="98"/>
        </w:rPr>
        <w:t> </w:t>
      </w:r>
      <w:r>
        <w:rPr>
          <w:w w:val="97"/>
        </w:rPr>
        <w:t>the </w:t>
      </w:r>
      <w:r>
        <w:rPr>
          <w:w w:val="95"/>
        </w:rPr>
        <w:t>Research</w:t>
      </w:r>
      <w:r>
        <w:rPr>
          <w:spacing w:val="21"/>
          <w:w w:val="95"/>
        </w:rPr>
        <w:t> </w:t>
      </w:r>
      <w:r>
        <w:rPr>
          <w:w w:val="95"/>
        </w:rPr>
        <w:t>website.</w:t>
      </w:r>
    </w:p>
    <w:p>
      <w:pPr>
        <w:pStyle w:val="BodyText"/>
        <w:spacing w:before="2"/>
        <w:rPr>
          <w:sz w:val="14"/>
        </w:rPr>
      </w:pPr>
    </w:p>
    <w:p>
      <w:pPr>
        <w:pStyle w:val="BodyText"/>
        <w:spacing w:line="249" w:lineRule="auto"/>
        <w:ind w:left="107" w:right="505"/>
        <w:jc w:val="both"/>
      </w:pPr>
      <w:r>
        <w:rPr/>
        <w:t>In</w:t>
      </w:r>
      <w:r>
        <w:rPr>
          <w:spacing w:val="-17"/>
        </w:rPr>
        <w:t> </w:t>
      </w:r>
      <w:r>
        <w:rPr/>
        <w:t>line</w:t>
      </w:r>
      <w:r>
        <w:rPr>
          <w:spacing w:val="-17"/>
        </w:rPr>
        <w:t> </w:t>
      </w:r>
      <w:r>
        <w:rPr/>
        <w:t>with</w:t>
      </w:r>
      <w:r>
        <w:rPr>
          <w:spacing w:val="-17"/>
        </w:rPr>
        <w:t> </w:t>
      </w:r>
      <w:r>
        <w:rPr/>
        <w:t>the</w:t>
      </w:r>
      <w:r>
        <w:rPr>
          <w:spacing w:val="-17"/>
        </w:rPr>
        <w:t> </w:t>
      </w:r>
      <w:r>
        <w:rPr/>
        <w:t>objective</w:t>
      </w:r>
      <w:r>
        <w:rPr>
          <w:spacing w:val="-17"/>
        </w:rPr>
        <w:t> </w:t>
      </w:r>
      <w:r>
        <w:rPr/>
        <w:t>of</w:t>
      </w:r>
      <w:r>
        <w:rPr>
          <w:spacing w:val="-17"/>
        </w:rPr>
        <w:t> </w:t>
      </w:r>
      <w:r>
        <w:rPr/>
        <w:t>developing administrative</w:t>
      </w:r>
      <w:r>
        <w:rPr>
          <w:spacing w:val="-19"/>
        </w:rPr>
        <w:t> </w:t>
      </w:r>
      <w:r>
        <w:rPr/>
        <w:t>structures</w:t>
      </w:r>
      <w:r>
        <w:rPr>
          <w:spacing w:val="-19"/>
        </w:rPr>
        <w:t> </w:t>
      </w:r>
      <w:r>
        <w:rPr/>
        <w:t>that</w:t>
      </w:r>
      <w:r>
        <w:rPr>
          <w:spacing w:val="-19"/>
        </w:rPr>
        <w:t> </w:t>
      </w:r>
      <w:r>
        <w:rPr/>
        <w:t>facilitate and</w:t>
      </w:r>
      <w:r>
        <w:rPr>
          <w:spacing w:val="-16"/>
        </w:rPr>
        <w:t> </w:t>
      </w:r>
      <w:r>
        <w:rPr/>
        <w:t>support</w:t>
      </w:r>
      <w:r>
        <w:rPr>
          <w:spacing w:val="-16"/>
        </w:rPr>
        <w:t> </w:t>
      </w:r>
      <w:r>
        <w:rPr/>
        <w:t>research</w:t>
      </w:r>
      <w:r>
        <w:rPr>
          <w:spacing w:val="-16"/>
        </w:rPr>
        <w:t> </w:t>
      </w:r>
      <w:r>
        <w:rPr/>
        <w:t>and</w:t>
      </w:r>
      <w:r>
        <w:rPr>
          <w:spacing w:val="-16"/>
        </w:rPr>
        <w:t> </w:t>
      </w:r>
      <w:r>
        <w:rPr/>
        <w:t>engagement</w:t>
      </w:r>
    </w:p>
    <w:p>
      <w:pPr>
        <w:pStyle w:val="BodyText"/>
        <w:spacing w:line="249" w:lineRule="auto"/>
        <w:ind w:left="107" w:right="34"/>
      </w:pPr>
      <w:r>
        <w:rPr/>
        <w:t>collaboration,</w:t>
      </w:r>
      <w:r>
        <w:rPr>
          <w:spacing w:val="-18"/>
        </w:rPr>
        <w:t> </w:t>
      </w:r>
      <w:r>
        <w:rPr/>
        <w:t>the</w:t>
      </w:r>
      <w:r>
        <w:rPr>
          <w:spacing w:val="-18"/>
        </w:rPr>
        <w:t> </w:t>
      </w:r>
      <w:r>
        <w:rPr/>
        <w:t>Division</w:t>
      </w:r>
      <w:r>
        <w:rPr>
          <w:spacing w:val="-18"/>
        </w:rPr>
        <w:t> </w:t>
      </w:r>
      <w:r>
        <w:rPr/>
        <w:t>undertook</w:t>
      </w:r>
      <w:r>
        <w:rPr>
          <w:spacing w:val="-18"/>
        </w:rPr>
        <w:t> </w:t>
      </w:r>
      <w:r>
        <w:rPr/>
        <w:t>a</w:t>
      </w:r>
      <w:r>
        <w:rPr>
          <w:spacing w:val="-18"/>
        </w:rPr>
        <w:t> </w:t>
      </w:r>
      <w:r>
        <w:rPr/>
        <w:t>review of the Office of Research </w:t>
      </w:r>
      <w:r>
        <w:rPr>
          <w:spacing w:val="2"/>
        </w:rPr>
        <w:t>Services, </w:t>
      </w:r>
      <w:r>
        <w:rPr/>
        <w:t>with the aim</w:t>
      </w:r>
      <w:r>
        <w:rPr>
          <w:spacing w:val="-15"/>
        </w:rPr>
        <w:t> </w:t>
      </w:r>
      <w:r>
        <w:rPr/>
        <w:t>of</w:t>
      </w:r>
      <w:r>
        <w:rPr>
          <w:spacing w:val="-15"/>
        </w:rPr>
        <w:t> </w:t>
      </w:r>
      <w:r>
        <w:rPr/>
        <w:t>better</w:t>
      </w:r>
      <w:r>
        <w:rPr>
          <w:spacing w:val="-15"/>
        </w:rPr>
        <w:t> </w:t>
      </w:r>
      <w:r>
        <w:rPr/>
        <w:t>integrating</w:t>
      </w:r>
      <w:r>
        <w:rPr>
          <w:spacing w:val="-15"/>
        </w:rPr>
        <w:t> </w:t>
      </w:r>
      <w:r>
        <w:rPr/>
        <w:t>the</w:t>
      </w:r>
      <w:r>
        <w:rPr>
          <w:spacing w:val="-15"/>
        </w:rPr>
        <w:t> </w:t>
      </w:r>
      <w:r>
        <w:rPr/>
        <w:t>range</w:t>
      </w:r>
      <w:r>
        <w:rPr>
          <w:spacing w:val="-15"/>
        </w:rPr>
        <w:t> </w:t>
      </w:r>
      <w:r>
        <w:rPr/>
        <w:t>of</w:t>
      </w:r>
      <w:r>
        <w:rPr>
          <w:spacing w:val="-15"/>
        </w:rPr>
        <w:t> </w:t>
      </w:r>
      <w:r>
        <w:rPr/>
        <w:t>services provided by the Division, to streamline services and align research support with the University’s</w:t>
      </w:r>
      <w:r>
        <w:rPr>
          <w:spacing w:val="-34"/>
        </w:rPr>
        <w:t> </w:t>
      </w:r>
      <w:r>
        <w:rPr/>
        <w:t>vision.</w:t>
      </w:r>
    </w:p>
    <w:p>
      <w:pPr>
        <w:pStyle w:val="BodyText"/>
        <w:rPr>
          <w:sz w:val="14"/>
        </w:rPr>
      </w:pPr>
    </w:p>
    <w:p>
      <w:pPr>
        <w:pStyle w:val="BodyText"/>
        <w:spacing w:line="249" w:lineRule="auto"/>
        <w:ind w:left="107" w:right="34"/>
      </w:pPr>
      <w:r>
        <w:rPr/>
        <w:t>The</w:t>
      </w:r>
      <w:r>
        <w:rPr>
          <w:spacing w:val="-24"/>
        </w:rPr>
        <w:t> </w:t>
      </w:r>
      <w:r>
        <w:rPr/>
        <w:t>Researcher</w:t>
      </w:r>
      <w:r>
        <w:rPr>
          <w:spacing w:val="-24"/>
        </w:rPr>
        <w:t> </w:t>
      </w:r>
      <w:r>
        <w:rPr/>
        <w:t>Development</w:t>
      </w:r>
      <w:r>
        <w:rPr>
          <w:spacing w:val="-24"/>
        </w:rPr>
        <w:t> </w:t>
      </w:r>
      <w:r>
        <w:rPr/>
        <w:t>Initiative</w:t>
      </w:r>
      <w:r>
        <w:rPr>
          <w:spacing w:val="-24"/>
        </w:rPr>
        <w:t> </w:t>
      </w:r>
      <w:r>
        <w:rPr/>
        <w:t>(RDI) is focused on early career, gender equity, career interruption and research leadership. Funding for the RDI was obtained in June through a Strategic Initiative bid submitted by the Office of the Deputy Vice-Chancellor (Research</w:t>
      </w:r>
      <w:r>
        <w:rPr>
          <w:spacing w:val="-23"/>
        </w:rPr>
        <w:t> </w:t>
      </w:r>
      <w:r>
        <w:rPr/>
        <w:t>and</w:t>
      </w:r>
      <w:r>
        <w:rPr>
          <w:spacing w:val="-23"/>
        </w:rPr>
        <w:t> </w:t>
      </w:r>
      <w:r>
        <w:rPr/>
        <w:t>Development).</w:t>
      </w:r>
      <w:r>
        <w:rPr>
          <w:spacing w:val="-23"/>
        </w:rPr>
        <w:t> </w:t>
      </w:r>
      <w:r>
        <w:rPr/>
        <w:t>This</w:t>
      </w:r>
      <w:r>
        <w:rPr>
          <w:spacing w:val="-23"/>
        </w:rPr>
        <w:t> </w:t>
      </w:r>
      <w:r>
        <w:rPr/>
        <w:t>bid</w:t>
      </w:r>
      <w:r>
        <w:rPr>
          <w:spacing w:val="-23"/>
        </w:rPr>
        <w:t> </w:t>
      </w:r>
      <w:r>
        <w:rPr/>
        <w:t>initially</w:t>
      </w:r>
    </w:p>
    <w:p>
      <w:pPr>
        <w:pStyle w:val="BodyText"/>
        <w:spacing w:line="249" w:lineRule="auto"/>
        <w:ind w:left="107" w:right="-4"/>
      </w:pPr>
      <w:r>
        <w:rPr/>
        <w:t>secured</w:t>
      </w:r>
      <w:r>
        <w:rPr>
          <w:spacing w:val="-28"/>
        </w:rPr>
        <w:t> </w:t>
      </w:r>
      <w:r>
        <w:rPr/>
        <w:t>$1</w:t>
      </w:r>
      <w:r>
        <w:rPr>
          <w:spacing w:val="-28"/>
        </w:rPr>
        <w:t> </w:t>
      </w:r>
      <w:r>
        <w:rPr/>
        <w:t>million</w:t>
      </w:r>
      <w:r>
        <w:rPr>
          <w:spacing w:val="-28"/>
        </w:rPr>
        <w:t> </w:t>
      </w:r>
      <w:r>
        <w:rPr/>
        <w:t>in</w:t>
      </w:r>
      <w:r>
        <w:rPr>
          <w:spacing w:val="-28"/>
        </w:rPr>
        <w:t> </w:t>
      </w:r>
      <w:r>
        <w:rPr/>
        <w:t>funding</w:t>
      </w:r>
      <w:r>
        <w:rPr>
          <w:spacing w:val="-28"/>
        </w:rPr>
        <w:t> </w:t>
      </w:r>
      <w:r>
        <w:rPr/>
        <w:t>(increased</w:t>
      </w:r>
      <w:r>
        <w:rPr>
          <w:spacing w:val="-28"/>
        </w:rPr>
        <w:t> </w:t>
      </w:r>
      <w:r>
        <w:rPr/>
        <w:t>to</w:t>
      </w:r>
      <w:r>
        <w:rPr>
          <w:spacing w:val="-28"/>
        </w:rPr>
        <w:t> </w:t>
      </w:r>
      <w:r>
        <w:rPr>
          <w:spacing w:val="3"/>
        </w:rPr>
        <w:t>$1.8 </w:t>
      </w:r>
      <w:r>
        <w:rPr/>
        <w:t>million) to support the RDI’s suite of funding schemes, internal and external training packages,</w:t>
      </w:r>
      <w:r>
        <w:rPr>
          <w:spacing w:val="-23"/>
        </w:rPr>
        <w:t> </w:t>
      </w:r>
      <w:r>
        <w:rPr/>
        <w:t>and</w:t>
      </w:r>
      <w:r>
        <w:rPr>
          <w:spacing w:val="-23"/>
        </w:rPr>
        <w:t> </w:t>
      </w:r>
      <w:r>
        <w:rPr/>
        <w:t>workshop</w:t>
      </w:r>
      <w:r>
        <w:rPr>
          <w:spacing w:val="-23"/>
        </w:rPr>
        <w:t> </w:t>
      </w:r>
      <w:r>
        <w:rPr/>
        <w:t>events.</w:t>
      </w:r>
    </w:p>
    <w:p>
      <w:pPr>
        <w:pStyle w:val="BodyText"/>
        <w:rPr>
          <w:sz w:val="14"/>
        </w:rPr>
      </w:pPr>
    </w:p>
    <w:p>
      <w:pPr>
        <w:pStyle w:val="BodyText"/>
        <w:spacing w:line="249" w:lineRule="auto"/>
        <w:ind w:left="107" w:right="265"/>
      </w:pPr>
      <w:r>
        <w:rPr/>
        <w:t>The</w:t>
      </w:r>
      <w:r>
        <w:rPr>
          <w:spacing w:val="-22"/>
        </w:rPr>
        <w:t> </w:t>
      </w:r>
      <w:r>
        <w:rPr/>
        <w:t>Strategic</w:t>
      </w:r>
      <w:r>
        <w:rPr>
          <w:spacing w:val="-22"/>
        </w:rPr>
        <w:t> </w:t>
      </w:r>
      <w:r>
        <w:rPr/>
        <w:t>Development</w:t>
      </w:r>
      <w:r>
        <w:rPr>
          <w:spacing w:val="-22"/>
        </w:rPr>
        <w:t> </w:t>
      </w:r>
      <w:r>
        <w:rPr/>
        <w:t>Initiatives</w:t>
      </w:r>
      <w:r>
        <w:rPr>
          <w:spacing w:val="-22"/>
        </w:rPr>
        <w:t> </w:t>
      </w:r>
      <w:r>
        <w:rPr/>
        <w:t>pilot scheme resulted in </w:t>
      </w:r>
      <w:r>
        <w:rPr>
          <w:spacing w:val="2"/>
        </w:rPr>
        <w:t>96 </w:t>
      </w:r>
      <w:r>
        <w:rPr/>
        <w:t>successful grant recipients,</w:t>
      </w:r>
      <w:r>
        <w:rPr>
          <w:spacing w:val="-24"/>
        </w:rPr>
        <w:t> </w:t>
      </w:r>
      <w:r>
        <w:rPr/>
        <w:t>from</w:t>
      </w:r>
      <w:r>
        <w:rPr>
          <w:spacing w:val="-24"/>
        </w:rPr>
        <w:t> </w:t>
      </w:r>
      <w:r>
        <w:rPr/>
        <w:t>a</w:t>
      </w:r>
      <w:r>
        <w:rPr>
          <w:spacing w:val="-24"/>
        </w:rPr>
        <w:t> </w:t>
      </w:r>
      <w:r>
        <w:rPr/>
        <w:t>total</w:t>
      </w:r>
      <w:r>
        <w:rPr>
          <w:spacing w:val="-24"/>
        </w:rPr>
        <w:t> </w:t>
      </w:r>
      <w:r>
        <w:rPr/>
        <w:t>of</w:t>
      </w:r>
      <w:r>
        <w:rPr>
          <w:spacing w:val="-24"/>
        </w:rPr>
        <w:t> </w:t>
      </w:r>
      <w:r>
        <w:rPr>
          <w:spacing w:val="2"/>
        </w:rPr>
        <w:t>134</w:t>
      </w:r>
      <w:r>
        <w:rPr>
          <w:spacing w:val="-24"/>
        </w:rPr>
        <w:t> </w:t>
      </w:r>
      <w:r>
        <w:rPr/>
        <w:t>applications.</w:t>
      </w:r>
    </w:p>
    <w:p>
      <w:pPr>
        <w:pStyle w:val="Heading8"/>
        <w:spacing w:before="78"/>
        <w:ind w:left="108" w:right="58"/>
      </w:pPr>
      <w:r>
        <w:rPr>
          <w:b w:val="0"/>
        </w:rPr>
        <w:br w:type="column"/>
      </w:r>
      <w:r>
        <w:rPr>
          <w:w w:val="95"/>
        </w:rPr>
        <w:t>COMPETITIVE FUNDING – MAJOR GRANTS</w:t>
      </w:r>
    </w:p>
    <w:p>
      <w:pPr>
        <w:spacing w:before="93"/>
        <w:ind w:left="107" w:right="58" w:firstLine="0"/>
        <w:jc w:val="left"/>
        <w:rPr>
          <w:rFonts w:ascii="Gotham Narrow Bold"/>
          <w:b/>
          <w:sz w:val="16"/>
        </w:rPr>
      </w:pPr>
      <w:r>
        <w:rPr>
          <w:rFonts w:ascii="Gotham Narrow Bold"/>
          <w:b/>
          <w:color w:val="636466"/>
          <w:w w:val="95"/>
          <w:sz w:val="16"/>
        </w:rPr>
        <w:t>Australian Research Council grants</w:t>
      </w:r>
    </w:p>
    <w:p>
      <w:pPr>
        <w:pStyle w:val="BodyText"/>
        <w:spacing w:line="249" w:lineRule="auto" w:before="86"/>
        <w:ind w:left="108" w:right="-11"/>
      </w:pPr>
      <w:r>
        <w:rPr>
          <w:w w:val="80"/>
        </w:rPr>
        <w:t>In </w:t>
      </w:r>
      <w:r>
        <w:rPr>
          <w:w w:val="98"/>
        </w:rPr>
        <w:t>November </w:t>
      </w:r>
      <w:r>
        <w:rPr>
          <w:w w:val="84"/>
        </w:rPr>
        <w:t>2015, </w:t>
      </w:r>
      <w:r>
        <w:rPr>
          <w:w w:val="98"/>
        </w:rPr>
        <w:t>Western </w:t>
      </w:r>
      <w:r>
        <w:rPr>
          <w:w w:val="99"/>
        </w:rPr>
        <w:t>Sydney </w:t>
      </w:r>
      <w:r>
        <w:rPr>
          <w:w w:val="97"/>
        </w:rPr>
        <w:t>University </w:t>
      </w:r>
      <w:r>
        <w:rPr/>
        <w:t>was awarded 12 Australian Research Council (ARC) Discovery Projects grants and three ARC Discovery Early Career Researcher Awards (DECRAs), with a funding total of</w:t>
      </w:r>
    </w:p>
    <w:p>
      <w:pPr>
        <w:pStyle w:val="BodyText"/>
        <w:spacing w:line="192" w:lineRule="exact"/>
        <w:ind w:left="108" w:right="58"/>
      </w:pPr>
      <w:r>
        <w:rPr>
          <w:w w:val="90"/>
        </w:rPr>
        <w:t>$5,119,561.</w:t>
      </w:r>
    </w:p>
    <w:p>
      <w:pPr>
        <w:pStyle w:val="BodyText"/>
        <w:spacing w:before="2"/>
        <w:rPr>
          <w:sz w:val="15"/>
        </w:rPr>
      </w:pPr>
    </w:p>
    <w:p>
      <w:pPr>
        <w:pStyle w:val="Heading8"/>
        <w:ind w:right="58"/>
      </w:pPr>
      <w:r>
        <w:rPr>
          <w:color w:val="636466"/>
          <w:w w:val="95"/>
        </w:rPr>
        <w:t>ARC Discovery Projects grants</w:t>
      </w:r>
    </w:p>
    <w:p>
      <w:pPr>
        <w:pStyle w:val="BodyText"/>
        <w:spacing w:line="249" w:lineRule="auto" w:before="86"/>
        <w:ind w:left="108" w:right="473"/>
      </w:pPr>
      <w:r>
        <w:rPr/>
        <w:t>Discovery Projects grants are awarded to support excellent basic and applied</w:t>
      </w:r>
    </w:p>
    <w:p>
      <w:pPr>
        <w:pStyle w:val="BodyText"/>
        <w:spacing w:line="249" w:lineRule="auto"/>
        <w:ind w:left="108" w:right="58"/>
      </w:pPr>
      <w:r>
        <w:rPr/>
        <w:t>research</w:t>
      </w:r>
      <w:r>
        <w:rPr>
          <w:spacing w:val="-19"/>
        </w:rPr>
        <w:t> </w:t>
      </w:r>
      <w:r>
        <w:rPr/>
        <w:t>by</w:t>
      </w:r>
      <w:r>
        <w:rPr>
          <w:spacing w:val="-19"/>
        </w:rPr>
        <w:t> </w:t>
      </w:r>
      <w:r>
        <w:rPr/>
        <w:t>researchers</w:t>
      </w:r>
      <w:r>
        <w:rPr>
          <w:spacing w:val="-19"/>
        </w:rPr>
        <w:t> </w:t>
      </w:r>
      <w:r>
        <w:rPr/>
        <w:t>and</w:t>
      </w:r>
      <w:r>
        <w:rPr>
          <w:spacing w:val="-19"/>
        </w:rPr>
        <w:t> </w:t>
      </w:r>
      <w:r>
        <w:rPr/>
        <w:t>teams</w:t>
      </w:r>
      <w:r>
        <w:rPr>
          <w:spacing w:val="-19"/>
        </w:rPr>
        <w:t> </w:t>
      </w:r>
      <w:r>
        <w:rPr/>
        <w:t>to</w:t>
      </w:r>
      <w:r>
        <w:rPr>
          <w:spacing w:val="-19"/>
        </w:rPr>
        <w:t> </w:t>
      </w:r>
      <w:r>
        <w:rPr/>
        <w:t>expand Australia’s knowledge base and research capability. These awards aim to encourage research</w:t>
      </w:r>
      <w:r>
        <w:rPr>
          <w:spacing w:val="-19"/>
        </w:rPr>
        <w:t> </w:t>
      </w:r>
      <w:r>
        <w:rPr/>
        <w:t>and</w:t>
      </w:r>
      <w:r>
        <w:rPr>
          <w:spacing w:val="-19"/>
        </w:rPr>
        <w:t> </w:t>
      </w:r>
      <w:r>
        <w:rPr/>
        <w:t>training</w:t>
      </w:r>
      <w:r>
        <w:rPr>
          <w:spacing w:val="-19"/>
        </w:rPr>
        <w:t> </w:t>
      </w:r>
      <w:r>
        <w:rPr/>
        <w:t>in</w:t>
      </w:r>
      <w:r>
        <w:rPr>
          <w:spacing w:val="-19"/>
        </w:rPr>
        <w:t> </w:t>
      </w:r>
      <w:r>
        <w:rPr/>
        <w:t>high-quality</w:t>
      </w:r>
      <w:r>
        <w:rPr>
          <w:spacing w:val="-19"/>
        </w:rPr>
        <w:t> </w:t>
      </w:r>
      <w:r>
        <w:rPr/>
        <w:t>research environments and improve international collaboration to maintain the international competitiveness</w:t>
      </w:r>
      <w:r>
        <w:rPr>
          <w:spacing w:val="-22"/>
        </w:rPr>
        <w:t> </w:t>
      </w:r>
      <w:r>
        <w:rPr/>
        <w:t>of</w:t>
      </w:r>
      <w:r>
        <w:rPr>
          <w:spacing w:val="-22"/>
        </w:rPr>
        <w:t> </w:t>
      </w:r>
      <w:r>
        <w:rPr/>
        <w:t>Australian</w:t>
      </w:r>
      <w:r>
        <w:rPr>
          <w:spacing w:val="-22"/>
        </w:rPr>
        <w:t> </w:t>
      </w:r>
      <w:r>
        <w:rPr/>
        <w:t>research.</w:t>
      </w:r>
    </w:p>
    <w:p>
      <w:pPr>
        <w:pStyle w:val="BodyText"/>
        <w:rPr>
          <w:sz w:val="14"/>
        </w:rPr>
      </w:pPr>
    </w:p>
    <w:p>
      <w:pPr>
        <w:pStyle w:val="BodyText"/>
        <w:spacing w:line="249" w:lineRule="auto"/>
        <w:ind w:left="108" w:right="58"/>
      </w:pPr>
      <w:r>
        <w:rPr>
          <w:w w:val="80"/>
        </w:rPr>
        <w:t>In </w:t>
      </w:r>
      <w:r>
        <w:rPr>
          <w:w w:val="84"/>
        </w:rPr>
        <w:t>2015, </w:t>
      </w:r>
      <w:r>
        <w:rPr>
          <w:w w:val="98"/>
        </w:rPr>
        <w:t>Discovery </w:t>
      </w:r>
      <w:r>
        <w:rPr>
          <w:w w:val="96"/>
        </w:rPr>
        <w:t>Projects </w:t>
      </w:r>
      <w:r>
        <w:rPr>
          <w:w w:val="97"/>
        </w:rPr>
        <w:t>grants </w:t>
      </w:r>
      <w:r>
        <w:rPr>
          <w:w w:val="97"/>
        </w:rPr>
        <w:t>were </w:t>
      </w:r>
      <w:r>
        <w:rPr>
          <w:w w:val="95"/>
        </w:rPr>
        <w:t>awarded to:</w:t>
      </w:r>
    </w:p>
    <w:p>
      <w:pPr>
        <w:pStyle w:val="BodyText"/>
        <w:spacing w:before="11"/>
        <w:rPr>
          <w:sz w:val="13"/>
        </w:rPr>
      </w:pPr>
    </w:p>
    <w:p>
      <w:pPr>
        <w:pStyle w:val="BodyText"/>
        <w:spacing w:line="247" w:lineRule="auto"/>
        <w:ind w:left="335" w:right="58" w:hanging="227"/>
      </w:pPr>
      <w:r>
        <w:rPr>
          <w:rFonts w:ascii="Century Gothic" w:hAnsi="Century Gothic"/>
          <w:b/>
          <w:w w:val="115"/>
        </w:rPr>
        <w:t>≥ </w:t>
      </w:r>
      <w:r>
        <w:rPr/>
        <w:t>Professor Margaret Somerville ($278,038) for ‘Naming the world: enhancing early years literacy and sustainability learning’</w:t>
      </w:r>
    </w:p>
    <w:p>
      <w:pPr>
        <w:pStyle w:val="BodyText"/>
        <w:spacing w:line="244" w:lineRule="auto" w:before="57"/>
        <w:ind w:left="335" w:right="34" w:hanging="227"/>
      </w:pPr>
      <w:r>
        <w:rPr>
          <w:rFonts w:ascii="Century Gothic" w:hAnsi="Century Gothic"/>
          <w:b/>
          <w:w w:val="115"/>
        </w:rPr>
        <w:t>≥ </w:t>
      </w:r>
      <w:r>
        <w:rPr/>
        <w:t>Dr Roozbeh Hazrat ($377,600) for ‘Graded K-theory as invariants for path algebras’</w:t>
      </w:r>
    </w:p>
    <w:p>
      <w:pPr>
        <w:pStyle w:val="BodyText"/>
        <w:spacing w:line="247" w:lineRule="auto" w:before="58"/>
        <w:ind w:left="335" w:right="65" w:hanging="227"/>
      </w:pPr>
      <w:r>
        <w:rPr>
          <w:rFonts w:ascii="Century Gothic" w:hAnsi="Century Gothic"/>
          <w:b/>
          <w:w w:val="115"/>
        </w:rPr>
        <w:t>≥  </w:t>
      </w:r>
      <w:r>
        <w:rPr/>
        <w:t>Professor Katherine Gibson ($344,885) for ‘Reconfiguring the enterprise: shifting manufacturing culture in Australia’</w:t>
      </w:r>
    </w:p>
    <w:p>
      <w:pPr>
        <w:pStyle w:val="BodyText"/>
        <w:spacing w:line="247" w:lineRule="auto" w:before="57"/>
        <w:ind w:left="335" w:right="133" w:hanging="227"/>
        <w:jc w:val="both"/>
      </w:pPr>
      <w:r>
        <w:rPr>
          <w:rFonts w:ascii="Century Gothic" w:hAnsi="Century Gothic"/>
          <w:b/>
          <w:w w:val="115"/>
        </w:rPr>
        <w:t>≥ </w:t>
      </w:r>
      <w:r>
        <w:rPr/>
        <w:t>Professor David Ellsworth ($355,800)</w:t>
      </w:r>
      <w:r>
        <w:rPr>
          <w:spacing w:val="-29"/>
        </w:rPr>
        <w:t> </w:t>
      </w:r>
      <w:r>
        <w:rPr/>
        <w:t>for ‘Will</w:t>
      </w:r>
      <w:r>
        <w:rPr>
          <w:spacing w:val="-15"/>
        </w:rPr>
        <w:t> </w:t>
      </w:r>
      <w:r>
        <w:rPr/>
        <w:t>trees</w:t>
      </w:r>
      <w:r>
        <w:rPr>
          <w:spacing w:val="-15"/>
        </w:rPr>
        <w:t> </w:t>
      </w:r>
      <w:r>
        <w:rPr/>
        <w:t>get</w:t>
      </w:r>
      <w:r>
        <w:rPr>
          <w:spacing w:val="-15"/>
        </w:rPr>
        <w:t> </w:t>
      </w:r>
      <w:r>
        <w:rPr/>
        <w:t>enough</w:t>
      </w:r>
      <w:r>
        <w:rPr>
          <w:spacing w:val="-15"/>
        </w:rPr>
        <w:t> </w:t>
      </w:r>
      <w:r>
        <w:rPr/>
        <w:t>nitrogen</w:t>
      </w:r>
      <w:r>
        <w:rPr>
          <w:spacing w:val="-15"/>
        </w:rPr>
        <w:t> </w:t>
      </w:r>
      <w:r>
        <w:rPr/>
        <w:t>to</w:t>
      </w:r>
      <w:r>
        <w:rPr>
          <w:spacing w:val="-15"/>
        </w:rPr>
        <w:t> </w:t>
      </w:r>
      <w:r>
        <w:rPr/>
        <w:t>sustain productivity in elevated</w:t>
      </w:r>
      <w:r>
        <w:rPr>
          <w:spacing w:val="-25"/>
        </w:rPr>
        <w:t> </w:t>
      </w:r>
      <w:r>
        <w:rPr/>
        <w:t>CO2?’</w:t>
      </w:r>
    </w:p>
    <w:p>
      <w:pPr>
        <w:pStyle w:val="BodyText"/>
        <w:spacing w:line="247" w:lineRule="auto" w:before="57"/>
        <w:ind w:left="335" w:right="58" w:hanging="227"/>
      </w:pPr>
      <w:r>
        <w:rPr>
          <w:rFonts w:ascii="Century Gothic" w:hAnsi="Century Gothic"/>
          <w:b/>
          <w:w w:val="145"/>
        </w:rPr>
        <w:t>≥ </w:t>
      </w:r>
      <w:r>
        <w:rPr>
          <w:w w:val="97"/>
        </w:rPr>
        <w:t>Professor </w:t>
      </w:r>
      <w:r>
        <w:rPr>
          <w:w w:val="85"/>
        </w:rPr>
        <w:t>Ian </w:t>
      </w:r>
      <w:r>
        <w:rPr>
          <w:w w:val="99"/>
        </w:rPr>
        <w:t>Anderson </w:t>
      </w:r>
      <w:r>
        <w:rPr>
          <w:w w:val="87"/>
        </w:rPr>
        <w:t>($371,100) </w:t>
      </w:r>
      <w:r>
        <w:rPr>
          <w:w w:val="98"/>
        </w:rPr>
        <w:t>for </w:t>
      </w:r>
      <w:r>
        <w:rPr/>
        <w:t>‘Characterising controls of carbon flow from trees into mycorrhizal fungi’</w:t>
      </w:r>
    </w:p>
    <w:p>
      <w:pPr>
        <w:pStyle w:val="BodyText"/>
        <w:spacing w:line="247" w:lineRule="auto" w:before="57"/>
        <w:ind w:left="335" w:right="141" w:hanging="227"/>
      </w:pPr>
      <w:r>
        <w:rPr>
          <w:rFonts w:ascii="Century Gothic" w:hAnsi="Century Gothic"/>
          <w:b/>
          <w:w w:val="115"/>
        </w:rPr>
        <w:t>≥ </w:t>
      </w:r>
      <w:r>
        <w:rPr/>
        <w:t>Dr Xinqun Zhu ($225,000) for ‘Development of a novel mobile sensory system for bridge health monitoring’</w:t>
      </w:r>
    </w:p>
    <w:p>
      <w:pPr>
        <w:pStyle w:val="BodyText"/>
        <w:spacing w:line="247" w:lineRule="auto" w:before="57"/>
        <w:ind w:left="335" w:right="23" w:hanging="227"/>
      </w:pPr>
      <w:r>
        <w:rPr>
          <w:rFonts w:ascii="Century Gothic" w:hAnsi="Century Gothic"/>
          <w:b/>
          <w:w w:val="115"/>
        </w:rPr>
        <w:t>≥ </w:t>
      </w:r>
      <w:r>
        <w:rPr>
          <w:w w:val="105"/>
        </w:rPr>
        <w:t>Professor Kenny Kwok ($330,000) for ‘Bushfire-enhanced</w:t>
      </w:r>
      <w:r>
        <w:rPr>
          <w:spacing w:val="-40"/>
          <w:w w:val="105"/>
        </w:rPr>
        <w:t> </w:t>
      </w:r>
      <w:r>
        <w:rPr>
          <w:w w:val="105"/>
        </w:rPr>
        <w:t>wind</w:t>
      </w:r>
      <w:r>
        <w:rPr>
          <w:spacing w:val="-40"/>
          <w:w w:val="105"/>
        </w:rPr>
        <w:t> </w:t>
      </w:r>
      <w:r>
        <w:rPr>
          <w:w w:val="105"/>
        </w:rPr>
        <w:t>and</w:t>
      </w:r>
      <w:r>
        <w:rPr>
          <w:spacing w:val="-40"/>
          <w:w w:val="105"/>
        </w:rPr>
        <w:t> </w:t>
      </w:r>
      <w:r>
        <w:rPr>
          <w:w w:val="105"/>
        </w:rPr>
        <w:t>its</w:t>
      </w:r>
      <w:r>
        <w:rPr>
          <w:spacing w:val="-40"/>
          <w:w w:val="105"/>
        </w:rPr>
        <w:t> </w:t>
      </w:r>
      <w:r>
        <w:rPr>
          <w:w w:val="105"/>
        </w:rPr>
        <w:t>effects</w:t>
      </w:r>
      <w:r>
        <w:rPr>
          <w:spacing w:val="-40"/>
          <w:w w:val="105"/>
        </w:rPr>
        <w:t> </w:t>
      </w:r>
      <w:r>
        <w:rPr>
          <w:w w:val="105"/>
        </w:rPr>
        <w:t>on buildings’</w:t>
      </w:r>
    </w:p>
    <w:p>
      <w:pPr>
        <w:pStyle w:val="BodyText"/>
        <w:spacing w:line="247" w:lineRule="auto" w:before="57"/>
        <w:ind w:left="335" w:right="-2" w:hanging="227"/>
      </w:pPr>
      <w:r>
        <w:rPr>
          <w:rFonts w:ascii="Century Gothic" w:hAnsi="Century Gothic"/>
          <w:b/>
          <w:w w:val="115"/>
        </w:rPr>
        <w:t>≥  </w:t>
      </w:r>
      <w:r>
        <w:rPr/>
        <w:t>Professor Brett Neilson ($433,790) for ‘Data</w:t>
      </w:r>
      <w:r>
        <w:rPr>
          <w:spacing w:val="-17"/>
        </w:rPr>
        <w:t> </w:t>
      </w:r>
      <w:r>
        <w:rPr/>
        <w:t>centres</w:t>
      </w:r>
      <w:r>
        <w:rPr>
          <w:spacing w:val="-17"/>
        </w:rPr>
        <w:t> </w:t>
      </w:r>
      <w:r>
        <w:rPr/>
        <w:t>and</w:t>
      </w:r>
      <w:r>
        <w:rPr>
          <w:spacing w:val="-17"/>
        </w:rPr>
        <w:t> </w:t>
      </w:r>
      <w:r>
        <w:rPr/>
        <w:t>the</w:t>
      </w:r>
      <w:r>
        <w:rPr>
          <w:spacing w:val="-17"/>
        </w:rPr>
        <w:t> </w:t>
      </w:r>
      <w:r>
        <w:rPr/>
        <w:t>governance</w:t>
      </w:r>
      <w:r>
        <w:rPr>
          <w:spacing w:val="-17"/>
        </w:rPr>
        <w:t> </w:t>
      </w:r>
      <w:r>
        <w:rPr/>
        <w:t>of</w:t>
      </w:r>
      <w:r>
        <w:rPr>
          <w:spacing w:val="-17"/>
        </w:rPr>
        <w:t> </w:t>
      </w:r>
      <w:r>
        <w:rPr/>
        <w:t>labour and</w:t>
      </w:r>
      <w:r>
        <w:rPr>
          <w:spacing w:val="-12"/>
        </w:rPr>
        <w:t> </w:t>
      </w:r>
      <w:r>
        <w:rPr/>
        <w:t>territory’</w:t>
      </w:r>
    </w:p>
    <w:p>
      <w:pPr>
        <w:pStyle w:val="BodyText"/>
        <w:spacing w:line="247" w:lineRule="auto" w:before="57"/>
        <w:ind w:left="335" w:right="61" w:hanging="227"/>
      </w:pPr>
      <w:r>
        <w:rPr>
          <w:rFonts w:ascii="Century Gothic" w:hAnsi="Century Gothic"/>
          <w:b/>
          <w:w w:val="115"/>
        </w:rPr>
        <w:t>≥ </w:t>
      </w:r>
      <w:r>
        <w:rPr/>
        <w:t>Professor Belinda Medlyn ($428,100) for ‘To</w:t>
      </w:r>
      <w:r>
        <w:rPr>
          <w:spacing w:val="-17"/>
        </w:rPr>
        <w:t> </w:t>
      </w:r>
      <w:r>
        <w:rPr/>
        <w:t>grow</w:t>
      </w:r>
      <w:r>
        <w:rPr>
          <w:spacing w:val="-17"/>
        </w:rPr>
        <w:t> </w:t>
      </w:r>
      <w:r>
        <w:rPr/>
        <w:t>or</w:t>
      </w:r>
      <w:r>
        <w:rPr>
          <w:spacing w:val="-17"/>
        </w:rPr>
        <w:t> </w:t>
      </w:r>
      <w:r>
        <w:rPr/>
        <w:t>to</w:t>
      </w:r>
      <w:r>
        <w:rPr>
          <w:spacing w:val="-17"/>
        </w:rPr>
        <w:t> </w:t>
      </w:r>
      <w:r>
        <w:rPr/>
        <w:t>store:</w:t>
      </w:r>
      <w:r>
        <w:rPr>
          <w:spacing w:val="-17"/>
        </w:rPr>
        <w:t> </w:t>
      </w:r>
      <w:r>
        <w:rPr/>
        <w:t>Do</w:t>
      </w:r>
      <w:r>
        <w:rPr>
          <w:spacing w:val="-17"/>
        </w:rPr>
        <w:t> </w:t>
      </w:r>
      <w:r>
        <w:rPr/>
        <w:t>plants</w:t>
      </w:r>
      <w:r>
        <w:rPr>
          <w:spacing w:val="-17"/>
        </w:rPr>
        <w:t> </w:t>
      </w:r>
      <w:r>
        <w:rPr/>
        <w:t>hedge</w:t>
      </w:r>
      <w:r>
        <w:rPr>
          <w:spacing w:val="-17"/>
        </w:rPr>
        <w:t> </w:t>
      </w:r>
      <w:r>
        <w:rPr/>
        <w:t>their bets?’</w:t>
      </w:r>
    </w:p>
    <w:p>
      <w:pPr>
        <w:pStyle w:val="BodyText"/>
        <w:spacing w:line="244" w:lineRule="auto" w:before="57"/>
        <w:ind w:left="335" w:right="160" w:hanging="227"/>
      </w:pPr>
      <w:r>
        <w:rPr>
          <w:rFonts w:ascii="Century Gothic" w:hAnsi="Century Gothic"/>
          <w:b/>
          <w:w w:val="115"/>
        </w:rPr>
        <w:t>≥</w:t>
      </w:r>
      <w:r>
        <w:rPr>
          <w:rFonts w:ascii="Century Gothic" w:hAnsi="Century Gothic"/>
          <w:b/>
          <w:spacing w:val="8"/>
          <w:w w:val="115"/>
        </w:rPr>
        <w:t> </w:t>
      </w:r>
      <w:r>
        <w:rPr>
          <w:w w:val="105"/>
        </w:rPr>
        <w:t>Professor</w:t>
      </w:r>
      <w:r>
        <w:rPr>
          <w:spacing w:val="-30"/>
          <w:w w:val="105"/>
        </w:rPr>
        <w:t> </w:t>
      </w:r>
      <w:r>
        <w:rPr>
          <w:w w:val="105"/>
        </w:rPr>
        <w:t>Simon</w:t>
      </w:r>
      <w:r>
        <w:rPr>
          <w:spacing w:val="-30"/>
          <w:w w:val="105"/>
        </w:rPr>
        <w:t> </w:t>
      </w:r>
      <w:r>
        <w:rPr>
          <w:w w:val="105"/>
        </w:rPr>
        <w:t>Burrows</w:t>
      </w:r>
      <w:r>
        <w:rPr>
          <w:spacing w:val="-30"/>
          <w:w w:val="105"/>
        </w:rPr>
        <w:t> </w:t>
      </w:r>
      <w:r>
        <w:rPr>
          <w:w w:val="105"/>
        </w:rPr>
        <w:t>($459,606)</w:t>
      </w:r>
      <w:r>
        <w:rPr>
          <w:spacing w:val="-30"/>
          <w:w w:val="105"/>
        </w:rPr>
        <w:t> </w:t>
      </w:r>
      <w:r>
        <w:rPr>
          <w:w w:val="105"/>
        </w:rPr>
        <w:t>for </w:t>
      </w:r>
      <w:r>
        <w:rPr/>
        <w:t>‘Mapping</w:t>
      </w:r>
      <w:r>
        <w:rPr>
          <w:spacing w:val="-17"/>
        </w:rPr>
        <w:t> </w:t>
      </w:r>
      <w:r>
        <w:rPr/>
        <w:t>print,</w:t>
      </w:r>
      <w:r>
        <w:rPr>
          <w:spacing w:val="-17"/>
        </w:rPr>
        <w:t> </w:t>
      </w:r>
      <w:r>
        <w:rPr/>
        <w:t>charting</w:t>
      </w:r>
      <w:r>
        <w:rPr>
          <w:spacing w:val="-17"/>
        </w:rPr>
        <w:t> </w:t>
      </w:r>
      <w:r>
        <w:rPr/>
        <w:t>enlightenment’</w:t>
      </w:r>
    </w:p>
    <w:p>
      <w:pPr>
        <w:pStyle w:val="BodyText"/>
        <w:spacing w:line="247" w:lineRule="auto" w:before="70"/>
        <w:ind w:left="335" w:right="496" w:hanging="227"/>
        <w:jc w:val="both"/>
      </w:pPr>
      <w:r>
        <w:rPr/>
        <w:br w:type="column"/>
      </w:r>
      <w:r>
        <w:rPr>
          <w:rFonts w:ascii="Century Gothic" w:hAnsi="Century Gothic"/>
          <w:b/>
          <w:w w:val="115"/>
        </w:rPr>
        <w:t>≥ </w:t>
      </w:r>
      <w:r>
        <w:rPr/>
        <w:t>Professor Phillip O’Neill ($236,172)</w:t>
      </w:r>
      <w:r>
        <w:rPr>
          <w:spacing w:val="-37"/>
        </w:rPr>
        <w:t> </w:t>
      </w:r>
      <w:r>
        <w:rPr/>
        <w:t>for ‘Australia’s</w:t>
      </w:r>
      <w:r>
        <w:rPr>
          <w:spacing w:val="-17"/>
        </w:rPr>
        <w:t> </w:t>
      </w:r>
      <w:r>
        <w:rPr/>
        <w:t>role</w:t>
      </w:r>
      <w:r>
        <w:rPr>
          <w:spacing w:val="-17"/>
        </w:rPr>
        <w:t> </w:t>
      </w:r>
      <w:r>
        <w:rPr/>
        <w:t>in</w:t>
      </w:r>
      <w:r>
        <w:rPr>
          <w:spacing w:val="-17"/>
        </w:rPr>
        <w:t> </w:t>
      </w:r>
      <w:r>
        <w:rPr/>
        <w:t>global</w:t>
      </w:r>
      <w:r>
        <w:rPr>
          <w:spacing w:val="-17"/>
        </w:rPr>
        <w:t> </w:t>
      </w:r>
      <w:r>
        <w:rPr/>
        <w:t>financial</w:t>
      </w:r>
      <w:r>
        <w:rPr>
          <w:spacing w:val="-17"/>
        </w:rPr>
        <w:t> </w:t>
      </w:r>
      <w:r>
        <w:rPr/>
        <w:t>and production</w:t>
      </w:r>
      <w:r>
        <w:rPr>
          <w:spacing w:val="-3"/>
        </w:rPr>
        <w:t> </w:t>
      </w:r>
      <w:r>
        <w:rPr/>
        <w:t>networks’</w:t>
      </w:r>
    </w:p>
    <w:p>
      <w:pPr>
        <w:pStyle w:val="BodyText"/>
        <w:spacing w:line="247" w:lineRule="auto" w:before="57"/>
        <w:ind w:left="335" w:right="129" w:hanging="227"/>
      </w:pPr>
      <w:r>
        <w:rPr>
          <w:rFonts w:ascii="Century Gothic" w:hAnsi="Century Gothic"/>
          <w:b/>
          <w:w w:val="145"/>
        </w:rPr>
        <w:t>≥ </w:t>
      </w:r>
      <w:r>
        <w:rPr>
          <w:w w:val="97"/>
        </w:rPr>
        <w:t>Professor </w:t>
      </w:r>
      <w:r>
        <w:rPr>
          <w:w w:val="99"/>
        </w:rPr>
        <w:t>Yang </w:t>
      </w:r>
      <w:r>
        <w:rPr>
          <w:w w:val="98"/>
        </w:rPr>
        <w:t>Xiang </w:t>
      </w:r>
      <w:r>
        <w:rPr>
          <w:w w:val="95"/>
        </w:rPr>
        <w:t>($180,000) </w:t>
      </w:r>
      <w:r>
        <w:rPr>
          <w:w w:val="98"/>
        </w:rPr>
        <w:t>for </w:t>
      </w:r>
      <w:r>
        <w:rPr/>
        <w:t>‘Modelling surface stresses in crystalline plates’.</w:t>
      </w:r>
    </w:p>
    <w:p>
      <w:pPr>
        <w:pStyle w:val="BodyText"/>
        <w:spacing w:before="2"/>
        <w:rPr>
          <w:sz w:val="14"/>
        </w:rPr>
      </w:pPr>
    </w:p>
    <w:p>
      <w:pPr>
        <w:pStyle w:val="BodyText"/>
        <w:spacing w:line="249" w:lineRule="auto"/>
        <w:ind w:left="108" w:right="129"/>
      </w:pPr>
      <w:r>
        <w:rPr/>
        <w:t>Western Sydney University’s success rate for ARC</w:t>
      </w:r>
      <w:r>
        <w:rPr>
          <w:spacing w:val="-21"/>
        </w:rPr>
        <w:t> </w:t>
      </w:r>
      <w:r>
        <w:rPr/>
        <w:t>Discovery</w:t>
      </w:r>
      <w:r>
        <w:rPr>
          <w:spacing w:val="-21"/>
        </w:rPr>
        <w:t> </w:t>
      </w:r>
      <w:r>
        <w:rPr/>
        <w:t>Projects</w:t>
      </w:r>
      <w:r>
        <w:rPr>
          <w:spacing w:val="-21"/>
        </w:rPr>
        <w:t> </w:t>
      </w:r>
      <w:r>
        <w:rPr/>
        <w:t>grants</w:t>
      </w:r>
      <w:r>
        <w:rPr>
          <w:spacing w:val="-21"/>
        </w:rPr>
        <w:t> </w:t>
      </w:r>
      <w:r>
        <w:rPr/>
        <w:t>is</w:t>
      </w:r>
      <w:r>
        <w:rPr>
          <w:spacing w:val="-21"/>
        </w:rPr>
        <w:t> </w:t>
      </w:r>
      <w:r>
        <w:rPr/>
        <w:t>17.6</w:t>
      </w:r>
      <w:r>
        <w:rPr>
          <w:spacing w:val="-21"/>
        </w:rPr>
        <w:t> </w:t>
      </w:r>
      <w:r>
        <w:rPr/>
        <w:t>per</w:t>
      </w:r>
      <w:r>
        <w:rPr>
          <w:spacing w:val="-21"/>
        </w:rPr>
        <w:t> </w:t>
      </w:r>
      <w:r>
        <w:rPr/>
        <w:t>cent, which</w:t>
      </w:r>
      <w:r>
        <w:rPr>
          <w:spacing w:val="-16"/>
        </w:rPr>
        <w:t> </w:t>
      </w:r>
      <w:r>
        <w:rPr/>
        <w:t>is</w:t>
      </w:r>
      <w:r>
        <w:rPr>
          <w:spacing w:val="-16"/>
        </w:rPr>
        <w:t> </w:t>
      </w:r>
      <w:r>
        <w:rPr/>
        <w:t>on</w:t>
      </w:r>
      <w:r>
        <w:rPr>
          <w:spacing w:val="-16"/>
        </w:rPr>
        <w:t> </w:t>
      </w:r>
      <w:r>
        <w:rPr/>
        <w:t>par</w:t>
      </w:r>
      <w:r>
        <w:rPr>
          <w:spacing w:val="-16"/>
        </w:rPr>
        <w:t> </w:t>
      </w:r>
      <w:r>
        <w:rPr/>
        <w:t>with</w:t>
      </w:r>
      <w:r>
        <w:rPr>
          <w:spacing w:val="-16"/>
        </w:rPr>
        <w:t> </w:t>
      </w:r>
      <w:r>
        <w:rPr/>
        <w:t>the</w:t>
      </w:r>
      <w:r>
        <w:rPr>
          <w:spacing w:val="-16"/>
        </w:rPr>
        <w:t> </w:t>
      </w:r>
      <w:r>
        <w:rPr/>
        <w:t>national</w:t>
      </w:r>
      <w:r>
        <w:rPr>
          <w:spacing w:val="-16"/>
        </w:rPr>
        <w:t> </w:t>
      </w:r>
      <w:r>
        <w:rPr/>
        <w:t>success</w:t>
      </w:r>
      <w:r>
        <w:rPr>
          <w:spacing w:val="-16"/>
        </w:rPr>
        <w:t> </w:t>
      </w:r>
      <w:r>
        <w:rPr/>
        <w:t>rate </w:t>
      </w:r>
      <w:r>
        <w:rPr>
          <w:w w:val="95"/>
        </w:rPr>
        <w:t>of</w:t>
      </w:r>
      <w:r>
        <w:rPr>
          <w:spacing w:val="-21"/>
          <w:w w:val="95"/>
        </w:rPr>
        <w:t> </w:t>
      </w:r>
      <w:r>
        <w:rPr>
          <w:spacing w:val="-3"/>
          <w:w w:val="95"/>
        </w:rPr>
        <w:t>17.7</w:t>
      </w:r>
      <w:r>
        <w:rPr>
          <w:spacing w:val="-21"/>
          <w:w w:val="95"/>
        </w:rPr>
        <w:t> </w:t>
      </w:r>
      <w:r>
        <w:rPr>
          <w:w w:val="95"/>
        </w:rPr>
        <w:t>per</w:t>
      </w:r>
      <w:r>
        <w:rPr>
          <w:spacing w:val="-21"/>
          <w:w w:val="95"/>
        </w:rPr>
        <w:t> </w:t>
      </w:r>
      <w:r>
        <w:rPr>
          <w:w w:val="95"/>
        </w:rPr>
        <w:t>cent.</w:t>
      </w:r>
    </w:p>
    <w:p>
      <w:pPr>
        <w:pStyle w:val="BodyText"/>
        <w:spacing w:before="6"/>
        <w:rPr>
          <w:sz w:val="14"/>
        </w:rPr>
      </w:pPr>
    </w:p>
    <w:p>
      <w:pPr>
        <w:pStyle w:val="Heading8"/>
        <w:spacing w:line="249" w:lineRule="auto"/>
        <w:ind w:right="129"/>
      </w:pPr>
      <w:r>
        <w:rPr>
          <w:color w:val="636466"/>
          <w:w w:val="95"/>
        </w:rPr>
        <w:t>ARC Discovery Early Career Researcher </w:t>
      </w:r>
      <w:r>
        <w:rPr>
          <w:color w:val="636466"/>
        </w:rPr>
        <w:t>Awards</w:t>
      </w:r>
    </w:p>
    <w:p>
      <w:pPr>
        <w:pStyle w:val="BodyText"/>
        <w:spacing w:line="249" w:lineRule="auto" w:before="79"/>
        <w:ind w:left="108" w:right="189"/>
      </w:pPr>
      <w:r>
        <w:rPr>
          <w:spacing w:val="2"/>
        </w:rPr>
        <w:t>DECRAs </w:t>
      </w:r>
      <w:r>
        <w:rPr/>
        <w:t>are awarded to promising early- career</w:t>
      </w:r>
      <w:r>
        <w:rPr>
          <w:spacing w:val="-19"/>
        </w:rPr>
        <w:t> </w:t>
      </w:r>
      <w:r>
        <w:rPr/>
        <w:t>researchers</w:t>
      </w:r>
      <w:r>
        <w:rPr>
          <w:spacing w:val="-19"/>
        </w:rPr>
        <w:t> </w:t>
      </w:r>
      <w:r>
        <w:rPr/>
        <w:t>who</w:t>
      </w:r>
      <w:r>
        <w:rPr>
          <w:spacing w:val="-19"/>
        </w:rPr>
        <w:t> </w:t>
      </w:r>
      <w:r>
        <w:rPr/>
        <w:t>have</w:t>
      </w:r>
      <w:r>
        <w:rPr>
          <w:spacing w:val="-19"/>
        </w:rPr>
        <w:t> </w:t>
      </w:r>
      <w:r>
        <w:rPr/>
        <w:t>been</w:t>
      </w:r>
      <w:r>
        <w:rPr>
          <w:spacing w:val="-19"/>
        </w:rPr>
        <w:t> </w:t>
      </w:r>
      <w:r>
        <w:rPr/>
        <w:t>awarded</w:t>
      </w:r>
      <w:r>
        <w:rPr>
          <w:spacing w:val="-19"/>
        </w:rPr>
        <w:t> </w:t>
      </w:r>
      <w:r>
        <w:rPr/>
        <w:t>a PhD</w:t>
      </w:r>
      <w:r>
        <w:rPr>
          <w:spacing w:val="-14"/>
        </w:rPr>
        <w:t> </w:t>
      </w:r>
      <w:r>
        <w:rPr/>
        <w:t>within</w:t>
      </w:r>
      <w:r>
        <w:rPr>
          <w:spacing w:val="-14"/>
        </w:rPr>
        <w:t> </w:t>
      </w:r>
      <w:r>
        <w:rPr/>
        <w:t>the</w:t>
      </w:r>
      <w:r>
        <w:rPr>
          <w:spacing w:val="-14"/>
        </w:rPr>
        <w:t> </w:t>
      </w:r>
      <w:r>
        <w:rPr/>
        <w:t>previous</w:t>
      </w:r>
      <w:r>
        <w:rPr>
          <w:spacing w:val="-14"/>
        </w:rPr>
        <w:t> </w:t>
      </w:r>
      <w:r>
        <w:rPr/>
        <w:t>five</w:t>
      </w:r>
      <w:r>
        <w:rPr>
          <w:spacing w:val="-14"/>
        </w:rPr>
        <w:t> </w:t>
      </w:r>
      <w:r>
        <w:rPr/>
        <w:t>years,</w:t>
      </w:r>
      <w:r>
        <w:rPr>
          <w:spacing w:val="-14"/>
        </w:rPr>
        <w:t> </w:t>
      </w:r>
      <w:r>
        <w:rPr/>
        <w:t>or</w:t>
      </w:r>
      <w:r>
        <w:rPr>
          <w:spacing w:val="-14"/>
        </w:rPr>
        <w:t> </w:t>
      </w:r>
      <w:r>
        <w:rPr/>
        <w:t>longer if</w:t>
      </w:r>
      <w:r>
        <w:rPr>
          <w:spacing w:val="-13"/>
        </w:rPr>
        <w:t> </w:t>
      </w:r>
      <w:r>
        <w:rPr/>
        <w:t>combined</w:t>
      </w:r>
      <w:r>
        <w:rPr>
          <w:spacing w:val="-13"/>
        </w:rPr>
        <w:t> </w:t>
      </w:r>
      <w:r>
        <w:rPr/>
        <w:t>with</w:t>
      </w:r>
      <w:r>
        <w:rPr>
          <w:spacing w:val="-13"/>
        </w:rPr>
        <w:t> </w:t>
      </w:r>
      <w:r>
        <w:rPr/>
        <w:t>periods</w:t>
      </w:r>
      <w:r>
        <w:rPr>
          <w:spacing w:val="-13"/>
        </w:rPr>
        <w:t> </w:t>
      </w:r>
      <w:r>
        <w:rPr/>
        <w:t>of</w:t>
      </w:r>
      <w:r>
        <w:rPr>
          <w:spacing w:val="-13"/>
        </w:rPr>
        <w:t> </w:t>
      </w:r>
      <w:r>
        <w:rPr/>
        <w:t>significant</w:t>
      </w:r>
      <w:r>
        <w:rPr>
          <w:spacing w:val="-13"/>
        </w:rPr>
        <w:t> </w:t>
      </w:r>
      <w:r>
        <w:rPr/>
        <w:t>career interruption. The award gives early-career researchers</w:t>
      </w:r>
      <w:r>
        <w:rPr>
          <w:spacing w:val="-16"/>
        </w:rPr>
        <w:t> </w:t>
      </w:r>
      <w:r>
        <w:rPr/>
        <w:t>an</w:t>
      </w:r>
      <w:r>
        <w:rPr>
          <w:spacing w:val="-16"/>
        </w:rPr>
        <w:t> </w:t>
      </w:r>
      <w:r>
        <w:rPr/>
        <w:t>opportunity</w:t>
      </w:r>
      <w:r>
        <w:rPr>
          <w:spacing w:val="-16"/>
        </w:rPr>
        <w:t> </w:t>
      </w:r>
      <w:r>
        <w:rPr/>
        <w:t>for</w:t>
      </w:r>
      <w:r>
        <w:rPr>
          <w:spacing w:val="-16"/>
        </w:rPr>
        <w:t> </w:t>
      </w:r>
      <w:r>
        <w:rPr/>
        <w:t>diverse</w:t>
      </w:r>
      <w:r>
        <w:rPr>
          <w:spacing w:val="-16"/>
        </w:rPr>
        <w:t> </w:t>
      </w:r>
      <w:r>
        <w:rPr/>
        <w:t>career pathways</w:t>
      </w:r>
      <w:r>
        <w:rPr>
          <w:spacing w:val="-18"/>
        </w:rPr>
        <w:t> </w:t>
      </w:r>
      <w:r>
        <w:rPr/>
        <w:t>in</w:t>
      </w:r>
      <w:r>
        <w:rPr>
          <w:spacing w:val="-18"/>
        </w:rPr>
        <w:t> </w:t>
      </w:r>
      <w:r>
        <w:rPr/>
        <w:t>both</w:t>
      </w:r>
      <w:r>
        <w:rPr>
          <w:spacing w:val="-18"/>
        </w:rPr>
        <w:t> </w:t>
      </w:r>
      <w:r>
        <w:rPr/>
        <w:t>teaching</w:t>
      </w:r>
      <w:r>
        <w:rPr>
          <w:spacing w:val="-18"/>
        </w:rPr>
        <w:t> </w:t>
      </w:r>
      <w:r>
        <w:rPr/>
        <w:t>and</w:t>
      </w:r>
      <w:r>
        <w:rPr>
          <w:spacing w:val="-18"/>
        </w:rPr>
        <w:t> </w:t>
      </w:r>
      <w:r>
        <w:rPr/>
        <w:t>research,</w:t>
      </w:r>
      <w:r>
        <w:rPr>
          <w:spacing w:val="-18"/>
        </w:rPr>
        <w:t> </w:t>
      </w:r>
      <w:r>
        <w:rPr/>
        <w:t>and research-only positions in high-quality and supportive</w:t>
      </w:r>
      <w:r>
        <w:rPr>
          <w:spacing w:val="-17"/>
        </w:rPr>
        <w:t> </w:t>
      </w:r>
      <w:r>
        <w:rPr/>
        <w:t>environments,</w:t>
      </w:r>
      <w:r>
        <w:rPr>
          <w:spacing w:val="-17"/>
        </w:rPr>
        <w:t> </w:t>
      </w:r>
      <w:r>
        <w:rPr/>
        <w:t>with</w:t>
      </w:r>
      <w:r>
        <w:rPr>
          <w:spacing w:val="-17"/>
        </w:rPr>
        <w:t> </w:t>
      </w:r>
      <w:r>
        <w:rPr/>
        <w:t>a</w:t>
      </w:r>
      <w:r>
        <w:rPr>
          <w:spacing w:val="-17"/>
        </w:rPr>
        <w:t> </w:t>
      </w:r>
      <w:r>
        <w:rPr/>
        <w:t>broader</w:t>
      </w:r>
      <w:r>
        <w:rPr>
          <w:spacing w:val="-17"/>
        </w:rPr>
        <w:t> </w:t>
      </w:r>
      <w:r>
        <w:rPr/>
        <w:t>aim to expand Australia’s knowledge base and research</w:t>
      </w:r>
      <w:r>
        <w:rPr>
          <w:spacing w:val="-38"/>
        </w:rPr>
        <w:t> </w:t>
      </w:r>
      <w:r>
        <w:rPr/>
        <w:t>capability.</w:t>
      </w:r>
    </w:p>
    <w:p>
      <w:pPr>
        <w:pStyle w:val="BodyText"/>
        <w:rPr>
          <w:sz w:val="14"/>
        </w:rPr>
      </w:pPr>
    </w:p>
    <w:p>
      <w:pPr>
        <w:pStyle w:val="BodyText"/>
        <w:ind w:left="108" w:right="129"/>
      </w:pPr>
      <w:r>
        <w:rPr>
          <w:spacing w:val="2"/>
          <w:w w:val="64"/>
        </w:rPr>
        <w:t>I</w:t>
      </w:r>
      <w:r>
        <w:rPr>
          <w:w w:val="95"/>
        </w:rPr>
        <w:t>n</w:t>
      </w:r>
      <w:r>
        <w:rPr>
          <w:spacing w:val="-12"/>
        </w:rPr>
        <w:t> </w:t>
      </w:r>
      <w:r>
        <w:rPr>
          <w:spacing w:val="2"/>
          <w:w w:val="93"/>
        </w:rPr>
        <w:t>2</w:t>
      </w:r>
      <w:r>
        <w:rPr>
          <w:spacing w:val="1"/>
          <w:w w:val="111"/>
        </w:rPr>
        <w:t>0</w:t>
      </w:r>
      <w:r>
        <w:rPr>
          <w:spacing w:val="2"/>
          <w:w w:val="54"/>
        </w:rPr>
        <w:t>1</w:t>
      </w:r>
      <w:r>
        <w:rPr>
          <w:spacing w:val="4"/>
          <w:w w:val="95"/>
        </w:rPr>
        <w:t>5</w:t>
      </w:r>
      <w:r>
        <w:rPr>
          <w:w w:val="68"/>
        </w:rPr>
        <w:t>,</w:t>
      </w:r>
      <w:r>
        <w:rPr>
          <w:spacing w:val="-12"/>
        </w:rPr>
        <w:t> </w:t>
      </w:r>
      <w:r>
        <w:rPr>
          <w:spacing w:val="3"/>
          <w:w w:val="98"/>
        </w:rPr>
        <w:t>D</w:t>
      </w:r>
      <w:r>
        <w:rPr>
          <w:w w:val="100"/>
        </w:rPr>
        <w:t>E</w:t>
      </w:r>
      <w:r>
        <w:rPr>
          <w:spacing w:val="3"/>
          <w:w w:val="102"/>
        </w:rPr>
        <w:t>C</w:t>
      </w:r>
      <w:r>
        <w:rPr>
          <w:spacing w:val="6"/>
          <w:w w:val="99"/>
        </w:rPr>
        <w:t>R</w:t>
      </w:r>
      <w:r>
        <w:rPr>
          <w:spacing w:val="4"/>
          <w:w w:val="112"/>
        </w:rPr>
        <w:t>A</w:t>
      </w:r>
      <w:r>
        <w:rPr>
          <w:w w:val="95"/>
        </w:rPr>
        <w:t>s</w:t>
      </w:r>
      <w:r>
        <w:rPr>
          <w:spacing w:val="-12"/>
        </w:rPr>
        <w:t> </w:t>
      </w:r>
      <w:r>
        <w:rPr>
          <w:spacing w:val="-1"/>
          <w:w w:val="101"/>
        </w:rPr>
        <w:t>w</w:t>
      </w:r>
      <w:r>
        <w:rPr>
          <w:spacing w:val="2"/>
          <w:w w:val="95"/>
        </w:rPr>
        <w:t>e</w:t>
      </w:r>
      <w:r>
        <w:rPr>
          <w:spacing w:val="-1"/>
          <w:w w:val="95"/>
        </w:rPr>
        <w:t>r</w:t>
      </w:r>
      <w:r>
        <w:rPr>
          <w:w w:val="95"/>
        </w:rPr>
        <w:t>e</w:t>
      </w:r>
      <w:r>
        <w:rPr>
          <w:spacing w:val="-12"/>
        </w:rPr>
        <w:t> </w:t>
      </w:r>
      <w:r>
        <w:rPr>
          <w:spacing w:val="-1"/>
          <w:w w:val="94"/>
        </w:rPr>
        <w:t>a</w:t>
      </w:r>
      <w:r>
        <w:rPr>
          <w:w w:val="101"/>
        </w:rPr>
        <w:t>w</w:t>
      </w:r>
      <w:r>
        <w:rPr>
          <w:spacing w:val="2"/>
          <w:w w:val="94"/>
        </w:rPr>
        <w:t>a</w:t>
      </w:r>
      <w:r>
        <w:rPr>
          <w:spacing w:val="-1"/>
          <w:w w:val="95"/>
        </w:rPr>
        <w:t>r</w:t>
      </w:r>
      <w:r>
        <w:rPr>
          <w:spacing w:val="2"/>
          <w:w w:val="102"/>
        </w:rPr>
        <w:t>d</w:t>
      </w:r>
      <w:r>
        <w:rPr>
          <w:spacing w:val="3"/>
          <w:w w:val="95"/>
        </w:rPr>
        <w:t>e</w:t>
      </w:r>
      <w:r>
        <w:rPr>
          <w:w w:val="102"/>
        </w:rPr>
        <w:t>d</w:t>
      </w:r>
      <w:r>
        <w:rPr>
          <w:spacing w:val="-12"/>
        </w:rPr>
        <w:t> </w:t>
      </w:r>
      <w:r>
        <w:rPr>
          <w:spacing w:val="-2"/>
          <w:w w:val="102"/>
        </w:rPr>
        <w:t>t</w:t>
      </w:r>
      <w:r>
        <w:rPr>
          <w:w w:val="85"/>
        </w:rPr>
        <w:t>o:</w:t>
      </w:r>
    </w:p>
    <w:p>
      <w:pPr>
        <w:pStyle w:val="BodyText"/>
        <w:spacing w:before="7"/>
        <w:rPr>
          <w:sz w:val="14"/>
        </w:rPr>
      </w:pPr>
    </w:p>
    <w:p>
      <w:pPr>
        <w:pStyle w:val="BodyText"/>
        <w:spacing w:line="247" w:lineRule="auto"/>
        <w:ind w:left="335" w:right="359" w:hanging="227"/>
      </w:pPr>
      <w:r>
        <w:rPr>
          <w:rFonts w:ascii="Century Gothic" w:hAnsi="Century Gothic"/>
          <w:b/>
          <w:w w:val="115"/>
        </w:rPr>
        <w:t>≥ </w:t>
      </w:r>
      <w:r>
        <w:rPr/>
        <w:t>Dr Jessica Whyte ($346,434) for ‘The invention of collateral damage and the changing moral economy of war’</w:t>
      </w:r>
    </w:p>
    <w:p>
      <w:pPr>
        <w:pStyle w:val="BodyText"/>
        <w:spacing w:line="244" w:lineRule="auto" w:before="57"/>
        <w:ind w:left="335" w:right="130" w:hanging="227"/>
      </w:pPr>
      <w:r>
        <w:rPr>
          <w:rFonts w:ascii="Century Gothic" w:hAnsi="Century Gothic"/>
          <w:b/>
          <w:w w:val="115"/>
        </w:rPr>
        <w:t>≥ </w:t>
      </w:r>
      <w:r>
        <w:rPr/>
        <w:t>Dr Sylvie Nozaradan ($373,536) for ‘How musical rhythms entrain the human brain’</w:t>
      </w:r>
    </w:p>
    <w:p>
      <w:pPr>
        <w:pStyle w:val="BodyText"/>
        <w:spacing w:line="247" w:lineRule="auto" w:before="58"/>
        <w:ind w:left="335" w:right="129" w:hanging="227"/>
      </w:pPr>
      <w:r>
        <w:rPr>
          <w:rFonts w:ascii="Century Gothic" w:hAnsi="Century Gothic"/>
          <w:b/>
          <w:w w:val="115"/>
        </w:rPr>
        <w:t>≥ </w:t>
      </w:r>
      <w:r>
        <w:rPr/>
        <w:t>Dr Kristine Crous ($379,500) for ‘How will Australian rainforest species cope with climate warming?’</w:t>
      </w:r>
    </w:p>
    <w:p>
      <w:pPr>
        <w:pStyle w:val="BodyText"/>
        <w:spacing w:before="2"/>
        <w:rPr>
          <w:sz w:val="14"/>
        </w:rPr>
      </w:pPr>
    </w:p>
    <w:p>
      <w:pPr>
        <w:pStyle w:val="BodyText"/>
        <w:spacing w:line="249" w:lineRule="auto"/>
        <w:ind w:left="108" w:right="151"/>
      </w:pPr>
      <w:r>
        <w:rPr/>
        <w:t>Western Sydney University’s success rate for ARC DECRAs is 13.6 per cent.</w:t>
      </w:r>
    </w:p>
    <w:p>
      <w:pPr>
        <w:pStyle w:val="BodyText"/>
        <w:spacing w:before="6"/>
        <w:rPr>
          <w:sz w:val="14"/>
        </w:rPr>
      </w:pPr>
    </w:p>
    <w:p>
      <w:pPr>
        <w:pStyle w:val="Heading8"/>
        <w:spacing w:line="249" w:lineRule="auto"/>
        <w:ind w:left="114" w:right="475" w:firstLine="6"/>
      </w:pPr>
      <w:r>
        <w:rPr>
          <w:color w:val="636466"/>
        </w:rPr>
        <w:t>National Health and Medical Research </w:t>
      </w:r>
      <w:r>
        <w:rPr>
          <w:color w:val="636466"/>
          <w:w w:val="95"/>
        </w:rPr>
        <w:t>Council grants</w:t>
      </w:r>
    </w:p>
    <w:p>
      <w:pPr>
        <w:pStyle w:val="BodyText"/>
        <w:spacing w:line="249" w:lineRule="auto" w:before="79"/>
        <w:ind w:left="108" w:right="55"/>
      </w:pPr>
      <w:r>
        <w:rPr>
          <w:w w:val="80"/>
        </w:rPr>
        <w:t>In </w:t>
      </w:r>
      <w:r>
        <w:rPr>
          <w:w w:val="84"/>
        </w:rPr>
        <w:t>2015, </w:t>
      </w:r>
      <w:r>
        <w:rPr>
          <w:w w:val="98"/>
        </w:rPr>
        <w:t>Western </w:t>
      </w:r>
      <w:r>
        <w:rPr>
          <w:w w:val="99"/>
        </w:rPr>
        <w:t>Sydney </w:t>
      </w:r>
      <w:r>
        <w:rPr>
          <w:w w:val="97"/>
        </w:rPr>
        <w:t>University </w:t>
      </w:r>
      <w:r>
        <w:rPr>
          <w:w w:val="96"/>
        </w:rPr>
        <w:t>was </w:t>
      </w:r>
      <w:r>
        <w:rPr/>
        <w:t>awarded four National Health and Medical Research Council (NHMRC) Project Grants, one NHMRC Career Development Fellowship and two NHMRC-ARC Dementia Research Development Fellowships, with a funding total of over $5.3 million.</w:t>
      </w:r>
    </w:p>
    <w:p>
      <w:pPr>
        <w:pStyle w:val="BodyText"/>
        <w:spacing w:before="6"/>
        <w:rPr>
          <w:sz w:val="14"/>
        </w:rPr>
      </w:pPr>
    </w:p>
    <w:p>
      <w:pPr>
        <w:pStyle w:val="Heading8"/>
        <w:ind w:left="121" w:right="129"/>
      </w:pPr>
      <w:r>
        <w:rPr>
          <w:color w:val="636466"/>
          <w:w w:val="95"/>
        </w:rPr>
        <w:t>NHMRC Project Grants</w:t>
      </w:r>
    </w:p>
    <w:p>
      <w:pPr>
        <w:pStyle w:val="BodyText"/>
        <w:spacing w:line="249" w:lineRule="auto" w:before="86"/>
        <w:ind w:left="108" w:right="119"/>
      </w:pPr>
      <w:r>
        <w:rPr/>
        <w:t>The NHMRC provides support to recipients to enable them to conduct research in areas of</w:t>
      </w:r>
    </w:p>
    <w:p>
      <w:pPr>
        <w:spacing w:after="0" w:line="249" w:lineRule="auto"/>
        <w:sectPr>
          <w:type w:val="continuous"/>
          <w:pgSz w:w="11910" w:h="16840"/>
          <w:pgMar w:top="1580" w:bottom="280" w:left="800" w:right="800"/>
          <w:cols w:num="3" w:equalWidth="0">
            <w:col w:w="3309" w:space="129"/>
            <w:col w:w="3316" w:space="123"/>
            <w:col w:w="3433"/>
          </w:cols>
        </w:sectPr>
      </w:pPr>
    </w:p>
    <w:p>
      <w:pPr>
        <w:pStyle w:val="BodyText"/>
        <w:spacing w:before="10"/>
        <w:rPr>
          <w:sz w:val="28"/>
        </w:rPr>
      </w:pPr>
    </w:p>
    <w:p>
      <w:pPr>
        <w:pStyle w:val="Heading2"/>
        <w:spacing w:line="240" w:lineRule="auto" w:before="27"/>
        <w:ind w:right="6642"/>
        <w:rPr>
          <w:b w:val="0"/>
        </w:rPr>
      </w:pPr>
      <w:r>
        <w:rPr>
          <w:b w:val="0"/>
        </w:rPr>
        <w:t>Research</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5"/>
        </w:rPr>
      </w:pPr>
    </w:p>
    <w:p>
      <w:pPr>
        <w:spacing w:after="0"/>
        <w:rPr>
          <w:rFonts w:ascii="Chronicle Text G1"/>
          <w:sz w:val="25"/>
        </w:rPr>
        <w:sectPr>
          <w:pgSz w:w="11910" w:h="16840"/>
          <w:pgMar w:header="494" w:footer="473" w:top="680" w:bottom="660" w:left="800" w:right="800"/>
        </w:sectPr>
      </w:pPr>
    </w:p>
    <w:p>
      <w:pPr>
        <w:pStyle w:val="BodyText"/>
        <w:spacing w:line="249" w:lineRule="auto" w:before="71"/>
        <w:ind w:left="107" w:right="8"/>
      </w:pPr>
      <w:r>
        <w:rPr/>
        <w:t>national importance. Funding is awarded to the</w:t>
      </w:r>
      <w:r>
        <w:rPr>
          <w:spacing w:val="-19"/>
        </w:rPr>
        <w:t> </w:t>
      </w:r>
      <w:r>
        <w:rPr/>
        <w:t>best</w:t>
      </w:r>
      <w:r>
        <w:rPr>
          <w:spacing w:val="-19"/>
        </w:rPr>
        <w:t> </w:t>
      </w:r>
      <w:r>
        <w:rPr/>
        <w:t>investigator-initiated</w:t>
      </w:r>
      <w:r>
        <w:rPr>
          <w:spacing w:val="-19"/>
        </w:rPr>
        <w:t> </w:t>
      </w:r>
      <w:r>
        <w:rPr/>
        <w:t>research</w:t>
      </w:r>
      <w:r>
        <w:rPr>
          <w:spacing w:val="-19"/>
        </w:rPr>
        <w:t> </w:t>
      </w:r>
      <w:r>
        <w:rPr/>
        <w:t>project plans</w:t>
      </w:r>
      <w:r>
        <w:rPr>
          <w:spacing w:val="-20"/>
        </w:rPr>
        <w:t> </w:t>
      </w:r>
      <w:r>
        <w:rPr/>
        <w:t>of</w:t>
      </w:r>
      <w:r>
        <w:rPr>
          <w:spacing w:val="-20"/>
        </w:rPr>
        <w:t> </w:t>
      </w:r>
      <w:r>
        <w:rPr/>
        <w:t>five</w:t>
      </w:r>
      <w:r>
        <w:rPr>
          <w:spacing w:val="-20"/>
        </w:rPr>
        <w:t> </w:t>
      </w:r>
      <w:r>
        <w:rPr/>
        <w:t>years</w:t>
      </w:r>
      <w:r>
        <w:rPr>
          <w:spacing w:val="-20"/>
        </w:rPr>
        <w:t> </w:t>
      </w:r>
      <w:r>
        <w:rPr/>
        <w:t>or</w:t>
      </w:r>
      <w:r>
        <w:rPr>
          <w:spacing w:val="-20"/>
        </w:rPr>
        <w:t> </w:t>
      </w:r>
      <w:r>
        <w:rPr>
          <w:spacing w:val="2"/>
        </w:rPr>
        <w:t>less,</w:t>
      </w:r>
      <w:r>
        <w:rPr>
          <w:spacing w:val="-20"/>
        </w:rPr>
        <w:t> </w:t>
      </w:r>
      <w:r>
        <w:rPr/>
        <w:t>in</w:t>
      </w:r>
      <w:r>
        <w:rPr>
          <w:spacing w:val="-20"/>
        </w:rPr>
        <w:t> </w:t>
      </w:r>
      <w:r>
        <w:rPr/>
        <w:t>any</w:t>
      </w:r>
      <w:r>
        <w:rPr>
          <w:spacing w:val="-20"/>
        </w:rPr>
        <w:t> </w:t>
      </w:r>
      <w:r>
        <w:rPr/>
        <w:t>area</w:t>
      </w:r>
      <w:r>
        <w:rPr>
          <w:spacing w:val="-20"/>
        </w:rPr>
        <w:t> </w:t>
      </w:r>
      <w:r>
        <w:rPr/>
        <w:t>relevant to</w:t>
      </w:r>
      <w:r>
        <w:rPr>
          <w:spacing w:val="-29"/>
        </w:rPr>
        <w:t> </w:t>
      </w:r>
      <w:r>
        <w:rPr/>
        <w:t>human</w:t>
      </w:r>
      <w:r>
        <w:rPr>
          <w:spacing w:val="-29"/>
        </w:rPr>
        <w:t> </w:t>
      </w:r>
      <w:r>
        <w:rPr/>
        <w:t>health.</w:t>
      </w:r>
    </w:p>
    <w:p>
      <w:pPr>
        <w:pStyle w:val="BodyText"/>
        <w:rPr>
          <w:sz w:val="14"/>
        </w:rPr>
      </w:pPr>
    </w:p>
    <w:p>
      <w:pPr>
        <w:pStyle w:val="BodyText"/>
        <w:spacing w:line="249" w:lineRule="auto"/>
        <w:ind w:left="107" w:right="-4"/>
      </w:pPr>
      <w:r>
        <w:rPr>
          <w:w w:val="80"/>
        </w:rPr>
        <w:t>In </w:t>
      </w:r>
      <w:r>
        <w:rPr>
          <w:w w:val="84"/>
        </w:rPr>
        <w:t>2015, </w:t>
      </w:r>
      <w:r>
        <w:rPr>
          <w:w w:val="99"/>
        </w:rPr>
        <w:t>NHMRC </w:t>
      </w:r>
      <w:r>
        <w:rPr>
          <w:w w:val="97"/>
        </w:rPr>
        <w:t>Project </w:t>
      </w:r>
      <w:r>
        <w:rPr>
          <w:w w:val="97"/>
        </w:rPr>
        <w:t>Grants </w:t>
      </w:r>
      <w:r>
        <w:rPr>
          <w:w w:val="97"/>
        </w:rPr>
        <w:t>were </w:t>
      </w:r>
      <w:r>
        <w:rPr>
          <w:w w:val="98"/>
        </w:rPr>
        <w:t>awarded </w:t>
      </w:r>
      <w:r>
        <w:rPr/>
        <w:t>to:</w:t>
      </w:r>
    </w:p>
    <w:p>
      <w:pPr>
        <w:pStyle w:val="BodyText"/>
        <w:spacing w:before="11"/>
        <w:rPr>
          <w:sz w:val="13"/>
        </w:rPr>
      </w:pPr>
    </w:p>
    <w:p>
      <w:pPr>
        <w:pStyle w:val="BodyText"/>
        <w:spacing w:line="247" w:lineRule="auto"/>
        <w:ind w:left="333" w:right="15" w:hanging="227"/>
      </w:pPr>
      <w:r>
        <w:rPr>
          <w:rFonts w:ascii="Century Gothic" w:hAnsi="Century Gothic"/>
          <w:b/>
          <w:w w:val="115"/>
        </w:rPr>
        <w:t>≥  </w:t>
      </w:r>
      <w:r>
        <w:rPr/>
        <w:t>Professor Vaughan Macefield ($850,627) for ‘Investigating proprioception and sensorimotor control in humans devoid of functional</w:t>
      </w:r>
      <w:r>
        <w:rPr>
          <w:spacing w:val="-12"/>
        </w:rPr>
        <w:t> </w:t>
      </w:r>
      <w:r>
        <w:rPr/>
        <w:t>muscle</w:t>
      </w:r>
      <w:r>
        <w:rPr>
          <w:spacing w:val="-12"/>
        </w:rPr>
        <w:t> </w:t>
      </w:r>
      <w:r>
        <w:rPr/>
        <w:t>spindles’</w:t>
      </w:r>
      <w:r>
        <w:rPr>
          <w:spacing w:val="-12"/>
        </w:rPr>
        <w:t> </w:t>
      </w:r>
      <w:r>
        <w:rPr/>
        <w:t>and</w:t>
      </w:r>
      <w:r>
        <w:rPr>
          <w:spacing w:val="-12"/>
        </w:rPr>
        <w:t> </w:t>
      </w:r>
      <w:r>
        <w:rPr/>
        <w:t>‘Functional identification of cortical and subcortical sites responsible for neurogenic hypertension</w:t>
      </w:r>
      <w:r>
        <w:rPr>
          <w:spacing w:val="-25"/>
        </w:rPr>
        <w:t> </w:t>
      </w:r>
      <w:r>
        <w:rPr/>
        <w:t>in</w:t>
      </w:r>
      <w:r>
        <w:rPr>
          <w:spacing w:val="-25"/>
        </w:rPr>
        <w:t> </w:t>
      </w:r>
      <w:r>
        <w:rPr/>
        <w:t>humans’</w:t>
      </w:r>
    </w:p>
    <w:p>
      <w:pPr>
        <w:pStyle w:val="BodyText"/>
        <w:spacing w:line="247" w:lineRule="auto" w:before="57"/>
        <w:ind w:left="333" w:right="-2" w:hanging="227"/>
      </w:pPr>
      <w:r>
        <w:rPr>
          <w:rFonts w:ascii="Century Gothic" w:hAnsi="Century Gothic"/>
          <w:b/>
          <w:w w:val="115"/>
        </w:rPr>
        <w:t>≥ </w:t>
      </w:r>
      <w:r>
        <w:rPr/>
        <w:t>Professor David Simmons ($2,197,279.95) for ‘The Treatment of Booking Gestational diabetes Mellitus study: The TOBOGM study’</w:t>
      </w:r>
    </w:p>
    <w:p>
      <w:pPr>
        <w:pStyle w:val="BodyText"/>
        <w:spacing w:line="247" w:lineRule="auto" w:before="57"/>
        <w:ind w:left="333" w:right="-4" w:hanging="227"/>
      </w:pPr>
      <w:r>
        <w:rPr>
          <w:rFonts w:ascii="Century Gothic" w:hAnsi="Century Gothic"/>
          <w:b/>
          <w:w w:val="115"/>
        </w:rPr>
        <w:t>≥ </w:t>
      </w:r>
      <w:r>
        <w:rPr/>
        <w:t>Dr Thomas </w:t>
      </w:r>
      <w:r>
        <w:rPr>
          <w:spacing w:val="2"/>
        </w:rPr>
        <w:t>Astell-Burt </w:t>
      </w:r>
      <w:r>
        <w:rPr/>
        <w:t>($704,405.20) for ‘What types of local built environment synergise with or antagonise the benefits of</w:t>
      </w:r>
      <w:r>
        <w:rPr>
          <w:spacing w:val="-16"/>
        </w:rPr>
        <w:t> </w:t>
      </w:r>
      <w:r>
        <w:rPr/>
        <w:t>clinical</w:t>
      </w:r>
      <w:r>
        <w:rPr>
          <w:spacing w:val="-16"/>
        </w:rPr>
        <w:t> </w:t>
      </w:r>
      <w:r>
        <w:rPr/>
        <w:t>management</w:t>
      </w:r>
      <w:r>
        <w:rPr>
          <w:spacing w:val="-16"/>
        </w:rPr>
        <w:t> </w:t>
      </w:r>
      <w:r>
        <w:rPr/>
        <w:t>for</w:t>
      </w:r>
      <w:r>
        <w:rPr>
          <w:spacing w:val="-16"/>
        </w:rPr>
        <w:t> </w:t>
      </w:r>
      <w:r>
        <w:rPr/>
        <w:t>the</w:t>
      </w:r>
      <w:r>
        <w:rPr>
          <w:spacing w:val="-16"/>
        </w:rPr>
        <w:t> </w:t>
      </w:r>
      <w:r>
        <w:rPr/>
        <w:t>prevention of cardiovascular events among people with</w:t>
      </w:r>
      <w:r>
        <w:rPr>
          <w:spacing w:val="-16"/>
        </w:rPr>
        <w:t> </w:t>
      </w:r>
      <w:r>
        <w:rPr/>
        <w:t>type</w:t>
      </w:r>
      <w:r>
        <w:rPr>
          <w:spacing w:val="-16"/>
        </w:rPr>
        <w:t> </w:t>
      </w:r>
      <w:r>
        <w:rPr/>
        <w:t>2</w:t>
      </w:r>
      <w:r>
        <w:rPr>
          <w:spacing w:val="-16"/>
        </w:rPr>
        <w:t> </w:t>
      </w:r>
      <w:r>
        <w:rPr/>
        <w:t>diabetes</w:t>
      </w:r>
      <w:r>
        <w:rPr>
          <w:spacing w:val="-16"/>
        </w:rPr>
        <w:t> </w:t>
      </w:r>
      <w:r>
        <w:rPr/>
        <w:t>mellitus?</w:t>
      </w:r>
      <w:r>
        <w:rPr>
          <w:spacing w:val="-16"/>
        </w:rPr>
        <w:t> </w:t>
      </w:r>
      <w:r>
        <w:rPr/>
        <w:t>Longitudinal analysis</w:t>
      </w:r>
      <w:r>
        <w:rPr>
          <w:spacing w:val="-21"/>
        </w:rPr>
        <w:t> </w:t>
      </w:r>
      <w:r>
        <w:rPr/>
        <w:t>of</w:t>
      </w:r>
      <w:r>
        <w:rPr>
          <w:spacing w:val="-21"/>
        </w:rPr>
        <w:t> </w:t>
      </w:r>
      <w:r>
        <w:rPr/>
        <w:t>a</w:t>
      </w:r>
      <w:r>
        <w:rPr>
          <w:spacing w:val="-21"/>
        </w:rPr>
        <w:t> </w:t>
      </w:r>
      <w:r>
        <w:rPr/>
        <w:t>cohort</w:t>
      </w:r>
      <w:r>
        <w:rPr>
          <w:spacing w:val="-21"/>
        </w:rPr>
        <w:t> </w:t>
      </w:r>
      <w:r>
        <w:rPr/>
        <w:t>of</w:t>
      </w:r>
      <w:r>
        <w:rPr>
          <w:spacing w:val="-21"/>
        </w:rPr>
        <w:t> </w:t>
      </w:r>
      <w:r>
        <w:rPr/>
        <w:t>20,765</w:t>
      </w:r>
      <w:r>
        <w:rPr>
          <w:spacing w:val="-21"/>
        </w:rPr>
        <w:t> </w:t>
      </w:r>
      <w:r>
        <w:rPr/>
        <w:t>Australians’.</w:t>
      </w:r>
    </w:p>
    <w:p>
      <w:pPr>
        <w:pStyle w:val="BodyText"/>
        <w:spacing w:before="2"/>
        <w:rPr>
          <w:sz w:val="14"/>
        </w:rPr>
      </w:pPr>
    </w:p>
    <w:p>
      <w:pPr>
        <w:pStyle w:val="BodyText"/>
        <w:spacing w:line="249" w:lineRule="auto"/>
        <w:ind w:left="107" w:right="37"/>
      </w:pPr>
      <w:r>
        <w:rPr/>
        <w:t>Western Sydney University’s success rate for NHMRC Project Grants is 12.1 per cent. The national success rate is 13.7 per cent.</w:t>
      </w:r>
    </w:p>
    <w:p>
      <w:pPr>
        <w:pStyle w:val="BodyText"/>
        <w:spacing w:before="6"/>
        <w:rPr>
          <w:sz w:val="14"/>
        </w:rPr>
      </w:pPr>
    </w:p>
    <w:p>
      <w:pPr>
        <w:pStyle w:val="Heading8"/>
        <w:ind w:left="119" w:right="78"/>
      </w:pPr>
      <w:r>
        <w:rPr>
          <w:color w:val="636466"/>
          <w:w w:val="95"/>
        </w:rPr>
        <w:t>NHMRC Career Development Fellowship</w:t>
      </w:r>
    </w:p>
    <w:p>
      <w:pPr>
        <w:pStyle w:val="BodyText"/>
        <w:spacing w:line="249" w:lineRule="auto" w:before="86"/>
        <w:ind w:left="107" w:right="-11"/>
      </w:pPr>
      <w:r>
        <w:rPr/>
        <w:t>The Career Development Fellowship is awarded to researchers of outstanding ability who wish to pursue research and make it a component</w:t>
      </w:r>
      <w:r>
        <w:rPr>
          <w:spacing w:val="-20"/>
        </w:rPr>
        <w:t> </w:t>
      </w:r>
      <w:r>
        <w:rPr/>
        <w:t>of</w:t>
      </w:r>
      <w:r>
        <w:rPr>
          <w:spacing w:val="-20"/>
        </w:rPr>
        <w:t> </w:t>
      </w:r>
      <w:r>
        <w:rPr/>
        <w:t>their</w:t>
      </w:r>
      <w:r>
        <w:rPr>
          <w:spacing w:val="-20"/>
        </w:rPr>
        <w:t> </w:t>
      </w:r>
      <w:r>
        <w:rPr/>
        <w:t>career.</w:t>
      </w:r>
      <w:r>
        <w:rPr>
          <w:spacing w:val="-20"/>
        </w:rPr>
        <w:t> </w:t>
      </w:r>
      <w:r>
        <w:rPr/>
        <w:t>The</w:t>
      </w:r>
      <w:r>
        <w:rPr>
          <w:spacing w:val="-20"/>
        </w:rPr>
        <w:t> </w:t>
      </w:r>
      <w:r>
        <w:rPr/>
        <w:t>scheme</w:t>
      </w:r>
      <w:r>
        <w:rPr>
          <w:spacing w:val="-20"/>
        </w:rPr>
        <w:t> </w:t>
      </w:r>
      <w:r>
        <w:rPr/>
        <w:t>fosters career development at the postdoctoral level and provides researchers with an opportunity to</w:t>
      </w:r>
      <w:r>
        <w:rPr>
          <w:spacing w:val="-16"/>
        </w:rPr>
        <w:t> </w:t>
      </w:r>
      <w:r>
        <w:rPr/>
        <w:t>advance</w:t>
      </w:r>
      <w:r>
        <w:rPr>
          <w:spacing w:val="-16"/>
        </w:rPr>
        <w:t> </w:t>
      </w:r>
      <w:r>
        <w:rPr/>
        <w:t>their</w:t>
      </w:r>
      <w:r>
        <w:rPr>
          <w:spacing w:val="-16"/>
        </w:rPr>
        <w:t> </w:t>
      </w:r>
      <w:r>
        <w:rPr/>
        <w:t>training</w:t>
      </w:r>
      <w:r>
        <w:rPr>
          <w:spacing w:val="-16"/>
        </w:rPr>
        <w:t> </w:t>
      </w:r>
      <w:r>
        <w:rPr/>
        <w:t>in</w:t>
      </w:r>
      <w:r>
        <w:rPr>
          <w:spacing w:val="-16"/>
        </w:rPr>
        <w:t> </w:t>
      </w:r>
      <w:r>
        <w:rPr/>
        <w:t>health</w:t>
      </w:r>
      <w:r>
        <w:rPr>
          <w:spacing w:val="-16"/>
        </w:rPr>
        <w:t> </w:t>
      </w:r>
      <w:r>
        <w:rPr/>
        <w:t>and</w:t>
      </w:r>
      <w:r>
        <w:rPr>
          <w:spacing w:val="-16"/>
        </w:rPr>
        <w:t> </w:t>
      </w:r>
      <w:r>
        <w:rPr/>
        <w:t>medical research</w:t>
      </w:r>
      <w:r>
        <w:rPr>
          <w:spacing w:val="-22"/>
        </w:rPr>
        <w:t> </w:t>
      </w:r>
      <w:r>
        <w:rPr/>
        <w:t>either</w:t>
      </w:r>
      <w:r>
        <w:rPr>
          <w:spacing w:val="-22"/>
        </w:rPr>
        <w:t> </w:t>
      </w:r>
      <w:r>
        <w:rPr/>
        <w:t>in</w:t>
      </w:r>
      <w:r>
        <w:rPr>
          <w:spacing w:val="-22"/>
        </w:rPr>
        <w:t> </w:t>
      </w:r>
      <w:r>
        <w:rPr/>
        <w:t>Australia</w:t>
      </w:r>
      <w:r>
        <w:rPr>
          <w:spacing w:val="-22"/>
        </w:rPr>
        <w:t> </w:t>
      </w:r>
      <w:r>
        <w:rPr/>
        <w:t>or</w:t>
      </w:r>
      <w:r>
        <w:rPr>
          <w:spacing w:val="-22"/>
        </w:rPr>
        <w:t> </w:t>
      </w:r>
      <w:r>
        <w:rPr/>
        <w:t>overseas.</w:t>
      </w:r>
    </w:p>
    <w:p>
      <w:pPr>
        <w:pStyle w:val="BodyText"/>
        <w:rPr>
          <w:sz w:val="14"/>
        </w:rPr>
      </w:pPr>
    </w:p>
    <w:p>
      <w:pPr>
        <w:pStyle w:val="BodyText"/>
        <w:spacing w:line="249" w:lineRule="auto"/>
        <w:ind w:left="107" w:right="62"/>
      </w:pPr>
      <w:r>
        <w:rPr>
          <w:w w:val="80"/>
        </w:rPr>
        <w:t>In </w:t>
      </w:r>
      <w:r>
        <w:rPr>
          <w:w w:val="84"/>
        </w:rPr>
        <w:t>2015, </w:t>
      </w:r>
      <w:r>
        <w:rPr>
          <w:w w:val="95"/>
        </w:rPr>
        <w:t>an </w:t>
      </w:r>
      <w:r>
        <w:rPr>
          <w:w w:val="99"/>
        </w:rPr>
        <w:t>NHMRC </w:t>
      </w:r>
      <w:r>
        <w:rPr>
          <w:w w:val="96"/>
        </w:rPr>
        <w:t>Career </w:t>
      </w:r>
      <w:r>
        <w:rPr>
          <w:w w:val="98"/>
        </w:rPr>
        <w:t>Development </w:t>
      </w:r>
      <w:r>
        <w:rPr/>
        <w:t>Fellowship (R.D. Wright Biomedical) was </w:t>
      </w:r>
      <w:r>
        <w:rPr>
          <w:w w:val="98"/>
        </w:rPr>
        <w:t>awarded </w:t>
      </w:r>
      <w:r>
        <w:rPr>
          <w:w w:val="101"/>
        </w:rPr>
        <w:t>to </w:t>
      </w:r>
      <w:r>
        <w:rPr>
          <w:w w:val="96"/>
        </w:rPr>
        <w:t>Dr </w:t>
      </w:r>
      <w:r>
        <w:rPr>
          <w:w w:val="97"/>
        </w:rPr>
        <w:t>Siobhan </w:t>
      </w:r>
      <w:r>
        <w:rPr>
          <w:w w:val="97"/>
        </w:rPr>
        <w:t>Schabrun </w:t>
      </w:r>
      <w:r>
        <w:rPr>
          <w:w w:val="88"/>
        </w:rPr>
        <w:t>($419,180) </w:t>
      </w:r>
      <w:r>
        <w:rPr/>
        <w:t>for ‘An integrated, multi-system approach to understanding persistent pain’.</w:t>
      </w:r>
    </w:p>
    <w:p>
      <w:pPr>
        <w:pStyle w:val="BodyText"/>
        <w:spacing w:before="6"/>
      </w:pPr>
    </w:p>
    <w:p>
      <w:pPr>
        <w:pStyle w:val="BodyText"/>
        <w:spacing w:line="249" w:lineRule="auto"/>
        <w:ind w:left="107" w:right="136"/>
      </w:pPr>
      <w:r>
        <w:rPr>
          <w:w w:val="80"/>
        </w:rPr>
        <w:t>In </w:t>
      </w:r>
      <w:r>
        <w:rPr>
          <w:w w:val="98"/>
        </w:rPr>
        <w:t>November </w:t>
      </w:r>
      <w:r>
        <w:rPr>
          <w:w w:val="84"/>
        </w:rPr>
        <w:t>2015, </w:t>
      </w:r>
      <w:r>
        <w:rPr>
          <w:w w:val="98"/>
        </w:rPr>
        <w:t>Western </w:t>
      </w:r>
      <w:r>
        <w:rPr>
          <w:w w:val="99"/>
        </w:rPr>
        <w:t>Sydney </w:t>
      </w:r>
      <w:r>
        <w:rPr/>
        <w:t>University’s success rate for the NHMRC Career Development Fellowship was 50 per cent, which places us above the national </w:t>
      </w:r>
      <w:r>
        <w:rPr>
          <w:w w:val="97"/>
        </w:rPr>
        <w:t>success </w:t>
      </w:r>
      <w:r>
        <w:rPr>
          <w:w w:val="97"/>
        </w:rPr>
        <w:t>rate </w:t>
      </w:r>
      <w:r>
        <w:rPr>
          <w:w w:val="99"/>
        </w:rPr>
        <w:t>of </w:t>
      </w:r>
      <w:r>
        <w:rPr>
          <w:w w:val="72"/>
        </w:rPr>
        <w:t>11.0 </w:t>
      </w:r>
      <w:r>
        <w:rPr>
          <w:w w:val="97"/>
        </w:rPr>
        <w:t>per </w:t>
      </w:r>
      <w:r>
        <w:rPr>
          <w:w w:val="92"/>
        </w:rPr>
        <w:t>cent.</w:t>
      </w:r>
    </w:p>
    <w:p>
      <w:pPr>
        <w:pStyle w:val="Heading8"/>
        <w:spacing w:line="249" w:lineRule="auto" w:before="77"/>
        <w:ind w:left="119" w:right="31"/>
      </w:pPr>
      <w:r>
        <w:rPr>
          <w:b w:val="0"/>
        </w:rPr>
        <w:br w:type="column"/>
      </w:r>
      <w:r>
        <w:rPr>
          <w:color w:val="636466"/>
        </w:rPr>
        <w:t>NHMRC-ARC Dementia Research </w:t>
      </w:r>
      <w:r>
        <w:rPr>
          <w:color w:val="636466"/>
          <w:w w:val="95"/>
        </w:rPr>
        <w:t>Development Fellowships Scheme</w:t>
      </w:r>
    </w:p>
    <w:p>
      <w:pPr>
        <w:pStyle w:val="BodyText"/>
        <w:spacing w:line="249" w:lineRule="auto" w:before="79"/>
        <w:ind w:left="107" w:right="86"/>
      </w:pPr>
      <w:r>
        <w:rPr/>
        <w:t>The joint NHMRC-ARC Dementia Research Development Fellowships Scheme provides opportunities for postdoctoral researchers to</w:t>
      </w:r>
      <w:r>
        <w:rPr>
          <w:spacing w:val="-19"/>
        </w:rPr>
        <w:t> </w:t>
      </w:r>
      <w:r>
        <w:rPr/>
        <w:t>undertake</w:t>
      </w:r>
      <w:r>
        <w:rPr>
          <w:spacing w:val="-19"/>
        </w:rPr>
        <w:t> </w:t>
      </w:r>
      <w:r>
        <w:rPr/>
        <w:t>advanced</w:t>
      </w:r>
      <w:r>
        <w:rPr>
          <w:spacing w:val="-19"/>
        </w:rPr>
        <w:t> </w:t>
      </w:r>
      <w:r>
        <w:rPr/>
        <w:t>training</w:t>
      </w:r>
      <w:r>
        <w:rPr>
          <w:spacing w:val="-19"/>
        </w:rPr>
        <w:t> </w:t>
      </w:r>
      <w:r>
        <w:rPr/>
        <w:t>in</w:t>
      </w:r>
      <w:r>
        <w:rPr>
          <w:spacing w:val="-19"/>
        </w:rPr>
        <w:t> </w:t>
      </w:r>
      <w:r>
        <w:rPr/>
        <w:t>the</w:t>
      </w:r>
      <w:r>
        <w:rPr>
          <w:spacing w:val="-19"/>
        </w:rPr>
        <w:t> </w:t>
      </w:r>
      <w:r>
        <w:rPr/>
        <w:t>health, medical, fundamental sciences, social, economic</w:t>
      </w:r>
      <w:r>
        <w:rPr>
          <w:spacing w:val="-16"/>
        </w:rPr>
        <w:t> </w:t>
      </w:r>
      <w:r>
        <w:rPr/>
        <w:t>and</w:t>
      </w:r>
      <w:r>
        <w:rPr>
          <w:spacing w:val="-16"/>
        </w:rPr>
        <w:t> </w:t>
      </w:r>
      <w:r>
        <w:rPr/>
        <w:t>cultural</w:t>
      </w:r>
      <w:r>
        <w:rPr>
          <w:spacing w:val="-16"/>
        </w:rPr>
        <w:t> </w:t>
      </w:r>
      <w:r>
        <w:rPr/>
        <w:t>fields</w:t>
      </w:r>
      <w:r>
        <w:rPr>
          <w:spacing w:val="-16"/>
        </w:rPr>
        <w:t> </w:t>
      </w:r>
      <w:r>
        <w:rPr/>
        <w:t>relevant</w:t>
      </w:r>
      <w:r>
        <w:rPr>
          <w:spacing w:val="-16"/>
        </w:rPr>
        <w:t> </w:t>
      </w:r>
      <w:r>
        <w:rPr/>
        <w:t>to</w:t>
      </w:r>
    </w:p>
    <w:p>
      <w:pPr>
        <w:pStyle w:val="BodyText"/>
        <w:spacing w:line="249" w:lineRule="auto"/>
        <w:ind w:left="107" w:right="31"/>
      </w:pPr>
      <w:r>
        <w:rPr/>
        <w:t>dementia,</w:t>
      </w:r>
      <w:r>
        <w:rPr>
          <w:spacing w:val="-21"/>
        </w:rPr>
        <w:t> </w:t>
      </w:r>
      <w:r>
        <w:rPr/>
        <w:t>either</w:t>
      </w:r>
      <w:r>
        <w:rPr>
          <w:spacing w:val="-21"/>
        </w:rPr>
        <w:t> </w:t>
      </w:r>
      <w:r>
        <w:rPr/>
        <w:t>in</w:t>
      </w:r>
      <w:r>
        <w:rPr>
          <w:spacing w:val="-21"/>
        </w:rPr>
        <w:t> </w:t>
      </w:r>
      <w:r>
        <w:rPr/>
        <w:t>Australia</w:t>
      </w:r>
      <w:r>
        <w:rPr>
          <w:spacing w:val="-21"/>
        </w:rPr>
        <w:t> </w:t>
      </w:r>
      <w:r>
        <w:rPr/>
        <w:t>or</w:t>
      </w:r>
      <w:r>
        <w:rPr>
          <w:spacing w:val="-21"/>
        </w:rPr>
        <w:t> </w:t>
      </w:r>
      <w:r>
        <w:rPr/>
        <w:t>overseas,</w:t>
      </w:r>
      <w:r>
        <w:rPr>
          <w:spacing w:val="-21"/>
        </w:rPr>
        <w:t> </w:t>
      </w:r>
      <w:r>
        <w:rPr/>
        <w:t>over four</w:t>
      </w:r>
      <w:r>
        <w:rPr>
          <w:spacing w:val="-35"/>
        </w:rPr>
        <w:t> </w:t>
      </w:r>
      <w:r>
        <w:rPr/>
        <w:t>years.</w:t>
      </w:r>
    </w:p>
    <w:p>
      <w:pPr>
        <w:pStyle w:val="BodyText"/>
        <w:rPr>
          <w:sz w:val="14"/>
        </w:rPr>
      </w:pPr>
    </w:p>
    <w:p>
      <w:pPr>
        <w:pStyle w:val="BodyText"/>
        <w:spacing w:line="249" w:lineRule="auto"/>
        <w:ind w:left="107" w:right="88"/>
      </w:pPr>
      <w:r>
        <w:rPr>
          <w:w w:val="80"/>
        </w:rPr>
        <w:t>In </w:t>
      </w:r>
      <w:r>
        <w:rPr>
          <w:w w:val="84"/>
        </w:rPr>
        <w:t>2015, </w:t>
      </w:r>
      <w:r>
        <w:rPr>
          <w:w w:val="101"/>
        </w:rPr>
        <w:t>NHMRC-ARC </w:t>
      </w:r>
      <w:r>
        <w:rPr>
          <w:w w:val="97"/>
        </w:rPr>
        <w:t>Dementia </w:t>
      </w:r>
      <w:r>
        <w:rPr>
          <w:w w:val="96"/>
        </w:rPr>
        <w:t>Research </w:t>
      </w:r>
      <w:r>
        <w:rPr/>
        <w:t>Development Fellowships were awarded to:</w:t>
      </w:r>
    </w:p>
    <w:p>
      <w:pPr>
        <w:pStyle w:val="BodyText"/>
        <w:spacing w:before="11"/>
        <w:rPr>
          <w:sz w:val="13"/>
        </w:rPr>
      </w:pPr>
    </w:p>
    <w:p>
      <w:pPr>
        <w:pStyle w:val="BodyText"/>
        <w:spacing w:line="244" w:lineRule="auto"/>
        <w:ind w:left="333" w:right="270" w:hanging="227"/>
      </w:pPr>
      <w:r>
        <w:rPr>
          <w:rFonts w:ascii="Century Gothic" w:hAnsi="Century Gothic"/>
          <w:b/>
          <w:w w:val="145"/>
        </w:rPr>
        <w:t>≥ </w:t>
      </w:r>
      <w:r>
        <w:rPr>
          <w:w w:val="96"/>
        </w:rPr>
        <w:t>Dr </w:t>
      </w:r>
      <w:r>
        <w:rPr>
          <w:w w:val="96"/>
        </w:rPr>
        <w:t>Sandra </w:t>
      </w:r>
      <w:r>
        <w:rPr>
          <w:w w:val="96"/>
        </w:rPr>
        <w:t>Maxine </w:t>
      </w:r>
      <w:r>
        <w:rPr>
          <w:w w:val="97"/>
        </w:rPr>
        <w:t>Garrido </w:t>
      </w:r>
      <w:r>
        <w:rPr>
          <w:w w:val="93"/>
        </w:rPr>
        <w:t>($601,540) </w:t>
      </w:r>
      <w:r>
        <w:rPr/>
        <w:t>for ‘Mood regulation using music: A</w:t>
      </w:r>
    </w:p>
    <w:p>
      <w:pPr>
        <w:pStyle w:val="BodyText"/>
        <w:spacing w:line="249" w:lineRule="auto" w:before="3"/>
        <w:ind w:left="333"/>
      </w:pPr>
      <w:r>
        <w:rPr/>
        <w:t>community health strategy for improving quality</w:t>
      </w:r>
      <w:r>
        <w:rPr>
          <w:spacing w:val="-14"/>
        </w:rPr>
        <w:t> </w:t>
      </w:r>
      <w:r>
        <w:rPr/>
        <w:t>of</w:t>
      </w:r>
      <w:r>
        <w:rPr>
          <w:spacing w:val="-14"/>
        </w:rPr>
        <w:t> </w:t>
      </w:r>
      <w:r>
        <w:rPr/>
        <w:t>life</w:t>
      </w:r>
      <w:r>
        <w:rPr>
          <w:spacing w:val="-14"/>
        </w:rPr>
        <w:t> </w:t>
      </w:r>
      <w:r>
        <w:rPr/>
        <w:t>in</w:t>
      </w:r>
      <w:r>
        <w:rPr>
          <w:spacing w:val="-14"/>
        </w:rPr>
        <w:t> </w:t>
      </w:r>
      <w:r>
        <w:rPr/>
        <w:t>people</w:t>
      </w:r>
      <w:r>
        <w:rPr>
          <w:spacing w:val="-14"/>
        </w:rPr>
        <w:t> </w:t>
      </w:r>
      <w:r>
        <w:rPr/>
        <w:t>with</w:t>
      </w:r>
      <w:r>
        <w:rPr>
          <w:spacing w:val="-14"/>
        </w:rPr>
        <w:t> </w:t>
      </w:r>
      <w:r>
        <w:rPr/>
        <w:t>mild</w:t>
      </w:r>
      <w:r>
        <w:rPr>
          <w:spacing w:val="-14"/>
        </w:rPr>
        <w:t> </w:t>
      </w:r>
      <w:r>
        <w:rPr/>
        <w:t>dementia’</w:t>
      </w:r>
    </w:p>
    <w:p>
      <w:pPr>
        <w:pStyle w:val="BodyText"/>
        <w:spacing w:line="247" w:lineRule="auto" w:before="55"/>
        <w:ind w:left="333" w:right="96" w:hanging="227"/>
      </w:pPr>
      <w:r>
        <w:rPr>
          <w:rFonts w:ascii="Century Gothic" w:hAnsi="Century Gothic"/>
          <w:b/>
          <w:w w:val="115"/>
        </w:rPr>
        <w:t>≥ </w:t>
      </w:r>
      <w:r>
        <w:rPr/>
        <w:t>Dr Genevieve Steiner ($574,644) for ‘An investigation into the neural substrates of cognitive deficits in mild cognitive</w:t>
      </w:r>
    </w:p>
    <w:p>
      <w:pPr>
        <w:pStyle w:val="BodyText"/>
        <w:spacing w:line="249" w:lineRule="auto" w:before="1"/>
        <w:ind w:left="333"/>
      </w:pPr>
      <w:r>
        <w:rPr/>
        <w:t>impairment,</w:t>
      </w:r>
      <w:r>
        <w:rPr>
          <w:spacing w:val="-19"/>
        </w:rPr>
        <w:t> </w:t>
      </w:r>
      <w:r>
        <w:rPr/>
        <w:t>and</w:t>
      </w:r>
      <w:r>
        <w:rPr>
          <w:spacing w:val="-19"/>
        </w:rPr>
        <w:t> </w:t>
      </w:r>
      <w:r>
        <w:rPr/>
        <w:t>the</w:t>
      </w:r>
      <w:r>
        <w:rPr>
          <w:spacing w:val="-19"/>
        </w:rPr>
        <w:t> </w:t>
      </w:r>
      <w:r>
        <w:rPr/>
        <w:t>mechanisms</w:t>
      </w:r>
      <w:r>
        <w:rPr>
          <w:spacing w:val="-19"/>
        </w:rPr>
        <w:t> </w:t>
      </w:r>
      <w:r>
        <w:rPr/>
        <w:t>of</w:t>
      </w:r>
      <w:r>
        <w:rPr>
          <w:spacing w:val="-19"/>
        </w:rPr>
        <w:t> </w:t>
      </w:r>
      <w:r>
        <w:rPr/>
        <w:t>action of</w:t>
      </w:r>
      <w:r>
        <w:rPr>
          <w:spacing w:val="-25"/>
        </w:rPr>
        <w:t> </w:t>
      </w:r>
      <w:r>
        <w:rPr/>
        <w:t>a</w:t>
      </w:r>
      <w:r>
        <w:rPr>
          <w:spacing w:val="-25"/>
        </w:rPr>
        <w:t> </w:t>
      </w:r>
      <w:r>
        <w:rPr/>
        <w:t>novel</w:t>
      </w:r>
      <w:r>
        <w:rPr>
          <w:spacing w:val="-25"/>
        </w:rPr>
        <w:t> </w:t>
      </w:r>
      <w:r>
        <w:rPr/>
        <w:t>treatment’.</w:t>
      </w:r>
    </w:p>
    <w:p>
      <w:pPr>
        <w:pStyle w:val="BodyText"/>
        <w:rPr>
          <w:sz w:val="14"/>
        </w:rPr>
      </w:pPr>
    </w:p>
    <w:p>
      <w:pPr>
        <w:pStyle w:val="BodyText"/>
        <w:spacing w:line="249" w:lineRule="auto"/>
        <w:ind w:left="107" w:right="260"/>
      </w:pPr>
      <w:r>
        <w:rPr/>
        <w:t>Western Sydney University’s success rate for the NHMRC-ARC Dementia Research Development Fellowships Scheme is</w:t>
      </w:r>
    </w:p>
    <w:p>
      <w:pPr>
        <w:pStyle w:val="ListParagraph"/>
        <w:numPr>
          <w:ilvl w:val="1"/>
          <w:numId w:val="1"/>
        </w:numPr>
        <w:tabs>
          <w:tab w:pos="445" w:val="left" w:leader="none"/>
        </w:tabs>
        <w:spacing w:line="249" w:lineRule="auto" w:before="0" w:after="0"/>
        <w:ind w:left="107" w:right="403" w:firstLine="0"/>
        <w:jc w:val="left"/>
        <w:rPr>
          <w:sz w:val="16"/>
        </w:rPr>
      </w:pPr>
      <w:r>
        <w:rPr>
          <w:sz w:val="16"/>
        </w:rPr>
        <w:t>per</w:t>
      </w:r>
      <w:r>
        <w:rPr>
          <w:spacing w:val="-17"/>
          <w:sz w:val="16"/>
        </w:rPr>
        <w:t> </w:t>
      </w:r>
      <w:r>
        <w:rPr>
          <w:sz w:val="16"/>
        </w:rPr>
        <w:t>cent,</w:t>
      </w:r>
      <w:r>
        <w:rPr>
          <w:spacing w:val="-17"/>
          <w:sz w:val="16"/>
        </w:rPr>
        <w:t> </w:t>
      </w:r>
      <w:r>
        <w:rPr>
          <w:sz w:val="16"/>
        </w:rPr>
        <w:t>which</w:t>
      </w:r>
      <w:r>
        <w:rPr>
          <w:spacing w:val="-17"/>
          <w:sz w:val="16"/>
        </w:rPr>
        <w:t> </w:t>
      </w:r>
      <w:r>
        <w:rPr>
          <w:sz w:val="16"/>
        </w:rPr>
        <w:t>places</w:t>
      </w:r>
      <w:r>
        <w:rPr>
          <w:spacing w:val="-17"/>
          <w:sz w:val="16"/>
        </w:rPr>
        <w:t> </w:t>
      </w:r>
      <w:r>
        <w:rPr>
          <w:sz w:val="16"/>
        </w:rPr>
        <w:t>us</w:t>
      </w:r>
      <w:r>
        <w:rPr>
          <w:spacing w:val="-17"/>
          <w:sz w:val="16"/>
        </w:rPr>
        <w:t> </w:t>
      </w:r>
      <w:r>
        <w:rPr>
          <w:sz w:val="16"/>
        </w:rPr>
        <w:t>above</w:t>
      </w:r>
      <w:r>
        <w:rPr>
          <w:spacing w:val="-17"/>
          <w:sz w:val="16"/>
        </w:rPr>
        <w:t> </w:t>
      </w:r>
      <w:r>
        <w:rPr>
          <w:sz w:val="16"/>
        </w:rPr>
        <w:t>the national</w:t>
      </w:r>
      <w:r>
        <w:rPr>
          <w:spacing w:val="-29"/>
          <w:sz w:val="16"/>
        </w:rPr>
        <w:t> </w:t>
      </w:r>
      <w:r>
        <w:rPr>
          <w:sz w:val="16"/>
        </w:rPr>
        <w:t>success</w:t>
      </w:r>
      <w:r>
        <w:rPr>
          <w:spacing w:val="-29"/>
          <w:sz w:val="16"/>
        </w:rPr>
        <w:t> </w:t>
      </w:r>
      <w:r>
        <w:rPr>
          <w:sz w:val="16"/>
        </w:rPr>
        <w:t>rate</w:t>
      </w:r>
      <w:r>
        <w:rPr>
          <w:spacing w:val="-29"/>
          <w:sz w:val="16"/>
        </w:rPr>
        <w:t> </w:t>
      </w:r>
      <w:r>
        <w:rPr>
          <w:sz w:val="16"/>
        </w:rPr>
        <w:t>of</w:t>
      </w:r>
      <w:r>
        <w:rPr>
          <w:spacing w:val="-29"/>
          <w:sz w:val="16"/>
        </w:rPr>
        <w:t> </w:t>
      </w:r>
      <w:r>
        <w:rPr>
          <w:sz w:val="16"/>
        </w:rPr>
        <w:t>55.1</w:t>
      </w:r>
      <w:r>
        <w:rPr>
          <w:spacing w:val="-29"/>
          <w:sz w:val="16"/>
        </w:rPr>
        <w:t> </w:t>
      </w:r>
      <w:r>
        <w:rPr>
          <w:sz w:val="16"/>
        </w:rPr>
        <w:t>per</w:t>
      </w:r>
      <w:r>
        <w:rPr>
          <w:spacing w:val="-29"/>
          <w:sz w:val="16"/>
        </w:rPr>
        <w:t> </w:t>
      </w:r>
      <w:r>
        <w:rPr>
          <w:sz w:val="16"/>
        </w:rPr>
        <w:t>cent.</w:t>
      </w:r>
    </w:p>
    <w:p>
      <w:pPr>
        <w:pStyle w:val="BodyText"/>
        <w:spacing w:before="7"/>
        <w:rPr>
          <w:sz w:val="21"/>
        </w:rPr>
      </w:pPr>
    </w:p>
    <w:p>
      <w:pPr>
        <w:pStyle w:val="Heading8"/>
        <w:ind w:right="31"/>
      </w:pPr>
      <w:r>
        <w:rPr/>
        <w:t>APPOINTMENTS</w:t>
      </w:r>
    </w:p>
    <w:p>
      <w:pPr>
        <w:pStyle w:val="BodyText"/>
        <w:spacing w:line="249" w:lineRule="auto" w:before="86"/>
        <w:ind w:left="107" w:right="227"/>
      </w:pPr>
      <w:r>
        <w:rPr/>
        <w:t>Professor</w:t>
      </w:r>
      <w:r>
        <w:rPr>
          <w:spacing w:val="-12"/>
        </w:rPr>
        <w:t> </w:t>
      </w:r>
      <w:r>
        <w:rPr/>
        <w:t>Andre</w:t>
      </w:r>
      <w:r>
        <w:rPr>
          <w:spacing w:val="-12"/>
        </w:rPr>
        <w:t> </w:t>
      </w:r>
      <w:r>
        <w:rPr/>
        <w:t>Renzaho</w:t>
      </w:r>
      <w:r>
        <w:rPr>
          <w:spacing w:val="-12"/>
        </w:rPr>
        <w:t> </w:t>
      </w:r>
      <w:r>
        <w:rPr/>
        <w:t>is</w:t>
      </w:r>
      <w:r>
        <w:rPr>
          <w:spacing w:val="-12"/>
        </w:rPr>
        <w:t> </w:t>
      </w:r>
      <w:r>
        <w:rPr/>
        <w:t>an</w:t>
      </w:r>
      <w:r>
        <w:rPr>
          <w:spacing w:val="-12"/>
        </w:rPr>
        <w:t> </w:t>
      </w:r>
      <w:r>
        <w:rPr/>
        <w:t>ARC</w:t>
      </w:r>
      <w:r>
        <w:rPr>
          <w:spacing w:val="-12"/>
        </w:rPr>
        <w:t> </w:t>
      </w:r>
      <w:r>
        <w:rPr/>
        <w:t>Future Fellow</w:t>
      </w:r>
      <w:r>
        <w:rPr>
          <w:spacing w:val="-15"/>
        </w:rPr>
        <w:t> </w:t>
      </w:r>
      <w:r>
        <w:rPr/>
        <w:t>and</w:t>
      </w:r>
      <w:r>
        <w:rPr>
          <w:spacing w:val="-15"/>
        </w:rPr>
        <w:t> </w:t>
      </w:r>
      <w:r>
        <w:rPr/>
        <w:t>Professor</w:t>
      </w:r>
      <w:r>
        <w:rPr>
          <w:spacing w:val="-15"/>
        </w:rPr>
        <w:t> </w:t>
      </w:r>
      <w:r>
        <w:rPr/>
        <w:t>of</w:t>
      </w:r>
      <w:r>
        <w:rPr>
          <w:spacing w:val="-15"/>
        </w:rPr>
        <w:t> </w:t>
      </w:r>
      <w:r>
        <w:rPr/>
        <w:t>Humanitarian</w:t>
      </w:r>
      <w:r>
        <w:rPr>
          <w:spacing w:val="-15"/>
        </w:rPr>
        <w:t> </w:t>
      </w:r>
      <w:r>
        <w:rPr/>
        <w:t>and Development Studies at Western Sydney University. He joined the University in </w:t>
      </w:r>
      <w:r>
        <w:rPr>
          <w:spacing w:val="1"/>
          <w:w w:val="84"/>
        </w:rPr>
        <w:t>2015.</w:t>
      </w:r>
      <w:r>
        <w:rPr>
          <w:w w:val="84"/>
        </w:rPr>
        <w:t> </w:t>
      </w:r>
      <w:r>
        <w:rPr>
          <w:spacing w:val="1"/>
          <w:w w:val="98"/>
        </w:rPr>
        <w:t>Prior</w:t>
      </w:r>
      <w:r>
        <w:rPr>
          <w:w w:val="98"/>
        </w:rPr>
        <w:t> </w:t>
      </w:r>
      <w:r>
        <w:rPr>
          <w:spacing w:val="-1"/>
          <w:w w:val="101"/>
        </w:rPr>
        <w:t>to</w:t>
      </w:r>
      <w:r>
        <w:rPr>
          <w:w w:val="101"/>
        </w:rPr>
        <w:t> </w:t>
      </w:r>
      <w:r>
        <w:rPr>
          <w:spacing w:val="1"/>
          <w:w w:val="91"/>
        </w:rPr>
        <w:t>this,</w:t>
      </w:r>
      <w:r>
        <w:rPr>
          <w:w w:val="91"/>
        </w:rPr>
        <w:t> </w:t>
      </w:r>
      <w:r>
        <w:rPr>
          <w:spacing w:val="1"/>
          <w:w w:val="95"/>
        </w:rPr>
        <w:t>he</w:t>
      </w:r>
      <w:r>
        <w:rPr>
          <w:w w:val="95"/>
        </w:rPr>
        <w:t> </w:t>
      </w:r>
      <w:r>
        <w:rPr>
          <w:w w:val="96"/>
        </w:rPr>
        <w:t>was </w:t>
      </w:r>
      <w:r>
        <w:rPr>
          <w:w w:val="97"/>
        </w:rPr>
        <w:t>the </w:t>
      </w:r>
      <w:r>
        <w:rPr>
          <w:spacing w:val="1"/>
          <w:w w:val="98"/>
        </w:rPr>
        <w:t>Director</w:t>
      </w:r>
      <w:r>
        <w:rPr>
          <w:w w:val="98"/>
        </w:rPr>
        <w:t> </w:t>
      </w:r>
      <w:r>
        <w:rPr>
          <w:w w:val="99"/>
        </w:rPr>
        <w:t>of </w:t>
      </w:r>
      <w:r>
        <w:rPr/>
        <w:t>Migration,</w:t>
      </w:r>
      <w:r>
        <w:rPr>
          <w:spacing w:val="-22"/>
        </w:rPr>
        <w:t> </w:t>
      </w:r>
      <w:r>
        <w:rPr/>
        <w:t>Social</w:t>
      </w:r>
      <w:r>
        <w:rPr>
          <w:spacing w:val="-22"/>
        </w:rPr>
        <w:t> </w:t>
      </w:r>
      <w:r>
        <w:rPr/>
        <w:t>Disadvantage,</w:t>
      </w:r>
      <w:r>
        <w:rPr>
          <w:spacing w:val="-22"/>
        </w:rPr>
        <w:t> </w:t>
      </w:r>
      <w:r>
        <w:rPr/>
        <w:t>and</w:t>
      </w:r>
      <w:r>
        <w:rPr>
          <w:spacing w:val="-22"/>
        </w:rPr>
        <w:t> </w:t>
      </w:r>
      <w:r>
        <w:rPr/>
        <w:t>Health Programs within the Global Society Unit, Department</w:t>
      </w:r>
      <w:r>
        <w:rPr>
          <w:spacing w:val="-14"/>
        </w:rPr>
        <w:t> </w:t>
      </w:r>
      <w:r>
        <w:rPr/>
        <w:t>of</w:t>
      </w:r>
      <w:r>
        <w:rPr>
          <w:spacing w:val="-14"/>
        </w:rPr>
        <w:t> </w:t>
      </w:r>
      <w:r>
        <w:rPr/>
        <w:t>Epidemiology</w:t>
      </w:r>
      <w:r>
        <w:rPr>
          <w:spacing w:val="-14"/>
        </w:rPr>
        <w:t> </w:t>
      </w:r>
      <w:r>
        <w:rPr/>
        <w:t>&amp;</w:t>
      </w:r>
      <w:r>
        <w:rPr>
          <w:spacing w:val="-14"/>
        </w:rPr>
        <w:t> </w:t>
      </w:r>
      <w:r>
        <w:rPr/>
        <w:t>Preventive Medicine</w:t>
      </w:r>
      <w:r>
        <w:rPr>
          <w:spacing w:val="-19"/>
        </w:rPr>
        <w:t> </w:t>
      </w:r>
      <w:r>
        <w:rPr/>
        <w:t>at</w:t>
      </w:r>
      <w:r>
        <w:rPr>
          <w:spacing w:val="-19"/>
        </w:rPr>
        <w:t> </w:t>
      </w:r>
      <w:r>
        <w:rPr/>
        <w:t>Monash</w:t>
      </w:r>
      <w:r>
        <w:rPr>
          <w:spacing w:val="-19"/>
        </w:rPr>
        <w:t> </w:t>
      </w:r>
      <w:r>
        <w:rPr/>
        <w:t>University.</w:t>
      </w:r>
      <w:r>
        <w:rPr>
          <w:spacing w:val="-19"/>
        </w:rPr>
        <w:t> </w:t>
      </w:r>
      <w:r>
        <w:rPr/>
        <w:t>With</w:t>
      </w:r>
      <w:r>
        <w:rPr>
          <w:spacing w:val="-19"/>
        </w:rPr>
        <w:t> </w:t>
      </w:r>
      <w:r>
        <w:rPr/>
        <w:t>a</w:t>
      </w:r>
    </w:p>
    <w:p>
      <w:pPr>
        <w:pStyle w:val="BodyText"/>
        <w:spacing w:line="249" w:lineRule="auto"/>
        <w:ind w:left="107" w:right="31"/>
      </w:pPr>
      <w:r>
        <w:rPr/>
        <w:t>background</w:t>
      </w:r>
      <w:r>
        <w:rPr>
          <w:spacing w:val="-18"/>
        </w:rPr>
        <w:t> </w:t>
      </w:r>
      <w:r>
        <w:rPr/>
        <w:t>in</w:t>
      </w:r>
      <w:r>
        <w:rPr>
          <w:spacing w:val="-18"/>
        </w:rPr>
        <w:t> </w:t>
      </w:r>
      <w:r>
        <w:rPr/>
        <w:t>global</w:t>
      </w:r>
      <w:r>
        <w:rPr>
          <w:spacing w:val="-18"/>
        </w:rPr>
        <w:t> </w:t>
      </w:r>
      <w:r>
        <w:rPr/>
        <w:t>health</w:t>
      </w:r>
      <w:r>
        <w:rPr>
          <w:spacing w:val="-18"/>
        </w:rPr>
        <w:t> </w:t>
      </w:r>
      <w:r>
        <w:rPr/>
        <w:t>and</w:t>
      </w:r>
      <w:r>
        <w:rPr>
          <w:spacing w:val="-18"/>
        </w:rPr>
        <w:t> </w:t>
      </w:r>
      <w:r>
        <w:rPr/>
        <w:t>international development, he has over 20 years of professional experience in complex (protracted) humanitarian emergencies and development practice, international public health, and nutrition epidemiology including the epidemiology of non-chronic diseases and cardiovascular diseases among migrant populations.</w:t>
      </w:r>
    </w:p>
    <w:p>
      <w:pPr>
        <w:pStyle w:val="BodyText"/>
        <w:rPr>
          <w:sz w:val="14"/>
        </w:rPr>
      </w:pPr>
    </w:p>
    <w:p>
      <w:pPr>
        <w:pStyle w:val="BodyText"/>
        <w:spacing w:line="249" w:lineRule="auto"/>
        <w:ind w:left="107" w:right="221"/>
      </w:pPr>
      <w:r>
        <w:rPr/>
        <w:t>Professor Deborah Parker is Director of the</w:t>
      </w:r>
      <w:r>
        <w:rPr>
          <w:spacing w:val="-15"/>
        </w:rPr>
        <w:t> </w:t>
      </w:r>
      <w:r>
        <w:rPr/>
        <w:t>Centre</w:t>
      </w:r>
      <w:r>
        <w:rPr>
          <w:spacing w:val="-15"/>
        </w:rPr>
        <w:t> </w:t>
      </w:r>
      <w:r>
        <w:rPr/>
        <w:t>for</w:t>
      </w:r>
      <w:r>
        <w:rPr>
          <w:spacing w:val="-15"/>
        </w:rPr>
        <w:t> </w:t>
      </w:r>
      <w:r>
        <w:rPr/>
        <w:t>Applied</w:t>
      </w:r>
      <w:r>
        <w:rPr>
          <w:spacing w:val="-15"/>
        </w:rPr>
        <w:t> </w:t>
      </w:r>
      <w:r>
        <w:rPr/>
        <w:t>Nursing</w:t>
      </w:r>
      <w:r>
        <w:rPr>
          <w:spacing w:val="-15"/>
        </w:rPr>
        <w:t> </w:t>
      </w:r>
      <w:r>
        <w:rPr/>
        <w:t>Research,</w:t>
      </w:r>
      <w:r>
        <w:rPr>
          <w:spacing w:val="-15"/>
        </w:rPr>
        <w:t> </w:t>
      </w:r>
      <w:r>
        <w:rPr/>
        <w:t>a joint</w:t>
      </w:r>
      <w:r>
        <w:rPr>
          <w:spacing w:val="-16"/>
        </w:rPr>
        <w:t> </w:t>
      </w:r>
      <w:r>
        <w:rPr/>
        <w:t>collaboration</w:t>
      </w:r>
      <w:r>
        <w:rPr>
          <w:spacing w:val="-16"/>
        </w:rPr>
        <w:t> </w:t>
      </w:r>
      <w:r>
        <w:rPr/>
        <w:t>between</w:t>
      </w:r>
      <w:r>
        <w:rPr>
          <w:spacing w:val="-16"/>
        </w:rPr>
        <w:t> </w:t>
      </w:r>
      <w:r>
        <w:rPr/>
        <w:t>South</w:t>
      </w:r>
      <w:r>
        <w:rPr>
          <w:spacing w:val="-16"/>
        </w:rPr>
        <w:t> </w:t>
      </w:r>
      <w:r>
        <w:rPr/>
        <w:t>Western</w:t>
      </w:r>
    </w:p>
    <w:p>
      <w:pPr>
        <w:pStyle w:val="BodyText"/>
        <w:spacing w:line="249" w:lineRule="auto" w:before="71"/>
        <w:ind w:left="107" w:right="174"/>
      </w:pPr>
      <w:r>
        <w:rPr/>
        <w:br w:type="column"/>
      </w:r>
      <w:r>
        <w:rPr/>
        <w:t>Sydney Local Health District and Western Sydney University. Professor Parker is also the Director of the New South Wales Centre for Evidence </w:t>
      </w:r>
      <w:r>
        <w:rPr>
          <w:spacing w:val="2"/>
        </w:rPr>
        <w:t>Based </w:t>
      </w:r>
      <w:r>
        <w:rPr/>
        <w:t>Health Care, a Joanna Briggs</w:t>
      </w:r>
      <w:r>
        <w:rPr>
          <w:spacing w:val="-15"/>
        </w:rPr>
        <w:t> </w:t>
      </w:r>
      <w:r>
        <w:rPr/>
        <w:t>Collaborating</w:t>
      </w:r>
      <w:r>
        <w:rPr>
          <w:spacing w:val="-15"/>
        </w:rPr>
        <w:t> </w:t>
      </w:r>
      <w:r>
        <w:rPr/>
        <w:t>Centre.</w:t>
      </w:r>
      <w:r>
        <w:rPr>
          <w:spacing w:val="-15"/>
        </w:rPr>
        <w:t> </w:t>
      </w:r>
      <w:r>
        <w:rPr/>
        <w:t>Professor</w:t>
      </w:r>
      <w:r>
        <w:rPr>
          <w:spacing w:val="-15"/>
        </w:rPr>
        <w:t> </w:t>
      </w:r>
      <w:r>
        <w:rPr/>
        <w:t>Parker was</w:t>
      </w:r>
      <w:r>
        <w:rPr>
          <w:spacing w:val="-14"/>
        </w:rPr>
        <w:t> </w:t>
      </w:r>
      <w:r>
        <w:rPr/>
        <w:t>formerly</w:t>
      </w:r>
      <w:r>
        <w:rPr>
          <w:spacing w:val="-14"/>
        </w:rPr>
        <w:t> </w:t>
      </w:r>
      <w:r>
        <w:rPr/>
        <w:t>the</w:t>
      </w:r>
      <w:r>
        <w:rPr>
          <w:spacing w:val="-14"/>
        </w:rPr>
        <w:t> </w:t>
      </w:r>
      <w:r>
        <w:rPr/>
        <w:t>Director</w:t>
      </w:r>
      <w:r>
        <w:rPr>
          <w:spacing w:val="-14"/>
        </w:rPr>
        <w:t> </w:t>
      </w:r>
      <w:r>
        <w:rPr/>
        <w:t>of</w:t>
      </w:r>
      <w:r>
        <w:rPr>
          <w:spacing w:val="-14"/>
        </w:rPr>
        <w:t> </w:t>
      </w:r>
      <w:r>
        <w:rPr/>
        <w:t>the</w:t>
      </w:r>
      <w:r>
        <w:rPr>
          <w:spacing w:val="-14"/>
        </w:rPr>
        <w:t> </w:t>
      </w:r>
      <w:r>
        <w:rPr/>
        <w:t>University</w:t>
      </w:r>
      <w:r>
        <w:rPr>
          <w:spacing w:val="-14"/>
        </w:rPr>
        <w:t> </w:t>
      </w:r>
      <w:r>
        <w:rPr/>
        <w:t>of Queensland/Blue Care Research &amp; Practice Development Centre. Professor Parker has three main areas of research: palliative care for</w:t>
      </w:r>
      <w:r>
        <w:rPr>
          <w:spacing w:val="-16"/>
        </w:rPr>
        <w:t> </w:t>
      </w:r>
      <w:r>
        <w:rPr/>
        <w:t>older</w:t>
      </w:r>
      <w:r>
        <w:rPr>
          <w:spacing w:val="-16"/>
        </w:rPr>
        <w:t> </w:t>
      </w:r>
      <w:r>
        <w:rPr/>
        <w:t>people,</w:t>
      </w:r>
      <w:r>
        <w:rPr>
          <w:spacing w:val="-16"/>
        </w:rPr>
        <w:t> </w:t>
      </w:r>
      <w:r>
        <w:rPr/>
        <w:t>dementia</w:t>
      </w:r>
      <w:r>
        <w:rPr>
          <w:spacing w:val="-16"/>
        </w:rPr>
        <w:t> </w:t>
      </w:r>
      <w:r>
        <w:rPr/>
        <w:t>and</w:t>
      </w:r>
      <w:r>
        <w:rPr>
          <w:spacing w:val="-16"/>
        </w:rPr>
        <w:t> </w:t>
      </w:r>
      <w:r>
        <w:rPr/>
        <w:t>health</w:t>
      </w:r>
      <w:r>
        <w:rPr>
          <w:spacing w:val="-16"/>
        </w:rPr>
        <w:t> </w:t>
      </w:r>
      <w:r>
        <w:rPr/>
        <w:t>service evaluation.</w:t>
      </w:r>
      <w:r>
        <w:rPr>
          <w:spacing w:val="-20"/>
        </w:rPr>
        <w:t> </w:t>
      </w:r>
      <w:r>
        <w:rPr/>
        <w:t>She</w:t>
      </w:r>
      <w:r>
        <w:rPr>
          <w:spacing w:val="-20"/>
        </w:rPr>
        <w:t> </w:t>
      </w:r>
      <w:r>
        <w:rPr/>
        <w:t>has</w:t>
      </w:r>
      <w:r>
        <w:rPr>
          <w:spacing w:val="-20"/>
        </w:rPr>
        <w:t> </w:t>
      </w:r>
      <w:r>
        <w:rPr/>
        <w:t>received</w:t>
      </w:r>
      <w:r>
        <w:rPr>
          <w:spacing w:val="-20"/>
        </w:rPr>
        <w:t> </w:t>
      </w:r>
      <w:r>
        <w:rPr/>
        <w:t>over</w:t>
      </w:r>
      <w:r>
        <w:rPr>
          <w:spacing w:val="-20"/>
        </w:rPr>
        <w:t> </w:t>
      </w:r>
      <w:r>
        <w:rPr/>
        <w:t>$24</w:t>
      </w:r>
      <w:r>
        <w:rPr>
          <w:spacing w:val="-20"/>
        </w:rPr>
        <w:t> </w:t>
      </w:r>
      <w:r>
        <w:rPr/>
        <w:t>million in</w:t>
      </w:r>
      <w:r>
        <w:rPr>
          <w:spacing w:val="-28"/>
        </w:rPr>
        <w:t> </w:t>
      </w:r>
      <w:r>
        <w:rPr/>
        <w:t>research</w:t>
      </w:r>
      <w:r>
        <w:rPr>
          <w:spacing w:val="-28"/>
        </w:rPr>
        <w:t> </w:t>
      </w:r>
      <w:r>
        <w:rPr/>
        <w:t>funding.</w:t>
      </w:r>
    </w:p>
    <w:p>
      <w:pPr>
        <w:pStyle w:val="BodyText"/>
        <w:rPr>
          <w:sz w:val="14"/>
        </w:rPr>
      </w:pPr>
    </w:p>
    <w:p>
      <w:pPr>
        <w:pStyle w:val="BodyText"/>
        <w:spacing w:line="249" w:lineRule="auto"/>
        <w:ind w:left="107" w:right="29"/>
      </w:pPr>
      <w:r>
        <w:rPr/>
        <w:t>Professor Vijay Jayasena is a professor in nutrition and food science who came to the University from Curtin University. He has an international reputation as a leading expert on the development of novel (healthy) foods to find a dietary solution to major global health problems (such as over-nutrition leading to obesity, diabetes, cardiovascular diseases and other conditions; and malnutrition) by value adding to agricultural products improving sustainable food production.</w:t>
      </w:r>
    </w:p>
    <w:p>
      <w:pPr>
        <w:pStyle w:val="BodyText"/>
        <w:rPr>
          <w:sz w:val="14"/>
        </w:rPr>
      </w:pPr>
    </w:p>
    <w:p>
      <w:pPr>
        <w:pStyle w:val="BodyText"/>
        <w:spacing w:line="249" w:lineRule="auto"/>
        <w:ind w:left="107" w:right="44"/>
      </w:pPr>
      <w:r>
        <w:rPr/>
        <w:t>Professor Hamid Ronagh joined the Institute of Infrastructure Engineering as Professor and Program Director of Infrastructure Systems. Prior to this, he was at the School of Civil Engineering of the University of Queensland for 16 years, where he directed the largest research group within the discipline of structural engineering on research related</w:t>
      </w:r>
    </w:p>
    <w:p>
      <w:pPr>
        <w:pStyle w:val="BodyText"/>
        <w:spacing w:line="249" w:lineRule="auto"/>
        <w:ind w:left="107" w:right="195"/>
      </w:pPr>
      <w:r>
        <w:rPr/>
        <w:t>to structural retrofit. He has published more </w:t>
      </w:r>
      <w:r>
        <w:rPr>
          <w:spacing w:val="1"/>
          <w:w w:val="97"/>
        </w:rPr>
        <w:t>than</w:t>
      </w:r>
      <w:r>
        <w:rPr>
          <w:w w:val="97"/>
        </w:rPr>
        <w:t> </w:t>
      </w:r>
      <w:r>
        <w:rPr>
          <w:spacing w:val="2"/>
          <w:w w:val="105"/>
        </w:rPr>
        <w:t>200</w:t>
      </w:r>
      <w:r>
        <w:rPr>
          <w:w w:val="105"/>
        </w:rPr>
        <w:t> </w:t>
      </w:r>
      <w:r>
        <w:rPr>
          <w:spacing w:val="1"/>
          <w:w w:val="97"/>
        </w:rPr>
        <w:t>scholarly</w:t>
      </w:r>
      <w:r>
        <w:rPr>
          <w:w w:val="97"/>
        </w:rPr>
        <w:t> </w:t>
      </w:r>
      <w:r>
        <w:rPr>
          <w:spacing w:val="2"/>
          <w:w w:val="93"/>
        </w:rPr>
        <w:t>papers,</w:t>
      </w:r>
      <w:r>
        <w:rPr>
          <w:w w:val="93"/>
        </w:rPr>
        <w:t> </w:t>
      </w:r>
      <w:r>
        <w:rPr>
          <w:w w:val="97"/>
        </w:rPr>
        <w:t>more </w:t>
      </w:r>
      <w:r>
        <w:rPr>
          <w:spacing w:val="1"/>
          <w:w w:val="97"/>
        </w:rPr>
        <w:t>than</w:t>
      </w:r>
      <w:r>
        <w:rPr>
          <w:w w:val="97"/>
        </w:rPr>
        <w:t> </w:t>
      </w:r>
      <w:r>
        <w:rPr>
          <w:spacing w:val="2"/>
          <w:w w:val="92"/>
        </w:rPr>
        <w:t>100</w:t>
      </w:r>
      <w:r>
        <w:rPr>
          <w:w w:val="92"/>
        </w:rPr>
        <w:t> </w:t>
      </w:r>
      <w:r>
        <w:rPr>
          <w:w w:val="99"/>
        </w:rPr>
        <w:t>of </w:t>
      </w:r>
      <w:r>
        <w:rPr/>
        <w:t>which</w:t>
      </w:r>
      <w:r>
        <w:rPr>
          <w:spacing w:val="-25"/>
        </w:rPr>
        <w:t> </w:t>
      </w:r>
      <w:r>
        <w:rPr/>
        <w:t>appear</w:t>
      </w:r>
      <w:r>
        <w:rPr>
          <w:spacing w:val="-25"/>
        </w:rPr>
        <w:t> </w:t>
      </w:r>
      <w:r>
        <w:rPr/>
        <w:t>in</w:t>
      </w:r>
      <w:r>
        <w:rPr>
          <w:spacing w:val="-25"/>
        </w:rPr>
        <w:t> </w:t>
      </w:r>
      <w:r>
        <w:rPr/>
        <w:t>ISI-indexed</w:t>
      </w:r>
      <w:r>
        <w:rPr>
          <w:spacing w:val="-25"/>
        </w:rPr>
        <w:t> </w:t>
      </w:r>
      <w:r>
        <w:rPr/>
        <w:t>journals,</w:t>
      </w:r>
      <w:r>
        <w:rPr>
          <w:spacing w:val="-25"/>
        </w:rPr>
        <w:t> </w:t>
      </w:r>
      <w:r>
        <w:rPr/>
        <w:t>and</w:t>
      </w:r>
      <w:r>
        <w:rPr>
          <w:spacing w:val="-25"/>
        </w:rPr>
        <w:t> </w:t>
      </w:r>
      <w:r>
        <w:rPr/>
        <w:t>has graduated </w:t>
      </w:r>
      <w:r>
        <w:rPr>
          <w:w w:val="95"/>
        </w:rPr>
        <w:t>11 </w:t>
      </w:r>
      <w:r>
        <w:rPr/>
        <w:t>PhD students, many of whom are working as academics and postdoctoral researchers</w:t>
      </w:r>
      <w:r>
        <w:rPr>
          <w:spacing w:val="-30"/>
        </w:rPr>
        <w:t> </w:t>
      </w:r>
      <w:r>
        <w:rPr/>
        <w:t>in</w:t>
      </w:r>
      <w:r>
        <w:rPr>
          <w:spacing w:val="-30"/>
        </w:rPr>
        <w:t> </w:t>
      </w:r>
      <w:r>
        <w:rPr/>
        <w:t>Australian</w:t>
      </w:r>
      <w:r>
        <w:rPr>
          <w:spacing w:val="-30"/>
        </w:rPr>
        <w:t> </w:t>
      </w:r>
      <w:r>
        <w:rPr/>
        <w:t>universities.</w:t>
      </w:r>
    </w:p>
    <w:p>
      <w:pPr>
        <w:pStyle w:val="BodyText"/>
        <w:spacing w:before="7"/>
        <w:rPr>
          <w:sz w:val="21"/>
        </w:rPr>
      </w:pPr>
    </w:p>
    <w:p>
      <w:pPr>
        <w:pStyle w:val="Heading8"/>
        <w:ind w:right="112"/>
      </w:pPr>
      <w:r>
        <w:rPr>
          <w:w w:val="95"/>
        </w:rPr>
        <w:t>STAFF AWARDS AND RECOGNITION</w:t>
      </w:r>
    </w:p>
    <w:p>
      <w:pPr>
        <w:pStyle w:val="BodyText"/>
        <w:spacing w:line="249" w:lineRule="auto" w:before="86"/>
        <w:ind w:left="107" w:right="165"/>
      </w:pPr>
      <w:r>
        <w:rPr/>
        <w:t>Two Western Sydney University staff members, Professor Donald McNeill and Professor Ned Rossiter, were successful in their nominations to the Australian Research Council College of Experts commencing in </w:t>
      </w:r>
      <w:r>
        <w:rPr>
          <w:w w:val="85"/>
        </w:rPr>
        <w:t>2016.</w:t>
      </w:r>
    </w:p>
    <w:p>
      <w:pPr>
        <w:pStyle w:val="BodyText"/>
        <w:rPr>
          <w:sz w:val="14"/>
        </w:rPr>
      </w:pPr>
    </w:p>
    <w:p>
      <w:pPr>
        <w:pStyle w:val="BodyText"/>
        <w:spacing w:line="249" w:lineRule="auto"/>
        <w:ind w:left="107" w:right="462"/>
      </w:pPr>
      <w:r>
        <w:rPr/>
        <w:t>In May, Professor Anne Cutler from the MARCS Institute was elected a Fellow of the Royal Society, which is made up of the most eminent scientists, engineers and technologists from the UK and Commonwealth.</w:t>
      </w:r>
    </w:p>
    <w:p>
      <w:pPr>
        <w:spacing w:after="0" w:line="249" w:lineRule="auto"/>
        <w:sectPr>
          <w:type w:val="continuous"/>
          <w:pgSz w:w="11910" w:h="16840"/>
          <w:pgMar w:top="1580" w:bottom="280" w:left="800" w:right="800"/>
          <w:cols w:num="3" w:equalWidth="0">
            <w:col w:w="3318" w:space="121"/>
            <w:col w:w="3296" w:space="144"/>
            <w:col w:w="3431"/>
          </w:cols>
        </w:sectPr>
      </w:pPr>
    </w:p>
    <w:p>
      <w:pPr>
        <w:pStyle w:val="BodyText"/>
        <w:rPr>
          <w:sz w:val="20"/>
        </w:rPr>
      </w:pPr>
    </w:p>
    <w:p>
      <w:pPr>
        <w:pStyle w:val="BodyText"/>
        <w:rPr>
          <w:sz w:val="20"/>
        </w:rPr>
      </w:pPr>
    </w:p>
    <w:p>
      <w:pPr>
        <w:pStyle w:val="BodyText"/>
        <w:rPr>
          <w:sz w:val="20"/>
        </w:rPr>
      </w:pPr>
    </w:p>
    <w:p>
      <w:pPr>
        <w:pStyle w:val="BodyText"/>
        <w:spacing w:before="1"/>
        <w:rPr>
          <w:sz w:val="18"/>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4927"/>
        <w:gridCol w:w="1290"/>
        <w:gridCol w:w="1290"/>
        <w:gridCol w:w="1290"/>
        <w:gridCol w:w="1290"/>
      </w:tblGrid>
      <w:tr>
        <w:trPr>
          <w:trHeight w:val="332" w:hRule="exact"/>
        </w:trPr>
        <w:tc>
          <w:tcPr>
            <w:tcW w:w="4927" w:type="dxa"/>
            <w:tcBorders>
              <w:top w:val="nil"/>
              <w:left w:val="nil"/>
              <w:bottom w:val="nil"/>
              <w:right w:val="nil"/>
            </w:tcBorders>
            <w:shd w:val="clear" w:color="auto" w:fill="939598"/>
          </w:tcPr>
          <w:p>
            <w:pPr>
              <w:pStyle w:val="TableParagraph"/>
              <w:spacing w:before="76"/>
              <w:ind w:left="80"/>
              <w:jc w:val="left"/>
              <w:rPr>
                <w:rFonts w:ascii="Gotham Narrow Bold" w:hAnsi="Gotham Narrow Bold"/>
                <w:b/>
                <w:sz w:val="16"/>
              </w:rPr>
            </w:pPr>
            <w:r>
              <w:rPr>
                <w:rFonts w:ascii="Gotham Narrow Bold" w:hAnsi="Gotham Narrow Bold"/>
                <w:b/>
                <w:color w:val="FFFFFF"/>
                <w:w w:val="95"/>
                <w:sz w:val="16"/>
              </w:rPr>
              <w:t>RESEARCH FUNDING ($’000)</w:t>
            </w:r>
          </w:p>
        </w:tc>
        <w:tc>
          <w:tcPr>
            <w:tcW w:w="1290" w:type="dxa"/>
            <w:tcBorders>
              <w:top w:val="nil"/>
              <w:left w:val="nil"/>
              <w:bottom w:val="nil"/>
              <w:right w:val="nil"/>
            </w:tcBorders>
            <w:shd w:val="clear" w:color="auto" w:fill="939598"/>
          </w:tcPr>
          <w:p>
            <w:pPr>
              <w:pStyle w:val="TableParagraph"/>
              <w:spacing w:before="76"/>
              <w:ind w:right="77"/>
              <w:rPr>
                <w:rFonts w:ascii="Gotham Narrow Bold"/>
                <w:b/>
                <w:sz w:val="16"/>
              </w:rPr>
            </w:pPr>
            <w:r>
              <w:rPr>
                <w:rFonts w:ascii="Gotham Narrow Bold"/>
                <w:b/>
                <w:color w:val="FFFFFF"/>
                <w:w w:val="95"/>
                <w:sz w:val="16"/>
              </w:rPr>
              <w:t>2011</w:t>
            </w:r>
          </w:p>
        </w:tc>
        <w:tc>
          <w:tcPr>
            <w:tcW w:w="1290" w:type="dxa"/>
            <w:tcBorders>
              <w:top w:val="nil"/>
              <w:left w:val="nil"/>
              <w:bottom w:val="nil"/>
              <w:right w:val="nil"/>
            </w:tcBorders>
            <w:shd w:val="clear" w:color="auto" w:fill="939598"/>
          </w:tcPr>
          <w:p>
            <w:pPr>
              <w:pStyle w:val="TableParagraph"/>
              <w:spacing w:before="76"/>
              <w:ind w:right="77"/>
              <w:rPr>
                <w:rFonts w:ascii="Gotham Narrow Bold"/>
                <w:b/>
                <w:sz w:val="16"/>
              </w:rPr>
            </w:pPr>
            <w:r>
              <w:rPr>
                <w:rFonts w:ascii="Gotham Narrow Bold"/>
                <w:b/>
                <w:color w:val="FFFFFF"/>
                <w:w w:val="95"/>
                <w:sz w:val="16"/>
              </w:rPr>
              <w:t>2012</w:t>
            </w:r>
          </w:p>
        </w:tc>
        <w:tc>
          <w:tcPr>
            <w:tcW w:w="1290" w:type="dxa"/>
            <w:tcBorders>
              <w:top w:val="nil"/>
              <w:left w:val="nil"/>
              <w:bottom w:val="nil"/>
              <w:right w:val="nil"/>
            </w:tcBorders>
            <w:shd w:val="clear" w:color="auto" w:fill="939598"/>
          </w:tcPr>
          <w:p>
            <w:pPr>
              <w:pStyle w:val="TableParagraph"/>
              <w:spacing w:before="76"/>
              <w:ind w:right="77"/>
              <w:rPr>
                <w:rFonts w:ascii="Gotham Narrow Bold"/>
                <w:b/>
                <w:sz w:val="16"/>
              </w:rPr>
            </w:pPr>
            <w:r>
              <w:rPr>
                <w:rFonts w:ascii="Gotham Narrow Bold"/>
                <w:b/>
                <w:color w:val="FFFFFF"/>
                <w:w w:val="95"/>
                <w:sz w:val="16"/>
              </w:rPr>
              <w:t>2013</w:t>
            </w:r>
          </w:p>
        </w:tc>
        <w:tc>
          <w:tcPr>
            <w:tcW w:w="1290" w:type="dxa"/>
            <w:tcBorders>
              <w:top w:val="nil"/>
              <w:left w:val="nil"/>
              <w:bottom w:val="nil"/>
              <w:right w:val="nil"/>
            </w:tcBorders>
            <w:shd w:val="clear" w:color="auto" w:fill="939598"/>
          </w:tcPr>
          <w:p>
            <w:pPr>
              <w:pStyle w:val="TableParagraph"/>
              <w:spacing w:before="76"/>
              <w:ind w:right="77"/>
              <w:rPr>
                <w:rFonts w:ascii="Gotham Narrow Bold"/>
                <w:b/>
                <w:sz w:val="16"/>
              </w:rPr>
            </w:pPr>
            <w:r>
              <w:rPr>
                <w:rFonts w:ascii="Gotham Narrow Bold"/>
                <w:b/>
                <w:color w:val="FFFFFF"/>
                <w:w w:val="95"/>
                <w:sz w:val="16"/>
              </w:rPr>
              <w:t>2014</w:t>
            </w:r>
          </w:p>
        </w:tc>
      </w:tr>
      <w:tr>
        <w:trPr>
          <w:trHeight w:val="845" w:hRule="exact"/>
        </w:trPr>
        <w:tc>
          <w:tcPr>
            <w:tcW w:w="4927" w:type="dxa"/>
            <w:tcBorders>
              <w:top w:val="nil"/>
            </w:tcBorders>
            <w:shd w:val="clear" w:color="auto" w:fill="E6E7E8"/>
          </w:tcPr>
          <w:p>
            <w:pPr>
              <w:pStyle w:val="TableParagraph"/>
              <w:spacing w:before="70"/>
              <w:ind w:left="75"/>
              <w:jc w:val="left"/>
              <w:rPr>
                <w:sz w:val="16"/>
              </w:rPr>
            </w:pPr>
            <w:r>
              <w:rPr>
                <w:sz w:val="16"/>
              </w:rPr>
              <w:t>Australian competitive grant income (Category 1)</w:t>
            </w:r>
          </w:p>
          <w:p>
            <w:pPr>
              <w:pStyle w:val="TableParagraph"/>
              <w:spacing w:line="249" w:lineRule="auto" w:before="120"/>
              <w:ind w:left="75"/>
              <w:jc w:val="left"/>
              <w:rPr>
                <w:sz w:val="16"/>
              </w:rPr>
            </w:pPr>
            <w:r>
              <w:rPr>
                <w:sz w:val="16"/>
              </w:rPr>
              <w:t>Includes</w:t>
            </w:r>
            <w:r>
              <w:rPr>
                <w:spacing w:val="-18"/>
                <w:sz w:val="16"/>
              </w:rPr>
              <w:t> </w:t>
            </w:r>
            <w:r>
              <w:rPr>
                <w:sz w:val="16"/>
              </w:rPr>
              <w:t>Australian</w:t>
            </w:r>
            <w:r>
              <w:rPr>
                <w:spacing w:val="-18"/>
                <w:sz w:val="16"/>
              </w:rPr>
              <w:t> </w:t>
            </w:r>
            <w:r>
              <w:rPr>
                <w:sz w:val="16"/>
              </w:rPr>
              <w:t>Research</w:t>
            </w:r>
            <w:r>
              <w:rPr>
                <w:spacing w:val="-18"/>
                <w:sz w:val="16"/>
              </w:rPr>
              <w:t> </w:t>
            </w:r>
            <w:r>
              <w:rPr>
                <w:sz w:val="16"/>
              </w:rPr>
              <w:t>Council</w:t>
            </w:r>
            <w:r>
              <w:rPr>
                <w:spacing w:val="-18"/>
                <w:sz w:val="16"/>
              </w:rPr>
              <w:t> </w:t>
            </w:r>
            <w:r>
              <w:rPr>
                <w:sz w:val="16"/>
              </w:rPr>
              <w:t>(ARC),</w:t>
            </w:r>
            <w:r>
              <w:rPr>
                <w:spacing w:val="-18"/>
                <w:sz w:val="16"/>
              </w:rPr>
              <w:t> </w:t>
            </w:r>
            <w:r>
              <w:rPr>
                <w:sz w:val="16"/>
              </w:rPr>
              <w:t>National</w:t>
            </w:r>
            <w:r>
              <w:rPr>
                <w:spacing w:val="-18"/>
                <w:sz w:val="16"/>
              </w:rPr>
              <w:t> </w:t>
            </w:r>
            <w:r>
              <w:rPr>
                <w:sz w:val="16"/>
              </w:rPr>
              <w:t>Health</w:t>
            </w:r>
            <w:r>
              <w:rPr>
                <w:spacing w:val="-18"/>
                <w:sz w:val="16"/>
              </w:rPr>
              <w:t> </w:t>
            </w:r>
            <w:r>
              <w:rPr>
                <w:sz w:val="16"/>
              </w:rPr>
              <w:t>and Medical</w:t>
            </w:r>
            <w:r>
              <w:rPr>
                <w:spacing w:val="-15"/>
                <w:sz w:val="16"/>
              </w:rPr>
              <w:t> </w:t>
            </w:r>
            <w:r>
              <w:rPr>
                <w:sz w:val="16"/>
              </w:rPr>
              <w:t>Research</w:t>
            </w:r>
            <w:r>
              <w:rPr>
                <w:spacing w:val="-15"/>
                <w:sz w:val="16"/>
              </w:rPr>
              <w:t> </w:t>
            </w:r>
            <w:r>
              <w:rPr>
                <w:sz w:val="16"/>
              </w:rPr>
              <w:t>Council</w:t>
            </w:r>
            <w:r>
              <w:rPr>
                <w:spacing w:val="-15"/>
                <w:sz w:val="16"/>
              </w:rPr>
              <w:t> </w:t>
            </w:r>
            <w:r>
              <w:rPr>
                <w:spacing w:val="2"/>
                <w:sz w:val="16"/>
              </w:rPr>
              <w:t>(NHMRC)</w:t>
            </w:r>
            <w:r>
              <w:rPr>
                <w:spacing w:val="-15"/>
                <w:sz w:val="16"/>
              </w:rPr>
              <w:t> </w:t>
            </w:r>
            <w:r>
              <w:rPr>
                <w:sz w:val="16"/>
              </w:rPr>
              <w:t>and</w:t>
            </w:r>
            <w:r>
              <w:rPr>
                <w:spacing w:val="-15"/>
                <w:sz w:val="16"/>
              </w:rPr>
              <w:t> </w:t>
            </w:r>
            <w:r>
              <w:rPr>
                <w:sz w:val="16"/>
              </w:rPr>
              <w:t>other</w:t>
            </w:r>
          </w:p>
        </w:tc>
        <w:tc>
          <w:tcPr>
            <w:tcW w:w="1290" w:type="dxa"/>
            <w:tcBorders>
              <w:top w:val="nil"/>
            </w:tcBorders>
            <w:shd w:val="clear" w:color="auto" w:fill="E6E7E8"/>
          </w:tcPr>
          <w:p>
            <w:pPr>
              <w:pStyle w:val="TableParagraph"/>
              <w:spacing w:before="0"/>
              <w:jc w:val="left"/>
              <w:rPr>
                <w:sz w:val="16"/>
              </w:rPr>
            </w:pPr>
          </w:p>
          <w:p>
            <w:pPr>
              <w:pStyle w:val="TableParagraph"/>
              <w:spacing w:before="133"/>
              <w:ind w:right="71"/>
              <w:rPr>
                <w:sz w:val="16"/>
              </w:rPr>
            </w:pPr>
            <w:r>
              <w:rPr>
                <w:spacing w:val="4"/>
                <w:w w:val="54"/>
                <w:sz w:val="16"/>
              </w:rPr>
              <w:t>1</w:t>
            </w:r>
            <w:r>
              <w:rPr>
                <w:spacing w:val="2"/>
                <w:w w:val="111"/>
                <w:sz w:val="16"/>
              </w:rPr>
              <w:t>0</w:t>
            </w:r>
            <w:r>
              <w:rPr>
                <w:spacing w:val="1"/>
                <w:w w:val="68"/>
                <w:sz w:val="16"/>
              </w:rPr>
              <w:t>,</w:t>
            </w:r>
            <w:r>
              <w:rPr>
                <w:spacing w:val="1"/>
                <w:w w:val="111"/>
                <w:sz w:val="16"/>
              </w:rPr>
              <w:t>0</w:t>
            </w:r>
            <w:r>
              <w:rPr>
                <w:w w:val="73"/>
                <w:sz w:val="16"/>
              </w:rPr>
              <w:t>17</w:t>
            </w:r>
          </w:p>
        </w:tc>
        <w:tc>
          <w:tcPr>
            <w:tcW w:w="1290" w:type="dxa"/>
            <w:tcBorders>
              <w:top w:val="nil"/>
            </w:tcBorders>
            <w:shd w:val="clear" w:color="auto" w:fill="E6E7E8"/>
          </w:tcPr>
          <w:p>
            <w:pPr>
              <w:pStyle w:val="TableParagraph"/>
              <w:spacing w:before="0"/>
              <w:jc w:val="left"/>
              <w:rPr>
                <w:sz w:val="16"/>
              </w:rPr>
            </w:pPr>
          </w:p>
          <w:p>
            <w:pPr>
              <w:pStyle w:val="TableParagraph"/>
              <w:spacing w:before="133"/>
              <w:ind w:right="74"/>
              <w:rPr>
                <w:sz w:val="16"/>
              </w:rPr>
            </w:pPr>
            <w:r>
              <w:rPr>
                <w:w w:val="85"/>
                <w:sz w:val="16"/>
              </w:rPr>
              <w:t>12,542</w:t>
            </w:r>
          </w:p>
        </w:tc>
        <w:tc>
          <w:tcPr>
            <w:tcW w:w="1290" w:type="dxa"/>
            <w:tcBorders>
              <w:top w:val="nil"/>
            </w:tcBorders>
            <w:shd w:val="clear" w:color="auto" w:fill="E6E7E8"/>
          </w:tcPr>
          <w:p>
            <w:pPr>
              <w:pStyle w:val="TableParagraph"/>
              <w:spacing w:before="0"/>
              <w:jc w:val="left"/>
              <w:rPr>
                <w:sz w:val="16"/>
              </w:rPr>
            </w:pPr>
          </w:p>
          <w:p>
            <w:pPr>
              <w:pStyle w:val="TableParagraph"/>
              <w:spacing w:before="133"/>
              <w:ind w:right="73"/>
              <w:rPr>
                <w:sz w:val="16"/>
              </w:rPr>
            </w:pPr>
            <w:r>
              <w:rPr>
                <w:spacing w:val="2"/>
                <w:w w:val="54"/>
                <w:sz w:val="16"/>
              </w:rPr>
              <w:t>1</w:t>
            </w:r>
            <w:r>
              <w:rPr>
                <w:spacing w:val="2"/>
                <w:w w:val="93"/>
                <w:sz w:val="16"/>
              </w:rPr>
              <w:t>2</w:t>
            </w:r>
            <w:r>
              <w:rPr>
                <w:spacing w:val="1"/>
                <w:w w:val="68"/>
                <w:sz w:val="16"/>
              </w:rPr>
              <w:t>,</w:t>
            </w:r>
            <w:r>
              <w:rPr>
                <w:spacing w:val="4"/>
                <w:w w:val="111"/>
                <w:sz w:val="16"/>
              </w:rPr>
              <w:t>0</w:t>
            </w:r>
            <w:r>
              <w:rPr>
                <w:spacing w:val="-1"/>
                <w:w w:val="78"/>
                <w:sz w:val="16"/>
              </w:rPr>
              <w:t>41</w:t>
            </w:r>
          </w:p>
        </w:tc>
        <w:tc>
          <w:tcPr>
            <w:tcW w:w="1290" w:type="dxa"/>
            <w:tcBorders>
              <w:top w:val="nil"/>
            </w:tcBorders>
            <w:shd w:val="clear" w:color="auto" w:fill="E6E7E8"/>
          </w:tcPr>
          <w:p>
            <w:pPr>
              <w:pStyle w:val="TableParagraph"/>
              <w:spacing w:before="0"/>
              <w:jc w:val="left"/>
              <w:rPr>
                <w:sz w:val="16"/>
              </w:rPr>
            </w:pPr>
          </w:p>
          <w:p>
            <w:pPr>
              <w:pStyle w:val="TableParagraph"/>
              <w:spacing w:before="133"/>
              <w:ind w:right="74"/>
              <w:rPr>
                <w:sz w:val="16"/>
              </w:rPr>
            </w:pPr>
            <w:r>
              <w:rPr>
                <w:w w:val="85"/>
                <w:sz w:val="16"/>
              </w:rPr>
              <w:t>14,997</w:t>
            </w:r>
          </w:p>
        </w:tc>
      </w:tr>
      <w:tr>
        <w:trPr>
          <w:trHeight w:val="332" w:hRule="exact"/>
        </w:trPr>
        <w:tc>
          <w:tcPr>
            <w:tcW w:w="4927" w:type="dxa"/>
            <w:shd w:val="clear" w:color="auto" w:fill="E6E7E8"/>
          </w:tcPr>
          <w:p>
            <w:pPr>
              <w:pStyle w:val="TableParagraph"/>
              <w:spacing w:before="65"/>
              <w:ind w:left="75"/>
              <w:jc w:val="left"/>
              <w:rPr>
                <w:sz w:val="16"/>
              </w:rPr>
            </w:pPr>
            <w:r>
              <w:rPr>
                <w:sz w:val="16"/>
              </w:rPr>
              <w:t>Collaborative income (Category 2, 3 and 4)</w:t>
            </w:r>
          </w:p>
        </w:tc>
        <w:tc>
          <w:tcPr>
            <w:tcW w:w="1290" w:type="dxa"/>
            <w:shd w:val="clear" w:color="auto" w:fill="E6E7E8"/>
          </w:tcPr>
          <w:p>
            <w:pPr>
              <w:pStyle w:val="TableParagraph"/>
              <w:spacing w:before="65"/>
              <w:ind w:right="73"/>
              <w:rPr>
                <w:sz w:val="16"/>
              </w:rPr>
            </w:pPr>
            <w:r>
              <w:rPr>
                <w:w w:val="95"/>
                <w:sz w:val="16"/>
              </w:rPr>
              <w:t>7,694</w:t>
            </w:r>
          </w:p>
        </w:tc>
        <w:tc>
          <w:tcPr>
            <w:tcW w:w="1290" w:type="dxa"/>
            <w:shd w:val="clear" w:color="auto" w:fill="E6E7E8"/>
          </w:tcPr>
          <w:p>
            <w:pPr>
              <w:pStyle w:val="TableParagraph"/>
              <w:spacing w:before="65"/>
              <w:ind w:right="73"/>
              <w:rPr>
                <w:sz w:val="16"/>
              </w:rPr>
            </w:pPr>
            <w:r>
              <w:rPr>
                <w:w w:val="90"/>
                <w:sz w:val="16"/>
              </w:rPr>
              <w:t>8,733</w:t>
            </w:r>
          </w:p>
        </w:tc>
        <w:tc>
          <w:tcPr>
            <w:tcW w:w="1290" w:type="dxa"/>
            <w:shd w:val="clear" w:color="auto" w:fill="E6E7E8"/>
          </w:tcPr>
          <w:p>
            <w:pPr>
              <w:pStyle w:val="TableParagraph"/>
              <w:spacing w:before="65"/>
              <w:ind w:right="73"/>
              <w:rPr>
                <w:sz w:val="16"/>
              </w:rPr>
            </w:pPr>
            <w:r>
              <w:rPr>
                <w:spacing w:val="4"/>
                <w:w w:val="54"/>
                <w:sz w:val="16"/>
              </w:rPr>
              <w:t>1</w:t>
            </w:r>
            <w:r>
              <w:rPr>
                <w:spacing w:val="2"/>
                <w:w w:val="111"/>
                <w:sz w:val="16"/>
              </w:rPr>
              <w:t>0</w:t>
            </w:r>
            <w:r>
              <w:rPr>
                <w:spacing w:val="6"/>
                <w:w w:val="85"/>
                <w:sz w:val="16"/>
              </w:rPr>
              <w:t>,</w:t>
            </w:r>
            <w:r>
              <w:rPr>
                <w:spacing w:val="5"/>
                <w:w w:val="85"/>
                <w:sz w:val="16"/>
              </w:rPr>
              <w:t>5</w:t>
            </w:r>
            <w:r>
              <w:rPr>
                <w:spacing w:val="6"/>
                <w:w w:val="98"/>
                <w:sz w:val="16"/>
              </w:rPr>
              <w:t>8</w:t>
            </w:r>
            <w:r>
              <w:rPr>
                <w:w w:val="103"/>
                <w:sz w:val="16"/>
              </w:rPr>
              <w:t>4</w:t>
            </w:r>
          </w:p>
        </w:tc>
        <w:tc>
          <w:tcPr>
            <w:tcW w:w="1290" w:type="dxa"/>
            <w:shd w:val="clear" w:color="auto" w:fill="E6E7E8"/>
          </w:tcPr>
          <w:p>
            <w:pPr>
              <w:pStyle w:val="TableParagraph"/>
              <w:spacing w:before="65"/>
              <w:ind w:right="73"/>
              <w:rPr>
                <w:sz w:val="16"/>
              </w:rPr>
            </w:pPr>
            <w:r>
              <w:rPr>
                <w:w w:val="75"/>
                <w:sz w:val="16"/>
              </w:rPr>
              <w:t>11,238</w:t>
            </w:r>
          </w:p>
        </w:tc>
      </w:tr>
      <w:tr>
        <w:trPr>
          <w:trHeight w:val="332" w:hRule="exact"/>
        </w:trPr>
        <w:tc>
          <w:tcPr>
            <w:tcW w:w="4927" w:type="dxa"/>
            <w:shd w:val="clear" w:color="auto" w:fill="E6E7E8"/>
          </w:tcPr>
          <w:p>
            <w:pPr>
              <w:pStyle w:val="TableParagraph"/>
              <w:spacing w:before="65"/>
              <w:ind w:left="75"/>
              <w:jc w:val="left"/>
              <w:rPr>
                <w:sz w:val="16"/>
              </w:rPr>
            </w:pPr>
            <w:r>
              <w:rPr>
                <w:sz w:val="16"/>
              </w:rPr>
              <w:t>Total Higher Education Research Data Collection (HERDC) income</w:t>
            </w:r>
          </w:p>
        </w:tc>
        <w:tc>
          <w:tcPr>
            <w:tcW w:w="1290" w:type="dxa"/>
            <w:shd w:val="clear" w:color="auto" w:fill="E6E7E8"/>
          </w:tcPr>
          <w:p>
            <w:pPr>
              <w:pStyle w:val="TableParagraph"/>
              <w:spacing w:before="65"/>
              <w:ind w:right="72"/>
              <w:rPr>
                <w:sz w:val="16"/>
              </w:rPr>
            </w:pPr>
            <w:r>
              <w:rPr>
                <w:w w:val="70"/>
                <w:sz w:val="16"/>
              </w:rPr>
              <w:t>17,711</w:t>
            </w:r>
          </w:p>
        </w:tc>
        <w:tc>
          <w:tcPr>
            <w:tcW w:w="1290" w:type="dxa"/>
            <w:shd w:val="clear" w:color="auto" w:fill="E6E7E8"/>
          </w:tcPr>
          <w:p>
            <w:pPr>
              <w:pStyle w:val="TableParagraph"/>
              <w:spacing w:before="65"/>
              <w:ind w:right="72"/>
              <w:rPr>
                <w:sz w:val="16"/>
              </w:rPr>
            </w:pPr>
            <w:r>
              <w:rPr>
                <w:w w:val="80"/>
                <w:sz w:val="16"/>
              </w:rPr>
              <w:t>21,275</w:t>
            </w:r>
          </w:p>
        </w:tc>
        <w:tc>
          <w:tcPr>
            <w:tcW w:w="1290" w:type="dxa"/>
            <w:shd w:val="clear" w:color="auto" w:fill="E6E7E8"/>
          </w:tcPr>
          <w:p>
            <w:pPr>
              <w:pStyle w:val="TableParagraph"/>
              <w:spacing w:before="65"/>
              <w:ind w:right="72"/>
              <w:rPr>
                <w:sz w:val="16"/>
              </w:rPr>
            </w:pPr>
            <w:r>
              <w:rPr>
                <w:w w:val="90"/>
                <w:sz w:val="16"/>
              </w:rPr>
              <w:t>22,299</w:t>
            </w:r>
          </w:p>
        </w:tc>
        <w:tc>
          <w:tcPr>
            <w:tcW w:w="1290" w:type="dxa"/>
            <w:shd w:val="clear" w:color="auto" w:fill="E6E7E8"/>
          </w:tcPr>
          <w:p>
            <w:pPr>
              <w:pStyle w:val="TableParagraph"/>
              <w:spacing w:before="65"/>
              <w:ind w:right="72"/>
              <w:rPr>
                <w:sz w:val="16"/>
              </w:rPr>
            </w:pPr>
            <w:r>
              <w:rPr>
                <w:w w:val="95"/>
                <w:sz w:val="16"/>
              </w:rPr>
              <w:t>26,230</w:t>
            </w:r>
          </w:p>
        </w:tc>
      </w:tr>
      <w:tr>
        <w:trPr>
          <w:trHeight w:val="332" w:hRule="exact"/>
        </w:trPr>
        <w:tc>
          <w:tcPr>
            <w:tcW w:w="4927" w:type="dxa"/>
            <w:shd w:val="clear" w:color="auto" w:fill="E6E7E8"/>
          </w:tcPr>
          <w:p>
            <w:pPr>
              <w:pStyle w:val="TableParagraph"/>
              <w:spacing w:before="65"/>
              <w:ind w:left="75"/>
              <w:jc w:val="left"/>
              <w:rPr>
                <w:sz w:val="16"/>
              </w:rPr>
            </w:pPr>
            <w:r>
              <w:rPr>
                <w:sz w:val="16"/>
              </w:rPr>
              <w:t>Total operating revenue</w:t>
            </w:r>
          </w:p>
        </w:tc>
        <w:tc>
          <w:tcPr>
            <w:tcW w:w="1290" w:type="dxa"/>
            <w:shd w:val="clear" w:color="auto" w:fill="E6E7E8"/>
          </w:tcPr>
          <w:p>
            <w:pPr>
              <w:pStyle w:val="TableParagraph"/>
              <w:spacing w:before="65"/>
              <w:ind w:right="72"/>
              <w:rPr>
                <w:sz w:val="16"/>
              </w:rPr>
            </w:pPr>
            <w:r>
              <w:rPr>
                <w:w w:val="95"/>
                <w:sz w:val="16"/>
              </w:rPr>
              <w:t>558,856</w:t>
            </w:r>
          </w:p>
        </w:tc>
        <w:tc>
          <w:tcPr>
            <w:tcW w:w="1290" w:type="dxa"/>
            <w:shd w:val="clear" w:color="auto" w:fill="E6E7E8"/>
          </w:tcPr>
          <w:p>
            <w:pPr>
              <w:pStyle w:val="TableParagraph"/>
              <w:spacing w:before="65"/>
              <w:ind w:right="72"/>
              <w:rPr>
                <w:sz w:val="16"/>
              </w:rPr>
            </w:pPr>
            <w:r>
              <w:rPr>
                <w:w w:val="95"/>
                <w:sz w:val="16"/>
              </w:rPr>
              <w:t>662,820</w:t>
            </w:r>
          </w:p>
        </w:tc>
        <w:tc>
          <w:tcPr>
            <w:tcW w:w="1290" w:type="dxa"/>
            <w:shd w:val="clear" w:color="auto" w:fill="E6E7E8"/>
          </w:tcPr>
          <w:p>
            <w:pPr>
              <w:pStyle w:val="TableParagraph"/>
              <w:spacing w:before="65"/>
              <w:ind w:right="72"/>
              <w:rPr>
                <w:sz w:val="16"/>
              </w:rPr>
            </w:pPr>
            <w:r>
              <w:rPr>
                <w:w w:val="90"/>
                <w:sz w:val="16"/>
              </w:rPr>
              <w:t>684,198</w:t>
            </w:r>
          </w:p>
        </w:tc>
        <w:tc>
          <w:tcPr>
            <w:tcW w:w="1290" w:type="dxa"/>
            <w:shd w:val="clear" w:color="auto" w:fill="E6E7E8"/>
          </w:tcPr>
          <w:p>
            <w:pPr>
              <w:pStyle w:val="TableParagraph"/>
              <w:spacing w:before="65"/>
              <w:ind w:right="72"/>
              <w:rPr>
                <w:sz w:val="16"/>
              </w:rPr>
            </w:pPr>
            <w:r>
              <w:rPr>
                <w:w w:val="95"/>
                <w:sz w:val="16"/>
              </w:rPr>
              <w:t>$729,665</w:t>
            </w:r>
          </w:p>
        </w:tc>
      </w:tr>
      <w:tr>
        <w:trPr>
          <w:trHeight w:val="332" w:hRule="exact"/>
        </w:trPr>
        <w:tc>
          <w:tcPr>
            <w:tcW w:w="4927" w:type="dxa"/>
            <w:shd w:val="clear" w:color="auto" w:fill="E6E7E8"/>
          </w:tcPr>
          <w:p>
            <w:pPr>
              <w:pStyle w:val="TableParagraph"/>
              <w:spacing w:before="65"/>
              <w:ind w:left="75"/>
              <w:jc w:val="left"/>
              <w:rPr>
                <w:sz w:val="16"/>
              </w:rPr>
            </w:pPr>
            <w:r>
              <w:rPr>
                <w:sz w:val="16"/>
              </w:rPr>
              <w:t>Total net assets</w:t>
            </w:r>
          </w:p>
        </w:tc>
        <w:tc>
          <w:tcPr>
            <w:tcW w:w="1290" w:type="dxa"/>
            <w:shd w:val="clear" w:color="auto" w:fill="E6E7E8"/>
          </w:tcPr>
          <w:p>
            <w:pPr>
              <w:pStyle w:val="TableParagraph"/>
              <w:spacing w:before="65"/>
              <w:ind w:right="73"/>
              <w:rPr>
                <w:sz w:val="16"/>
              </w:rPr>
            </w:pPr>
            <w:r>
              <w:rPr>
                <w:w w:val="85"/>
                <w:sz w:val="16"/>
              </w:rPr>
              <w:t>1,234,397</w:t>
            </w:r>
          </w:p>
        </w:tc>
        <w:tc>
          <w:tcPr>
            <w:tcW w:w="1290" w:type="dxa"/>
            <w:shd w:val="clear" w:color="auto" w:fill="E6E7E8"/>
          </w:tcPr>
          <w:p>
            <w:pPr>
              <w:pStyle w:val="TableParagraph"/>
              <w:spacing w:before="65"/>
              <w:ind w:right="72"/>
              <w:rPr>
                <w:sz w:val="16"/>
              </w:rPr>
            </w:pPr>
            <w:r>
              <w:rPr>
                <w:w w:val="80"/>
                <w:sz w:val="16"/>
              </w:rPr>
              <w:t>1,321,023</w:t>
            </w:r>
          </w:p>
        </w:tc>
        <w:tc>
          <w:tcPr>
            <w:tcW w:w="1290" w:type="dxa"/>
            <w:shd w:val="clear" w:color="auto" w:fill="E6E7E8"/>
          </w:tcPr>
          <w:p>
            <w:pPr>
              <w:pStyle w:val="TableParagraph"/>
              <w:spacing w:before="65"/>
              <w:ind w:right="73"/>
              <w:rPr>
                <w:sz w:val="16"/>
              </w:rPr>
            </w:pPr>
            <w:r>
              <w:rPr>
                <w:w w:val="90"/>
                <w:sz w:val="16"/>
              </w:rPr>
              <w:t>1,366,870</w:t>
            </w:r>
          </w:p>
        </w:tc>
        <w:tc>
          <w:tcPr>
            <w:tcW w:w="1290" w:type="dxa"/>
            <w:shd w:val="clear" w:color="auto" w:fill="E6E7E8"/>
          </w:tcPr>
          <w:p>
            <w:pPr>
              <w:pStyle w:val="TableParagraph"/>
              <w:spacing w:before="65"/>
              <w:ind w:right="69"/>
              <w:rPr>
                <w:sz w:val="16"/>
              </w:rPr>
            </w:pPr>
            <w:r>
              <w:rPr>
                <w:w w:val="85"/>
                <w:sz w:val="16"/>
              </w:rPr>
              <w:t>$1,454,991</w:t>
            </w:r>
          </w:p>
        </w:tc>
      </w:tr>
    </w:tbl>
    <w:p>
      <w:pPr>
        <w:pStyle w:val="BodyText"/>
        <w:rPr>
          <w:sz w:val="20"/>
        </w:rPr>
      </w:pPr>
    </w:p>
    <w:p>
      <w:pPr>
        <w:pStyle w:val="BodyText"/>
        <w:spacing w:before="2"/>
        <w:rPr>
          <w:sz w:val="28"/>
        </w:rPr>
      </w:pPr>
    </w:p>
    <w:p>
      <w:pPr>
        <w:spacing w:after="0"/>
        <w:rPr>
          <w:sz w:val="28"/>
        </w:rPr>
        <w:sectPr>
          <w:pgSz w:w="11910" w:h="16840"/>
          <w:pgMar w:header="494" w:footer="473" w:top="680" w:bottom="660" w:left="580" w:right="580"/>
        </w:sectPr>
      </w:pPr>
    </w:p>
    <w:p>
      <w:pPr>
        <w:pStyle w:val="BodyText"/>
        <w:spacing w:line="249" w:lineRule="auto" w:before="71"/>
        <w:ind w:left="327" w:right="85"/>
      </w:pPr>
      <w:r>
        <w:rPr/>
        <w:pict>
          <v:group style="position:absolute;margin-left:34.015999pt;margin-top:-191.145782pt;width:527.25pt;height:185pt;mso-position-horizontal-relative:page;mso-position-vertical-relative:paragraph;z-index:-333328" coordorigin="680,-3823" coordsize="10545,3700">
            <v:rect style="position:absolute;left:680;top:-3823;width:10545;height:3699" filled="true" fillcolor="#e6e7e8" stroked="false">
              <v:fill type="solid"/>
            </v:rect>
            <v:shape style="position:absolute;left:907;top:-3592;width:1769;height:240" type="#_x0000_t202" filled="false" stroked="false">
              <v:textbox inset="0,0,0,0">
                <w:txbxContent>
                  <w:p>
                    <w:pPr>
                      <w:spacing w:line="240" w:lineRule="exact" w:before="0"/>
                      <w:ind w:left="0" w:right="-18" w:firstLine="0"/>
                      <w:jc w:val="left"/>
                      <w:rPr>
                        <w:rFonts w:ascii="Gotham Narrow Bold"/>
                        <w:b/>
                        <w:sz w:val="24"/>
                      </w:rPr>
                    </w:pPr>
                    <w:r>
                      <w:rPr>
                        <w:rFonts w:ascii="Gotham Narrow Bold"/>
                        <w:b/>
                        <w:w w:val="95"/>
                        <w:sz w:val="24"/>
                      </w:rPr>
                      <w:t>RESEARCH </w:t>
                    </w:r>
                    <w:r>
                      <w:rPr>
                        <w:rFonts w:ascii="Gotham Narrow Bold"/>
                        <w:b/>
                        <w:spacing w:val="-17"/>
                        <w:w w:val="95"/>
                        <w:sz w:val="24"/>
                      </w:rPr>
                      <w:t>DATA</w:t>
                    </w:r>
                  </w:p>
                </w:txbxContent>
              </v:textbox>
              <w10:wrap type="none"/>
            </v:shape>
            <w10:wrap type="none"/>
          </v:group>
        </w:pict>
      </w:r>
      <w:r>
        <w:rPr/>
        <w:t>In</w:t>
      </w:r>
      <w:r>
        <w:rPr>
          <w:spacing w:val="-19"/>
        </w:rPr>
        <w:t> </w:t>
      </w:r>
      <w:r>
        <w:rPr/>
        <w:t>September,</w:t>
      </w:r>
      <w:r>
        <w:rPr>
          <w:spacing w:val="-19"/>
        </w:rPr>
        <w:t> </w:t>
      </w:r>
      <w:r>
        <w:rPr/>
        <w:t>Professor</w:t>
      </w:r>
      <w:r>
        <w:rPr>
          <w:spacing w:val="-19"/>
        </w:rPr>
        <w:t> </w:t>
      </w:r>
      <w:r>
        <w:rPr/>
        <w:t>Wei</w:t>
      </w:r>
      <w:r>
        <w:rPr>
          <w:spacing w:val="-19"/>
        </w:rPr>
        <w:t> </w:t>
      </w:r>
      <w:r>
        <w:rPr/>
        <w:t>Xing</w:t>
      </w:r>
      <w:r>
        <w:rPr>
          <w:spacing w:val="-19"/>
        </w:rPr>
        <w:t> </w:t>
      </w:r>
      <w:r>
        <w:rPr/>
        <w:t>Zheng</w:t>
      </w:r>
      <w:r>
        <w:rPr>
          <w:spacing w:val="-19"/>
        </w:rPr>
        <w:t> </w:t>
      </w:r>
      <w:r>
        <w:rPr/>
        <w:t>was </w:t>
      </w:r>
      <w:r>
        <w:rPr>
          <w:spacing w:val="1"/>
          <w:w w:val="98"/>
        </w:rPr>
        <w:t>selected</w:t>
      </w:r>
      <w:r>
        <w:rPr>
          <w:w w:val="98"/>
        </w:rPr>
        <w:t> </w:t>
      </w:r>
      <w:r>
        <w:rPr>
          <w:spacing w:val="1"/>
          <w:w w:val="94"/>
        </w:rPr>
        <w:t>as</w:t>
      </w:r>
      <w:r>
        <w:rPr>
          <w:w w:val="94"/>
        </w:rPr>
        <w:t> </w:t>
      </w:r>
      <w:r>
        <w:rPr>
          <w:w w:val="94"/>
        </w:rPr>
        <w:t>a </w:t>
      </w:r>
      <w:r>
        <w:rPr>
          <w:spacing w:val="1"/>
          <w:w w:val="88"/>
        </w:rPr>
        <w:t>2015</w:t>
      </w:r>
      <w:r>
        <w:rPr>
          <w:w w:val="88"/>
        </w:rPr>
        <w:t> </w:t>
      </w:r>
      <w:r>
        <w:rPr>
          <w:spacing w:val="1"/>
          <w:w w:val="96"/>
        </w:rPr>
        <w:t>Thomson</w:t>
      </w:r>
      <w:r>
        <w:rPr>
          <w:w w:val="96"/>
        </w:rPr>
        <w:t> </w:t>
      </w:r>
      <w:r>
        <w:rPr>
          <w:w w:val="97"/>
        </w:rPr>
        <w:t>Reuters </w:t>
      </w:r>
      <w:r>
        <w:rPr>
          <w:spacing w:val="1"/>
          <w:w w:val="98"/>
        </w:rPr>
        <w:t>Highly</w:t>
      </w:r>
      <w:r>
        <w:rPr>
          <w:w w:val="98"/>
        </w:rPr>
        <w:t> </w:t>
      </w:r>
      <w:r>
        <w:rPr/>
        <w:t>Cited Researcher. According to Thomson Reuters:</w:t>
      </w:r>
    </w:p>
    <w:p>
      <w:pPr>
        <w:pStyle w:val="BodyText"/>
      </w:pPr>
    </w:p>
    <w:p>
      <w:pPr>
        <w:pStyle w:val="BodyText"/>
        <w:spacing w:before="9"/>
        <w:rPr>
          <w:sz w:val="12"/>
        </w:rPr>
      </w:pPr>
    </w:p>
    <w:p>
      <w:pPr>
        <w:spacing w:before="0"/>
        <w:ind w:left="327" w:right="87" w:hanging="63"/>
        <w:jc w:val="left"/>
        <w:rPr>
          <w:rFonts w:ascii="Chronicle Text G1" w:hAnsi="Chronicle Text G1"/>
          <w:b w:val="0"/>
          <w:sz w:val="20"/>
        </w:rPr>
      </w:pPr>
      <w:r>
        <w:rPr/>
        <w:pict>
          <v:line style="position:absolute;mso-position-horizontal-relative:page;mso-position-vertical-relative:paragraph;z-index:1360" from="45.354301pt,-5.32317pt" to="205.984301pt,-5.32317pt" stroked="true" strokeweight="1.5pt" strokecolor="#000000">
            <w10:wrap type="none"/>
          </v:line>
        </w:pict>
      </w:r>
      <w:r>
        <w:rPr>
          <w:rFonts w:ascii="Chronicle Text G1" w:hAnsi="Chronicle Text G1"/>
          <w:b w:val="0"/>
          <w:sz w:val="20"/>
        </w:rPr>
        <w:t>“Highly Cited Researchers 2015 represents some of world’s most influential scientific minds. About three thousand researchers earned this distinction by writing the greatest number of reports officially designated by Essential Science Indicators as Highly Cited Papers</w:t>
      </w:r>
    </w:p>
    <w:p>
      <w:pPr>
        <w:spacing w:before="0"/>
        <w:ind w:left="334" w:right="136" w:hanging="71"/>
        <w:jc w:val="left"/>
        <w:rPr>
          <w:rFonts w:ascii="Chronicle Text G1" w:hAnsi="Chronicle Text G1"/>
          <w:b w:val="0"/>
          <w:sz w:val="20"/>
        </w:rPr>
      </w:pPr>
      <w:r>
        <w:rPr>
          <w:rFonts w:ascii="Chronicle Text G1" w:hAnsi="Chronicle Text G1"/>
          <w:b w:val="0"/>
          <w:sz w:val="20"/>
        </w:rPr>
        <w:t>– ranking amongst the top 1% most cited for their subject field and year of publication, earning them the mark of exceptional impact.”</w:t>
      </w:r>
    </w:p>
    <w:p>
      <w:pPr>
        <w:pStyle w:val="BodyText"/>
        <w:spacing w:before="11"/>
        <w:rPr>
          <w:rFonts w:ascii="Chronicle Text G1"/>
          <w:b w:val="0"/>
          <w:sz w:val="23"/>
        </w:rPr>
      </w:pPr>
    </w:p>
    <w:p>
      <w:pPr>
        <w:spacing w:line="260" w:lineRule="exact" w:before="0"/>
        <w:ind w:left="334" w:right="85" w:firstLine="0"/>
        <w:jc w:val="left"/>
        <w:rPr>
          <w:rFonts w:ascii="Gotham Narrow Bold"/>
          <w:b/>
          <w:sz w:val="24"/>
        </w:rPr>
      </w:pPr>
      <w:r>
        <w:rPr>
          <w:rFonts w:ascii="Gotham Narrow Bold"/>
          <w:b/>
          <w:w w:val="95"/>
          <w:sz w:val="24"/>
        </w:rPr>
        <w:t>RESEARCH, ENGAGEMENT, </w:t>
      </w:r>
      <w:r>
        <w:rPr>
          <w:rFonts w:ascii="Gotham Narrow Bold"/>
          <w:b/>
          <w:sz w:val="24"/>
        </w:rPr>
        <w:t>DEVELOPMENT AND INNOVATION</w:t>
      </w:r>
    </w:p>
    <w:p>
      <w:pPr>
        <w:pStyle w:val="BodyText"/>
        <w:spacing w:line="249" w:lineRule="auto" w:before="215"/>
        <w:ind w:left="327" w:right="-3"/>
      </w:pPr>
      <w:r>
        <w:rPr/>
        <w:t>Now in its second year of operation, the Research Engagement, Development and Innovation (REDI) team is well established and</w:t>
      </w:r>
      <w:r>
        <w:rPr>
          <w:spacing w:val="-11"/>
        </w:rPr>
        <w:t> </w:t>
      </w:r>
      <w:r>
        <w:rPr/>
        <w:t>continues</w:t>
      </w:r>
      <w:r>
        <w:rPr>
          <w:spacing w:val="-11"/>
        </w:rPr>
        <w:t> </w:t>
      </w:r>
      <w:r>
        <w:rPr/>
        <w:t>to</w:t>
      </w:r>
      <w:r>
        <w:rPr>
          <w:spacing w:val="-11"/>
        </w:rPr>
        <w:t> </w:t>
      </w:r>
      <w:r>
        <w:rPr/>
        <w:t>provide</w:t>
      </w:r>
      <w:r>
        <w:rPr>
          <w:spacing w:val="-11"/>
        </w:rPr>
        <w:t> </w:t>
      </w:r>
      <w:r>
        <w:rPr/>
        <w:t>high-quality</w:t>
      </w:r>
      <w:r>
        <w:rPr>
          <w:spacing w:val="-11"/>
        </w:rPr>
        <w:t> </w:t>
      </w:r>
      <w:r>
        <w:rPr/>
        <w:t>support for industry partnerships through contract research, consultancy, tender submissions, analytical</w:t>
      </w:r>
      <w:r>
        <w:rPr>
          <w:spacing w:val="-16"/>
        </w:rPr>
        <w:t> </w:t>
      </w:r>
      <w:r>
        <w:rPr/>
        <w:t>services</w:t>
      </w:r>
      <w:r>
        <w:rPr>
          <w:spacing w:val="-16"/>
        </w:rPr>
        <w:t> </w:t>
      </w:r>
      <w:r>
        <w:rPr/>
        <w:t>and</w:t>
      </w:r>
      <w:r>
        <w:rPr>
          <w:spacing w:val="-16"/>
        </w:rPr>
        <w:t> </w:t>
      </w:r>
      <w:r>
        <w:rPr/>
        <w:t>expert</w:t>
      </w:r>
      <w:r>
        <w:rPr>
          <w:spacing w:val="-16"/>
        </w:rPr>
        <w:t> </w:t>
      </w:r>
      <w:r>
        <w:rPr/>
        <w:t>advice.</w:t>
      </w:r>
    </w:p>
    <w:p>
      <w:pPr>
        <w:pStyle w:val="BodyText"/>
        <w:rPr>
          <w:sz w:val="14"/>
        </w:rPr>
      </w:pPr>
    </w:p>
    <w:p>
      <w:pPr>
        <w:pStyle w:val="BodyText"/>
        <w:spacing w:line="249" w:lineRule="auto"/>
        <w:ind w:left="327" w:right="-3"/>
      </w:pPr>
      <w:r>
        <w:rPr/>
        <w:t>REDI’s flexible collaboration models align strongly with the National Innovation and </w:t>
      </w:r>
      <w:r>
        <w:rPr>
          <w:w w:val="98"/>
        </w:rPr>
        <w:t>Science </w:t>
      </w:r>
      <w:r>
        <w:rPr>
          <w:w w:val="100"/>
        </w:rPr>
        <w:t>Agenda </w:t>
      </w:r>
      <w:r>
        <w:rPr>
          <w:w w:val="97"/>
        </w:rPr>
        <w:t>announced </w:t>
      </w:r>
      <w:r>
        <w:rPr>
          <w:w w:val="95"/>
        </w:rPr>
        <w:t>in </w:t>
      </w:r>
      <w:r>
        <w:rPr>
          <w:spacing w:val="-1"/>
          <w:w w:val="97"/>
        </w:rPr>
        <w:t>late</w:t>
      </w:r>
      <w:r>
        <w:rPr>
          <w:w w:val="97"/>
        </w:rPr>
        <w:t> </w:t>
      </w:r>
      <w:r>
        <w:rPr>
          <w:w w:val="88"/>
        </w:rPr>
        <w:t>2015 </w:t>
      </w:r>
      <w:r>
        <w:rPr>
          <w:spacing w:val="1"/>
          <w:w w:val="97"/>
        </w:rPr>
        <w:t>and</w:t>
      </w:r>
      <w:r>
        <w:rPr>
          <w:w w:val="97"/>
        </w:rPr>
        <w:t> </w:t>
      </w:r>
      <w:r>
        <w:rPr/>
        <w:t>position the University to take advantage of new</w:t>
      </w:r>
      <w:r>
        <w:rPr>
          <w:spacing w:val="-20"/>
        </w:rPr>
        <w:t> </w:t>
      </w:r>
      <w:r>
        <w:rPr/>
        <w:t>opportunities</w:t>
      </w:r>
      <w:r>
        <w:rPr>
          <w:spacing w:val="-20"/>
        </w:rPr>
        <w:t> </w:t>
      </w:r>
      <w:r>
        <w:rPr/>
        <w:t>expected</w:t>
      </w:r>
      <w:r>
        <w:rPr>
          <w:spacing w:val="-20"/>
        </w:rPr>
        <w:t> </w:t>
      </w:r>
      <w:r>
        <w:rPr/>
        <w:t>to</w:t>
      </w:r>
      <w:r>
        <w:rPr>
          <w:spacing w:val="-20"/>
        </w:rPr>
        <w:t> </w:t>
      </w:r>
      <w:r>
        <w:rPr/>
        <w:t>emerge</w:t>
      </w:r>
      <w:r>
        <w:rPr>
          <w:spacing w:val="-20"/>
        </w:rPr>
        <w:t> </w:t>
      </w:r>
      <w:r>
        <w:rPr/>
        <w:t>from</w:t>
      </w:r>
      <w:r>
        <w:rPr>
          <w:spacing w:val="-20"/>
        </w:rPr>
        <w:t> </w:t>
      </w:r>
      <w:r>
        <w:rPr/>
        <w:t>it.</w:t>
      </w:r>
    </w:p>
    <w:p>
      <w:pPr>
        <w:pStyle w:val="BodyText"/>
        <w:rPr>
          <w:sz w:val="14"/>
        </w:rPr>
      </w:pPr>
    </w:p>
    <w:p>
      <w:pPr>
        <w:pStyle w:val="BodyText"/>
        <w:spacing w:line="249" w:lineRule="auto"/>
        <w:ind w:left="327" w:right="384"/>
        <w:jc w:val="both"/>
      </w:pPr>
      <w:r>
        <w:rPr>
          <w:spacing w:val="1"/>
          <w:w w:val="80"/>
        </w:rPr>
        <w:t>In</w:t>
      </w:r>
      <w:r>
        <w:rPr>
          <w:w w:val="80"/>
        </w:rPr>
        <w:t> </w:t>
      </w:r>
      <w:r>
        <w:rPr>
          <w:spacing w:val="1"/>
          <w:w w:val="84"/>
        </w:rPr>
        <w:t>2015,</w:t>
      </w:r>
      <w:r>
        <w:rPr>
          <w:w w:val="84"/>
        </w:rPr>
        <w:t> </w:t>
      </w:r>
      <w:r>
        <w:rPr>
          <w:spacing w:val="1"/>
          <w:w w:val="90"/>
        </w:rPr>
        <w:t>REDI</w:t>
      </w:r>
      <w:r>
        <w:rPr>
          <w:w w:val="90"/>
        </w:rPr>
        <w:t> </w:t>
      </w:r>
      <w:r>
        <w:rPr>
          <w:spacing w:val="1"/>
          <w:w w:val="97"/>
        </w:rPr>
        <w:t>successfully</w:t>
      </w:r>
      <w:r>
        <w:rPr>
          <w:w w:val="97"/>
        </w:rPr>
        <w:t> </w:t>
      </w:r>
      <w:r>
        <w:rPr>
          <w:spacing w:val="1"/>
          <w:w w:val="99"/>
        </w:rPr>
        <w:t>supported</w:t>
      </w:r>
      <w:r>
        <w:rPr>
          <w:w w:val="99"/>
        </w:rPr>
        <w:t> </w:t>
      </w:r>
      <w:r>
        <w:rPr>
          <w:w w:val="97"/>
        </w:rPr>
        <w:t>the </w:t>
      </w:r>
      <w:r>
        <w:rPr/>
        <w:t>establishment</w:t>
      </w:r>
      <w:r>
        <w:rPr>
          <w:spacing w:val="-22"/>
        </w:rPr>
        <w:t> </w:t>
      </w:r>
      <w:r>
        <w:rPr/>
        <w:t>of</w:t>
      </w:r>
      <w:r>
        <w:rPr>
          <w:spacing w:val="-22"/>
        </w:rPr>
        <w:t> </w:t>
      </w:r>
      <w:r>
        <w:rPr>
          <w:spacing w:val="2"/>
        </w:rPr>
        <w:t>122</w:t>
      </w:r>
      <w:r>
        <w:rPr>
          <w:spacing w:val="-22"/>
        </w:rPr>
        <w:t> </w:t>
      </w:r>
      <w:r>
        <w:rPr/>
        <w:t>new</w:t>
      </w:r>
      <w:r>
        <w:rPr>
          <w:spacing w:val="-22"/>
        </w:rPr>
        <w:t> </w:t>
      </w:r>
      <w:r>
        <w:rPr/>
        <w:t>projects</w:t>
      </w:r>
      <w:r>
        <w:rPr>
          <w:spacing w:val="-22"/>
        </w:rPr>
        <w:t> </w:t>
      </w:r>
      <w:r>
        <w:rPr/>
        <w:t>worth </w:t>
      </w:r>
      <w:r>
        <w:rPr>
          <w:w w:val="94"/>
        </w:rPr>
        <w:t>a</w:t>
      </w:r>
      <w:r>
        <w:rPr>
          <w:spacing w:val="-7"/>
          <w:w w:val="94"/>
        </w:rPr>
        <w:t> </w:t>
      </w:r>
      <w:r>
        <w:rPr>
          <w:w w:val="99"/>
        </w:rPr>
        <w:t>total</w:t>
      </w:r>
      <w:r>
        <w:rPr>
          <w:spacing w:val="-9"/>
          <w:w w:val="99"/>
        </w:rPr>
        <w:t> </w:t>
      </w:r>
      <w:r>
        <w:rPr>
          <w:spacing w:val="1"/>
          <w:w w:val="96"/>
        </w:rPr>
        <w:t>value</w:t>
      </w:r>
      <w:r>
        <w:rPr>
          <w:spacing w:val="-8"/>
          <w:w w:val="96"/>
        </w:rPr>
        <w:t> </w:t>
      </w:r>
      <w:r>
        <w:rPr>
          <w:w w:val="99"/>
        </w:rPr>
        <w:t>of</w:t>
      </w:r>
      <w:r>
        <w:rPr>
          <w:spacing w:val="-9"/>
          <w:w w:val="99"/>
        </w:rPr>
        <w:t> </w:t>
      </w:r>
      <w:r>
        <w:rPr>
          <w:spacing w:val="2"/>
          <w:w w:val="89"/>
        </w:rPr>
        <w:t>$2,638,106</w:t>
      </w:r>
      <w:r>
        <w:rPr>
          <w:spacing w:val="-4"/>
          <w:w w:val="89"/>
        </w:rPr>
        <w:t> </w:t>
      </w:r>
      <w:r>
        <w:rPr>
          <w:spacing w:val="-1"/>
          <w:w w:val="99"/>
        </w:rPr>
        <w:t>(to</w:t>
      </w:r>
      <w:r>
        <w:rPr>
          <w:spacing w:val="-9"/>
          <w:w w:val="99"/>
        </w:rPr>
        <w:t> </w:t>
      </w:r>
      <w:r>
        <w:rPr>
          <w:w w:val="97"/>
        </w:rPr>
        <w:t>the</w:t>
      </w:r>
      <w:r>
        <w:rPr>
          <w:spacing w:val="-8"/>
          <w:w w:val="97"/>
        </w:rPr>
        <w:t> </w:t>
      </w:r>
      <w:r>
        <w:rPr>
          <w:spacing w:val="1"/>
          <w:w w:val="97"/>
        </w:rPr>
        <w:t>end</w:t>
      </w:r>
      <w:r>
        <w:rPr>
          <w:spacing w:val="-8"/>
          <w:w w:val="97"/>
        </w:rPr>
        <w:t> </w:t>
      </w:r>
      <w:r>
        <w:rPr>
          <w:w w:val="99"/>
        </w:rPr>
        <w:t>of </w:t>
      </w:r>
      <w:r>
        <w:rPr>
          <w:spacing w:val="1"/>
          <w:w w:val="98"/>
        </w:rPr>
        <w:t>December</w:t>
      </w:r>
      <w:r>
        <w:rPr>
          <w:w w:val="98"/>
        </w:rPr>
        <w:t> </w:t>
      </w:r>
      <w:r>
        <w:rPr>
          <w:spacing w:val="1"/>
          <w:w w:val="86"/>
        </w:rPr>
        <w:t>2015).</w:t>
      </w:r>
      <w:r>
        <w:rPr>
          <w:w w:val="86"/>
        </w:rPr>
        <w:t> </w:t>
      </w:r>
      <w:r>
        <w:rPr>
          <w:spacing w:val="1"/>
          <w:w w:val="94"/>
        </w:rPr>
        <w:t>This</w:t>
      </w:r>
      <w:r>
        <w:rPr>
          <w:w w:val="94"/>
        </w:rPr>
        <w:t> </w:t>
      </w:r>
      <w:r>
        <w:rPr>
          <w:spacing w:val="1"/>
          <w:w w:val="98"/>
        </w:rPr>
        <w:t>income</w:t>
      </w:r>
      <w:r>
        <w:rPr>
          <w:spacing w:val="-23"/>
          <w:w w:val="98"/>
        </w:rPr>
        <w:t> </w:t>
      </w:r>
      <w:r>
        <w:rPr>
          <w:spacing w:val="1"/>
          <w:w w:val="96"/>
        </w:rPr>
        <w:t>represents</w:t>
      </w:r>
    </w:p>
    <w:p>
      <w:pPr>
        <w:pStyle w:val="BodyText"/>
        <w:spacing w:line="249" w:lineRule="auto"/>
        <w:ind w:left="327" w:right="84"/>
      </w:pPr>
      <w:r>
        <w:rPr/>
        <w:t>projects across the consulting and research spectrum, including short-term research projects, fee-for-service testing, defined contract research, longer-term collaborative research projects won at tender, and industry-funded PhD scholarships. The</w:t>
      </w:r>
    </w:p>
    <w:p>
      <w:pPr>
        <w:pStyle w:val="BodyText"/>
        <w:spacing w:line="249" w:lineRule="auto"/>
        <w:ind w:left="327" w:right="-3"/>
      </w:pPr>
      <w:r>
        <w:rPr/>
        <w:t>projects</w:t>
      </w:r>
      <w:r>
        <w:rPr>
          <w:spacing w:val="-17"/>
        </w:rPr>
        <w:t> </w:t>
      </w:r>
      <w:r>
        <w:rPr/>
        <w:t>established</w:t>
      </w:r>
      <w:r>
        <w:rPr>
          <w:spacing w:val="-17"/>
        </w:rPr>
        <w:t> </w:t>
      </w:r>
      <w:r>
        <w:rPr/>
        <w:t>are</w:t>
      </w:r>
      <w:r>
        <w:rPr>
          <w:spacing w:val="-17"/>
        </w:rPr>
        <w:t> </w:t>
      </w:r>
      <w:r>
        <w:rPr/>
        <w:t>diverse</w:t>
      </w:r>
      <w:r>
        <w:rPr>
          <w:spacing w:val="-17"/>
        </w:rPr>
        <w:t> </w:t>
      </w:r>
      <w:r>
        <w:rPr/>
        <w:t>and</w:t>
      </w:r>
      <w:r>
        <w:rPr>
          <w:spacing w:val="-17"/>
        </w:rPr>
        <w:t> </w:t>
      </w:r>
      <w:r>
        <w:rPr/>
        <w:t>exciting</w:t>
      </w:r>
      <w:r>
        <w:rPr>
          <w:spacing w:val="-17"/>
        </w:rPr>
        <w:t> </w:t>
      </w:r>
      <w:r>
        <w:rPr/>
        <w:t>– addressing both traditional and commercially oriented</w:t>
      </w:r>
      <w:r>
        <w:rPr>
          <w:spacing w:val="-20"/>
        </w:rPr>
        <w:t> </w:t>
      </w:r>
      <w:r>
        <w:rPr/>
        <w:t>research</w:t>
      </w:r>
      <w:r>
        <w:rPr>
          <w:spacing w:val="-20"/>
        </w:rPr>
        <w:t> </w:t>
      </w:r>
      <w:r>
        <w:rPr/>
        <w:t>questions,</w:t>
      </w:r>
      <w:r>
        <w:rPr>
          <w:spacing w:val="-20"/>
        </w:rPr>
        <w:t> </w:t>
      </w:r>
      <w:r>
        <w:rPr/>
        <w:t>and</w:t>
      </w:r>
      <w:r>
        <w:rPr>
          <w:spacing w:val="-20"/>
        </w:rPr>
        <w:t> </w:t>
      </w:r>
      <w:r>
        <w:rPr/>
        <w:t>spanning</w:t>
      </w:r>
      <w:r>
        <w:rPr>
          <w:spacing w:val="-20"/>
        </w:rPr>
        <w:t> </w:t>
      </w:r>
      <w:r>
        <w:rPr/>
        <w:t>the University’s</w:t>
      </w:r>
      <w:r>
        <w:rPr>
          <w:spacing w:val="-20"/>
        </w:rPr>
        <w:t> </w:t>
      </w:r>
      <w:r>
        <w:rPr/>
        <w:t>four</w:t>
      </w:r>
      <w:r>
        <w:rPr>
          <w:spacing w:val="-20"/>
        </w:rPr>
        <w:t> </w:t>
      </w:r>
      <w:r>
        <w:rPr/>
        <w:t>key</w:t>
      </w:r>
      <w:r>
        <w:rPr>
          <w:spacing w:val="-20"/>
        </w:rPr>
        <w:t> </w:t>
      </w:r>
      <w:r>
        <w:rPr/>
        <w:t>research</w:t>
      </w:r>
      <w:r>
        <w:rPr>
          <w:spacing w:val="-20"/>
        </w:rPr>
        <w:t> </w:t>
      </w:r>
      <w:r>
        <w:rPr/>
        <w:t>themes</w:t>
      </w:r>
      <w:r>
        <w:rPr>
          <w:spacing w:val="-20"/>
        </w:rPr>
        <w:t> </w:t>
      </w:r>
      <w:r>
        <w:rPr/>
        <w:t>and</w:t>
      </w:r>
      <w:r>
        <w:rPr>
          <w:spacing w:val="-20"/>
        </w:rPr>
        <w:t> </w:t>
      </w:r>
      <w:r>
        <w:rPr/>
        <w:t>the</w:t>
      </w:r>
    </w:p>
    <w:p>
      <w:pPr>
        <w:pStyle w:val="BodyText"/>
        <w:spacing w:line="249" w:lineRule="auto" w:before="71"/>
        <w:ind w:left="205" w:right="-1"/>
      </w:pPr>
      <w:r>
        <w:rPr/>
        <w:br w:type="column"/>
      </w:r>
      <w:r>
        <w:rPr/>
        <w:t>National Science and Research Priorities. In this</w:t>
      </w:r>
      <w:r>
        <w:rPr>
          <w:spacing w:val="-16"/>
        </w:rPr>
        <w:t> </w:t>
      </w:r>
      <w:r>
        <w:rPr/>
        <w:t>respect,</w:t>
      </w:r>
      <w:r>
        <w:rPr>
          <w:spacing w:val="-16"/>
        </w:rPr>
        <w:t> </w:t>
      </w:r>
      <w:r>
        <w:rPr/>
        <w:t>outcomes</w:t>
      </w:r>
      <w:r>
        <w:rPr>
          <w:spacing w:val="-16"/>
        </w:rPr>
        <w:t> </w:t>
      </w:r>
      <w:r>
        <w:rPr/>
        <w:t>delivered</w:t>
      </w:r>
      <w:r>
        <w:rPr>
          <w:spacing w:val="-16"/>
        </w:rPr>
        <w:t> </w:t>
      </w:r>
      <w:r>
        <w:rPr/>
        <w:t>from</w:t>
      </w:r>
      <w:r>
        <w:rPr>
          <w:spacing w:val="-16"/>
        </w:rPr>
        <w:t> </w:t>
      </w:r>
      <w:r>
        <w:rPr/>
        <w:t>projects facilitated by REDI achieve genuine regional and</w:t>
      </w:r>
      <w:r>
        <w:rPr>
          <w:spacing w:val="-21"/>
        </w:rPr>
        <w:t> </w:t>
      </w:r>
      <w:r>
        <w:rPr/>
        <w:t>national</w:t>
      </w:r>
      <w:r>
        <w:rPr>
          <w:spacing w:val="-21"/>
        </w:rPr>
        <w:t> </w:t>
      </w:r>
      <w:r>
        <w:rPr/>
        <w:t>impact.</w:t>
      </w:r>
    </w:p>
    <w:p>
      <w:pPr>
        <w:pStyle w:val="BodyText"/>
        <w:rPr>
          <w:sz w:val="14"/>
        </w:rPr>
      </w:pPr>
    </w:p>
    <w:p>
      <w:pPr>
        <w:pStyle w:val="BodyText"/>
        <w:spacing w:line="249" w:lineRule="auto"/>
        <w:ind w:left="205" w:right="94"/>
      </w:pPr>
      <w:r>
        <w:rPr/>
        <w:t>Following on from the introduction of Easy </w:t>
      </w:r>
      <w:r>
        <w:rPr>
          <w:spacing w:val="1"/>
          <w:w w:val="100"/>
        </w:rPr>
        <w:t>Access</w:t>
      </w:r>
      <w:r>
        <w:rPr>
          <w:w w:val="100"/>
        </w:rPr>
        <w:t> </w:t>
      </w:r>
      <w:r>
        <w:rPr>
          <w:spacing w:val="1"/>
          <w:w w:val="84"/>
        </w:rPr>
        <w:t>IP</w:t>
      </w:r>
      <w:r>
        <w:rPr>
          <w:w w:val="84"/>
        </w:rPr>
        <w:t> </w:t>
      </w:r>
      <w:r>
        <w:rPr>
          <w:w w:val="95"/>
        </w:rPr>
        <w:t>in </w:t>
      </w:r>
      <w:r>
        <w:rPr>
          <w:spacing w:val="1"/>
          <w:w w:val="86"/>
        </w:rPr>
        <w:t>2014,</w:t>
      </w:r>
      <w:r>
        <w:rPr>
          <w:w w:val="86"/>
        </w:rPr>
        <w:t> </w:t>
      </w:r>
      <w:r>
        <w:rPr>
          <w:spacing w:val="1"/>
          <w:w w:val="90"/>
        </w:rPr>
        <w:t>REDI</w:t>
      </w:r>
      <w:r>
        <w:rPr>
          <w:w w:val="90"/>
        </w:rPr>
        <w:t> </w:t>
      </w:r>
      <w:r>
        <w:rPr>
          <w:spacing w:val="1"/>
          <w:w w:val="95"/>
        </w:rPr>
        <w:t>has</w:t>
      </w:r>
      <w:r>
        <w:rPr>
          <w:w w:val="95"/>
        </w:rPr>
        <w:t> </w:t>
      </w:r>
      <w:r>
        <w:rPr>
          <w:w w:val="98"/>
        </w:rPr>
        <w:t>facilitated </w:t>
      </w:r>
      <w:r>
        <w:rPr>
          <w:w w:val="94"/>
        </w:rPr>
        <w:t>a </w:t>
      </w:r>
      <w:r>
        <w:rPr/>
        <w:t>number of new research partnerships to further develop and commercialise Western Sydney</w:t>
      </w:r>
      <w:r>
        <w:rPr>
          <w:spacing w:val="-21"/>
        </w:rPr>
        <w:t> </w:t>
      </w:r>
      <w:r>
        <w:rPr/>
        <w:t>University’s</w:t>
      </w:r>
      <w:r>
        <w:rPr>
          <w:spacing w:val="-21"/>
        </w:rPr>
        <w:t> </w:t>
      </w:r>
      <w:r>
        <w:rPr/>
        <w:t>intellectual</w:t>
      </w:r>
      <w:r>
        <w:rPr>
          <w:spacing w:val="-21"/>
        </w:rPr>
        <w:t> </w:t>
      </w:r>
      <w:r>
        <w:rPr/>
        <w:t>property</w:t>
      </w:r>
      <w:r>
        <w:rPr>
          <w:spacing w:val="-21"/>
        </w:rPr>
        <w:t> </w:t>
      </w:r>
      <w:r>
        <w:rPr/>
        <w:t>(IP). A key focus of these partnerships has been promoting meaningful, ongoing research and development partnerships, as opposed to</w:t>
      </w:r>
      <w:r>
        <w:rPr>
          <w:spacing w:val="-20"/>
        </w:rPr>
        <w:t> </w:t>
      </w:r>
      <w:r>
        <w:rPr/>
        <w:t>traditional</w:t>
      </w:r>
      <w:r>
        <w:rPr>
          <w:spacing w:val="-20"/>
        </w:rPr>
        <w:t> </w:t>
      </w:r>
      <w:r>
        <w:rPr/>
        <w:t>licensing</w:t>
      </w:r>
      <w:r>
        <w:rPr>
          <w:spacing w:val="-20"/>
        </w:rPr>
        <w:t> </w:t>
      </w:r>
      <w:r>
        <w:rPr/>
        <w:t>deals.</w:t>
      </w:r>
      <w:r>
        <w:rPr>
          <w:spacing w:val="-20"/>
        </w:rPr>
        <w:t> </w:t>
      </w:r>
      <w:r>
        <w:rPr/>
        <w:t>For</w:t>
      </w:r>
      <w:r>
        <w:rPr>
          <w:spacing w:val="-20"/>
        </w:rPr>
        <w:t> </w:t>
      </w:r>
      <w:r>
        <w:rPr/>
        <w:t>example,</w:t>
      </w:r>
    </w:p>
    <w:p>
      <w:pPr>
        <w:pStyle w:val="BodyText"/>
        <w:spacing w:line="249" w:lineRule="auto"/>
        <w:ind w:left="205" w:right="214"/>
      </w:pPr>
      <w:r>
        <w:rPr>
          <w:w w:val="95"/>
        </w:rPr>
        <w:t>in </w:t>
      </w:r>
      <w:r>
        <w:rPr>
          <w:w w:val="84"/>
        </w:rPr>
        <w:t>2015, </w:t>
      </w:r>
      <w:r>
        <w:rPr>
          <w:w w:val="90"/>
        </w:rPr>
        <w:t>REDI </w:t>
      </w:r>
      <w:r>
        <w:rPr>
          <w:w w:val="99"/>
        </w:rPr>
        <w:t>supported </w:t>
      </w:r>
      <w:r>
        <w:rPr>
          <w:w w:val="97"/>
        </w:rPr>
        <w:t>the </w:t>
      </w:r>
      <w:r>
        <w:rPr>
          <w:w w:val="97"/>
        </w:rPr>
        <w:t>establishment </w:t>
      </w:r>
      <w:r>
        <w:rPr/>
        <w:t>of a continuing research and development</w:t>
      </w:r>
    </w:p>
    <w:p>
      <w:pPr>
        <w:pStyle w:val="BodyText"/>
        <w:spacing w:line="249" w:lineRule="auto"/>
        <w:ind w:left="205" w:right="-5"/>
      </w:pPr>
      <w:r>
        <w:rPr/>
        <w:t>relationship to commercialise a novel medical device licensed to a local business.</w:t>
      </w:r>
    </w:p>
    <w:p>
      <w:pPr>
        <w:pStyle w:val="BodyText"/>
        <w:rPr>
          <w:sz w:val="14"/>
        </w:rPr>
      </w:pPr>
    </w:p>
    <w:p>
      <w:pPr>
        <w:pStyle w:val="BodyText"/>
        <w:spacing w:line="249" w:lineRule="auto"/>
        <w:ind w:left="205" w:right="118"/>
      </w:pPr>
      <w:r>
        <w:rPr/>
        <w:t>In</w:t>
      </w:r>
      <w:r>
        <w:rPr>
          <w:spacing w:val="-20"/>
        </w:rPr>
        <w:t> </w:t>
      </w:r>
      <w:r>
        <w:rPr/>
        <w:t>addition</w:t>
      </w:r>
      <w:r>
        <w:rPr>
          <w:spacing w:val="-20"/>
        </w:rPr>
        <w:t> </w:t>
      </w:r>
      <w:r>
        <w:rPr/>
        <w:t>to</w:t>
      </w:r>
      <w:r>
        <w:rPr>
          <w:spacing w:val="-20"/>
        </w:rPr>
        <w:t> </w:t>
      </w:r>
      <w:r>
        <w:rPr/>
        <w:t>facilitating</w:t>
      </w:r>
      <w:r>
        <w:rPr>
          <w:spacing w:val="-20"/>
        </w:rPr>
        <w:t> </w:t>
      </w:r>
      <w:r>
        <w:rPr/>
        <w:t>partnerships,</w:t>
      </w:r>
      <w:r>
        <w:rPr>
          <w:spacing w:val="-20"/>
        </w:rPr>
        <w:t> </w:t>
      </w:r>
      <w:r>
        <w:rPr/>
        <w:t>REDI continues to support the development of commercialisation capability at Western Sydney</w:t>
      </w:r>
      <w:r>
        <w:rPr>
          <w:spacing w:val="-23"/>
        </w:rPr>
        <w:t> </w:t>
      </w:r>
      <w:r>
        <w:rPr/>
        <w:t>University.</w:t>
      </w:r>
      <w:r>
        <w:rPr>
          <w:spacing w:val="-23"/>
        </w:rPr>
        <w:t> </w:t>
      </w:r>
      <w:r>
        <w:rPr/>
        <w:t>REDI</w:t>
      </w:r>
      <w:r>
        <w:rPr>
          <w:spacing w:val="-23"/>
        </w:rPr>
        <w:t> </w:t>
      </w:r>
      <w:r>
        <w:rPr/>
        <w:t>delivered</w:t>
      </w:r>
      <w:r>
        <w:rPr>
          <w:spacing w:val="-23"/>
        </w:rPr>
        <w:t> </w:t>
      </w:r>
      <w:r>
        <w:rPr/>
        <w:t>a</w:t>
      </w:r>
      <w:r>
        <w:rPr>
          <w:spacing w:val="-23"/>
        </w:rPr>
        <w:t> </w:t>
      </w:r>
      <w:r>
        <w:rPr/>
        <w:t>targeted series of ‘working with </w:t>
      </w:r>
      <w:r>
        <w:rPr>
          <w:spacing w:val="2"/>
        </w:rPr>
        <w:t>industry’ </w:t>
      </w:r>
      <w:r>
        <w:rPr/>
        <w:t>sessions to </w:t>
      </w:r>
      <w:r>
        <w:rPr>
          <w:w w:val="94"/>
        </w:rPr>
        <w:t>a </w:t>
      </w:r>
      <w:r>
        <w:rPr>
          <w:spacing w:val="1"/>
          <w:w w:val="97"/>
        </w:rPr>
        <w:t>number</w:t>
      </w:r>
      <w:r>
        <w:rPr>
          <w:w w:val="97"/>
        </w:rPr>
        <w:t> </w:t>
      </w:r>
      <w:r>
        <w:rPr>
          <w:w w:val="99"/>
        </w:rPr>
        <w:t>of </w:t>
      </w:r>
      <w:r>
        <w:rPr>
          <w:spacing w:val="1"/>
          <w:w w:val="98"/>
        </w:rPr>
        <w:t>academic</w:t>
      </w:r>
      <w:r>
        <w:rPr>
          <w:w w:val="98"/>
        </w:rPr>
        <w:t> </w:t>
      </w:r>
      <w:r>
        <w:rPr>
          <w:spacing w:val="1"/>
          <w:w w:val="96"/>
        </w:rPr>
        <w:t>units</w:t>
      </w:r>
      <w:r>
        <w:rPr>
          <w:w w:val="96"/>
        </w:rPr>
        <w:t> </w:t>
      </w:r>
      <w:r>
        <w:rPr>
          <w:w w:val="95"/>
        </w:rPr>
        <w:t>in </w:t>
      </w:r>
      <w:r>
        <w:rPr>
          <w:spacing w:val="1"/>
          <w:w w:val="84"/>
        </w:rPr>
        <w:t>2015,</w:t>
      </w:r>
      <w:r>
        <w:rPr>
          <w:w w:val="84"/>
        </w:rPr>
        <w:t> </w:t>
      </w:r>
      <w:r>
        <w:rPr>
          <w:spacing w:val="1"/>
          <w:w w:val="97"/>
        </w:rPr>
        <w:t>and</w:t>
      </w:r>
      <w:r>
        <w:rPr>
          <w:w w:val="97"/>
        </w:rPr>
        <w:t> </w:t>
      </w:r>
      <w:r>
        <w:rPr>
          <w:w w:val="97"/>
        </w:rPr>
        <w:t>will </w:t>
      </w:r>
      <w:r>
        <w:rPr>
          <w:w w:val="98"/>
        </w:rPr>
        <w:t>continue </w:t>
      </w:r>
      <w:r>
        <w:rPr>
          <w:spacing w:val="-1"/>
          <w:w w:val="101"/>
        </w:rPr>
        <w:t>to</w:t>
      </w:r>
      <w:r>
        <w:rPr>
          <w:w w:val="101"/>
        </w:rPr>
        <w:t> </w:t>
      </w:r>
      <w:r>
        <w:rPr>
          <w:w w:val="97"/>
        </w:rPr>
        <w:t>deliver </w:t>
      </w:r>
      <w:r>
        <w:rPr>
          <w:spacing w:val="1"/>
          <w:w w:val="96"/>
        </w:rPr>
        <w:t>these</w:t>
      </w:r>
      <w:r>
        <w:rPr>
          <w:w w:val="96"/>
        </w:rPr>
        <w:t> </w:t>
      </w:r>
      <w:r>
        <w:rPr>
          <w:w w:val="95"/>
        </w:rPr>
        <w:t>in </w:t>
      </w:r>
      <w:r>
        <w:rPr>
          <w:spacing w:val="2"/>
          <w:w w:val="85"/>
        </w:rPr>
        <w:t>2016.</w:t>
      </w:r>
      <w:r>
        <w:rPr>
          <w:w w:val="85"/>
        </w:rPr>
        <w:t> </w:t>
      </w:r>
      <w:r>
        <w:rPr>
          <w:spacing w:val="1"/>
          <w:w w:val="90"/>
        </w:rPr>
        <w:t>REDI</w:t>
      </w:r>
      <w:r>
        <w:rPr>
          <w:w w:val="90"/>
        </w:rPr>
        <w:t> </w:t>
      </w:r>
      <w:r>
        <w:rPr>
          <w:spacing w:val="1"/>
          <w:w w:val="95"/>
        </w:rPr>
        <w:t>has</w:t>
      </w:r>
      <w:r>
        <w:rPr>
          <w:w w:val="95"/>
        </w:rPr>
        <w:t> </w:t>
      </w:r>
      <w:r>
        <w:rPr/>
        <w:t>also supported the University’s provision of a</w:t>
      </w:r>
      <w:r>
        <w:rPr>
          <w:spacing w:val="-16"/>
        </w:rPr>
        <w:t> </w:t>
      </w:r>
      <w:r>
        <w:rPr/>
        <w:t>lead</w:t>
      </w:r>
      <w:r>
        <w:rPr>
          <w:spacing w:val="-16"/>
        </w:rPr>
        <w:t> </w:t>
      </w:r>
      <w:r>
        <w:rPr/>
        <w:t>researcher</w:t>
      </w:r>
      <w:r>
        <w:rPr>
          <w:spacing w:val="-16"/>
        </w:rPr>
        <w:t> </w:t>
      </w:r>
      <w:r>
        <w:rPr/>
        <w:t>to</w:t>
      </w:r>
      <w:r>
        <w:rPr>
          <w:spacing w:val="-16"/>
        </w:rPr>
        <w:t> </w:t>
      </w:r>
      <w:r>
        <w:rPr/>
        <w:t>complete</w:t>
      </w:r>
      <w:r>
        <w:rPr>
          <w:spacing w:val="-16"/>
        </w:rPr>
        <w:t> </w:t>
      </w:r>
      <w:r>
        <w:rPr/>
        <w:t>an</w:t>
      </w:r>
      <w:r>
        <w:rPr>
          <w:spacing w:val="-16"/>
        </w:rPr>
        <w:t> </w:t>
      </w:r>
      <w:r>
        <w:rPr/>
        <w:t>incubation program</w:t>
      </w:r>
      <w:r>
        <w:rPr>
          <w:spacing w:val="-18"/>
        </w:rPr>
        <w:t> </w:t>
      </w:r>
      <w:r>
        <w:rPr/>
        <w:t>run</w:t>
      </w:r>
      <w:r>
        <w:rPr>
          <w:spacing w:val="-18"/>
        </w:rPr>
        <w:t> </w:t>
      </w:r>
      <w:r>
        <w:rPr/>
        <w:t>by</w:t>
      </w:r>
      <w:r>
        <w:rPr>
          <w:spacing w:val="-18"/>
        </w:rPr>
        <w:t> </w:t>
      </w:r>
      <w:r>
        <w:rPr/>
        <w:t>Innovyz,</w:t>
      </w:r>
      <w:r>
        <w:rPr>
          <w:spacing w:val="-18"/>
        </w:rPr>
        <w:t> </w:t>
      </w:r>
      <w:r>
        <w:rPr/>
        <w:t>with</w:t>
      </w:r>
      <w:r>
        <w:rPr>
          <w:spacing w:val="-18"/>
        </w:rPr>
        <w:t> </w:t>
      </w:r>
      <w:r>
        <w:rPr/>
        <w:t>the</w:t>
      </w:r>
      <w:r>
        <w:rPr>
          <w:spacing w:val="-18"/>
        </w:rPr>
        <w:t> </w:t>
      </w:r>
      <w:r>
        <w:rPr/>
        <w:t>next</w:t>
      </w:r>
    </w:p>
    <w:p>
      <w:pPr>
        <w:pStyle w:val="BodyText"/>
        <w:spacing w:line="249" w:lineRule="auto"/>
        <w:ind w:left="205" w:right="-5"/>
      </w:pPr>
      <w:r>
        <w:rPr/>
        <w:t>stage of commercialisation of the extremely </w:t>
      </w:r>
      <w:r>
        <w:rPr>
          <w:w w:val="97"/>
        </w:rPr>
        <w:t>promising </w:t>
      </w:r>
      <w:r>
        <w:rPr>
          <w:w w:val="99"/>
        </w:rPr>
        <w:t>technology </w:t>
      </w:r>
      <w:r>
        <w:rPr>
          <w:w w:val="101"/>
        </w:rPr>
        <w:t>to </w:t>
      </w:r>
      <w:r>
        <w:rPr>
          <w:w w:val="98"/>
        </w:rPr>
        <w:t>commence </w:t>
      </w:r>
      <w:r>
        <w:rPr>
          <w:w w:val="95"/>
        </w:rPr>
        <w:t>in </w:t>
      </w:r>
      <w:r>
        <w:rPr>
          <w:w w:val="85"/>
        </w:rPr>
        <w:t>2016. </w:t>
      </w:r>
      <w:r>
        <w:rPr/>
        <w:t>Further, REDI has entered into a partnership arrangement with Sydney-based patent and trade mark firm FB Rice. This partnership consolidates Western Sydney University’s IP portfolio and gives the research community a pathway to innovation support.</w:t>
      </w:r>
    </w:p>
    <w:p>
      <w:pPr>
        <w:pStyle w:val="BodyText"/>
        <w:rPr>
          <w:sz w:val="14"/>
        </w:rPr>
      </w:pPr>
    </w:p>
    <w:p>
      <w:pPr>
        <w:pStyle w:val="BodyText"/>
        <w:spacing w:line="249" w:lineRule="auto"/>
        <w:ind w:left="205" w:right="338"/>
      </w:pPr>
      <w:r>
        <w:rPr>
          <w:w w:val="80"/>
        </w:rPr>
        <w:t>In </w:t>
      </w:r>
      <w:r>
        <w:rPr>
          <w:w w:val="97"/>
        </w:rPr>
        <w:t>late </w:t>
      </w:r>
      <w:r>
        <w:rPr>
          <w:w w:val="84"/>
        </w:rPr>
        <w:t>2015, </w:t>
      </w:r>
      <w:r>
        <w:rPr>
          <w:w w:val="92"/>
        </w:rPr>
        <w:t>REDI’s </w:t>
      </w:r>
      <w:r>
        <w:rPr>
          <w:w w:val="99"/>
        </w:rPr>
        <w:t>scope </w:t>
      </w:r>
      <w:r>
        <w:rPr>
          <w:w w:val="96"/>
        </w:rPr>
        <w:t>was </w:t>
      </w:r>
      <w:r>
        <w:rPr>
          <w:w w:val="98"/>
        </w:rPr>
        <w:t>expanded </w:t>
      </w:r>
      <w:r>
        <w:rPr/>
        <w:t>to include support for competitive grant</w:t>
      </w:r>
    </w:p>
    <w:p>
      <w:pPr>
        <w:pStyle w:val="BodyText"/>
        <w:spacing w:line="249" w:lineRule="auto"/>
        <w:ind w:left="205" w:right="117"/>
      </w:pPr>
      <w:r>
        <w:rPr/>
        <w:t>funding.</w:t>
      </w:r>
      <w:r>
        <w:rPr>
          <w:spacing w:val="-20"/>
        </w:rPr>
        <w:t> </w:t>
      </w:r>
      <w:r>
        <w:rPr/>
        <w:t>This</w:t>
      </w:r>
      <w:r>
        <w:rPr>
          <w:spacing w:val="-20"/>
        </w:rPr>
        <w:t> </w:t>
      </w:r>
      <w:r>
        <w:rPr/>
        <w:t>resulted</w:t>
      </w:r>
      <w:r>
        <w:rPr>
          <w:spacing w:val="-20"/>
        </w:rPr>
        <w:t> </w:t>
      </w:r>
      <w:r>
        <w:rPr/>
        <w:t>in</w:t>
      </w:r>
      <w:r>
        <w:rPr>
          <w:spacing w:val="-20"/>
        </w:rPr>
        <w:t> </w:t>
      </w:r>
      <w:r>
        <w:rPr/>
        <w:t>the</w:t>
      </w:r>
      <w:r>
        <w:rPr>
          <w:spacing w:val="-20"/>
        </w:rPr>
        <w:t> </w:t>
      </w:r>
      <w:r>
        <w:rPr/>
        <w:t>closer</w:t>
      </w:r>
      <w:r>
        <w:rPr>
          <w:spacing w:val="-20"/>
        </w:rPr>
        <w:t> </w:t>
      </w:r>
      <w:r>
        <w:rPr/>
        <w:t>alignment of research development and business development support for the research community – ensuring seamless support across</w:t>
      </w:r>
      <w:r>
        <w:rPr>
          <w:spacing w:val="-17"/>
        </w:rPr>
        <w:t> </w:t>
      </w:r>
      <w:r>
        <w:rPr/>
        <w:t>a</w:t>
      </w:r>
      <w:r>
        <w:rPr>
          <w:spacing w:val="-17"/>
        </w:rPr>
        <w:t> </w:t>
      </w:r>
      <w:r>
        <w:rPr/>
        <w:t>wide</w:t>
      </w:r>
      <w:r>
        <w:rPr>
          <w:spacing w:val="-17"/>
        </w:rPr>
        <w:t> </w:t>
      </w:r>
      <w:r>
        <w:rPr/>
        <w:t>range</w:t>
      </w:r>
      <w:r>
        <w:rPr>
          <w:spacing w:val="-17"/>
        </w:rPr>
        <w:t> </w:t>
      </w:r>
      <w:r>
        <w:rPr/>
        <w:t>of</w:t>
      </w:r>
      <w:r>
        <w:rPr>
          <w:spacing w:val="-17"/>
        </w:rPr>
        <w:t> </w:t>
      </w:r>
      <w:r>
        <w:rPr/>
        <w:t>external</w:t>
      </w:r>
      <w:r>
        <w:rPr>
          <w:spacing w:val="-17"/>
        </w:rPr>
        <w:t> </w:t>
      </w:r>
      <w:r>
        <w:rPr/>
        <w:t>research</w:t>
      </w:r>
      <w:r>
        <w:rPr>
          <w:spacing w:val="-17"/>
        </w:rPr>
        <w:t> </w:t>
      </w:r>
      <w:r>
        <w:rPr/>
        <w:t>and commercial</w:t>
      </w:r>
      <w:r>
        <w:rPr>
          <w:spacing w:val="-19"/>
        </w:rPr>
        <w:t> </w:t>
      </w:r>
      <w:r>
        <w:rPr/>
        <w:t>opportunities</w:t>
      </w:r>
      <w:r>
        <w:rPr>
          <w:spacing w:val="-19"/>
        </w:rPr>
        <w:t> </w:t>
      </w:r>
      <w:r>
        <w:rPr/>
        <w:t>in</w:t>
      </w:r>
      <w:r>
        <w:rPr>
          <w:spacing w:val="-19"/>
        </w:rPr>
        <w:t> </w:t>
      </w:r>
      <w:r>
        <w:rPr/>
        <w:t>the</w:t>
      </w:r>
      <w:r>
        <w:rPr>
          <w:spacing w:val="-19"/>
        </w:rPr>
        <w:t> </w:t>
      </w:r>
      <w:r>
        <w:rPr/>
        <w:t>future.</w:t>
      </w:r>
    </w:p>
    <w:p>
      <w:pPr>
        <w:pStyle w:val="BodyText"/>
      </w:pPr>
    </w:p>
    <w:p>
      <w:pPr>
        <w:spacing w:line="260" w:lineRule="exact" w:before="101"/>
        <w:ind w:left="210" w:right="-1" w:hanging="4"/>
        <w:jc w:val="left"/>
        <w:rPr>
          <w:rFonts w:ascii="Gotham Narrow Bold"/>
          <w:b/>
          <w:sz w:val="24"/>
        </w:rPr>
      </w:pPr>
      <w:r>
        <w:rPr>
          <w:rFonts w:ascii="Gotham Narrow Bold"/>
          <w:b/>
          <w:w w:val="95"/>
          <w:sz w:val="24"/>
        </w:rPr>
        <w:t>GRADUATE RESEARCH </w:t>
      </w:r>
      <w:r>
        <w:rPr>
          <w:rFonts w:ascii="Gotham Narrow Bold"/>
          <w:b/>
          <w:sz w:val="24"/>
        </w:rPr>
        <w:t>SCHOOL</w:t>
      </w:r>
    </w:p>
    <w:p>
      <w:pPr>
        <w:pStyle w:val="BodyText"/>
        <w:spacing w:before="6"/>
        <w:rPr>
          <w:rFonts w:ascii="Gotham Narrow Bold"/>
          <w:b/>
          <w:sz w:val="25"/>
        </w:rPr>
      </w:pPr>
    </w:p>
    <w:p>
      <w:pPr>
        <w:pStyle w:val="Heading8"/>
        <w:ind w:left="205" w:right="-1"/>
      </w:pPr>
      <w:r>
        <w:rPr/>
        <w:t>OVERVIEW</w:t>
      </w:r>
    </w:p>
    <w:p>
      <w:pPr>
        <w:pStyle w:val="BodyText"/>
        <w:spacing w:line="249" w:lineRule="auto" w:before="86"/>
        <w:ind w:left="205" w:right="-1"/>
      </w:pPr>
      <w:r>
        <w:rPr/>
        <w:t>The Graduate Research School (GRS) commenced</w:t>
      </w:r>
      <w:r>
        <w:rPr>
          <w:spacing w:val="-27"/>
        </w:rPr>
        <w:t> </w:t>
      </w:r>
      <w:r>
        <w:rPr/>
        <w:t>operations</w:t>
      </w:r>
      <w:r>
        <w:rPr>
          <w:spacing w:val="-27"/>
        </w:rPr>
        <w:t> </w:t>
      </w:r>
      <w:r>
        <w:rPr/>
        <w:t>on</w:t>
      </w:r>
      <w:r>
        <w:rPr>
          <w:spacing w:val="-27"/>
        </w:rPr>
        <w:t> </w:t>
      </w:r>
      <w:r>
        <w:rPr>
          <w:w w:val="95"/>
        </w:rPr>
        <w:t>1</w:t>
      </w:r>
      <w:r>
        <w:rPr>
          <w:spacing w:val="-25"/>
          <w:w w:val="95"/>
        </w:rPr>
        <w:t> </w:t>
      </w:r>
      <w:r>
        <w:rPr/>
        <w:t>February</w:t>
      </w:r>
      <w:r>
        <w:rPr>
          <w:spacing w:val="-27"/>
        </w:rPr>
        <w:t> </w:t>
      </w:r>
      <w:r>
        <w:rPr/>
        <w:t>2015.</w:t>
      </w:r>
    </w:p>
    <w:p>
      <w:pPr>
        <w:pStyle w:val="BodyText"/>
        <w:spacing w:line="249" w:lineRule="auto" w:before="71"/>
        <w:ind w:left="187" w:right="391"/>
      </w:pPr>
      <w:r>
        <w:rPr/>
        <w:br w:type="column"/>
      </w:r>
      <w:r>
        <w:rPr/>
        <w:t>As</w:t>
      </w:r>
      <w:r>
        <w:rPr>
          <w:spacing w:val="-15"/>
        </w:rPr>
        <w:t> </w:t>
      </w:r>
      <w:r>
        <w:rPr>
          <w:spacing w:val="2"/>
        </w:rPr>
        <w:t>part</w:t>
      </w:r>
      <w:r>
        <w:rPr>
          <w:spacing w:val="-15"/>
        </w:rPr>
        <w:t> </w:t>
      </w:r>
      <w:r>
        <w:rPr/>
        <w:t>of</w:t>
      </w:r>
      <w:r>
        <w:rPr>
          <w:spacing w:val="-15"/>
        </w:rPr>
        <w:t> </w:t>
      </w:r>
      <w:r>
        <w:rPr/>
        <w:t>establishing</w:t>
      </w:r>
      <w:r>
        <w:rPr>
          <w:spacing w:val="-15"/>
        </w:rPr>
        <w:t> </w:t>
      </w:r>
      <w:r>
        <w:rPr/>
        <w:t>the</w:t>
      </w:r>
      <w:r>
        <w:rPr>
          <w:spacing w:val="-15"/>
        </w:rPr>
        <w:t> </w:t>
      </w:r>
      <w:r>
        <w:rPr>
          <w:spacing w:val="2"/>
        </w:rPr>
        <w:t>GRS,</w:t>
      </w:r>
      <w:r>
        <w:rPr>
          <w:spacing w:val="-15"/>
        </w:rPr>
        <w:t> </w:t>
      </w:r>
      <w:r>
        <w:rPr/>
        <w:t>the</w:t>
      </w:r>
      <w:r>
        <w:rPr>
          <w:spacing w:val="-15"/>
        </w:rPr>
        <w:t> </w:t>
      </w:r>
      <w:r>
        <w:rPr/>
        <w:t>structure and</w:t>
      </w:r>
      <w:r>
        <w:rPr>
          <w:spacing w:val="-18"/>
        </w:rPr>
        <w:t> </w:t>
      </w:r>
      <w:r>
        <w:rPr/>
        <w:t>administration</w:t>
      </w:r>
      <w:r>
        <w:rPr>
          <w:spacing w:val="-18"/>
        </w:rPr>
        <w:t> </w:t>
      </w:r>
      <w:r>
        <w:rPr/>
        <w:t>of</w:t>
      </w:r>
      <w:r>
        <w:rPr>
          <w:spacing w:val="-18"/>
        </w:rPr>
        <w:t> </w:t>
      </w:r>
      <w:r>
        <w:rPr/>
        <w:t>higher</w:t>
      </w:r>
      <w:r>
        <w:rPr>
          <w:spacing w:val="-18"/>
        </w:rPr>
        <w:t> </w:t>
      </w:r>
      <w:r>
        <w:rPr/>
        <w:t>degree</w:t>
      </w:r>
      <w:r>
        <w:rPr>
          <w:spacing w:val="-18"/>
        </w:rPr>
        <w:t> </w:t>
      </w:r>
      <w:r>
        <w:rPr/>
        <w:t>research (HDR) was reorganised and centralised under the new School. The GRS is now the single point of contact for all </w:t>
      </w:r>
      <w:r>
        <w:rPr>
          <w:spacing w:val="2"/>
        </w:rPr>
        <w:t>HDR </w:t>
      </w:r>
      <w:r>
        <w:rPr/>
        <w:t>matters and training, increasing the quality and consistency</w:t>
      </w:r>
      <w:r>
        <w:rPr>
          <w:spacing w:val="-13"/>
        </w:rPr>
        <w:t> </w:t>
      </w:r>
      <w:r>
        <w:rPr/>
        <w:t>of</w:t>
      </w:r>
      <w:r>
        <w:rPr>
          <w:spacing w:val="-13"/>
        </w:rPr>
        <w:t> </w:t>
      </w:r>
      <w:r>
        <w:rPr/>
        <w:t>support</w:t>
      </w:r>
      <w:r>
        <w:rPr>
          <w:spacing w:val="-13"/>
        </w:rPr>
        <w:t> </w:t>
      </w:r>
      <w:r>
        <w:rPr/>
        <w:t>for</w:t>
      </w:r>
      <w:r>
        <w:rPr>
          <w:spacing w:val="-13"/>
        </w:rPr>
        <w:t> </w:t>
      </w:r>
      <w:r>
        <w:rPr/>
        <w:t>research</w:t>
      </w:r>
      <w:r>
        <w:rPr>
          <w:spacing w:val="-13"/>
        </w:rPr>
        <w:t> </w:t>
      </w:r>
      <w:r>
        <w:rPr/>
        <w:t>students across Western Sydney University and strengthening</w:t>
      </w:r>
      <w:r>
        <w:rPr>
          <w:spacing w:val="-15"/>
        </w:rPr>
        <w:t> </w:t>
      </w:r>
      <w:r>
        <w:rPr/>
        <w:t>the</w:t>
      </w:r>
      <w:r>
        <w:rPr>
          <w:spacing w:val="-15"/>
        </w:rPr>
        <w:t> </w:t>
      </w:r>
      <w:r>
        <w:rPr/>
        <w:t>University’s</w:t>
      </w:r>
      <w:r>
        <w:rPr>
          <w:spacing w:val="-15"/>
        </w:rPr>
        <w:t> </w:t>
      </w:r>
      <w:r>
        <w:rPr/>
        <w:t>support</w:t>
      </w:r>
      <w:r>
        <w:rPr>
          <w:spacing w:val="-15"/>
        </w:rPr>
        <w:t> </w:t>
      </w:r>
      <w:r>
        <w:rPr/>
        <w:t>for</w:t>
      </w:r>
      <w:r>
        <w:rPr>
          <w:spacing w:val="-15"/>
        </w:rPr>
        <w:t> </w:t>
      </w:r>
      <w:r>
        <w:rPr/>
        <w:t>its</w:t>
      </w:r>
    </w:p>
    <w:p>
      <w:pPr>
        <w:pStyle w:val="BodyText"/>
        <w:spacing w:line="192" w:lineRule="exact"/>
        <w:ind w:left="187" w:right="96"/>
      </w:pPr>
      <w:r>
        <w:rPr/>
        <w:t>growing international research student cohort.</w:t>
      </w:r>
    </w:p>
    <w:p>
      <w:pPr>
        <w:pStyle w:val="BodyText"/>
        <w:spacing w:before="7"/>
        <w:rPr>
          <w:sz w:val="14"/>
        </w:rPr>
      </w:pPr>
    </w:p>
    <w:p>
      <w:pPr>
        <w:pStyle w:val="BodyText"/>
        <w:spacing w:line="244" w:lineRule="auto"/>
        <w:ind w:left="187" w:right="599"/>
      </w:pPr>
      <w:r>
        <w:rPr/>
        <w:t>In</w:t>
      </w:r>
      <w:r>
        <w:rPr>
          <w:spacing w:val="-33"/>
        </w:rPr>
        <w:t> </w:t>
      </w:r>
      <w:r>
        <w:rPr/>
        <w:t>alignment</w:t>
      </w:r>
      <w:r>
        <w:rPr>
          <w:spacing w:val="-33"/>
        </w:rPr>
        <w:t> </w:t>
      </w:r>
      <w:r>
        <w:rPr/>
        <w:t>with</w:t>
      </w:r>
      <w:r>
        <w:rPr>
          <w:spacing w:val="-33"/>
        </w:rPr>
        <w:t> </w:t>
      </w:r>
      <w:r>
        <w:rPr/>
        <w:t>the</w:t>
      </w:r>
      <w:r>
        <w:rPr>
          <w:spacing w:val="-33"/>
        </w:rPr>
        <w:t> </w:t>
      </w:r>
      <w:r>
        <w:rPr/>
        <w:t>University’s</w:t>
      </w:r>
      <w:r>
        <w:rPr>
          <w:spacing w:val="-33"/>
        </w:rPr>
        <w:t> </w:t>
      </w:r>
      <w:r>
        <w:rPr>
          <w:rFonts w:ascii="Century Gothic" w:hAnsi="Century Gothic"/>
          <w:i/>
        </w:rPr>
        <w:t>Securing </w:t>
      </w:r>
      <w:r>
        <w:rPr>
          <w:rFonts w:ascii="Century Gothic" w:hAnsi="Century Gothic"/>
          <w:i/>
          <w:spacing w:val="1"/>
          <w:w w:val="90"/>
        </w:rPr>
        <w:t>Success</w:t>
      </w:r>
      <w:r>
        <w:rPr>
          <w:rFonts w:ascii="Century Gothic" w:hAnsi="Century Gothic"/>
          <w:i/>
          <w:w w:val="90"/>
        </w:rPr>
        <w:t> </w:t>
      </w:r>
      <w:r>
        <w:rPr>
          <w:spacing w:val="1"/>
          <w:w w:val="92"/>
        </w:rPr>
        <w:t>2015–20</w:t>
      </w:r>
      <w:r>
        <w:rPr>
          <w:w w:val="92"/>
        </w:rPr>
        <w:t> </w:t>
      </w:r>
      <w:r>
        <w:rPr>
          <w:w w:val="98"/>
        </w:rPr>
        <w:t>Strategic </w:t>
      </w:r>
      <w:r>
        <w:rPr>
          <w:spacing w:val="1"/>
          <w:w w:val="91"/>
        </w:rPr>
        <w:t>Plan,</w:t>
      </w:r>
      <w:r>
        <w:rPr>
          <w:w w:val="91"/>
        </w:rPr>
        <w:t> </w:t>
      </w:r>
      <w:r>
        <w:rPr>
          <w:w w:val="97"/>
        </w:rPr>
        <w:t>the </w:t>
      </w:r>
      <w:r>
        <w:rPr>
          <w:spacing w:val="1"/>
          <w:w w:val="99"/>
        </w:rPr>
        <w:t>GRS</w:t>
      </w:r>
      <w:r>
        <w:rPr>
          <w:w w:val="99"/>
        </w:rPr>
        <w:t> </w:t>
      </w:r>
      <w:r>
        <w:rPr>
          <w:w w:val="98"/>
        </w:rPr>
        <w:t>concentrated</w:t>
      </w:r>
      <w:r>
        <w:rPr>
          <w:spacing w:val="-8"/>
          <w:w w:val="98"/>
        </w:rPr>
        <w:t> </w:t>
      </w:r>
      <w:r>
        <w:rPr>
          <w:spacing w:val="1"/>
          <w:w w:val="98"/>
        </w:rPr>
        <w:t>on</w:t>
      </w:r>
      <w:r>
        <w:rPr>
          <w:spacing w:val="-8"/>
          <w:w w:val="98"/>
        </w:rPr>
        <w:t> </w:t>
      </w:r>
      <w:r>
        <w:rPr>
          <w:w w:val="97"/>
        </w:rPr>
        <w:t>five</w:t>
      </w:r>
      <w:r>
        <w:rPr>
          <w:spacing w:val="-8"/>
          <w:w w:val="97"/>
        </w:rPr>
        <w:t> </w:t>
      </w:r>
      <w:r>
        <w:rPr>
          <w:spacing w:val="-1"/>
          <w:w w:val="98"/>
        </w:rPr>
        <w:t>key</w:t>
      </w:r>
      <w:r>
        <w:rPr>
          <w:spacing w:val="-8"/>
          <w:w w:val="98"/>
        </w:rPr>
        <w:t> </w:t>
      </w:r>
      <w:r>
        <w:rPr>
          <w:spacing w:val="1"/>
          <w:w w:val="97"/>
        </w:rPr>
        <w:t>priorities</w:t>
      </w:r>
      <w:r>
        <w:rPr>
          <w:spacing w:val="-8"/>
          <w:w w:val="97"/>
        </w:rPr>
        <w:t> </w:t>
      </w:r>
      <w:r>
        <w:rPr>
          <w:w w:val="95"/>
        </w:rPr>
        <w:t>in</w:t>
      </w:r>
      <w:r>
        <w:rPr>
          <w:spacing w:val="-7"/>
          <w:w w:val="95"/>
        </w:rPr>
        <w:t> </w:t>
      </w:r>
      <w:r>
        <w:rPr>
          <w:spacing w:val="1"/>
          <w:w w:val="83"/>
        </w:rPr>
        <w:t>2015:</w:t>
      </w:r>
    </w:p>
    <w:p>
      <w:pPr>
        <w:pStyle w:val="BodyText"/>
        <w:spacing w:before="3"/>
        <w:rPr>
          <w:sz w:val="13"/>
        </w:rPr>
      </w:pPr>
    </w:p>
    <w:p>
      <w:pPr>
        <w:pStyle w:val="ListParagraph"/>
        <w:numPr>
          <w:ilvl w:val="2"/>
          <w:numId w:val="1"/>
        </w:numPr>
        <w:tabs>
          <w:tab w:pos="415" w:val="left" w:leader="none"/>
        </w:tabs>
        <w:spacing w:line="244" w:lineRule="auto" w:before="0" w:after="0"/>
        <w:ind w:left="414" w:right="387" w:hanging="227"/>
        <w:jc w:val="left"/>
        <w:rPr>
          <w:sz w:val="16"/>
        </w:rPr>
      </w:pPr>
      <w:r>
        <w:rPr>
          <w:sz w:val="16"/>
        </w:rPr>
        <w:t>Building a whole-of-student</w:t>
      </w:r>
      <w:r>
        <w:rPr>
          <w:rFonts w:ascii="Gotham Narrow Book"/>
          <w:b w:val="0"/>
          <w:sz w:val="18"/>
        </w:rPr>
        <w:t>-j</w:t>
      </w:r>
      <w:r>
        <w:rPr>
          <w:sz w:val="16"/>
        </w:rPr>
        <w:t>ourney approach by ensuring a smooth and fruitful journey for the student from their first</w:t>
      </w:r>
      <w:r>
        <w:rPr>
          <w:spacing w:val="-15"/>
          <w:sz w:val="16"/>
        </w:rPr>
        <w:t> </w:t>
      </w:r>
      <w:r>
        <w:rPr>
          <w:sz w:val="16"/>
        </w:rPr>
        <w:t>interaction</w:t>
      </w:r>
      <w:r>
        <w:rPr>
          <w:spacing w:val="-15"/>
          <w:sz w:val="16"/>
        </w:rPr>
        <w:t> </w:t>
      </w:r>
      <w:r>
        <w:rPr>
          <w:sz w:val="16"/>
        </w:rPr>
        <w:t>with</w:t>
      </w:r>
      <w:r>
        <w:rPr>
          <w:spacing w:val="-15"/>
          <w:sz w:val="16"/>
        </w:rPr>
        <w:t> </w:t>
      </w:r>
      <w:r>
        <w:rPr>
          <w:sz w:val="16"/>
        </w:rPr>
        <w:t>the</w:t>
      </w:r>
      <w:r>
        <w:rPr>
          <w:spacing w:val="-15"/>
          <w:sz w:val="16"/>
        </w:rPr>
        <w:t> </w:t>
      </w:r>
      <w:r>
        <w:rPr>
          <w:sz w:val="16"/>
        </w:rPr>
        <w:t>University</w:t>
      </w:r>
      <w:r>
        <w:rPr>
          <w:spacing w:val="-15"/>
          <w:sz w:val="16"/>
        </w:rPr>
        <w:t> </w:t>
      </w:r>
      <w:r>
        <w:rPr>
          <w:sz w:val="16"/>
        </w:rPr>
        <w:t>to</w:t>
      </w:r>
      <w:r>
        <w:rPr>
          <w:spacing w:val="-15"/>
          <w:sz w:val="16"/>
        </w:rPr>
        <w:t> </w:t>
      </w:r>
      <w:r>
        <w:rPr>
          <w:sz w:val="16"/>
        </w:rPr>
        <w:t>their graduation</w:t>
      </w:r>
    </w:p>
    <w:p>
      <w:pPr>
        <w:pStyle w:val="ListParagraph"/>
        <w:numPr>
          <w:ilvl w:val="2"/>
          <w:numId w:val="1"/>
        </w:numPr>
        <w:tabs>
          <w:tab w:pos="415" w:val="left" w:leader="none"/>
        </w:tabs>
        <w:spacing w:line="244" w:lineRule="auto" w:before="59" w:after="0"/>
        <w:ind w:left="414" w:right="368" w:hanging="227"/>
        <w:jc w:val="left"/>
        <w:rPr>
          <w:sz w:val="16"/>
        </w:rPr>
      </w:pPr>
      <w:r>
        <w:rPr>
          <w:sz w:val="16"/>
        </w:rPr>
        <w:t>Working</w:t>
      </w:r>
      <w:r>
        <w:rPr>
          <w:spacing w:val="-18"/>
          <w:sz w:val="16"/>
        </w:rPr>
        <w:t> </w:t>
      </w:r>
      <w:r>
        <w:rPr>
          <w:sz w:val="16"/>
        </w:rPr>
        <w:t>with</w:t>
      </w:r>
      <w:r>
        <w:rPr>
          <w:spacing w:val="-18"/>
          <w:sz w:val="16"/>
        </w:rPr>
        <w:t> </w:t>
      </w:r>
      <w:r>
        <w:rPr>
          <w:sz w:val="16"/>
        </w:rPr>
        <w:t>the</w:t>
      </w:r>
      <w:r>
        <w:rPr>
          <w:spacing w:val="-18"/>
          <w:sz w:val="16"/>
        </w:rPr>
        <w:t> </w:t>
      </w:r>
      <w:r>
        <w:rPr>
          <w:sz w:val="16"/>
        </w:rPr>
        <w:t>Red</w:t>
      </w:r>
      <w:r>
        <w:rPr>
          <w:spacing w:val="-18"/>
          <w:sz w:val="16"/>
        </w:rPr>
        <w:t> </w:t>
      </w:r>
      <w:r>
        <w:rPr>
          <w:sz w:val="16"/>
        </w:rPr>
        <w:t>Tape</w:t>
      </w:r>
      <w:r>
        <w:rPr>
          <w:spacing w:val="-18"/>
          <w:sz w:val="16"/>
        </w:rPr>
        <w:t> </w:t>
      </w:r>
      <w:r>
        <w:rPr>
          <w:sz w:val="16"/>
        </w:rPr>
        <w:t>Task</w:t>
      </w:r>
      <w:r>
        <w:rPr>
          <w:spacing w:val="-18"/>
          <w:sz w:val="16"/>
        </w:rPr>
        <w:t> </w:t>
      </w:r>
      <w:r>
        <w:rPr>
          <w:sz w:val="16"/>
        </w:rPr>
        <w:t>Force</w:t>
      </w:r>
      <w:r>
        <w:rPr>
          <w:spacing w:val="-18"/>
          <w:sz w:val="16"/>
        </w:rPr>
        <w:t> </w:t>
      </w:r>
      <w:r>
        <w:rPr>
          <w:sz w:val="16"/>
        </w:rPr>
        <w:t>and Solutions and Project Services to improve service</w:t>
      </w:r>
      <w:r>
        <w:rPr>
          <w:spacing w:val="-18"/>
          <w:sz w:val="16"/>
        </w:rPr>
        <w:t> </w:t>
      </w:r>
      <w:r>
        <w:rPr>
          <w:sz w:val="16"/>
        </w:rPr>
        <w:t>delivery</w:t>
      </w:r>
      <w:r>
        <w:rPr>
          <w:spacing w:val="-18"/>
          <w:sz w:val="16"/>
        </w:rPr>
        <w:t> </w:t>
      </w:r>
      <w:r>
        <w:rPr>
          <w:sz w:val="16"/>
        </w:rPr>
        <w:t>on</w:t>
      </w:r>
      <w:r>
        <w:rPr>
          <w:spacing w:val="-18"/>
          <w:sz w:val="16"/>
        </w:rPr>
        <w:t> </w:t>
      </w:r>
      <w:r>
        <w:rPr>
          <w:sz w:val="16"/>
        </w:rPr>
        <w:t>this</w:t>
      </w:r>
      <w:r>
        <w:rPr>
          <w:spacing w:val="-18"/>
          <w:sz w:val="16"/>
        </w:rPr>
        <w:t> </w:t>
      </w:r>
      <w:r>
        <w:rPr>
          <w:sz w:val="16"/>
        </w:rPr>
        <w:t>journey</w:t>
      </w:r>
    </w:p>
    <w:p>
      <w:pPr>
        <w:pStyle w:val="ListParagraph"/>
        <w:numPr>
          <w:ilvl w:val="2"/>
          <w:numId w:val="1"/>
        </w:numPr>
        <w:tabs>
          <w:tab w:pos="415" w:val="left" w:leader="none"/>
        </w:tabs>
        <w:spacing w:line="240" w:lineRule="auto" w:before="59" w:after="0"/>
        <w:ind w:left="414" w:right="0" w:hanging="227"/>
        <w:jc w:val="left"/>
        <w:rPr>
          <w:sz w:val="16"/>
        </w:rPr>
      </w:pPr>
      <w:r>
        <w:rPr>
          <w:sz w:val="16"/>
        </w:rPr>
        <w:t>Building</w:t>
      </w:r>
      <w:r>
        <w:rPr>
          <w:spacing w:val="-11"/>
          <w:sz w:val="16"/>
        </w:rPr>
        <w:t> </w:t>
      </w:r>
      <w:r>
        <w:rPr>
          <w:sz w:val="16"/>
        </w:rPr>
        <w:t>a</w:t>
      </w:r>
      <w:r>
        <w:rPr>
          <w:spacing w:val="-11"/>
          <w:sz w:val="16"/>
        </w:rPr>
        <w:t> </w:t>
      </w:r>
      <w:r>
        <w:rPr>
          <w:sz w:val="16"/>
        </w:rPr>
        <w:t>cohort</w:t>
      </w:r>
      <w:r>
        <w:rPr>
          <w:spacing w:val="-11"/>
          <w:sz w:val="16"/>
        </w:rPr>
        <w:t> </w:t>
      </w:r>
      <w:r>
        <w:rPr>
          <w:sz w:val="16"/>
        </w:rPr>
        <w:t>identity</w:t>
      </w:r>
      <w:r>
        <w:rPr>
          <w:spacing w:val="-11"/>
          <w:sz w:val="16"/>
        </w:rPr>
        <w:t> </w:t>
      </w:r>
      <w:r>
        <w:rPr>
          <w:sz w:val="16"/>
        </w:rPr>
        <w:t>for</w:t>
      </w:r>
      <w:r>
        <w:rPr>
          <w:spacing w:val="-11"/>
          <w:sz w:val="16"/>
        </w:rPr>
        <w:t> </w:t>
      </w:r>
      <w:r>
        <w:rPr>
          <w:spacing w:val="2"/>
          <w:sz w:val="16"/>
        </w:rPr>
        <w:t>HDR</w:t>
      </w:r>
      <w:r>
        <w:rPr>
          <w:spacing w:val="-11"/>
          <w:sz w:val="16"/>
        </w:rPr>
        <w:t> </w:t>
      </w:r>
      <w:r>
        <w:rPr>
          <w:sz w:val="16"/>
        </w:rPr>
        <w:t>students</w:t>
      </w:r>
    </w:p>
    <w:p>
      <w:pPr>
        <w:pStyle w:val="ListParagraph"/>
        <w:numPr>
          <w:ilvl w:val="2"/>
          <w:numId w:val="1"/>
        </w:numPr>
        <w:tabs>
          <w:tab w:pos="415" w:val="left" w:leader="none"/>
        </w:tabs>
        <w:spacing w:line="244" w:lineRule="auto" w:before="58" w:after="0"/>
        <w:ind w:left="414" w:right="349" w:hanging="227"/>
        <w:jc w:val="left"/>
        <w:rPr>
          <w:sz w:val="16"/>
        </w:rPr>
      </w:pPr>
      <w:r>
        <w:rPr>
          <w:sz w:val="16"/>
        </w:rPr>
        <w:t>Reviewing and implementing a voluntary and</w:t>
      </w:r>
      <w:r>
        <w:rPr>
          <w:spacing w:val="-15"/>
          <w:sz w:val="16"/>
        </w:rPr>
        <w:t> </w:t>
      </w:r>
      <w:r>
        <w:rPr>
          <w:sz w:val="16"/>
        </w:rPr>
        <w:t>credentialed</w:t>
      </w:r>
      <w:r>
        <w:rPr>
          <w:spacing w:val="-15"/>
          <w:sz w:val="16"/>
        </w:rPr>
        <w:t> </w:t>
      </w:r>
      <w:r>
        <w:rPr>
          <w:sz w:val="16"/>
        </w:rPr>
        <w:t>training</w:t>
      </w:r>
      <w:r>
        <w:rPr>
          <w:spacing w:val="-15"/>
          <w:sz w:val="16"/>
        </w:rPr>
        <w:t> </w:t>
      </w:r>
      <w:r>
        <w:rPr>
          <w:sz w:val="16"/>
        </w:rPr>
        <w:t>program</w:t>
      </w:r>
      <w:r>
        <w:rPr>
          <w:spacing w:val="-15"/>
          <w:sz w:val="16"/>
        </w:rPr>
        <w:t> </w:t>
      </w:r>
      <w:r>
        <w:rPr>
          <w:sz w:val="16"/>
        </w:rPr>
        <w:t>for</w:t>
      </w:r>
      <w:r>
        <w:rPr>
          <w:spacing w:val="-15"/>
          <w:sz w:val="16"/>
        </w:rPr>
        <w:t> </w:t>
      </w:r>
      <w:r>
        <w:rPr>
          <w:spacing w:val="2"/>
          <w:sz w:val="16"/>
        </w:rPr>
        <w:t>HDR </w:t>
      </w:r>
      <w:r>
        <w:rPr>
          <w:sz w:val="16"/>
        </w:rPr>
        <w:t>candidates and</w:t>
      </w:r>
      <w:r>
        <w:rPr>
          <w:spacing w:val="-29"/>
          <w:sz w:val="16"/>
        </w:rPr>
        <w:t> </w:t>
      </w:r>
      <w:r>
        <w:rPr>
          <w:sz w:val="16"/>
        </w:rPr>
        <w:t>supervisors</w:t>
      </w:r>
    </w:p>
    <w:p>
      <w:pPr>
        <w:pStyle w:val="ListParagraph"/>
        <w:numPr>
          <w:ilvl w:val="2"/>
          <w:numId w:val="1"/>
        </w:numPr>
        <w:tabs>
          <w:tab w:pos="415" w:val="left" w:leader="none"/>
        </w:tabs>
        <w:spacing w:line="240" w:lineRule="auto" w:before="59" w:after="0"/>
        <w:ind w:left="414" w:right="0" w:hanging="227"/>
        <w:jc w:val="left"/>
        <w:rPr>
          <w:sz w:val="16"/>
        </w:rPr>
      </w:pPr>
      <w:r>
        <w:rPr>
          <w:sz w:val="16"/>
        </w:rPr>
        <w:t>Supervisor</w:t>
      </w:r>
      <w:r>
        <w:rPr>
          <w:spacing w:val="-25"/>
          <w:sz w:val="16"/>
        </w:rPr>
        <w:t> </w:t>
      </w:r>
      <w:r>
        <w:rPr>
          <w:sz w:val="16"/>
        </w:rPr>
        <w:t>development.</w:t>
      </w:r>
    </w:p>
    <w:p>
      <w:pPr>
        <w:pStyle w:val="BodyText"/>
        <w:spacing w:before="9"/>
        <w:rPr>
          <w:sz w:val="21"/>
        </w:rPr>
      </w:pPr>
    </w:p>
    <w:p>
      <w:pPr>
        <w:pStyle w:val="Heading8"/>
        <w:ind w:left="187" w:right="391"/>
      </w:pPr>
      <w:r>
        <w:rPr>
          <w:w w:val="95"/>
        </w:rPr>
        <w:t>GRS LEADERSHIP AND GROWTH</w:t>
      </w:r>
    </w:p>
    <w:p>
      <w:pPr>
        <w:pStyle w:val="BodyText"/>
        <w:spacing w:line="249" w:lineRule="auto" w:before="86"/>
        <w:ind w:left="187" w:right="96"/>
      </w:pPr>
      <w:r>
        <w:rPr/>
        <w:t>The</w:t>
      </w:r>
      <w:r>
        <w:rPr>
          <w:spacing w:val="-29"/>
        </w:rPr>
        <w:t> </w:t>
      </w:r>
      <w:r>
        <w:rPr/>
        <w:t>GRS</w:t>
      </w:r>
      <w:r>
        <w:rPr>
          <w:spacing w:val="-29"/>
        </w:rPr>
        <w:t> </w:t>
      </w:r>
      <w:r>
        <w:rPr/>
        <w:t>is</w:t>
      </w:r>
      <w:r>
        <w:rPr>
          <w:spacing w:val="-29"/>
        </w:rPr>
        <w:t> </w:t>
      </w:r>
      <w:r>
        <w:rPr/>
        <w:t>led</w:t>
      </w:r>
      <w:r>
        <w:rPr>
          <w:spacing w:val="-29"/>
        </w:rPr>
        <w:t> </w:t>
      </w:r>
      <w:r>
        <w:rPr/>
        <w:t>by</w:t>
      </w:r>
      <w:r>
        <w:rPr>
          <w:spacing w:val="-29"/>
        </w:rPr>
        <w:t> </w:t>
      </w:r>
      <w:r>
        <w:rPr/>
        <w:t>the</w:t>
      </w:r>
      <w:r>
        <w:rPr>
          <w:spacing w:val="-29"/>
        </w:rPr>
        <w:t> </w:t>
      </w:r>
      <w:r>
        <w:rPr/>
        <w:t>Dean</w:t>
      </w:r>
      <w:r>
        <w:rPr>
          <w:spacing w:val="-29"/>
        </w:rPr>
        <w:t> </w:t>
      </w:r>
      <w:r>
        <w:rPr/>
        <w:t>of</w:t>
      </w:r>
      <w:r>
        <w:rPr>
          <w:spacing w:val="-29"/>
        </w:rPr>
        <w:t> </w:t>
      </w:r>
      <w:r>
        <w:rPr/>
        <w:t>Graduate</w:t>
      </w:r>
      <w:r>
        <w:rPr>
          <w:spacing w:val="-29"/>
        </w:rPr>
        <w:t> </w:t>
      </w:r>
      <w:r>
        <w:rPr/>
        <w:t>Studies. This position was initially held by Professor </w:t>
      </w:r>
      <w:r>
        <w:rPr>
          <w:spacing w:val="-1"/>
          <w:w w:val="97"/>
        </w:rPr>
        <w:t>Deborah</w:t>
      </w:r>
      <w:r>
        <w:rPr>
          <w:spacing w:val="-10"/>
          <w:w w:val="97"/>
        </w:rPr>
        <w:t> </w:t>
      </w:r>
      <w:r>
        <w:rPr>
          <w:spacing w:val="-2"/>
          <w:w w:val="94"/>
        </w:rPr>
        <w:t>Stevenson,</w:t>
      </w:r>
      <w:r>
        <w:rPr>
          <w:spacing w:val="-9"/>
          <w:w w:val="94"/>
        </w:rPr>
        <w:t> </w:t>
      </w:r>
      <w:r>
        <w:rPr>
          <w:spacing w:val="-2"/>
          <w:w w:val="97"/>
        </w:rPr>
        <w:t>until</w:t>
      </w:r>
      <w:r>
        <w:rPr>
          <w:spacing w:val="-10"/>
          <w:w w:val="97"/>
        </w:rPr>
        <w:t> </w:t>
      </w:r>
      <w:r>
        <w:rPr>
          <w:spacing w:val="1"/>
          <w:w w:val="74"/>
        </w:rPr>
        <w:t>31 </w:t>
      </w:r>
      <w:r>
        <w:rPr>
          <w:spacing w:val="-2"/>
          <w:w w:val="97"/>
        </w:rPr>
        <w:t>May</w:t>
      </w:r>
      <w:r>
        <w:rPr>
          <w:spacing w:val="-11"/>
          <w:w w:val="97"/>
        </w:rPr>
        <w:t> </w:t>
      </w:r>
      <w:r>
        <w:rPr>
          <w:w w:val="84"/>
        </w:rPr>
        <w:t>2015.</w:t>
      </w:r>
    </w:p>
    <w:p>
      <w:pPr>
        <w:pStyle w:val="BodyText"/>
        <w:rPr>
          <w:sz w:val="14"/>
        </w:rPr>
      </w:pPr>
    </w:p>
    <w:p>
      <w:pPr>
        <w:pStyle w:val="BodyText"/>
        <w:spacing w:line="249" w:lineRule="auto"/>
        <w:ind w:left="187" w:right="502"/>
      </w:pPr>
      <w:r>
        <w:rPr/>
        <w:t>Professor James Arvanitakis accepted a dual appointment as Dean of Graduate </w:t>
      </w:r>
      <w:r>
        <w:rPr>
          <w:spacing w:val="1"/>
          <w:w w:val="97"/>
        </w:rPr>
        <w:t>Studies</w:t>
      </w:r>
      <w:r>
        <w:rPr>
          <w:w w:val="97"/>
        </w:rPr>
        <w:t> </w:t>
      </w:r>
      <w:r>
        <w:rPr>
          <w:spacing w:val="1"/>
          <w:w w:val="98"/>
        </w:rPr>
        <w:t>from</w:t>
      </w:r>
      <w:r>
        <w:rPr>
          <w:w w:val="98"/>
        </w:rPr>
        <w:t> </w:t>
      </w:r>
      <w:r>
        <w:rPr>
          <w:w w:val="54"/>
        </w:rPr>
        <w:t>1 </w:t>
      </w:r>
      <w:r>
        <w:rPr>
          <w:spacing w:val="1"/>
          <w:w w:val="98"/>
        </w:rPr>
        <w:t>June</w:t>
      </w:r>
      <w:r>
        <w:rPr>
          <w:w w:val="98"/>
        </w:rPr>
        <w:t> </w:t>
      </w:r>
      <w:r>
        <w:rPr>
          <w:spacing w:val="-1"/>
          <w:w w:val="101"/>
        </w:rPr>
        <w:t>to</w:t>
      </w:r>
      <w:r>
        <w:rPr>
          <w:w w:val="101"/>
        </w:rPr>
        <w:t> </w:t>
      </w:r>
      <w:r>
        <w:rPr>
          <w:spacing w:val="2"/>
          <w:w w:val="74"/>
        </w:rPr>
        <w:t>31</w:t>
      </w:r>
      <w:r>
        <w:rPr>
          <w:w w:val="74"/>
        </w:rPr>
        <w:t> </w:t>
      </w:r>
      <w:r>
        <w:rPr>
          <w:spacing w:val="1"/>
          <w:w w:val="98"/>
        </w:rPr>
        <w:t>December</w:t>
      </w:r>
      <w:r>
        <w:rPr>
          <w:w w:val="98"/>
        </w:rPr>
        <w:t> </w:t>
      </w:r>
      <w:r>
        <w:rPr>
          <w:spacing w:val="1"/>
          <w:w w:val="84"/>
        </w:rPr>
        <w:t>2015,</w:t>
      </w:r>
      <w:r>
        <w:rPr>
          <w:w w:val="84"/>
        </w:rPr>
        <w:t> </w:t>
      </w:r>
      <w:r>
        <w:rPr/>
        <w:t>while maintaining his substantive position as Head of The Academy. The Dean of Graduate Studies has been instrumental to improving</w:t>
      </w:r>
      <w:r>
        <w:rPr>
          <w:spacing w:val="-21"/>
        </w:rPr>
        <w:t> </w:t>
      </w:r>
      <w:r>
        <w:rPr/>
        <w:t>the</w:t>
      </w:r>
      <w:r>
        <w:rPr>
          <w:spacing w:val="-21"/>
        </w:rPr>
        <w:t> </w:t>
      </w:r>
      <w:r>
        <w:rPr/>
        <w:t>School’s</w:t>
      </w:r>
      <w:r>
        <w:rPr>
          <w:spacing w:val="-21"/>
        </w:rPr>
        <w:t> </w:t>
      </w:r>
      <w:r>
        <w:rPr/>
        <w:t>culture</w:t>
      </w:r>
      <w:r>
        <w:rPr>
          <w:spacing w:val="-21"/>
        </w:rPr>
        <w:t> </w:t>
      </w:r>
      <w:r>
        <w:rPr/>
        <w:t>and</w:t>
      </w:r>
      <w:r>
        <w:rPr>
          <w:spacing w:val="-21"/>
        </w:rPr>
        <w:t> </w:t>
      </w:r>
      <w:r>
        <w:rPr>
          <w:spacing w:val="2"/>
        </w:rPr>
        <w:t>services.</w:t>
      </w:r>
    </w:p>
    <w:p>
      <w:pPr>
        <w:pStyle w:val="BodyText"/>
        <w:spacing w:line="249" w:lineRule="auto"/>
        <w:ind w:left="187" w:right="356"/>
        <w:jc w:val="both"/>
      </w:pPr>
      <w:r>
        <w:rPr/>
        <w:t>His</w:t>
      </w:r>
      <w:r>
        <w:rPr>
          <w:spacing w:val="-14"/>
        </w:rPr>
        <w:t> </w:t>
      </w:r>
      <w:r>
        <w:rPr/>
        <w:t>introduction</w:t>
      </w:r>
      <w:r>
        <w:rPr>
          <w:spacing w:val="-14"/>
        </w:rPr>
        <w:t> </w:t>
      </w:r>
      <w:r>
        <w:rPr/>
        <w:t>of</w:t>
      </w:r>
      <w:r>
        <w:rPr>
          <w:spacing w:val="-14"/>
        </w:rPr>
        <w:t> </w:t>
      </w:r>
      <w:r>
        <w:rPr/>
        <w:t>a</w:t>
      </w:r>
      <w:r>
        <w:rPr>
          <w:spacing w:val="-14"/>
        </w:rPr>
        <w:t> </w:t>
      </w:r>
      <w:r>
        <w:rPr/>
        <w:t>Wall</w:t>
      </w:r>
      <w:r>
        <w:rPr>
          <w:spacing w:val="-14"/>
        </w:rPr>
        <w:t> </w:t>
      </w:r>
      <w:r>
        <w:rPr/>
        <w:t>of</w:t>
      </w:r>
      <w:r>
        <w:rPr>
          <w:spacing w:val="-14"/>
        </w:rPr>
        <w:t> </w:t>
      </w:r>
      <w:r>
        <w:rPr/>
        <w:t>Fame</w:t>
      </w:r>
      <w:r>
        <w:rPr>
          <w:spacing w:val="-14"/>
        </w:rPr>
        <w:t> </w:t>
      </w:r>
      <w:r>
        <w:rPr/>
        <w:t>program</w:t>
      </w:r>
      <w:r>
        <w:rPr>
          <w:spacing w:val="-14"/>
        </w:rPr>
        <w:t> </w:t>
      </w:r>
      <w:r>
        <w:rPr/>
        <w:t>to celebrate</w:t>
      </w:r>
      <w:r>
        <w:rPr>
          <w:spacing w:val="-18"/>
        </w:rPr>
        <w:t> </w:t>
      </w:r>
      <w:r>
        <w:rPr/>
        <w:t>every</w:t>
      </w:r>
      <w:r>
        <w:rPr>
          <w:spacing w:val="-18"/>
        </w:rPr>
        <w:t> </w:t>
      </w:r>
      <w:r>
        <w:rPr/>
        <w:t>thesis</w:t>
      </w:r>
      <w:r>
        <w:rPr>
          <w:spacing w:val="-18"/>
        </w:rPr>
        <w:t> </w:t>
      </w:r>
      <w:r>
        <w:rPr/>
        <w:t>submission</w:t>
      </w:r>
      <w:r>
        <w:rPr>
          <w:spacing w:val="-18"/>
        </w:rPr>
        <w:t> </w:t>
      </w:r>
      <w:r>
        <w:rPr/>
        <w:t>made</w:t>
      </w:r>
      <w:r>
        <w:rPr>
          <w:spacing w:val="-18"/>
        </w:rPr>
        <w:t> </w:t>
      </w:r>
      <w:r>
        <w:rPr/>
        <w:t>at</w:t>
      </w:r>
      <w:r>
        <w:rPr>
          <w:spacing w:val="-18"/>
        </w:rPr>
        <w:t> </w:t>
      </w:r>
      <w:r>
        <w:rPr/>
        <w:t>the GRS</w:t>
      </w:r>
      <w:r>
        <w:rPr>
          <w:spacing w:val="-17"/>
        </w:rPr>
        <w:t> </w:t>
      </w:r>
      <w:r>
        <w:rPr/>
        <w:t>has</w:t>
      </w:r>
      <w:r>
        <w:rPr>
          <w:spacing w:val="-17"/>
        </w:rPr>
        <w:t> </w:t>
      </w:r>
      <w:r>
        <w:rPr/>
        <w:t>been</w:t>
      </w:r>
      <w:r>
        <w:rPr>
          <w:spacing w:val="-17"/>
        </w:rPr>
        <w:t> </w:t>
      </w:r>
      <w:r>
        <w:rPr/>
        <w:t>well</w:t>
      </w:r>
      <w:r>
        <w:rPr>
          <w:spacing w:val="-17"/>
        </w:rPr>
        <w:t> </w:t>
      </w:r>
      <w:r>
        <w:rPr/>
        <w:t>received</w:t>
      </w:r>
      <w:r>
        <w:rPr>
          <w:spacing w:val="-17"/>
        </w:rPr>
        <w:t> </w:t>
      </w:r>
      <w:r>
        <w:rPr/>
        <w:t>by</w:t>
      </w:r>
      <w:r>
        <w:rPr>
          <w:spacing w:val="-17"/>
        </w:rPr>
        <w:t> </w:t>
      </w:r>
      <w:r>
        <w:rPr>
          <w:spacing w:val="2"/>
        </w:rPr>
        <w:t>HDR</w:t>
      </w:r>
      <w:r>
        <w:rPr>
          <w:spacing w:val="-17"/>
        </w:rPr>
        <w:t> </w:t>
      </w:r>
      <w:r>
        <w:rPr/>
        <w:t>students.</w:t>
      </w:r>
    </w:p>
    <w:p>
      <w:pPr>
        <w:pStyle w:val="BodyText"/>
        <w:rPr>
          <w:sz w:val="14"/>
        </w:rPr>
      </w:pPr>
    </w:p>
    <w:p>
      <w:pPr>
        <w:pStyle w:val="BodyText"/>
        <w:spacing w:line="249" w:lineRule="auto"/>
        <w:ind w:left="187" w:right="378"/>
      </w:pPr>
      <w:r>
        <w:rPr/>
        <w:t>As the GRS was initially formed with staff members</w:t>
      </w:r>
      <w:r>
        <w:rPr>
          <w:spacing w:val="-21"/>
        </w:rPr>
        <w:t> </w:t>
      </w:r>
      <w:r>
        <w:rPr/>
        <w:t>from</w:t>
      </w:r>
      <w:r>
        <w:rPr>
          <w:spacing w:val="-21"/>
        </w:rPr>
        <w:t> </w:t>
      </w:r>
      <w:r>
        <w:rPr/>
        <w:t>several</w:t>
      </w:r>
      <w:r>
        <w:rPr>
          <w:spacing w:val="-21"/>
        </w:rPr>
        <w:t> </w:t>
      </w:r>
      <w:r>
        <w:rPr/>
        <w:t>areas</w:t>
      </w:r>
      <w:r>
        <w:rPr>
          <w:spacing w:val="-21"/>
        </w:rPr>
        <w:t> </w:t>
      </w:r>
      <w:r>
        <w:rPr/>
        <w:t>of</w:t>
      </w:r>
      <w:r>
        <w:rPr>
          <w:spacing w:val="-21"/>
        </w:rPr>
        <w:t> </w:t>
      </w:r>
      <w:r>
        <w:rPr/>
        <w:t>the</w:t>
      </w:r>
      <w:r>
        <w:rPr>
          <w:spacing w:val="-21"/>
        </w:rPr>
        <w:t> </w:t>
      </w:r>
      <w:r>
        <w:rPr/>
        <w:t>University, the Deputy Vice-Chancellor</w:t>
      </w:r>
      <w:r>
        <w:rPr>
          <w:spacing w:val="-30"/>
        </w:rPr>
        <w:t> </w:t>
      </w:r>
      <w:r>
        <w:rPr/>
        <w:t>(Research</w:t>
      </w:r>
    </w:p>
    <w:p>
      <w:pPr>
        <w:pStyle w:val="BodyText"/>
        <w:spacing w:line="249" w:lineRule="auto"/>
        <w:ind w:left="187" w:right="391"/>
      </w:pPr>
      <w:r>
        <w:rPr/>
        <w:t>and Development) instigated a change </w:t>
      </w:r>
      <w:r>
        <w:rPr>
          <w:w w:val="97"/>
        </w:rPr>
        <w:t>management </w:t>
      </w:r>
      <w:r>
        <w:rPr>
          <w:w w:val="97"/>
        </w:rPr>
        <w:t>plan </w:t>
      </w:r>
      <w:r>
        <w:rPr>
          <w:w w:val="95"/>
        </w:rPr>
        <w:t>in </w:t>
      </w:r>
      <w:r>
        <w:rPr>
          <w:w w:val="100"/>
        </w:rPr>
        <w:t>July </w:t>
      </w:r>
      <w:r>
        <w:rPr>
          <w:w w:val="88"/>
        </w:rPr>
        <w:t>2015 </w:t>
      </w:r>
      <w:r>
        <w:rPr>
          <w:w w:val="101"/>
        </w:rPr>
        <w:t>to </w:t>
      </w:r>
      <w:r>
        <w:rPr>
          <w:w w:val="95"/>
        </w:rPr>
        <w:t>finalise </w:t>
      </w:r>
      <w:r>
        <w:rPr>
          <w:w w:val="97"/>
        </w:rPr>
        <w:t>and </w:t>
      </w:r>
      <w:r>
        <w:rPr/>
        <w:t>cement the School’s staffing requirements.</w:t>
      </w:r>
    </w:p>
    <w:p>
      <w:pPr>
        <w:pStyle w:val="BodyText"/>
        <w:spacing w:line="249" w:lineRule="auto"/>
        <w:ind w:left="187" w:right="612"/>
      </w:pPr>
      <w:r>
        <w:rPr/>
        <w:t>Despite</w:t>
      </w:r>
      <w:r>
        <w:rPr>
          <w:spacing w:val="-17"/>
        </w:rPr>
        <w:t> </w:t>
      </w:r>
      <w:r>
        <w:rPr/>
        <w:t>staff</w:t>
      </w:r>
      <w:r>
        <w:rPr>
          <w:spacing w:val="-17"/>
        </w:rPr>
        <w:t> </w:t>
      </w:r>
      <w:r>
        <w:rPr/>
        <w:t>experiencing</w:t>
      </w:r>
      <w:r>
        <w:rPr>
          <w:spacing w:val="-17"/>
        </w:rPr>
        <w:t> </w:t>
      </w:r>
      <w:r>
        <w:rPr/>
        <w:t>these</w:t>
      </w:r>
      <w:r>
        <w:rPr>
          <w:spacing w:val="-17"/>
        </w:rPr>
        <w:t> </w:t>
      </w:r>
      <w:r>
        <w:rPr/>
        <w:t>changes in</w:t>
      </w:r>
      <w:r>
        <w:rPr>
          <w:spacing w:val="-17"/>
        </w:rPr>
        <w:t> </w:t>
      </w:r>
      <w:r>
        <w:rPr/>
        <w:t>the</w:t>
      </w:r>
      <w:r>
        <w:rPr>
          <w:spacing w:val="-17"/>
        </w:rPr>
        <w:t> </w:t>
      </w:r>
      <w:r>
        <w:rPr/>
        <w:t>School’s</w:t>
      </w:r>
      <w:r>
        <w:rPr>
          <w:spacing w:val="-17"/>
        </w:rPr>
        <w:t> </w:t>
      </w:r>
      <w:r>
        <w:rPr/>
        <w:t>first</w:t>
      </w:r>
      <w:r>
        <w:rPr>
          <w:spacing w:val="-17"/>
        </w:rPr>
        <w:t> </w:t>
      </w:r>
      <w:r>
        <w:rPr/>
        <w:t>year</w:t>
      </w:r>
      <w:r>
        <w:rPr>
          <w:spacing w:val="-17"/>
        </w:rPr>
        <w:t> </w:t>
      </w:r>
      <w:r>
        <w:rPr/>
        <w:t>of</w:t>
      </w:r>
      <w:r>
        <w:rPr>
          <w:spacing w:val="-17"/>
        </w:rPr>
        <w:t> </w:t>
      </w:r>
      <w:r>
        <w:rPr/>
        <w:t>operation,</w:t>
      </w:r>
      <w:r>
        <w:rPr>
          <w:spacing w:val="-17"/>
        </w:rPr>
        <w:t> </w:t>
      </w:r>
      <w:r>
        <w:rPr/>
        <w:t>the</w:t>
      </w:r>
    </w:p>
    <w:p>
      <w:pPr>
        <w:spacing w:after="0" w:line="249" w:lineRule="auto"/>
        <w:sectPr>
          <w:type w:val="continuous"/>
          <w:pgSz w:w="11910" w:h="16840"/>
          <w:pgMar w:top="1580" w:bottom="280" w:left="580" w:right="580"/>
          <w:cols w:num="3" w:equalWidth="0">
            <w:col w:w="3522" w:space="40"/>
            <w:col w:w="3418" w:space="40"/>
            <w:col w:w="3730"/>
          </w:cols>
        </w:sectPr>
      </w:pPr>
    </w:p>
    <w:p>
      <w:pPr>
        <w:pStyle w:val="BodyText"/>
        <w:spacing w:before="10"/>
        <w:rPr>
          <w:sz w:val="28"/>
        </w:rPr>
      </w:pPr>
    </w:p>
    <w:p>
      <w:pPr>
        <w:pStyle w:val="Heading2"/>
        <w:spacing w:line="240" w:lineRule="auto" w:before="27"/>
        <w:ind w:right="6642"/>
        <w:rPr>
          <w:b w:val="0"/>
        </w:rPr>
      </w:pPr>
      <w:r>
        <w:rPr>
          <w:b w:val="0"/>
        </w:rPr>
        <w:t>Research</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24"/>
        </w:rPr>
      </w:pPr>
    </w:p>
    <w:p>
      <w:pPr>
        <w:spacing w:after="0"/>
        <w:rPr>
          <w:rFonts w:ascii="Chronicle Text G1"/>
          <w:sz w:val="24"/>
        </w:rPr>
        <w:sectPr>
          <w:pgSz w:w="11910" w:h="16840"/>
          <w:pgMar w:header="494" w:footer="473" w:top="680" w:bottom="660" w:left="800" w:right="800"/>
        </w:sectPr>
      </w:pPr>
    </w:p>
    <w:p>
      <w:pPr>
        <w:pStyle w:val="BodyText"/>
        <w:spacing w:line="249" w:lineRule="auto" w:before="72"/>
        <w:ind w:left="107" w:right="181"/>
      </w:pPr>
      <w:r>
        <w:rPr/>
        <w:t>GRS continued to thrive and strengthen its commitment to providing excellence in all dealings with HDR students.</w:t>
      </w:r>
    </w:p>
    <w:p>
      <w:pPr>
        <w:pStyle w:val="BodyText"/>
        <w:spacing w:before="7"/>
        <w:rPr>
          <w:sz w:val="21"/>
        </w:rPr>
      </w:pPr>
    </w:p>
    <w:p>
      <w:pPr>
        <w:pStyle w:val="Heading8"/>
      </w:pPr>
      <w:r>
        <w:rPr>
          <w:w w:val="95"/>
        </w:rPr>
        <w:t>MASTER OF RESEARCH</w:t>
      </w:r>
    </w:p>
    <w:p>
      <w:pPr>
        <w:pStyle w:val="BodyText"/>
        <w:spacing w:line="249" w:lineRule="auto" w:before="86"/>
        <w:ind w:left="107"/>
      </w:pPr>
      <w:r>
        <w:rPr/>
        <w:t>The Master of Research is a new two-year </w:t>
      </w:r>
      <w:r>
        <w:rPr>
          <w:w w:val="97"/>
        </w:rPr>
        <w:t>degree </w:t>
      </w:r>
      <w:r>
        <w:rPr>
          <w:w w:val="97"/>
        </w:rPr>
        <w:t>launched </w:t>
      </w:r>
      <w:r>
        <w:rPr>
          <w:spacing w:val="-1"/>
          <w:w w:val="95"/>
        </w:rPr>
        <w:t>in</w:t>
      </w:r>
      <w:r>
        <w:rPr>
          <w:w w:val="95"/>
        </w:rPr>
        <w:t> </w:t>
      </w:r>
      <w:r>
        <w:rPr>
          <w:w w:val="84"/>
        </w:rPr>
        <w:t>2015. </w:t>
      </w:r>
      <w:r>
        <w:rPr>
          <w:w w:val="94"/>
        </w:rPr>
        <w:t>The </w:t>
      </w:r>
      <w:r>
        <w:rPr>
          <w:w w:val="97"/>
        </w:rPr>
        <w:t>degree </w:t>
      </w:r>
      <w:r>
        <w:rPr>
          <w:w w:val="96"/>
        </w:rPr>
        <w:t>was </w:t>
      </w:r>
      <w:r>
        <w:rPr/>
        <w:t>developed as a pathway to PhD study, providing an innovative research training framework to equip students with analytical, research</w:t>
      </w:r>
      <w:r>
        <w:rPr>
          <w:spacing w:val="-24"/>
        </w:rPr>
        <w:t> </w:t>
      </w:r>
      <w:r>
        <w:rPr/>
        <w:t>and</w:t>
      </w:r>
      <w:r>
        <w:rPr>
          <w:spacing w:val="-24"/>
        </w:rPr>
        <w:t> </w:t>
      </w:r>
      <w:r>
        <w:rPr/>
        <w:t>communication</w:t>
      </w:r>
      <w:r>
        <w:rPr>
          <w:spacing w:val="-24"/>
        </w:rPr>
        <w:t> </w:t>
      </w:r>
      <w:r>
        <w:rPr/>
        <w:t>skills.</w:t>
      </w:r>
      <w:r>
        <w:rPr>
          <w:spacing w:val="-24"/>
        </w:rPr>
        <w:t> </w:t>
      </w:r>
      <w:r>
        <w:rPr/>
        <w:t>As</w:t>
      </w:r>
      <w:r>
        <w:rPr>
          <w:spacing w:val="-24"/>
        </w:rPr>
        <w:t> </w:t>
      </w:r>
      <w:r>
        <w:rPr/>
        <w:t>well</w:t>
      </w:r>
      <w:r>
        <w:rPr>
          <w:spacing w:val="-24"/>
        </w:rPr>
        <w:t> </w:t>
      </w:r>
      <w:r>
        <w:rPr/>
        <w:t>as PhD study, the degree sets up students for various careers in community and </w:t>
      </w:r>
      <w:r>
        <w:rPr>
          <w:spacing w:val="-3"/>
        </w:rPr>
        <w:t>not-for- </w:t>
      </w:r>
      <w:r>
        <w:rPr/>
        <w:t>profit-organisations, industry and business, and</w:t>
      </w:r>
      <w:r>
        <w:rPr>
          <w:spacing w:val="-30"/>
        </w:rPr>
        <w:t> </w:t>
      </w:r>
      <w:r>
        <w:rPr/>
        <w:t>government.</w:t>
      </w:r>
      <w:r>
        <w:rPr>
          <w:spacing w:val="-30"/>
        </w:rPr>
        <w:t> </w:t>
      </w:r>
      <w:r>
        <w:rPr/>
        <w:t>The</w:t>
      </w:r>
      <w:r>
        <w:rPr>
          <w:spacing w:val="-30"/>
        </w:rPr>
        <w:t> </w:t>
      </w:r>
      <w:r>
        <w:rPr/>
        <w:t>new</w:t>
      </w:r>
      <w:r>
        <w:rPr>
          <w:spacing w:val="-30"/>
        </w:rPr>
        <w:t> </w:t>
      </w:r>
      <w:r>
        <w:rPr/>
        <w:t>degree</w:t>
      </w:r>
      <w:r>
        <w:rPr>
          <w:spacing w:val="-30"/>
        </w:rPr>
        <w:t> </w:t>
      </w:r>
      <w:r>
        <w:rPr/>
        <w:t>closely</w:t>
      </w:r>
      <w:r>
        <w:rPr>
          <w:spacing w:val="-30"/>
        </w:rPr>
        <w:t> </w:t>
      </w:r>
      <w:r>
        <w:rPr/>
        <w:t>aligns with Asian, European and North American qualifications, ensuring candidates who complete</w:t>
      </w:r>
      <w:r>
        <w:rPr>
          <w:spacing w:val="-32"/>
        </w:rPr>
        <w:t> </w:t>
      </w:r>
      <w:r>
        <w:rPr/>
        <w:t>this</w:t>
      </w:r>
      <w:r>
        <w:rPr>
          <w:spacing w:val="-32"/>
        </w:rPr>
        <w:t> </w:t>
      </w:r>
      <w:r>
        <w:rPr/>
        <w:t>course</w:t>
      </w:r>
      <w:r>
        <w:rPr>
          <w:spacing w:val="-32"/>
        </w:rPr>
        <w:t> </w:t>
      </w:r>
      <w:r>
        <w:rPr/>
        <w:t>will</w:t>
      </w:r>
      <w:r>
        <w:rPr>
          <w:spacing w:val="-32"/>
        </w:rPr>
        <w:t> </w:t>
      </w:r>
      <w:r>
        <w:rPr/>
        <w:t>have</w:t>
      </w:r>
      <w:r>
        <w:rPr>
          <w:spacing w:val="-32"/>
        </w:rPr>
        <w:t> </w:t>
      </w:r>
      <w:r>
        <w:rPr/>
        <w:t>an</w:t>
      </w:r>
      <w:r>
        <w:rPr>
          <w:spacing w:val="-32"/>
        </w:rPr>
        <w:t> </w:t>
      </w:r>
      <w:r>
        <w:rPr/>
        <w:t>internationally recognised degree. This allows them to be globally mobile in advancing their research, education</w:t>
      </w:r>
      <w:r>
        <w:rPr>
          <w:spacing w:val="-35"/>
        </w:rPr>
        <w:t> </w:t>
      </w:r>
      <w:r>
        <w:rPr/>
        <w:t>and</w:t>
      </w:r>
      <w:r>
        <w:rPr>
          <w:spacing w:val="-35"/>
        </w:rPr>
        <w:t> </w:t>
      </w:r>
      <w:r>
        <w:rPr/>
        <w:t>employment</w:t>
      </w:r>
      <w:r>
        <w:rPr>
          <w:spacing w:val="-35"/>
        </w:rPr>
        <w:t> </w:t>
      </w:r>
      <w:r>
        <w:rPr/>
        <w:t>opportunities.</w:t>
      </w:r>
    </w:p>
    <w:p>
      <w:pPr>
        <w:pStyle w:val="BodyText"/>
        <w:rPr>
          <w:sz w:val="14"/>
        </w:rPr>
      </w:pPr>
    </w:p>
    <w:p>
      <w:pPr>
        <w:pStyle w:val="BodyText"/>
        <w:spacing w:line="249" w:lineRule="auto"/>
        <w:ind w:left="107" w:right="268"/>
      </w:pPr>
      <w:r>
        <w:rPr/>
        <w:t>The</w:t>
      </w:r>
      <w:r>
        <w:rPr>
          <w:spacing w:val="-17"/>
        </w:rPr>
        <w:t> </w:t>
      </w:r>
      <w:r>
        <w:rPr/>
        <w:t>first</w:t>
      </w:r>
      <w:r>
        <w:rPr>
          <w:spacing w:val="-17"/>
        </w:rPr>
        <w:t> </w:t>
      </w:r>
      <w:r>
        <w:rPr/>
        <w:t>intake</w:t>
      </w:r>
      <w:r>
        <w:rPr>
          <w:spacing w:val="-17"/>
        </w:rPr>
        <w:t> </w:t>
      </w:r>
      <w:r>
        <w:rPr/>
        <w:t>of</w:t>
      </w:r>
      <w:r>
        <w:rPr>
          <w:spacing w:val="-17"/>
        </w:rPr>
        <w:t> </w:t>
      </w:r>
      <w:r>
        <w:rPr/>
        <w:t>72</w:t>
      </w:r>
      <w:r>
        <w:rPr>
          <w:spacing w:val="-17"/>
        </w:rPr>
        <w:t> </w:t>
      </w:r>
      <w:r>
        <w:rPr/>
        <w:t>students</w:t>
      </w:r>
      <w:r>
        <w:rPr>
          <w:spacing w:val="-17"/>
        </w:rPr>
        <w:t> </w:t>
      </w:r>
      <w:r>
        <w:rPr/>
        <w:t>commenced </w:t>
      </w:r>
      <w:r>
        <w:rPr>
          <w:w w:val="95"/>
        </w:rPr>
        <w:t>in</w:t>
      </w:r>
      <w:r>
        <w:rPr>
          <w:spacing w:val="-7"/>
          <w:w w:val="95"/>
        </w:rPr>
        <w:t> </w:t>
      </w:r>
      <w:r>
        <w:rPr>
          <w:spacing w:val="1"/>
          <w:w w:val="100"/>
        </w:rPr>
        <w:t>July</w:t>
      </w:r>
      <w:r>
        <w:rPr>
          <w:spacing w:val="-10"/>
          <w:w w:val="100"/>
        </w:rPr>
        <w:t> </w:t>
      </w:r>
      <w:r>
        <w:rPr>
          <w:spacing w:val="1"/>
          <w:w w:val="84"/>
        </w:rPr>
        <w:t>2015.</w:t>
      </w:r>
      <w:r>
        <w:rPr>
          <w:spacing w:val="-2"/>
          <w:w w:val="84"/>
        </w:rPr>
        <w:t> </w:t>
      </w:r>
      <w:r>
        <w:rPr>
          <w:spacing w:val="1"/>
          <w:w w:val="94"/>
        </w:rPr>
        <w:t>The</w:t>
      </w:r>
      <w:r>
        <w:rPr>
          <w:spacing w:val="-7"/>
          <w:w w:val="94"/>
        </w:rPr>
        <w:t> </w:t>
      </w:r>
      <w:r>
        <w:rPr>
          <w:spacing w:val="1"/>
          <w:w w:val="97"/>
        </w:rPr>
        <w:t>first</w:t>
      </w:r>
      <w:r>
        <w:rPr>
          <w:spacing w:val="-8"/>
          <w:w w:val="97"/>
        </w:rPr>
        <w:t> </w:t>
      </w:r>
      <w:r>
        <w:rPr>
          <w:w w:val="97"/>
        </w:rPr>
        <w:t>year</w:t>
      </w:r>
      <w:r>
        <w:rPr>
          <w:spacing w:val="-8"/>
          <w:w w:val="97"/>
        </w:rPr>
        <w:t> </w:t>
      </w:r>
      <w:r>
        <w:rPr>
          <w:w w:val="99"/>
        </w:rPr>
        <w:t>of</w:t>
      </w:r>
      <w:r>
        <w:rPr>
          <w:spacing w:val="-9"/>
          <w:w w:val="99"/>
        </w:rPr>
        <w:t> </w:t>
      </w:r>
      <w:r>
        <w:rPr>
          <w:w w:val="97"/>
        </w:rPr>
        <w:t>the</w:t>
      </w:r>
      <w:r>
        <w:rPr>
          <w:spacing w:val="-9"/>
          <w:w w:val="97"/>
        </w:rPr>
        <w:t> </w:t>
      </w:r>
      <w:r>
        <w:rPr>
          <w:spacing w:val="1"/>
          <w:w w:val="97"/>
        </w:rPr>
        <w:t>degree</w:t>
      </w:r>
    </w:p>
    <w:p>
      <w:pPr>
        <w:pStyle w:val="BodyText"/>
        <w:spacing w:line="249" w:lineRule="auto"/>
        <w:ind w:left="107" w:right="23"/>
      </w:pPr>
      <w:r>
        <w:rPr/>
        <w:t>focuses on building research literacy through interdisciplinary coursework, as well as methodological development. The degree</w:t>
      </w:r>
    </w:p>
    <w:p>
      <w:pPr>
        <w:pStyle w:val="BodyText"/>
        <w:spacing w:line="249" w:lineRule="auto"/>
        <w:ind w:left="107" w:right="207"/>
      </w:pPr>
      <w:r>
        <w:rPr/>
        <w:t>is</w:t>
      </w:r>
      <w:r>
        <w:rPr>
          <w:spacing w:val="-14"/>
        </w:rPr>
        <w:t> </w:t>
      </w:r>
      <w:r>
        <w:rPr/>
        <w:t>open</w:t>
      </w:r>
      <w:r>
        <w:rPr>
          <w:spacing w:val="-14"/>
        </w:rPr>
        <w:t> </w:t>
      </w:r>
      <w:r>
        <w:rPr/>
        <w:t>to</w:t>
      </w:r>
      <w:r>
        <w:rPr>
          <w:spacing w:val="-14"/>
        </w:rPr>
        <w:t> </w:t>
      </w:r>
      <w:r>
        <w:rPr/>
        <w:t>students</w:t>
      </w:r>
      <w:r>
        <w:rPr>
          <w:spacing w:val="-14"/>
        </w:rPr>
        <w:t> </w:t>
      </w:r>
      <w:r>
        <w:rPr/>
        <w:t>who</w:t>
      </w:r>
      <w:r>
        <w:rPr>
          <w:spacing w:val="-14"/>
        </w:rPr>
        <w:t> </w:t>
      </w:r>
      <w:r>
        <w:rPr/>
        <w:t>have</w:t>
      </w:r>
      <w:r>
        <w:rPr>
          <w:spacing w:val="-14"/>
        </w:rPr>
        <w:t> </w:t>
      </w:r>
      <w:r>
        <w:rPr/>
        <w:t>completed</w:t>
      </w:r>
      <w:r>
        <w:rPr>
          <w:spacing w:val="-14"/>
        </w:rPr>
        <w:t> </w:t>
      </w:r>
      <w:r>
        <w:rPr/>
        <w:t>an undergraduate</w:t>
      </w:r>
      <w:r>
        <w:rPr>
          <w:spacing w:val="-24"/>
        </w:rPr>
        <w:t> </w:t>
      </w:r>
      <w:r>
        <w:rPr/>
        <w:t>or</w:t>
      </w:r>
      <w:r>
        <w:rPr>
          <w:spacing w:val="-24"/>
        </w:rPr>
        <w:t> </w:t>
      </w:r>
      <w:r>
        <w:rPr/>
        <w:t>masters</w:t>
      </w:r>
      <w:r>
        <w:rPr>
          <w:spacing w:val="-24"/>
        </w:rPr>
        <w:t> </w:t>
      </w:r>
      <w:r>
        <w:rPr/>
        <w:t>degree.</w:t>
      </w:r>
    </w:p>
    <w:p>
      <w:pPr>
        <w:pStyle w:val="BodyText"/>
        <w:spacing w:before="7"/>
        <w:rPr>
          <w:sz w:val="21"/>
        </w:rPr>
      </w:pPr>
    </w:p>
    <w:p>
      <w:pPr>
        <w:pStyle w:val="Heading8"/>
      </w:pPr>
      <w:r>
        <w:rPr>
          <w:w w:val="95"/>
        </w:rPr>
        <w:t>SUPERVISOR TRAINING</w:t>
      </w:r>
    </w:p>
    <w:p>
      <w:pPr>
        <w:pStyle w:val="BodyText"/>
        <w:spacing w:line="249" w:lineRule="auto" w:before="86"/>
        <w:ind w:left="107" w:right="159"/>
      </w:pPr>
      <w:r>
        <w:rPr>
          <w:spacing w:val="-5"/>
        </w:rPr>
        <w:t>To </w:t>
      </w:r>
      <w:r>
        <w:rPr/>
        <w:t>support the highest standards of practice</w:t>
      </w:r>
      <w:r>
        <w:rPr>
          <w:spacing w:val="-14"/>
        </w:rPr>
        <w:t> </w:t>
      </w:r>
      <w:r>
        <w:rPr/>
        <w:t>in</w:t>
      </w:r>
      <w:r>
        <w:rPr>
          <w:spacing w:val="-14"/>
        </w:rPr>
        <w:t> </w:t>
      </w:r>
      <w:r>
        <w:rPr/>
        <w:t>the</w:t>
      </w:r>
      <w:r>
        <w:rPr>
          <w:spacing w:val="-14"/>
        </w:rPr>
        <w:t> </w:t>
      </w:r>
      <w:r>
        <w:rPr/>
        <w:t>academic</w:t>
      </w:r>
      <w:r>
        <w:rPr>
          <w:spacing w:val="-14"/>
        </w:rPr>
        <w:t> </w:t>
      </w:r>
      <w:r>
        <w:rPr/>
        <w:t>supervision</w:t>
      </w:r>
      <w:r>
        <w:rPr>
          <w:spacing w:val="-14"/>
        </w:rPr>
        <w:t> </w:t>
      </w:r>
      <w:r>
        <w:rPr/>
        <w:t>of</w:t>
      </w:r>
      <w:r>
        <w:rPr>
          <w:spacing w:val="-14"/>
        </w:rPr>
        <w:t> </w:t>
      </w:r>
      <w:r>
        <w:rPr>
          <w:spacing w:val="2"/>
        </w:rPr>
        <w:t>HDR </w:t>
      </w:r>
      <w:r>
        <w:rPr/>
        <w:t>candidates,</w:t>
      </w:r>
      <w:r>
        <w:rPr>
          <w:spacing w:val="-18"/>
        </w:rPr>
        <w:t> </w:t>
      </w:r>
      <w:r>
        <w:rPr/>
        <w:t>the</w:t>
      </w:r>
      <w:r>
        <w:rPr>
          <w:spacing w:val="-18"/>
        </w:rPr>
        <w:t> </w:t>
      </w:r>
      <w:r>
        <w:rPr/>
        <w:t>GRS</w:t>
      </w:r>
      <w:r>
        <w:rPr>
          <w:spacing w:val="-18"/>
        </w:rPr>
        <w:t> </w:t>
      </w:r>
      <w:r>
        <w:rPr/>
        <w:t>established</w:t>
      </w:r>
      <w:r>
        <w:rPr>
          <w:spacing w:val="-18"/>
        </w:rPr>
        <w:t> </w:t>
      </w:r>
      <w:r>
        <w:rPr/>
        <w:t>a</w:t>
      </w:r>
      <w:r>
        <w:rPr>
          <w:spacing w:val="-18"/>
        </w:rPr>
        <w:t> </w:t>
      </w:r>
      <w:r>
        <w:rPr/>
        <w:t>suite</w:t>
      </w:r>
      <w:r>
        <w:rPr>
          <w:spacing w:val="-18"/>
        </w:rPr>
        <w:t> </w:t>
      </w:r>
      <w:r>
        <w:rPr/>
        <w:t>of</w:t>
      </w:r>
    </w:p>
    <w:p>
      <w:pPr>
        <w:pStyle w:val="BodyText"/>
        <w:spacing w:line="249" w:lineRule="auto"/>
        <w:ind w:left="107" w:right="88"/>
      </w:pPr>
      <w:r>
        <w:rPr/>
        <w:t>resources.</w:t>
      </w:r>
      <w:r>
        <w:rPr>
          <w:spacing w:val="-18"/>
        </w:rPr>
        <w:t> </w:t>
      </w:r>
      <w:r>
        <w:rPr/>
        <w:t>These</w:t>
      </w:r>
      <w:r>
        <w:rPr>
          <w:spacing w:val="-18"/>
        </w:rPr>
        <w:t> </w:t>
      </w:r>
      <w:r>
        <w:rPr/>
        <w:t>include</w:t>
      </w:r>
      <w:r>
        <w:rPr>
          <w:spacing w:val="-18"/>
        </w:rPr>
        <w:t> </w:t>
      </w:r>
      <w:r>
        <w:rPr/>
        <w:t>a</w:t>
      </w:r>
      <w:r>
        <w:rPr>
          <w:spacing w:val="-18"/>
        </w:rPr>
        <w:t> </w:t>
      </w:r>
      <w:r>
        <w:rPr/>
        <w:t>program</w:t>
      </w:r>
      <w:r>
        <w:rPr>
          <w:spacing w:val="-18"/>
        </w:rPr>
        <w:t> </w:t>
      </w:r>
      <w:r>
        <w:rPr/>
        <w:t>of</w:t>
      </w:r>
      <w:r>
        <w:rPr>
          <w:spacing w:val="-18"/>
        </w:rPr>
        <w:t> </w:t>
      </w:r>
      <w:r>
        <w:rPr/>
        <w:t>expert and peer forums to support supervisors, access to online development modules and literature, and a registration process for principal</w:t>
      </w:r>
      <w:r>
        <w:rPr>
          <w:spacing w:val="-23"/>
        </w:rPr>
        <w:t> </w:t>
      </w:r>
      <w:r>
        <w:rPr/>
        <w:t>supervisors.</w:t>
      </w:r>
    </w:p>
    <w:p>
      <w:pPr>
        <w:pStyle w:val="BodyText"/>
        <w:rPr>
          <w:sz w:val="14"/>
        </w:rPr>
      </w:pPr>
    </w:p>
    <w:p>
      <w:pPr>
        <w:pStyle w:val="BodyText"/>
        <w:spacing w:line="249" w:lineRule="auto"/>
        <w:ind w:left="107" w:right="104"/>
      </w:pPr>
      <w:r>
        <w:rPr>
          <w:w w:val="80"/>
        </w:rPr>
        <w:t>In </w:t>
      </w:r>
      <w:r>
        <w:rPr>
          <w:w w:val="98"/>
        </w:rPr>
        <w:t>December </w:t>
      </w:r>
      <w:r>
        <w:rPr>
          <w:w w:val="84"/>
        </w:rPr>
        <w:t>2015, </w:t>
      </w:r>
      <w:r>
        <w:rPr>
          <w:w w:val="97"/>
        </w:rPr>
        <w:t>the </w:t>
      </w:r>
      <w:r>
        <w:rPr>
          <w:w w:val="99"/>
        </w:rPr>
        <w:t>GRS </w:t>
      </w:r>
      <w:r>
        <w:rPr>
          <w:w w:val="98"/>
        </w:rPr>
        <w:t>began </w:t>
      </w:r>
      <w:r>
        <w:rPr>
          <w:w w:val="94"/>
        </w:rPr>
        <w:t>a </w:t>
      </w:r>
      <w:r>
        <w:rPr>
          <w:w w:val="97"/>
        </w:rPr>
        <w:t>review </w:t>
      </w:r>
      <w:r>
        <w:rPr/>
        <w:t>of the supervisor development program and</w:t>
      </w:r>
    </w:p>
    <w:p>
      <w:pPr>
        <w:pStyle w:val="BodyText"/>
        <w:spacing w:line="249" w:lineRule="auto"/>
        <w:ind w:left="107" w:right="-1"/>
      </w:pPr>
      <w:r>
        <w:rPr/>
        <w:t>sought</w:t>
      </w:r>
      <w:r>
        <w:rPr>
          <w:spacing w:val="-15"/>
        </w:rPr>
        <w:t> </w:t>
      </w:r>
      <w:r>
        <w:rPr/>
        <w:t>feedback</w:t>
      </w:r>
      <w:r>
        <w:rPr>
          <w:spacing w:val="-15"/>
        </w:rPr>
        <w:t> </w:t>
      </w:r>
      <w:r>
        <w:rPr/>
        <w:t>from</w:t>
      </w:r>
      <w:r>
        <w:rPr>
          <w:spacing w:val="-15"/>
        </w:rPr>
        <w:t> </w:t>
      </w:r>
      <w:r>
        <w:rPr/>
        <w:t>key</w:t>
      </w:r>
      <w:r>
        <w:rPr>
          <w:spacing w:val="-15"/>
        </w:rPr>
        <w:t> </w:t>
      </w:r>
      <w:r>
        <w:rPr/>
        <w:t>stakeholders</w:t>
      </w:r>
      <w:r>
        <w:rPr>
          <w:spacing w:val="-15"/>
        </w:rPr>
        <w:t> </w:t>
      </w:r>
      <w:r>
        <w:rPr/>
        <w:t>across the University as well as external experts in supervisor</w:t>
      </w:r>
      <w:r>
        <w:rPr>
          <w:spacing w:val="-26"/>
        </w:rPr>
        <w:t> </w:t>
      </w:r>
      <w:r>
        <w:rPr/>
        <w:t>development.</w:t>
      </w:r>
    </w:p>
    <w:p>
      <w:pPr>
        <w:pStyle w:val="BodyText"/>
        <w:rPr>
          <w:sz w:val="14"/>
        </w:rPr>
      </w:pPr>
    </w:p>
    <w:p>
      <w:pPr>
        <w:pStyle w:val="BodyText"/>
        <w:spacing w:line="249" w:lineRule="auto"/>
        <w:ind w:left="107" w:right="4"/>
      </w:pPr>
      <w:r>
        <w:rPr/>
        <w:t>The aim of the review is to develop an innovative,</w:t>
      </w:r>
      <w:r>
        <w:rPr>
          <w:spacing w:val="-19"/>
        </w:rPr>
        <w:t> </w:t>
      </w:r>
      <w:r>
        <w:rPr/>
        <w:t>sector-led</w:t>
      </w:r>
      <w:r>
        <w:rPr>
          <w:spacing w:val="-19"/>
        </w:rPr>
        <w:t> </w:t>
      </w:r>
      <w:r>
        <w:rPr/>
        <w:t>supervisor</w:t>
      </w:r>
      <w:r>
        <w:rPr>
          <w:spacing w:val="-19"/>
        </w:rPr>
        <w:t> </w:t>
      </w:r>
      <w:r>
        <w:rPr/>
        <w:t>development program.</w:t>
      </w:r>
      <w:r>
        <w:rPr>
          <w:spacing w:val="-23"/>
        </w:rPr>
        <w:t> </w:t>
      </w:r>
      <w:r>
        <w:rPr/>
        <w:t>This</w:t>
      </w:r>
      <w:r>
        <w:rPr>
          <w:spacing w:val="-23"/>
        </w:rPr>
        <w:t> </w:t>
      </w:r>
      <w:r>
        <w:rPr/>
        <w:t>initiative,</w:t>
      </w:r>
      <w:r>
        <w:rPr>
          <w:spacing w:val="-23"/>
        </w:rPr>
        <w:t> </w:t>
      </w:r>
      <w:r>
        <w:rPr/>
        <w:t>along</w:t>
      </w:r>
      <w:r>
        <w:rPr>
          <w:spacing w:val="-23"/>
        </w:rPr>
        <w:t> </w:t>
      </w:r>
      <w:r>
        <w:rPr/>
        <w:t>with</w:t>
      </w:r>
      <w:r>
        <w:rPr>
          <w:spacing w:val="-23"/>
        </w:rPr>
        <w:t> </w:t>
      </w:r>
      <w:r>
        <w:rPr/>
        <w:t>the</w:t>
      </w:r>
    </w:p>
    <w:p>
      <w:pPr>
        <w:pStyle w:val="BodyText"/>
        <w:spacing w:line="249" w:lineRule="auto"/>
        <w:ind w:left="107" w:right="407"/>
      </w:pPr>
      <w:r>
        <w:rPr/>
        <w:t>revised research training workshops for HDR candidates, will see the University</w:t>
      </w:r>
    </w:p>
    <w:p>
      <w:pPr>
        <w:pStyle w:val="BodyText"/>
        <w:spacing w:line="249" w:lineRule="auto"/>
        <w:ind w:left="107"/>
      </w:pPr>
      <w:r>
        <w:rPr/>
        <w:t>recognised</w:t>
      </w:r>
      <w:r>
        <w:rPr>
          <w:spacing w:val="-18"/>
        </w:rPr>
        <w:t> </w:t>
      </w:r>
      <w:r>
        <w:rPr/>
        <w:t>as</w:t>
      </w:r>
      <w:r>
        <w:rPr>
          <w:spacing w:val="-18"/>
        </w:rPr>
        <w:t> </w:t>
      </w:r>
      <w:r>
        <w:rPr/>
        <w:t>a</w:t>
      </w:r>
      <w:r>
        <w:rPr>
          <w:spacing w:val="-18"/>
        </w:rPr>
        <w:t> </w:t>
      </w:r>
      <w:r>
        <w:rPr/>
        <w:t>leader</w:t>
      </w:r>
      <w:r>
        <w:rPr>
          <w:spacing w:val="-18"/>
        </w:rPr>
        <w:t> </w:t>
      </w:r>
      <w:r>
        <w:rPr/>
        <w:t>in</w:t>
      </w:r>
      <w:r>
        <w:rPr>
          <w:spacing w:val="-18"/>
        </w:rPr>
        <w:t> </w:t>
      </w:r>
      <w:r>
        <w:rPr/>
        <w:t>research</w:t>
      </w:r>
      <w:r>
        <w:rPr>
          <w:spacing w:val="-18"/>
        </w:rPr>
        <w:t> </w:t>
      </w:r>
      <w:r>
        <w:rPr/>
        <w:t>training</w:t>
      </w:r>
      <w:r>
        <w:rPr>
          <w:spacing w:val="-18"/>
        </w:rPr>
        <w:t> </w:t>
      </w:r>
      <w:r>
        <w:rPr/>
        <w:t>and development</w:t>
      </w:r>
      <w:r>
        <w:rPr>
          <w:spacing w:val="-17"/>
        </w:rPr>
        <w:t> </w:t>
      </w:r>
      <w:r>
        <w:rPr/>
        <w:t>in</w:t>
      </w:r>
      <w:r>
        <w:rPr>
          <w:spacing w:val="-17"/>
        </w:rPr>
        <w:t> </w:t>
      </w:r>
      <w:r>
        <w:rPr/>
        <w:t>Australia</w:t>
      </w:r>
      <w:r>
        <w:rPr>
          <w:spacing w:val="-17"/>
        </w:rPr>
        <w:t> </w:t>
      </w:r>
      <w:r>
        <w:rPr/>
        <w:t>and</w:t>
      </w:r>
      <w:r>
        <w:rPr>
          <w:spacing w:val="-17"/>
        </w:rPr>
        <w:t> </w:t>
      </w:r>
      <w:r>
        <w:rPr/>
        <w:t>abroad.</w:t>
      </w:r>
    </w:p>
    <w:p>
      <w:pPr>
        <w:pStyle w:val="Heading8"/>
        <w:spacing w:before="78"/>
        <w:ind w:right="-17"/>
      </w:pPr>
      <w:r>
        <w:rPr>
          <w:b w:val="0"/>
        </w:rPr>
        <w:br w:type="column"/>
      </w:r>
      <w:r>
        <w:rPr/>
        <w:t>ENGAGEMENT</w:t>
      </w:r>
    </w:p>
    <w:p>
      <w:pPr>
        <w:pStyle w:val="BodyText"/>
        <w:spacing w:line="247" w:lineRule="auto" w:before="86"/>
        <w:ind w:left="107" w:right="2"/>
      </w:pPr>
      <w:r>
        <w:rPr/>
        <w:t>The GRS is committed to developing strong communication channels between all </w:t>
      </w:r>
      <w:r>
        <w:rPr>
          <w:spacing w:val="2"/>
        </w:rPr>
        <w:t>HDR </w:t>
      </w:r>
      <w:r>
        <w:rPr/>
        <w:t>staff and students to keep abreast of issues affecting</w:t>
      </w:r>
      <w:r>
        <w:rPr>
          <w:spacing w:val="-16"/>
        </w:rPr>
        <w:t> </w:t>
      </w:r>
      <w:r>
        <w:rPr/>
        <w:t>students.</w:t>
      </w:r>
      <w:r>
        <w:rPr>
          <w:spacing w:val="-16"/>
        </w:rPr>
        <w:t> </w:t>
      </w:r>
      <w:r>
        <w:rPr/>
        <w:t>The</w:t>
      </w:r>
      <w:r>
        <w:rPr>
          <w:spacing w:val="-16"/>
        </w:rPr>
        <w:t> </w:t>
      </w:r>
      <w:r>
        <w:rPr/>
        <w:t>School</w:t>
      </w:r>
      <w:r>
        <w:rPr>
          <w:spacing w:val="-16"/>
        </w:rPr>
        <w:t> </w:t>
      </w:r>
      <w:r>
        <w:rPr/>
        <w:t>has</w:t>
      </w:r>
      <w:r>
        <w:rPr>
          <w:spacing w:val="-16"/>
        </w:rPr>
        <w:t> </w:t>
      </w:r>
      <w:r>
        <w:rPr/>
        <w:t>introduced two</w:t>
      </w:r>
      <w:r>
        <w:rPr>
          <w:spacing w:val="-16"/>
        </w:rPr>
        <w:t> </w:t>
      </w:r>
      <w:r>
        <w:rPr/>
        <w:t>newsletters</w:t>
      </w:r>
      <w:r>
        <w:rPr>
          <w:spacing w:val="-16"/>
        </w:rPr>
        <w:t> </w:t>
      </w:r>
      <w:r>
        <w:rPr/>
        <w:t>to</w:t>
      </w:r>
      <w:r>
        <w:rPr>
          <w:spacing w:val="-16"/>
        </w:rPr>
        <w:t> </w:t>
      </w:r>
      <w:r>
        <w:rPr/>
        <w:t>enable</w:t>
      </w:r>
      <w:r>
        <w:rPr>
          <w:spacing w:val="-16"/>
        </w:rPr>
        <w:t> </w:t>
      </w:r>
      <w:r>
        <w:rPr/>
        <w:t>this</w:t>
      </w:r>
      <w:r>
        <w:rPr>
          <w:spacing w:val="-16"/>
        </w:rPr>
        <w:t> </w:t>
      </w:r>
      <w:r>
        <w:rPr/>
        <w:t>communication </w:t>
      </w:r>
      <w:r>
        <w:rPr>
          <w:w w:val="90"/>
        </w:rPr>
        <w:t>flow:</w:t>
      </w:r>
      <w:r>
        <w:rPr>
          <w:spacing w:val="-33"/>
          <w:w w:val="90"/>
        </w:rPr>
        <w:t> </w:t>
      </w:r>
      <w:r>
        <w:rPr>
          <w:rFonts w:ascii="Century Gothic"/>
          <w:i/>
          <w:w w:val="90"/>
        </w:rPr>
        <w:t>Resonate:</w:t>
      </w:r>
      <w:r>
        <w:rPr>
          <w:rFonts w:ascii="Century Gothic"/>
          <w:i/>
          <w:spacing w:val="-28"/>
          <w:w w:val="90"/>
        </w:rPr>
        <w:t> </w:t>
      </w:r>
      <w:r>
        <w:rPr>
          <w:rFonts w:ascii="Century Gothic"/>
          <w:i/>
          <w:w w:val="90"/>
        </w:rPr>
        <w:t>Graduate</w:t>
      </w:r>
      <w:r>
        <w:rPr>
          <w:rFonts w:ascii="Century Gothic"/>
          <w:i/>
          <w:spacing w:val="-28"/>
          <w:w w:val="90"/>
        </w:rPr>
        <w:t> </w:t>
      </w:r>
      <w:r>
        <w:rPr>
          <w:rFonts w:ascii="Century Gothic"/>
          <w:i/>
          <w:w w:val="90"/>
        </w:rPr>
        <w:t>Research</w:t>
      </w:r>
      <w:r>
        <w:rPr>
          <w:rFonts w:ascii="Century Gothic"/>
          <w:i/>
          <w:spacing w:val="-28"/>
          <w:w w:val="90"/>
        </w:rPr>
        <w:t> </w:t>
      </w:r>
      <w:r>
        <w:rPr>
          <w:rFonts w:ascii="Century Gothic"/>
          <w:i/>
          <w:w w:val="90"/>
        </w:rPr>
        <w:t>Newsletter</w:t>
      </w:r>
      <w:r>
        <w:rPr>
          <w:w w:val="90"/>
        </w:rPr>
        <w:t>, </w:t>
      </w:r>
      <w:r>
        <w:rPr/>
        <w:t>for students, and </w:t>
      </w:r>
      <w:r>
        <w:rPr>
          <w:rFonts w:ascii="Century Gothic"/>
          <w:i/>
        </w:rPr>
        <w:t>Supervisors Digest</w:t>
      </w:r>
      <w:r>
        <w:rPr/>
        <w:t>, a monthly information digest for all </w:t>
      </w:r>
      <w:r>
        <w:rPr>
          <w:spacing w:val="2"/>
        </w:rPr>
        <w:t>HDR </w:t>
      </w:r>
      <w:r>
        <w:rPr/>
        <w:t>directors and supervisors. These newsletters are also useful when the School is seeking feedback from </w:t>
      </w:r>
      <w:r>
        <w:rPr>
          <w:spacing w:val="2"/>
        </w:rPr>
        <w:t>HDR </w:t>
      </w:r>
      <w:r>
        <w:rPr/>
        <w:t>staff members and students on various issues. Additionally, the Dean of Graduate Studies sends fortnightly emails</w:t>
      </w:r>
      <w:r>
        <w:rPr>
          <w:spacing w:val="-15"/>
        </w:rPr>
        <w:t> </w:t>
      </w:r>
      <w:r>
        <w:rPr/>
        <w:t>to</w:t>
      </w:r>
      <w:r>
        <w:rPr>
          <w:spacing w:val="-15"/>
        </w:rPr>
        <w:t> </w:t>
      </w:r>
      <w:r>
        <w:rPr/>
        <w:t>all</w:t>
      </w:r>
      <w:r>
        <w:rPr>
          <w:spacing w:val="-15"/>
        </w:rPr>
        <w:t> </w:t>
      </w:r>
      <w:r>
        <w:rPr>
          <w:spacing w:val="2"/>
        </w:rPr>
        <w:t>HDR</w:t>
      </w:r>
      <w:r>
        <w:rPr>
          <w:spacing w:val="-15"/>
        </w:rPr>
        <w:t> </w:t>
      </w:r>
      <w:r>
        <w:rPr/>
        <w:t>directors</w:t>
      </w:r>
      <w:r>
        <w:rPr>
          <w:spacing w:val="-15"/>
        </w:rPr>
        <w:t> </w:t>
      </w:r>
      <w:r>
        <w:rPr/>
        <w:t>to</w:t>
      </w:r>
      <w:r>
        <w:rPr>
          <w:spacing w:val="-15"/>
        </w:rPr>
        <w:t> </w:t>
      </w:r>
      <w:r>
        <w:rPr/>
        <w:t>update</w:t>
      </w:r>
      <w:r>
        <w:rPr>
          <w:spacing w:val="-15"/>
        </w:rPr>
        <w:t> </w:t>
      </w:r>
      <w:r>
        <w:rPr/>
        <w:t>them</w:t>
      </w:r>
      <w:r>
        <w:rPr>
          <w:spacing w:val="-15"/>
        </w:rPr>
        <w:t> </w:t>
      </w:r>
      <w:r>
        <w:rPr/>
        <w:t>as information</w:t>
      </w:r>
      <w:r>
        <w:rPr>
          <w:spacing w:val="-26"/>
        </w:rPr>
        <w:t> </w:t>
      </w:r>
      <w:r>
        <w:rPr/>
        <w:t>becomes</w:t>
      </w:r>
      <w:r>
        <w:rPr>
          <w:spacing w:val="-26"/>
        </w:rPr>
        <w:t> </w:t>
      </w:r>
      <w:r>
        <w:rPr/>
        <w:t>available.</w:t>
      </w:r>
    </w:p>
    <w:p>
      <w:pPr>
        <w:pStyle w:val="BodyText"/>
        <w:spacing w:before="2"/>
        <w:rPr>
          <w:sz w:val="14"/>
        </w:rPr>
      </w:pPr>
    </w:p>
    <w:p>
      <w:pPr>
        <w:pStyle w:val="BodyText"/>
        <w:spacing w:line="249" w:lineRule="auto"/>
        <w:ind w:left="107" w:right="46"/>
      </w:pPr>
      <w:r>
        <w:rPr/>
        <w:t>The Dean of Graduate Studies promoted the University by providing several significant </w:t>
      </w:r>
      <w:r>
        <w:rPr>
          <w:w w:val="98"/>
        </w:rPr>
        <w:t>keynote </w:t>
      </w:r>
      <w:r>
        <w:rPr>
          <w:w w:val="96"/>
        </w:rPr>
        <w:t>addresses </w:t>
      </w:r>
      <w:r>
        <w:rPr>
          <w:w w:val="95"/>
        </w:rPr>
        <w:t>in </w:t>
      </w:r>
      <w:r>
        <w:rPr>
          <w:w w:val="84"/>
        </w:rPr>
        <w:t>2015. </w:t>
      </w:r>
      <w:r>
        <w:rPr>
          <w:w w:val="94"/>
        </w:rPr>
        <w:t>The </w:t>
      </w:r>
      <w:r>
        <w:rPr>
          <w:w w:val="96"/>
        </w:rPr>
        <w:t>Dean </w:t>
      </w:r>
      <w:r>
        <w:rPr>
          <w:w w:val="96"/>
        </w:rPr>
        <w:t>was </w:t>
      </w:r>
      <w:r>
        <w:rPr>
          <w:w w:val="98"/>
        </w:rPr>
        <w:t>invited </w:t>
      </w:r>
      <w:r>
        <w:rPr>
          <w:w w:val="101"/>
        </w:rPr>
        <w:t>to </w:t>
      </w:r>
      <w:r>
        <w:rPr>
          <w:w w:val="96"/>
        </w:rPr>
        <w:t>speak </w:t>
      </w:r>
      <w:r>
        <w:rPr>
          <w:w w:val="101"/>
        </w:rPr>
        <w:t>to </w:t>
      </w:r>
      <w:r>
        <w:rPr>
          <w:w w:val="97"/>
        </w:rPr>
        <w:t>more </w:t>
      </w:r>
      <w:r>
        <w:rPr>
          <w:w w:val="97"/>
        </w:rPr>
        <w:t>than </w:t>
      </w:r>
      <w:r>
        <w:rPr>
          <w:w w:val="91"/>
        </w:rPr>
        <w:t>1,000 </w:t>
      </w:r>
      <w:r>
        <w:rPr>
          <w:w w:val="97"/>
        </w:rPr>
        <w:t>year </w:t>
      </w:r>
      <w:r>
        <w:rPr>
          <w:w w:val="82"/>
        </w:rPr>
        <w:t>10 </w:t>
      </w:r>
      <w:r>
        <w:rPr/>
        <w:t>students at the Bridges to Higher Education </w:t>
      </w:r>
      <w:r>
        <w:rPr>
          <w:w w:val="97"/>
        </w:rPr>
        <w:t>Conference </w:t>
      </w:r>
      <w:r>
        <w:rPr>
          <w:w w:val="95"/>
        </w:rPr>
        <w:t>in </w:t>
      </w:r>
      <w:r>
        <w:rPr>
          <w:w w:val="100"/>
        </w:rPr>
        <w:t>August </w:t>
      </w:r>
      <w:r>
        <w:rPr>
          <w:w w:val="84"/>
        </w:rPr>
        <w:t>2015. </w:t>
      </w:r>
      <w:r>
        <w:rPr>
          <w:w w:val="94"/>
        </w:rPr>
        <w:t>The </w:t>
      </w:r>
      <w:r>
        <w:rPr>
          <w:w w:val="98"/>
        </w:rPr>
        <w:t>Bridges </w:t>
      </w:r>
      <w:r>
        <w:rPr/>
        <w:t>project is led by Western Sydney University and focuses on engaging with communities of low socio-economic status to promote the benefits of higher education.</w:t>
      </w:r>
    </w:p>
    <w:p>
      <w:pPr>
        <w:pStyle w:val="BodyText"/>
        <w:spacing w:before="7"/>
        <w:rPr>
          <w:sz w:val="21"/>
        </w:rPr>
      </w:pPr>
    </w:p>
    <w:p>
      <w:pPr>
        <w:pStyle w:val="Heading8"/>
        <w:spacing w:line="249" w:lineRule="auto"/>
        <w:ind w:right="-17"/>
      </w:pPr>
      <w:r>
        <w:rPr>
          <w:w w:val="95"/>
        </w:rPr>
        <w:t>THE HDR STUDENT ADMINISTRATION SUPPORT JOURNEY</w:t>
      </w:r>
    </w:p>
    <w:p>
      <w:pPr>
        <w:pStyle w:val="BodyText"/>
        <w:spacing w:line="249" w:lineRule="auto" w:before="79"/>
        <w:ind w:left="107" w:right="28"/>
      </w:pPr>
      <w:r>
        <w:rPr/>
        <w:t>The GRS is focused on providing accessible and personalised administration support services for all HDR students. This support covers the university life of an HDR student, from their initial enquiry through to </w:t>
      </w:r>
      <w:r>
        <w:rPr>
          <w:w w:val="95"/>
        </w:rPr>
        <w:t>graduation. </w:t>
      </w:r>
      <w:r>
        <w:rPr>
          <w:w w:val="80"/>
        </w:rPr>
        <w:t>In </w:t>
      </w:r>
      <w:r>
        <w:rPr>
          <w:w w:val="84"/>
        </w:rPr>
        <w:t>2015, </w:t>
      </w:r>
      <w:r>
        <w:rPr>
          <w:w w:val="97"/>
        </w:rPr>
        <w:t>the </w:t>
      </w:r>
      <w:r>
        <w:rPr>
          <w:w w:val="99"/>
        </w:rPr>
        <w:t>GRS </w:t>
      </w:r>
      <w:r>
        <w:rPr>
          <w:w w:val="99"/>
        </w:rPr>
        <w:t>commenced </w:t>
      </w:r>
      <w:r>
        <w:rPr>
          <w:w w:val="94"/>
        </w:rPr>
        <w:t>a </w:t>
      </w:r>
      <w:r>
        <w:rPr/>
        <w:t>cultural shift from a transactional approach to a personalised, student-centred approach, reinforcing the University’s beliefs about</w:t>
      </w:r>
    </w:p>
    <w:p>
      <w:pPr>
        <w:pStyle w:val="BodyText"/>
        <w:spacing w:line="249" w:lineRule="auto"/>
        <w:ind w:left="107" w:right="-17"/>
      </w:pPr>
      <w:r>
        <w:rPr/>
        <w:t>the</w:t>
      </w:r>
      <w:r>
        <w:rPr>
          <w:spacing w:val="-18"/>
        </w:rPr>
        <w:t> </w:t>
      </w:r>
      <w:r>
        <w:rPr/>
        <w:t>primacy</w:t>
      </w:r>
      <w:r>
        <w:rPr>
          <w:spacing w:val="-18"/>
        </w:rPr>
        <w:t> </w:t>
      </w:r>
      <w:r>
        <w:rPr/>
        <w:t>of</w:t>
      </w:r>
      <w:r>
        <w:rPr>
          <w:spacing w:val="-18"/>
        </w:rPr>
        <w:t> </w:t>
      </w:r>
      <w:r>
        <w:rPr/>
        <w:t>student</w:t>
      </w:r>
      <w:r>
        <w:rPr>
          <w:spacing w:val="-18"/>
        </w:rPr>
        <w:t> </w:t>
      </w:r>
      <w:r>
        <w:rPr/>
        <w:t>experience.</w:t>
      </w:r>
      <w:r>
        <w:rPr>
          <w:spacing w:val="-18"/>
        </w:rPr>
        <w:t> </w:t>
      </w:r>
      <w:r>
        <w:rPr/>
        <w:t>This</w:t>
      </w:r>
      <w:r>
        <w:rPr>
          <w:spacing w:val="-18"/>
        </w:rPr>
        <w:t> </w:t>
      </w:r>
      <w:r>
        <w:rPr/>
        <w:t>will </w:t>
      </w:r>
      <w:r>
        <w:rPr>
          <w:w w:val="98"/>
        </w:rPr>
        <w:t>continue</w:t>
      </w:r>
      <w:r>
        <w:rPr>
          <w:spacing w:val="-9"/>
          <w:w w:val="98"/>
        </w:rPr>
        <w:t> </w:t>
      </w:r>
      <w:r>
        <w:rPr>
          <w:spacing w:val="-1"/>
          <w:w w:val="101"/>
        </w:rPr>
        <w:t>to</w:t>
      </w:r>
      <w:r>
        <w:rPr>
          <w:spacing w:val="-10"/>
          <w:w w:val="101"/>
        </w:rPr>
        <w:t> </w:t>
      </w:r>
      <w:r>
        <w:rPr>
          <w:spacing w:val="1"/>
          <w:w w:val="99"/>
        </w:rPr>
        <w:t>be</w:t>
      </w:r>
      <w:r>
        <w:rPr>
          <w:spacing w:val="-9"/>
          <w:w w:val="99"/>
        </w:rPr>
        <w:t> </w:t>
      </w:r>
      <w:r>
        <w:rPr>
          <w:w w:val="94"/>
        </w:rPr>
        <w:t>a</w:t>
      </w:r>
      <w:r>
        <w:rPr>
          <w:spacing w:val="-7"/>
          <w:w w:val="94"/>
        </w:rPr>
        <w:t> </w:t>
      </w:r>
      <w:r>
        <w:rPr>
          <w:spacing w:val="1"/>
          <w:w w:val="98"/>
        </w:rPr>
        <w:t>focus</w:t>
      </w:r>
      <w:r>
        <w:rPr>
          <w:spacing w:val="-9"/>
          <w:w w:val="98"/>
        </w:rPr>
        <w:t> </w:t>
      </w:r>
      <w:r>
        <w:rPr>
          <w:w w:val="98"/>
        </w:rPr>
        <w:t>for</w:t>
      </w:r>
      <w:r>
        <w:rPr>
          <w:spacing w:val="-9"/>
          <w:w w:val="98"/>
        </w:rPr>
        <w:t> </w:t>
      </w:r>
      <w:r>
        <w:rPr>
          <w:spacing w:val="2"/>
          <w:w w:val="85"/>
        </w:rPr>
        <w:t>2016.</w:t>
      </w:r>
    </w:p>
    <w:p>
      <w:pPr>
        <w:pStyle w:val="BodyText"/>
        <w:rPr>
          <w:sz w:val="14"/>
        </w:rPr>
      </w:pPr>
    </w:p>
    <w:p>
      <w:pPr>
        <w:pStyle w:val="BodyText"/>
        <w:spacing w:line="249" w:lineRule="auto"/>
        <w:ind w:left="107" w:right="-17"/>
      </w:pPr>
      <w:r>
        <w:rPr/>
        <w:t>The GRS increased its level of </w:t>
      </w:r>
      <w:r>
        <w:rPr>
          <w:spacing w:val="2"/>
        </w:rPr>
        <w:t>HDR </w:t>
      </w:r>
      <w:r>
        <w:rPr/>
        <w:t>student administrative</w:t>
      </w:r>
      <w:r>
        <w:rPr>
          <w:spacing w:val="-15"/>
        </w:rPr>
        <w:t> </w:t>
      </w:r>
      <w:r>
        <w:rPr/>
        <w:t>support</w:t>
      </w:r>
      <w:r>
        <w:rPr>
          <w:spacing w:val="-15"/>
        </w:rPr>
        <w:t> </w:t>
      </w:r>
      <w:r>
        <w:rPr/>
        <w:t>provided,</w:t>
      </w:r>
      <w:r>
        <w:rPr>
          <w:spacing w:val="-15"/>
        </w:rPr>
        <w:t> </w:t>
      </w:r>
      <w:r>
        <w:rPr/>
        <w:t>which</w:t>
      </w:r>
      <w:r>
        <w:rPr>
          <w:spacing w:val="-15"/>
        </w:rPr>
        <w:t> </w:t>
      </w:r>
      <w:r>
        <w:rPr/>
        <w:t>can</w:t>
      </w:r>
      <w:r>
        <w:rPr>
          <w:spacing w:val="-15"/>
        </w:rPr>
        <w:t> </w:t>
      </w:r>
      <w:r>
        <w:rPr/>
        <w:t>be attributed</w:t>
      </w:r>
      <w:r>
        <w:rPr>
          <w:spacing w:val="-22"/>
        </w:rPr>
        <w:t> </w:t>
      </w:r>
      <w:r>
        <w:rPr/>
        <w:t>to</w:t>
      </w:r>
      <w:r>
        <w:rPr>
          <w:spacing w:val="-22"/>
        </w:rPr>
        <w:t> </w:t>
      </w:r>
      <w:r>
        <w:rPr/>
        <w:t>several</w:t>
      </w:r>
      <w:r>
        <w:rPr>
          <w:spacing w:val="-22"/>
        </w:rPr>
        <w:t> </w:t>
      </w:r>
      <w:r>
        <w:rPr/>
        <w:t>factors:</w:t>
      </w:r>
    </w:p>
    <w:p>
      <w:pPr>
        <w:pStyle w:val="BodyText"/>
        <w:spacing w:before="11"/>
        <w:rPr>
          <w:sz w:val="13"/>
        </w:rPr>
      </w:pPr>
    </w:p>
    <w:p>
      <w:pPr>
        <w:pStyle w:val="BodyText"/>
        <w:spacing w:line="244" w:lineRule="auto"/>
        <w:ind w:left="333" w:right="129" w:hanging="227"/>
      </w:pPr>
      <w:r>
        <w:rPr>
          <w:rFonts w:ascii="Century Gothic" w:hAnsi="Century Gothic"/>
          <w:b/>
          <w:w w:val="115"/>
        </w:rPr>
        <w:t>≥ </w:t>
      </w:r>
      <w:r>
        <w:rPr/>
        <w:t>The GRS received 880 PhD applications, </w:t>
      </w:r>
      <w:r>
        <w:rPr>
          <w:w w:val="95"/>
        </w:rPr>
        <w:t>an </w:t>
      </w:r>
      <w:r>
        <w:rPr>
          <w:w w:val="96"/>
        </w:rPr>
        <w:t>increase </w:t>
      </w:r>
      <w:r>
        <w:rPr>
          <w:w w:val="99"/>
        </w:rPr>
        <w:t>of </w:t>
      </w:r>
      <w:r>
        <w:rPr>
          <w:w w:val="102"/>
        </w:rPr>
        <w:t>30 </w:t>
      </w:r>
      <w:r>
        <w:rPr>
          <w:w w:val="97"/>
        </w:rPr>
        <w:t>per </w:t>
      </w:r>
      <w:r>
        <w:rPr>
          <w:w w:val="99"/>
        </w:rPr>
        <w:t>cent </w:t>
      </w:r>
      <w:r>
        <w:rPr>
          <w:w w:val="98"/>
        </w:rPr>
        <w:t>from </w:t>
      </w:r>
      <w:r>
        <w:rPr>
          <w:w w:val="86"/>
        </w:rPr>
        <w:t>2014.</w:t>
      </w:r>
    </w:p>
    <w:p>
      <w:pPr>
        <w:pStyle w:val="BodyText"/>
        <w:spacing w:line="249" w:lineRule="auto" w:before="3"/>
        <w:ind w:left="333" w:right="76"/>
      </w:pPr>
      <w:r>
        <w:rPr/>
        <w:t>This increase can be attributed to the introduction of a mid-year scholarship round,</w:t>
      </w:r>
      <w:r>
        <w:rPr>
          <w:spacing w:val="-16"/>
        </w:rPr>
        <w:t> </w:t>
      </w:r>
      <w:r>
        <w:rPr/>
        <w:t>so</w:t>
      </w:r>
      <w:r>
        <w:rPr>
          <w:spacing w:val="-16"/>
        </w:rPr>
        <w:t> </w:t>
      </w:r>
      <w:r>
        <w:rPr/>
        <w:t>this</w:t>
      </w:r>
      <w:r>
        <w:rPr>
          <w:spacing w:val="-16"/>
        </w:rPr>
        <w:t> </w:t>
      </w:r>
      <w:r>
        <w:rPr/>
        <w:t>level</w:t>
      </w:r>
      <w:r>
        <w:rPr>
          <w:spacing w:val="-16"/>
        </w:rPr>
        <w:t> </w:t>
      </w:r>
      <w:r>
        <w:rPr/>
        <w:t>of</w:t>
      </w:r>
      <w:r>
        <w:rPr>
          <w:spacing w:val="-16"/>
        </w:rPr>
        <w:t> </w:t>
      </w:r>
      <w:r>
        <w:rPr/>
        <w:t>growth</w:t>
      </w:r>
      <w:r>
        <w:rPr>
          <w:spacing w:val="-16"/>
        </w:rPr>
        <w:t> </w:t>
      </w:r>
      <w:r>
        <w:rPr/>
        <w:t>is</w:t>
      </w:r>
      <w:r>
        <w:rPr>
          <w:spacing w:val="-16"/>
        </w:rPr>
        <w:t> </w:t>
      </w:r>
      <w:r>
        <w:rPr/>
        <w:t>expected to</w:t>
      </w:r>
      <w:r>
        <w:rPr>
          <w:spacing w:val="-16"/>
        </w:rPr>
        <w:t> </w:t>
      </w:r>
      <w:r>
        <w:rPr/>
        <w:t>be</w:t>
      </w:r>
      <w:r>
        <w:rPr>
          <w:spacing w:val="-16"/>
        </w:rPr>
        <w:t> </w:t>
      </w:r>
      <w:r>
        <w:rPr/>
        <w:t>a</w:t>
      </w:r>
      <w:r>
        <w:rPr>
          <w:spacing w:val="-16"/>
        </w:rPr>
        <w:t> </w:t>
      </w:r>
      <w:r>
        <w:rPr/>
        <w:t>one-off</w:t>
      </w:r>
      <w:r>
        <w:rPr>
          <w:spacing w:val="-16"/>
        </w:rPr>
        <w:t> </w:t>
      </w:r>
      <w:r>
        <w:rPr/>
        <w:t>occurrence.</w:t>
      </w:r>
    </w:p>
    <w:p>
      <w:pPr>
        <w:pStyle w:val="BodyText"/>
        <w:spacing w:before="55"/>
        <w:ind w:left="107" w:right="-17"/>
      </w:pPr>
      <w:r>
        <w:rPr>
          <w:rFonts w:ascii="Century Gothic" w:hAnsi="Century Gothic"/>
          <w:b/>
          <w:w w:val="115"/>
        </w:rPr>
        <w:t>≥ </w:t>
      </w:r>
      <w:r>
        <w:rPr>
          <w:w w:val="105"/>
        </w:rPr>
        <w:t>The GRS enrolled and supported the</w:t>
      </w:r>
    </w:p>
    <w:p>
      <w:pPr>
        <w:pStyle w:val="BodyText"/>
        <w:spacing w:line="249" w:lineRule="auto" w:before="71"/>
        <w:ind w:left="333" w:right="107"/>
      </w:pPr>
      <w:r>
        <w:rPr/>
        <w:br w:type="column"/>
      </w:r>
      <w:r>
        <w:rPr>
          <w:w w:val="97"/>
        </w:rPr>
        <w:t>candidature </w:t>
      </w:r>
      <w:r>
        <w:rPr>
          <w:w w:val="99"/>
        </w:rPr>
        <w:t>of </w:t>
      </w:r>
      <w:r>
        <w:rPr>
          <w:w w:val="85"/>
        </w:rPr>
        <w:t>1,085 </w:t>
      </w:r>
      <w:r>
        <w:rPr>
          <w:w w:val="99"/>
        </w:rPr>
        <w:t>PhD </w:t>
      </w:r>
      <w:r>
        <w:rPr>
          <w:w w:val="97"/>
        </w:rPr>
        <w:t>and </w:t>
      </w:r>
      <w:r>
        <w:rPr>
          <w:w w:val="96"/>
        </w:rPr>
        <w:t>Master </w:t>
      </w:r>
      <w:r>
        <w:rPr>
          <w:w w:val="99"/>
        </w:rPr>
        <w:t>of </w:t>
      </w:r>
      <w:r>
        <w:rPr/>
        <w:t>Philosophy students. This was an increase </w:t>
      </w:r>
      <w:r>
        <w:rPr>
          <w:w w:val="99"/>
        </w:rPr>
        <w:t>of </w:t>
      </w:r>
      <w:r>
        <w:rPr>
          <w:w w:val="79"/>
        </w:rPr>
        <w:t>12.4 </w:t>
      </w:r>
      <w:r>
        <w:rPr>
          <w:w w:val="97"/>
        </w:rPr>
        <w:t>per </w:t>
      </w:r>
      <w:r>
        <w:rPr>
          <w:w w:val="99"/>
        </w:rPr>
        <w:t>cent </w:t>
      </w:r>
      <w:r>
        <w:rPr>
          <w:w w:val="98"/>
        </w:rPr>
        <w:t>from </w:t>
      </w:r>
      <w:r>
        <w:rPr>
          <w:w w:val="86"/>
        </w:rPr>
        <w:t>2014.</w:t>
      </w:r>
    </w:p>
    <w:p>
      <w:pPr>
        <w:pStyle w:val="BodyText"/>
        <w:spacing w:line="244" w:lineRule="auto" w:before="55"/>
        <w:ind w:left="333" w:right="287" w:hanging="227"/>
      </w:pPr>
      <w:r>
        <w:rPr>
          <w:rFonts w:ascii="Century Gothic" w:hAnsi="Century Gothic"/>
          <w:b/>
          <w:w w:val="115"/>
        </w:rPr>
        <w:t>≥ </w:t>
      </w:r>
      <w:r>
        <w:rPr/>
        <w:t>Twelve per cent (138) of PhD students </w:t>
      </w:r>
      <w:r>
        <w:rPr>
          <w:w w:val="98"/>
        </w:rPr>
        <w:t>graduated </w:t>
      </w:r>
      <w:r>
        <w:rPr>
          <w:w w:val="95"/>
        </w:rPr>
        <w:t>in </w:t>
      </w:r>
      <w:r>
        <w:rPr>
          <w:w w:val="84"/>
        </w:rPr>
        <w:t>2015.</w:t>
      </w:r>
    </w:p>
    <w:p>
      <w:pPr>
        <w:pStyle w:val="BodyText"/>
        <w:spacing w:before="4"/>
        <w:rPr>
          <w:sz w:val="14"/>
        </w:rPr>
      </w:pPr>
    </w:p>
    <w:p>
      <w:pPr>
        <w:pStyle w:val="BodyText"/>
        <w:spacing w:line="249" w:lineRule="auto"/>
        <w:ind w:left="107" w:right="28"/>
      </w:pPr>
      <w:r>
        <w:rPr/>
        <w:t>The GRS supported and collaborated with students as well as Western Sydney University Schools and Institutes to provide a connected and smooth experience for scholarship students, from advertising to admission, overseeing allowances and candidature variances, ensuring equitable and complete scholarship applications, and facilitating PhD scholarship rankings.</w:t>
      </w:r>
    </w:p>
    <w:p>
      <w:pPr>
        <w:pStyle w:val="BodyText"/>
        <w:rPr>
          <w:sz w:val="14"/>
        </w:rPr>
      </w:pPr>
    </w:p>
    <w:p>
      <w:pPr>
        <w:pStyle w:val="BodyText"/>
        <w:ind w:left="107" w:right="287"/>
      </w:pPr>
      <w:r>
        <w:rPr>
          <w:spacing w:val="2"/>
          <w:w w:val="64"/>
        </w:rPr>
        <w:t>I</w:t>
      </w:r>
      <w:r>
        <w:rPr>
          <w:w w:val="95"/>
        </w:rPr>
        <w:t>n</w:t>
      </w:r>
      <w:r>
        <w:rPr>
          <w:spacing w:val="-12"/>
        </w:rPr>
        <w:t> </w:t>
      </w:r>
      <w:r>
        <w:rPr>
          <w:spacing w:val="2"/>
          <w:w w:val="93"/>
        </w:rPr>
        <w:t>2</w:t>
      </w:r>
      <w:r>
        <w:rPr>
          <w:spacing w:val="1"/>
          <w:w w:val="111"/>
        </w:rPr>
        <w:t>0</w:t>
      </w:r>
      <w:r>
        <w:rPr>
          <w:spacing w:val="2"/>
          <w:w w:val="54"/>
        </w:rPr>
        <w:t>1</w:t>
      </w:r>
      <w:r>
        <w:rPr>
          <w:spacing w:val="4"/>
          <w:w w:val="95"/>
        </w:rPr>
        <w:t>5</w:t>
      </w:r>
      <w:r>
        <w:rPr>
          <w:w w:val="68"/>
        </w:rPr>
        <w:t>,</w:t>
      </w:r>
      <w:r>
        <w:rPr>
          <w:spacing w:val="-12"/>
        </w:rPr>
        <w:t> </w:t>
      </w:r>
      <w:r>
        <w:rPr>
          <w:w w:val="102"/>
        </w:rPr>
        <w:t>t</w:t>
      </w:r>
      <w:r>
        <w:rPr>
          <w:spacing w:val="2"/>
          <w:w w:val="95"/>
        </w:rPr>
        <w:t>h</w:t>
      </w:r>
      <w:r>
        <w:rPr>
          <w:w w:val="95"/>
        </w:rPr>
        <w:t>e</w:t>
      </w:r>
      <w:r>
        <w:rPr>
          <w:spacing w:val="-12"/>
        </w:rPr>
        <w:t> </w:t>
      </w:r>
      <w:r>
        <w:rPr>
          <w:spacing w:val="3"/>
          <w:w w:val="98"/>
        </w:rPr>
        <w:t>S</w:t>
      </w:r>
      <w:r>
        <w:rPr>
          <w:spacing w:val="1"/>
          <w:w w:val="102"/>
        </w:rPr>
        <w:t>c</w:t>
      </w:r>
      <w:r>
        <w:rPr>
          <w:spacing w:val="2"/>
          <w:w w:val="95"/>
        </w:rPr>
        <w:t>h</w:t>
      </w:r>
      <w:r>
        <w:rPr>
          <w:spacing w:val="2"/>
          <w:w w:val="100"/>
        </w:rPr>
        <w:t>oo</w:t>
      </w:r>
      <w:r>
        <w:rPr>
          <w:w w:val="95"/>
        </w:rPr>
        <w:t>l</w:t>
      </w:r>
      <w:r>
        <w:rPr>
          <w:w w:val="61"/>
        </w:rPr>
        <w:t>:</w:t>
      </w:r>
    </w:p>
    <w:p>
      <w:pPr>
        <w:pStyle w:val="BodyText"/>
        <w:spacing w:before="7"/>
        <w:rPr>
          <w:sz w:val="14"/>
        </w:rPr>
      </w:pPr>
    </w:p>
    <w:p>
      <w:pPr>
        <w:pStyle w:val="BodyText"/>
        <w:spacing w:line="244" w:lineRule="auto"/>
        <w:ind w:left="333" w:right="360" w:hanging="227"/>
      </w:pPr>
      <w:r>
        <w:rPr>
          <w:rFonts w:ascii="Century Gothic" w:hAnsi="Century Gothic"/>
          <w:b/>
          <w:w w:val="115"/>
        </w:rPr>
        <w:t>≥</w:t>
      </w:r>
      <w:r>
        <w:rPr>
          <w:rFonts w:ascii="Century Gothic" w:hAnsi="Century Gothic"/>
          <w:b/>
          <w:spacing w:val="-18"/>
          <w:w w:val="115"/>
        </w:rPr>
        <w:t> </w:t>
      </w:r>
      <w:r>
        <w:rPr>
          <w:w w:val="105"/>
        </w:rPr>
        <w:t>Received</w:t>
      </w:r>
      <w:r>
        <w:rPr>
          <w:spacing w:val="-40"/>
          <w:w w:val="105"/>
        </w:rPr>
        <w:t> </w:t>
      </w:r>
      <w:r>
        <w:rPr>
          <w:w w:val="105"/>
        </w:rPr>
        <w:t>159</w:t>
      </w:r>
      <w:r>
        <w:rPr>
          <w:spacing w:val="-40"/>
          <w:w w:val="105"/>
        </w:rPr>
        <w:t> </w:t>
      </w:r>
      <w:r>
        <w:rPr>
          <w:w w:val="105"/>
        </w:rPr>
        <w:t>project-based</w:t>
      </w:r>
      <w:r>
        <w:rPr>
          <w:spacing w:val="-40"/>
          <w:w w:val="105"/>
        </w:rPr>
        <w:t> </w:t>
      </w:r>
      <w:r>
        <w:rPr>
          <w:w w:val="105"/>
        </w:rPr>
        <w:t>scholarship </w:t>
      </w:r>
      <w:r>
        <w:rPr/>
        <w:t>application for 29</w:t>
      </w:r>
      <w:r>
        <w:rPr>
          <w:spacing w:val="-35"/>
        </w:rPr>
        <w:t> </w:t>
      </w:r>
      <w:r>
        <w:rPr/>
        <w:t>projects</w:t>
      </w:r>
    </w:p>
    <w:p>
      <w:pPr>
        <w:pStyle w:val="BodyText"/>
        <w:spacing w:line="247" w:lineRule="auto" w:before="58"/>
        <w:ind w:left="333" w:right="263" w:hanging="227"/>
      </w:pPr>
      <w:r>
        <w:rPr>
          <w:rFonts w:ascii="Century Gothic" w:hAnsi="Century Gothic"/>
          <w:b/>
          <w:w w:val="115"/>
        </w:rPr>
        <w:t>≥ </w:t>
      </w:r>
      <w:r>
        <w:rPr/>
        <w:t>Provided 166 students with a scholarship and extended the scholarships of 33 students</w:t>
      </w:r>
    </w:p>
    <w:p>
      <w:pPr>
        <w:pStyle w:val="BodyText"/>
        <w:spacing w:line="244" w:lineRule="auto" w:before="57"/>
        <w:ind w:left="333" w:right="287" w:hanging="227"/>
      </w:pPr>
      <w:r>
        <w:rPr>
          <w:rFonts w:ascii="Century Gothic" w:hAnsi="Century Gothic"/>
          <w:b/>
          <w:w w:val="115"/>
        </w:rPr>
        <w:t>≥ </w:t>
      </w:r>
      <w:r>
        <w:rPr/>
        <w:t>Developed a number of dual-award scholarships with partner universities</w:t>
      </w:r>
    </w:p>
    <w:p>
      <w:pPr>
        <w:pStyle w:val="BodyText"/>
        <w:spacing w:line="247" w:lineRule="auto" w:before="58"/>
        <w:ind w:left="333" w:right="252" w:hanging="227"/>
      </w:pPr>
      <w:r>
        <w:rPr>
          <w:rFonts w:ascii="Century Gothic" w:hAnsi="Century Gothic"/>
          <w:b/>
          <w:w w:val="115"/>
        </w:rPr>
        <w:t>≥ </w:t>
      </w:r>
      <w:r>
        <w:rPr/>
        <w:t>Prioritised expanding scholarship opportunities by establishing co-funded scholarship awards, in keeping with the vision of engaged research across the key dimensions of futures, impact and capacity. In essence, these are three- way funded partnerships between the School and/or Institute, the GRS and an</w:t>
      </w:r>
    </w:p>
    <w:p>
      <w:pPr>
        <w:pStyle w:val="BodyText"/>
        <w:spacing w:line="249" w:lineRule="auto" w:before="1"/>
        <w:ind w:left="333" w:right="171"/>
      </w:pPr>
      <w:r>
        <w:rPr/>
        <w:t>external</w:t>
      </w:r>
      <w:r>
        <w:rPr>
          <w:spacing w:val="-16"/>
        </w:rPr>
        <w:t> </w:t>
      </w:r>
      <w:r>
        <w:rPr/>
        <w:t>industry-based</w:t>
      </w:r>
      <w:r>
        <w:rPr>
          <w:spacing w:val="-16"/>
        </w:rPr>
        <w:t> </w:t>
      </w:r>
      <w:r>
        <w:rPr/>
        <w:t>sponsor.</w:t>
      </w:r>
      <w:r>
        <w:rPr>
          <w:spacing w:val="-16"/>
        </w:rPr>
        <w:t> </w:t>
      </w:r>
      <w:r>
        <w:rPr/>
        <w:t>Some</w:t>
      </w:r>
      <w:r>
        <w:rPr>
          <w:spacing w:val="-16"/>
        </w:rPr>
        <w:t> </w:t>
      </w:r>
      <w:r>
        <w:rPr/>
        <w:t>of the co-funding partnerships established </w:t>
      </w:r>
      <w:r>
        <w:rPr>
          <w:w w:val="95"/>
        </w:rPr>
        <w:t>in </w:t>
      </w:r>
      <w:r>
        <w:rPr>
          <w:spacing w:val="1"/>
          <w:w w:val="88"/>
        </w:rPr>
        <w:t>2015</w:t>
      </w:r>
      <w:r>
        <w:rPr>
          <w:w w:val="88"/>
        </w:rPr>
        <w:t> </w:t>
      </w:r>
      <w:r>
        <w:rPr>
          <w:w w:val="97"/>
        </w:rPr>
        <w:t>were </w:t>
      </w:r>
      <w:r>
        <w:rPr>
          <w:w w:val="98"/>
        </w:rPr>
        <w:t>with </w:t>
      </w:r>
      <w:r>
        <w:rPr>
          <w:w w:val="97"/>
        </w:rPr>
        <w:t>the </w:t>
      </w:r>
      <w:r>
        <w:rPr>
          <w:w w:val="97"/>
        </w:rPr>
        <w:t>Greater </w:t>
      </w:r>
      <w:r>
        <w:rPr>
          <w:w w:val="98"/>
        </w:rPr>
        <w:t>Western </w:t>
      </w:r>
      <w:r>
        <w:rPr/>
        <w:t>Sydney Giants, Westfields </w:t>
      </w:r>
      <w:r>
        <w:rPr>
          <w:spacing w:val="2"/>
        </w:rPr>
        <w:t>Sports </w:t>
      </w:r>
      <w:r>
        <w:rPr/>
        <w:t>High School,</w:t>
      </w:r>
      <w:r>
        <w:rPr>
          <w:spacing w:val="-14"/>
        </w:rPr>
        <w:t> </w:t>
      </w:r>
      <w:r>
        <w:rPr/>
        <w:t>Mark</w:t>
      </w:r>
      <w:r>
        <w:rPr>
          <w:spacing w:val="-14"/>
        </w:rPr>
        <w:t> </w:t>
      </w:r>
      <w:r>
        <w:rPr/>
        <w:t>Grundy</w:t>
      </w:r>
      <w:r>
        <w:rPr>
          <w:spacing w:val="-14"/>
        </w:rPr>
        <w:t> </w:t>
      </w:r>
      <w:r>
        <w:rPr/>
        <w:t>Oesophageal</w:t>
      </w:r>
      <w:r>
        <w:rPr>
          <w:spacing w:val="-14"/>
        </w:rPr>
        <w:t> </w:t>
      </w:r>
      <w:r>
        <w:rPr/>
        <w:t>Cancer Awareness Group Inc. (OCAGI) and BioCeuticals </w:t>
      </w:r>
      <w:r>
        <w:rPr>
          <w:spacing w:val="3"/>
        </w:rPr>
        <w:t>Pty</w:t>
      </w:r>
      <w:r>
        <w:rPr>
          <w:spacing w:val="-20"/>
        </w:rPr>
        <w:t> </w:t>
      </w:r>
      <w:r>
        <w:rPr/>
        <w:t>Limited.</w:t>
      </w:r>
    </w:p>
    <w:p>
      <w:pPr>
        <w:spacing w:after="0" w:line="249" w:lineRule="auto"/>
        <w:sectPr>
          <w:type w:val="continuous"/>
          <w:pgSz w:w="11910" w:h="16840"/>
          <w:pgMar w:top="1580" w:bottom="280" w:left="800" w:right="800"/>
          <w:cols w:num="3" w:equalWidth="0">
            <w:col w:w="3320" w:space="119"/>
            <w:col w:w="3315" w:space="124"/>
            <w:col w:w="3432"/>
          </w:cols>
        </w:sectPr>
      </w:pPr>
    </w:p>
    <w:p>
      <w:pPr>
        <w:pStyle w:val="BodyText"/>
        <w:spacing w:before="10"/>
        <w:rPr>
          <w:sz w:val="28"/>
        </w:rPr>
      </w:pPr>
    </w:p>
    <w:p>
      <w:pPr>
        <w:pStyle w:val="Heading2"/>
        <w:ind w:right="7977"/>
        <w:rPr>
          <w:b w:val="0"/>
        </w:rPr>
      </w:pPr>
      <w:r>
        <w:rPr>
          <w:b w:val="0"/>
        </w:rPr>
        <w:t>Student Recruitment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Heading5"/>
        <w:spacing w:before="197"/>
        <w:ind w:left="103" w:right="187"/>
      </w:pPr>
      <w:r>
        <w:rPr>
          <w:w w:val="95"/>
        </w:rPr>
        <w:t>WIDENING PARTICIPATION</w:t>
      </w:r>
    </w:p>
    <w:p>
      <w:pPr>
        <w:pStyle w:val="BodyText"/>
        <w:spacing w:line="249" w:lineRule="auto" w:before="209"/>
        <w:ind w:left="107" w:right="341"/>
      </w:pPr>
      <w:r>
        <w:rPr/>
        <w:t>Widening participation (WP) is defined as “…increasing access to learning and providing opportunities for success and</w:t>
      </w:r>
    </w:p>
    <w:p>
      <w:pPr>
        <w:pStyle w:val="BodyText"/>
        <w:spacing w:line="249" w:lineRule="auto"/>
        <w:ind w:left="107" w:right="187"/>
      </w:pPr>
      <w:r>
        <w:rPr/>
        <w:t>progression to a much wider cross-section of the population.” Widening access and improving</w:t>
      </w:r>
      <w:r>
        <w:rPr>
          <w:spacing w:val="-13"/>
        </w:rPr>
        <w:t> </w:t>
      </w:r>
      <w:r>
        <w:rPr/>
        <w:t>participation</w:t>
      </w:r>
      <w:r>
        <w:rPr>
          <w:spacing w:val="-13"/>
        </w:rPr>
        <w:t> </w:t>
      </w:r>
      <w:r>
        <w:rPr/>
        <w:t>in</w:t>
      </w:r>
      <w:r>
        <w:rPr>
          <w:spacing w:val="-13"/>
        </w:rPr>
        <w:t> </w:t>
      </w:r>
      <w:r>
        <w:rPr/>
        <w:t>higher</w:t>
      </w:r>
      <w:r>
        <w:rPr>
          <w:spacing w:val="-13"/>
        </w:rPr>
        <w:t> </w:t>
      </w:r>
      <w:r>
        <w:rPr/>
        <w:t>education enhances life chances and opportunities for</w:t>
      </w:r>
      <w:r>
        <w:rPr>
          <w:spacing w:val="-22"/>
        </w:rPr>
        <w:t> </w:t>
      </w:r>
      <w:r>
        <w:rPr/>
        <w:t>all</w:t>
      </w:r>
      <w:r>
        <w:rPr>
          <w:spacing w:val="-22"/>
        </w:rPr>
        <w:t> </w:t>
      </w:r>
      <w:r>
        <w:rPr/>
        <w:t>under-represented</w:t>
      </w:r>
      <w:r>
        <w:rPr>
          <w:spacing w:val="-22"/>
        </w:rPr>
        <w:t> </w:t>
      </w:r>
      <w:r>
        <w:rPr/>
        <w:t>groups,</w:t>
      </w:r>
      <w:r>
        <w:rPr>
          <w:spacing w:val="-22"/>
        </w:rPr>
        <w:t> </w:t>
      </w:r>
      <w:r>
        <w:rPr/>
        <w:t>and</w:t>
      </w:r>
      <w:r>
        <w:rPr>
          <w:spacing w:val="-22"/>
        </w:rPr>
        <w:t> </w:t>
      </w:r>
      <w:r>
        <w:rPr/>
        <w:t>are</w:t>
      </w:r>
    </w:p>
    <w:p>
      <w:pPr>
        <w:pStyle w:val="BodyText"/>
        <w:spacing w:line="249" w:lineRule="auto"/>
        <w:ind w:left="107" w:right="19"/>
      </w:pPr>
      <w:r>
        <w:rPr/>
        <w:t>crucial</w:t>
      </w:r>
      <w:r>
        <w:rPr>
          <w:spacing w:val="-17"/>
        </w:rPr>
        <w:t> </w:t>
      </w:r>
      <w:r>
        <w:rPr/>
        <w:t>to</w:t>
      </w:r>
      <w:r>
        <w:rPr>
          <w:spacing w:val="-17"/>
        </w:rPr>
        <w:t> </w:t>
      </w:r>
      <w:r>
        <w:rPr/>
        <w:t>the</w:t>
      </w:r>
      <w:r>
        <w:rPr>
          <w:spacing w:val="-17"/>
        </w:rPr>
        <w:t> </w:t>
      </w:r>
      <w:r>
        <w:rPr/>
        <w:t>University’s</w:t>
      </w:r>
      <w:r>
        <w:rPr>
          <w:spacing w:val="-17"/>
        </w:rPr>
        <w:t> </w:t>
      </w:r>
      <w:r>
        <w:rPr/>
        <w:t>mission.</w:t>
      </w:r>
      <w:r>
        <w:rPr>
          <w:spacing w:val="-17"/>
        </w:rPr>
        <w:t> </w:t>
      </w:r>
      <w:r>
        <w:rPr/>
        <w:t>The</w:t>
      </w:r>
      <w:r>
        <w:rPr>
          <w:spacing w:val="-17"/>
        </w:rPr>
        <w:t> </w:t>
      </w:r>
      <w:r>
        <w:rPr/>
        <w:t>Office of Widening Participation (OWP) delivers projects and coordinates funding to other areas within the University to engage people from disadvantaged backgrounds such as low socio-economic status groups,</w:t>
      </w:r>
      <w:r>
        <w:rPr>
          <w:spacing w:val="-32"/>
        </w:rPr>
        <w:t> </w:t>
      </w:r>
      <w:r>
        <w:rPr/>
        <w:t>Aboriginal and Torres Strait Islander </w:t>
      </w:r>
      <w:r>
        <w:rPr>
          <w:spacing w:val="2"/>
        </w:rPr>
        <w:t>peoples, </w:t>
      </w:r>
      <w:r>
        <w:rPr/>
        <w:t>students from out-of-home care, those with Pacific Islander heritage, students from rural and regional locations, those returning to study, students</w:t>
      </w:r>
      <w:r>
        <w:rPr>
          <w:spacing w:val="-17"/>
        </w:rPr>
        <w:t> </w:t>
      </w:r>
      <w:r>
        <w:rPr/>
        <w:t>with</w:t>
      </w:r>
      <w:r>
        <w:rPr>
          <w:spacing w:val="-17"/>
        </w:rPr>
        <w:t> </w:t>
      </w:r>
      <w:r>
        <w:rPr/>
        <w:t>disabilities,</w:t>
      </w:r>
      <w:r>
        <w:rPr>
          <w:spacing w:val="-17"/>
        </w:rPr>
        <w:t> </w:t>
      </w:r>
      <w:r>
        <w:rPr/>
        <w:t>women</w:t>
      </w:r>
      <w:r>
        <w:rPr>
          <w:spacing w:val="-17"/>
        </w:rPr>
        <w:t> </w:t>
      </w:r>
      <w:r>
        <w:rPr/>
        <w:t>studying</w:t>
      </w:r>
    </w:p>
    <w:p>
      <w:pPr>
        <w:pStyle w:val="BodyText"/>
        <w:spacing w:line="249" w:lineRule="auto"/>
        <w:ind w:left="107" w:right="101"/>
      </w:pPr>
      <w:r>
        <w:rPr/>
        <w:t>in non-traditional areas and students from non-English-speaking backgrounds (NESB). All efforts target the equity groups and are founded on evidence-based approaches.</w:t>
      </w:r>
    </w:p>
    <w:p>
      <w:pPr>
        <w:pStyle w:val="BodyText"/>
        <w:spacing w:line="249" w:lineRule="auto"/>
        <w:ind w:left="107" w:right="106"/>
      </w:pPr>
      <w:r>
        <w:rPr/>
        <w:t>Early</w:t>
      </w:r>
      <w:r>
        <w:rPr>
          <w:spacing w:val="-22"/>
        </w:rPr>
        <w:t> </w:t>
      </w:r>
      <w:r>
        <w:rPr/>
        <w:t>intervention</w:t>
      </w:r>
      <w:r>
        <w:rPr>
          <w:spacing w:val="-22"/>
        </w:rPr>
        <w:t> </w:t>
      </w:r>
      <w:r>
        <w:rPr/>
        <w:t>occurs</w:t>
      </w:r>
      <w:r>
        <w:rPr>
          <w:spacing w:val="-22"/>
        </w:rPr>
        <w:t> </w:t>
      </w:r>
      <w:r>
        <w:rPr/>
        <w:t>across</w:t>
      </w:r>
      <w:r>
        <w:rPr>
          <w:spacing w:val="-22"/>
        </w:rPr>
        <w:t> </w:t>
      </w:r>
      <w:r>
        <w:rPr/>
        <w:t>years</w:t>
      </w:r>
      <w:r>
        <w:rPr>
          <w:spacing w:val="-22"/>
        </w:rPr>
        <w:t> </w:t>
      </w:r>
      <w:r>
        <w:rPr/>
        <w:t>5</w:t>
      </w:r>
      <w:r>
        <w:rPr>
          <w:spacing w:val="-22"/>
        </w:rPr>
        <w:t> </w:t>
      </w:r>
      <w:r>
        <w:rPr/>
        <w:t>to</w:t>
      </w:r>
      <w:r>
        <w:rPr>
          <w:spacing w:val="-22"/>
        </w:rPr>
        <w:t> </w:t>
      </w:r>
      <w:r>
        <w:rPr/>
        <w:t>12 in</w:t>
      </w:r>
      <w:r>
        <w:rPr>
          <w:spacing w:val="-21"/>
        </w:rPr>
        <w:t> </w:t>
      </w:r>
      <w:r>
        <w:rPr/>
        <w:t>Western</w:t>
      </w:r>
      <w:r>
        <w:rPr>
          <w:spacing w:val="-21"/>
        </w:rPr>
        <w:t> </w:t>
      </w:r>
      <w:r>
        <w:rPr/>
        <w:t>Sydney</w:t>
      </w:r>
      <w:r>
        <w:rPr>
          <w:spacing w:val="-21"/>
        </w:rPr>
        <w:t> </w:t>
      </w:r>
      <w:r>
        <w:rPr/>
        <w:t>schools.</w:t>
      </w:r>
    </w:p>
    <w:p>
      <w:pPr>
        <w:pStyle w:val="BodyText"/>
        <w:rPr>
          <w:sz w:val="14"/>
        </w:rPr>
      </w:pPr>
    </w:p>
    <w:p>
      <w:pPr>
        <w:pStyle w:val="BodyText"/>
        <w:spacing w:line="249" w:lineRule="auto"/>
        <w:ind w:left="107" w:right="-13"/>
      </w:pPr>
      <w:r>
        <w:rPr>
          <w:spacing w:val="1"/>
          <w:w w:val="103"/>
        </w:rPr>
        <w:t>By</w:t>
      </w:r>
      <w:r>
        <w:rPr>
          <w:w w:val="103"/>
        </w:rPr>
        <w:t> </w:t>
      </w:r>
      <w:r>
        <w:rPr>
          <w:spacing w:val="1"/>
          <w:w w:val="84"/>
        </w:rPr>
        <w:t>2015,</w:t>
      </w:r>
      <w:r>
        <w:rPr>
          <w:w w:val="84"/>
        </w:rPr>
        <w:t> </w:t>
      </w:r>
      <w:r>
        <w:rPr>
          <w:spacing w:val="1"/>
          <w:w w:val="99"/>
        </w:rPr>
        <w:t>about</w:t>
      </w:r>
      <w:r>
        <w:rPr>
          <w:w w:val="99"/>
        </w:rPr>
        <w:t> </w:t>
      </w:r>
      <w:r>
        <w:rPr>
          <w:spacing w:val="1"/>
          <w:w w:val="100"/>
        </w:rPr>
        <w:t>70,000</w:t>
      </w:r>
      <w:r>
        <w:rPr>
          <w:w w:val="100"/>
        </w:rPr>
        <w:t> </w:t>
      </w:r>
      <w:r>
        <w:rPr>
          <w:spacing w:val="2"/>
          <w:w w:val="94"/>
        </w:rPr>
        <w:t>students,</w:t>
      </w:r>
      <w:r>
        <w:rPr>
          <w:w w:val="94"/>
        </w:rPr>
        <w:t> </w:t>
      </w:r>
      <w:r>
        <w:rPr>
          <w:w w:val="97"/>
        </w:rPr>
        <w:t>more </w:t>
      </w:r>
      <w:r>
        <w:rPr>
          <w:spacing w:val="1"/>
          <w:w w:val="97"/>
        </w:rPr>
        <w:t>than</w:t>
      </w:r>
      <w:r>
        <w:rPr>
          <w:w w:val="97"/>
        </w:rPr>
        <w:t> </w:t>
      </w:r>
      <w:r>
        <w:rPr>
          <w:spacing w:val="2"/>
          <w:w w:val="91"/>
        </w:rPr>
        <w:t>12,000</w:t>
      </w:r>
      <w:r>
        <w:rPr>
          <w:w w:val="91"/>
        </w:rPr>
        <w:t> </w:t>
      </w:r>
      <w:r>
        <w:rPr>
          <w:spacing w:val="1"/>
          <w:w w:val="97"/>
        </w:rPr>
        <w:t>parents</w:t>
      </w:r>
      <w:r>
        <w:rPr>
          <w:w w:val="97"/>
        </w:rPr>
        <w:t> </w:t>
      </w:r>
      <w:r>
        <w:rPr>
          <w:spacing w:val="1"/>
          <w:w w:val="97"/>
        </w:rPr>
        <w:t>and</w:t>
      </w:r>
      <w:r>
        <w:rPr>
          <w:w w:val="97"/>
        </w:rPr>
        <w:t> </w:t>
      </w:r>
      <w:r>
        <w:rPr>
          <w:spacing w:val="1"/>
          <w:w w:val="99"/>
        </w:rPr>
        <w:t>community</w:t>
      </w:r>
      <w:r>
        <w:rPr>
          <w:w w:val="99"/>
        </w:rPr>
        <w:t> </w:t>
      </w:r>
      <w:r>
        <w:rPr>
          <w:spacing w:val="2"/>
          <w:w w:val="93"/>
        </w:rPr>
        <w:t>members,</w:t>
      </w:r>
      <w:r>
        <w:rPr>
          <w:spacing w:val="-24"/>
          <w:w w:val="93"/>
        </w:rPr>
        <w:t> </w:t>
      </w:r>
      <w:r>
        <w:rPr>
          <w:spacing w:val="1"/>
          <w:w w:val="97"/>
        </w:rPr>
        <w:t>and</w:t>
      </w:r>
      <w:r>
        <w:rPr>
          <w:w w:val="97"/>
        </w:rPr>
        <w:t> </w:t>
      </w:r>
      <w:r>
        <w:rPr>
          <w:spacing w:val="2"/>
        </w:rPr>
        <w:t>3,000 </w:t>
      </w:r>
      <w:r>
        <w:rPr/>
        <w:t>teachers and higher education student volunteers</w:t>
      </w:r>
      <w:r>
        <w:rPr>
          <w:spacing w:val="-14"/>
        </w:rPr>
        <w:t> </w:t>
      </w:r>
      <w:r>
        <w:rPr/>
        <w:t>had</w:t>
      </w:r>
      <w:r>
        <w:rPr>
          <w:spacing w:val="-14"/>
        </w:rPr>
        <w:t> </w:t>
      </w:r>
      <w:r>
        <w:rPr/>
        <w:t>used</w:t>
      </w:r>
      <w:r>
        <w:rPr>
          <w:spacing w:val="-14"/>
        </w:rPr>
        <w:t> </w:t>
      </w:r>
      <w:r>
        <w:rPr/>
        <w:t>WP</w:t>
      </w:r>
      <w:r>
        <w:rPr>
          <w:spacing w:val="-14"/>
        </w:rPr>
        <w:t> </w:t>
      </w:r>
      <w:r>
        <w:rPr/>
        <w:t>programs.</w:t>
      </w:r>
      <w:r>
        <w:rPr>
          <w:spacing w:val="-14"/>
        </w:rPr>
        <w:t> </w:t>
      </w:r>
      <w:r>
        <w:rPr/>
        <w:t>The</w:t>
      </w:r>
      <w:r>
        <w:rPr>
          <w:spacing w:val="-14"/>
        </w:rPr>
        <w:t> </w:t>
      </w:r>
      <w:r>
        <w:rPr/>
        <w:t>OWP collaborated and partnered with University Schools</w:t>
      </w:r>
      <w:r>
        <w:rPr>
          <w:spacing w:val="-18"/>
        </w:rPr>
        <w:t> </w:t>
      </w:r>
      <w:r>
        <w:rPr/>
        <w:t>and</w:t>
      </w:r>
      <w:r>
        <w:rPr>
          <w:spacing w:val="-18"/>
        </w:rPr>
        <w:t> </w:t>
      </w:r>
      <w:r>
        <w:rPr/>
        <w:t>Divisions,</w:t>
      </w:r>
      <w:r>
        <w:rPr>
          <w:spacing w:val="-18"/>
        </w:rPr>
        <w:t> </w:t>
      </w:r>
      <w:r>
        <w:rPr/>
        <w:t>sporting</w:t>
      </w:r>
      <w:r>
        <w:rPr>
          <w:spacing w:val="-18"/>
        </w:rPr>
        <w:t> </w:t>
      </w:r>
      <w:r>
        <w:rPr/>
        <w:t>organisations, charities, non-government organisations and public sector</w:t>
      </w:r>
      <w:r>
        <w:rPr>
          <w:spacing w:val="-38"/>
        </w:rPr>
        <w:t> </w:t>
      </w:r>
      <w:r>
        <w:rPr/>
        <w:t>organisations.</w:t>
      </w:r>
    </w:p>
    <w:p>
      <w:pPr>
        <w:pStyle w:val="BodyText"/>
        <w:rPr>
          <w:sz w:val="14"/>
        </w:rPr>
      </w:pPr>
    </w:p>
    <w:p>
      <w:pPr>
        <w:pStyle w:val="BodyText"/>
        <w:spacing w:line="249" w:lineRule="auto"/>
        <w:ind w:left="107" w:right="30"/>
      </w:pPr>
      <w:r>
        <w:rPr>
          <w:w w:val="80"/>
        </w:rPr>
        <w:t>In </w:t>
      </w:r>
      <w:r>
        <w:rPr>
          <w:w w:val="84"/>
        </w:rPr>
        <w:t>2015, </w:t>
      </w:r>
      <w:r>
        <w:rPr>
          <w:w w:val="94"/>
        </w:rPr>
        <w:t>The </w:t>
      </w:r>
      <w:r>
        <w:rPr>
          <w:w w:val="97"/>
        </w:rPr>
        <w:t>University </w:t>
      </w:r>
      <w:r>
        <w:rPr>
          <w:w w:val="98"/>
        </w:rPr>
        <w:t>received </w:t>
      </w:r>
      <w:r>
        <w:rPr>
          <w:w w:val="85"/>
        </w:rPr>
        <w:t>$10.7 </w:t>
      </w:r>
      <w:r>
        <w:rPr>
          <w:w w:val="96"/>
        </w:rPr>
        <w:t>million </w:t>
      </w:r>
      <w:r>
        <w:rPr/>
        <w:t>from the Higher Education Participation Program (HEPP). This was based on the percentage of enrolled students from low socio-economic backgrounds, which was about 25 per cent. Funds are directed to projects targeting access and retention categories. Access projects are mainly outreach projects conducted in partnership with schools and other organisations to raise awareness and aspirations of young people to progress towards tertiary education.</w:t>
      </w:r>
    </w:p>
    <w:p>
      <w:pPr>
        <w:pStyle w:val="BodyText"/>
        <w:spacing w:line="249" w:lineRule="auto"/>
        <w:ind w:left="107" w:right="19"/>
      </w:pPr>
      <w:r>
        <w:rPr/>
        <w:t>Retention projects are mainly delivered once students are enrolled in higher education.</w:t>
      </w:r>
    </w:p>
    <w:p>
      <w:pPr>
        <w:pStyle w:val="BodyText"/>
        <w:rPr>
          <w:sz w:val="14"/>
        </w:rPr>
      </w:pPr>
    </w:p>
    <w:p>
      <w:pPr>
        <w:pStyle w:val="BodyText"/>
        <w:spacing w:line="249" w:lineRule="auto"/>
        <w:ind w:left="107" w:right="47"/>
      </w:pPr>
      <w:r>
        <w:rPr>
          <w:w w:val="97"/>
        </w:rPr>
        <w:t>During </w:t>
      </w:r>
      <w:r>
        <w:rPr>
          <w:w w:val="84"/>
        </w:rPr>
        <w:t>2015, </w:t>
      </w:r>
      <w:r>
        <w:rPr>
          <w:w w:val="99"/>
        </w:rPr>
        <w:t>Fast </w:t>
      </w:r>
      <w:r>
        <w:rPr>
          <w:w w:val="99"/>
        </w:rPr>
        <w:t>Forward </w:t>
      </w:r>
      <w:r>
        <w:rPr>
          <w:w w:val="96"/>
        </w:rPr>
        <w:t>(years </w:t>
      </w:r>
      <w:r>
        <w:rPr>
          <w:w w:val="101"/>
        </w:rPr>
        <w:t>9 </w:t>
      </w:r>
      <w:r>
        <w:rPr>
          <w:w w:val="101"/>
        </w:rPr>
        <w:t>to </w:t>
      </w:r>
      <w:r>
        <w:rPr>
          <w:w w:val="81"/>
        </w:rPr>
        <w:t>12) </w:t>
      </w:r>
      <w:r>
        <w:rPr/>
        <w:t>engaged more than 3,000 students and was</w:t>
      </w:r>
    </w:p>
    <w:p>
      <w:pPr>
        <w:pStyle w:val="BodyText"/>
        <w:spacing w:before="10"/>
      </w:pPr>
      <w:r>
        <w:rPr/>
        <w:br w:type="column"/>
      </w:r>
      <w:r>
        <w:rPr/>
      </w:r>
    </w:p>
    <w:p>
      <w:pPr>
        <w:pStyle w:val="BodyText"/>
        <w:spacing w:line="249" w:lineRule="auto"/>
        <w:ind w:left="103" w:right="120"/>
      </w:pPr>
      <w:r>
        <w:rPr/>
        <w:t>supplemented by STEPS (Strive Towards Educational Participation and Success), </w:t>
      </w:r>
      <w:r>
        <w:rPr>
          <w:w w:val="98"/>
        </w:rPr>
        <w:t>involving </w:t>
      </w:r>
      <w:r>
        <w:rPr>
          <w:w w:val="88"/>
        </w:rPr>
        <w:t>1,500 </w:t>
      </w:r>
      <w:r>
        <w:rPr>
          <w:w w:val="94"/>
        </w:rPr>
        <w:t>students. </w:t>
      </w:r>
      <w:r>
        <w:rPr>
          <w:w w:val="94"/>
        </w:rPr>
        <w:t>The </w:t>
      </w:r>
      <w:r>
        <w:rPr>
          <w:w w:val="97"/>
        </w:rPr>
        <w:t>primary </w:t>
      </w:r>
      <w:r>
        <w:rPr>
          <w:w w:val="98"/>
        </w:rPr>
        <w:t>school </w:t>
      </w:r>
      <w:r>
        <w:rPr/>
        <w:t>program, First Foot Forward, engaged 2,000 students and parents, and Future</w:t>
      </w:r>
    </w:p>
    <w:p>
      <w:pPr>
        <w:pStyle w:val="BodyText"/>
        <w:spacing w:line="249" w:lineRule="auto"/>
        <w:ind w:left="103" w:right="-3"/>
      </w:pPr>
      <w:r>
        <w:rPr/>
        <w:t>for All, which operates in partnership with Western Sydney Wanderers football club, engaged</w:t>
      </w:r>
      <w:r>
        <w:rPr>
          <w:spacing w:val="-15"/>
        </w:rPr>
        <w:t> </w:t>
      </w:r>
      <w:r>
        <w:rPr/>
        <w:t>about</w:t>
      </w:r>
      <w:r>
        <w:rPr>
          <w:spacing w:val="-15"/>
        </w:rPr>
        <w:t> </w:t>
      </w:r>
      <w:r>
        <w:rPr>
          <w:spacing w:val="2"/>
        </w:rPr>
        <w:t>500</w:t>
      </w:r>
      <w:r>
        <w:rPr>
          <w:spacing w:val="-15"/>
        </w:rPr>
        <w:t> </w:t>
      </w:r>
      <w:r>
        <w:rPr/>
        <w:t>students.</w:t>
      </w:r>
      <w:r>
        <w:rPr>
          <w:spacing w:val="-15"/>
        </w:rPr>
        <w:t> </w:t>
      </w:r>
      <w:r>
        <w:rPr/>
        <w:t>These,</w:t>
      </w:r>
      <w:r>
        <w:rPr>
          <w:spacing w:val="-15"/>
        </w:rPr>
        <w:t> </w:t>
      </w:r>
      <w:r>
        <w:rPr/>
        <w:t>together with several mentoring programs and the Learning for Life scholarship program, which is delivered in partnership with The Smith Family,</w:t>
      </w:r>
      <w:r>
        <w:rPr>
          <w:spacing w:val="-24"/>
        </w:rPr>
        <w:t> </w:t>
      </w:r>
      <w:r>
        <w:rPr/>
        <w:t>are</w:t>
      </w:r>
      <w:r>
        <w:rPr>
          <w:spacing w:val="-24"/>
        </w:rPr>
        <w:t> </w:t>
      </w:r>
      <w:r>
        <w:rPr/>
        <w:t>all</w:t>
      </w:r>
      <w:r>
        <w:rPr>
          <w:spacing w:val="-24"/>
        </w:rPr>
        <w:t> </w:t>
      </w:r>
      <w:r>
        <w:rPr/>
        <w:t>new.</w:t>
      </w:r>
      <w:r>
        <w:rPr>
          <w:spacing w:val="-24"/>
        </w:rPr>
        <w:t> </w:t>
      </w:r>
      <w:r>
        <w:rPr/>
        <w:t>The</w:t>
      </w:r>
      <w:r>
        <w:rPr>
          <w:spacing w:val="-24"/>
        </w:rPr>
        <w:t> </w:t>
      </w:r>
      <w:r>
        <w:rPr/>
        <w:t>Pathways</w:t>
      </w:r>
      <w:r>
        <w:rPr>
          <w:spacing w:val="-24"/>
        </w:rPr>
        <w:t> </w:t>
      </w:r>
      <w:r>
        <w:rPr/>
        <w:t>to</w:t>
      </w:r>
      <w:r>
        <w:rPr>
          <w:spacing w:val="-24"/>
        </w:rPr>
        <w:t> </w:t>
      </w:r>
      <w:r>
        <w:rPr/>
        <w:t>Dreaming and Heartbeat programs are for Aboriginal and Torres Strait Islander students and Pasifika Achievement to Higher Education (PATHE)</w:t>
      </w:r>
      <w:r>
        <w:rPr>
          <w:spacing w:val="-20"/>
        </w:rPr>
        <w:t> </w:t>
      </w:r>
      <w:r>
        <w:rPr/>
        <w:t>is</w:t>
      </w:r>
      <w:r>
        <w:rPr>
          <w:spacing w:val="-20"/>
        </w:rPr>
        <w:t> </w:t>
      </w:r>
      <w:r>
        <w:rPr/>
        <w:t>for</w:t>
      </w:r>
      <w:r>
        <w:rPr>
          <w:spacing w:val="-20"/>
        </w:rPr>
        <w:t> </w:t>
      </w:r>
      <w:r>
        <w:rPr/>
        <w:t>Pacific</w:t>
      </w:r>
      <w:r>
        <w:rPr>
          <w:spacing w:val="-20"/>
        </w:rPr>
        <w:t> </w:t>
      </w:r>
      <w:r>
        <w:rPr/>
        <w:t>Islander</w:t>
      </w:r>
      <w:r>
        <w:rPr>
          <w:spacing w:val="-20"/>
        </w:rPr>
        <w:t> </w:t>
      </w:r>
      <w:r>
        <w:rPr/>
        <w:t>students.</w:t>
      </w:r>
    </w:p>
    <w:p>
      <w:pPr>
        <w:pStyle w:val="BodyText"/>
        <w:rPr>
          <w:sz w:val="14"/>
        </w:rPr>
      </w:pPr>
    </w:p>
    <w:p>
      <w:pPr>
        <w:pStyle w:val="BodyText"/>
        <w:spacing w:line="249" w:lineRule="auto"/>
        <w:ind w:left="103" w:right="-3"/>
      </w:pPr>
      <w:r>
        <w:rPr/>
        <w:t>The OWP also added programs for children from out-of-home care, care leavers and young carers, and young people with disabilities. Online homework support programs were provided for disadvantaged young people through schools and local libraries, and campus-based sessions were held</w:t>
      </w:r>
      <w:r>
        <w:rPr>
          <w:spacing w:val="-14"/>
        </w:rPr>
        <w:t> </w:t>
      </w:r>
      <w:r>
        <w:rPr/>
        <w:t>to</w:t>
      </w:r>
      <w:r>
        <w:rPr>
          <w:spacing w:val="-14"/>
        </w:rPr>
        <w:t> </w:t>
      </w:r>
      <w:r>
        <w:rPr/>
        <w:t>prepare</w:t>
      </w:r>
      <w:r>
        <w:rPr>
          <w:spacing w:val="-14"/>
        </w:rPr>
        <w:t> </w:t>
      </w:r>
      <w:r>
        <w:rPr/>
        <w:t>students</w:t>
      </w:r>
      <w:r>
        <w:rPr>
          <w:spacing w:val="-14"/>
        </w:rPr>
        <w:t> </w:t>
      </w:r>
      <w:r>
        <w:rPr/>
        <w:t>for</w:t>
      </w:r>
      <w:r>
        <w:rPr>
          <w:spacing w:val="-14"/>
        </w:rPr>
        <w:t> </w:t>
      </w:r>
      <w:r>
        <w:rPr/>
        <w:t>the</w:t>
      </w:r>
      <w:r>
        <w:rPr>
          <w:spacing w:val="-14"/>
        </w:rPr>
        <w:t> </w:t>
      </w:r>
      <w:r>
        <w:rPr/>
        <w:t>Higher</w:t>
      </w:r>
      <w:r>
        <w:rPr>
          <w:spacing w:val="-14"/>
        </w:rPr>
        <w:t> </w:t>
      </w:r>
      <w:r>
        <w:rPr/>
        <w:t>School Certificate (HSC). Many retention programs were</w:t>
      </w:r>
      <w:r>
        <w:rPr>
          <w:spacing w:val="-18"/>
        </w:rPr>
        <w:t> </w:t>
      </w:r>
      <w:r>
        <w:rPr/>
        <w:t>delivered</w:t>
      </w:r>
      <w:r>
        <w:rPr>
          <w:spacing w:val="-18"/>
        </w:rPr>
        <w:t> </w:t>
      </w:r>
      <w:r>
        <w:rPr/>
        <w:t>to</w:t>
      </w:r>
      <w:r>
        <w:rPr>
          <w:spacing w:val="-18"/>
        </w:rPr>
        <w:t> </w:t>
      </w:r>
      <w:r>
        <w:rPr/>
        <w:t>undergraduate</w:t>
      </w:r>
      <w:r>
        <w:rPr>
          <w:spacing w:val="-18"/>
        </w:rPr>
        <w:t> </w:t>
      </w:r>
      <w:r>
        <w:rPr/>
        <w:t>students</w:t>
      </w:r>
    </w:p>
    <w:p>
      <w:pPr>
        <w:pStyle w:val="BodyText"/>
        <w:spacing w:line="249" w:lineRule="auto"/>
        <w:ind w:left="103" w:right="22"/>
      </w:pPr>
      <w:r>
        <w:rPr/>
        <w:t>to guide, support and assist them. These included</w:t>
      </w:r>
      <w:r>
        <w:rPr>
          <w:spacing w:val="-22"/>
        </w:rPr>
        <w:t> </w:t>
      </w:r>
      <w:r>
        <w:rPr/>
        <w:t>the</w:t>
      </w:r>
      <w:r>
        <w:rPr>
          <w:spacing w:val="-22"/>
        </w:rPr>
        <w:t> </w:t>
      </w:r>
      <w:r>
        <w:rPr/>
        <w:t>inclusive</w:t>
      </w:r>
      <w:r>
        <w:rPr>
          <w:spacing w:val="-22"/>
        </w:rPr>
        <w:t> </w:t>
      </w:r>
      <w:r>
        <w:rPr/>
        <w:t>Transition</w:t>
      </w:r>
      <w:r>
        <w:rPr>
          <w:spacing w:val="-22"/>
        </w:rPr>
        <w:t> </w:t>
      </w:r>
      <w:r>
        <w:rPr/>
        <w:t>Success,</w:t>
      </w:r>
      <w:r>
        <w:rPr>
          <w:spacing w:val="-22"/>
        </w:rPr>
        <w:t> </w:t>
      </w:r>
      <w:r>
        <w:rPr/>
        <w:t>Peer Assisted Study Sessions (PASS), Mentoring and</w:t>
      </w:r>
      <w:r>
        <w:rPr>
          <w:spacing w:val="-26"/>
        </w:rPr>
        <w:t> </w:t>
      </w:r>
      <w:r>
        <w:rPr/>
        <w:t>Transition</w:t>
      </w:r>
      <w:r>
        <w:rPr>
          <w:spacing w:val="-26"/>
        </w:rPr>
        <w:t> </w:t>
      </w:r>
      <w:r>
        <w:rPr/>
        <w:t>Equals</w:t>
      </w:r>
      <w:r>
        <w:rPr>
          <w:spacing w:val="-26"/>
        </w:rPr>
        <w:t> </w:t>
      </w:r>
      <w:r>
        <w:rPr/>
        <w:t>Success</w:t>
      </w:r>
      <w:r>
        <w:rPr>
          <w:spacing w:val="-26"/>
        </w:rPr>
        <w:t> </w:t>
      </w:r>
      <w:r>
        <w:rPr/>
        <w:t>(MATES),</w:t>
      </w:r>
    </w:p>
    <w:p>
      <w:pPr>
        <w:pStyle w:val="BodyText"/>
        <w:spacing w:line="249" w:lineRule="auto"/>
        <w:ind w:left="103" w:right="40"/>
      </w:pPr>
      <w:r>
        <w:rPr/>
        <w:t>Jobs on Campus (JOC) and Student Support Services (SSS) initiatives. These programs are carefully and sensitively targeted at disadvantaged students to ensure they</w:t>
      </w:r>
    </w:p>
    <w:p>
      <w:pPr>
        <w:pStyle w:val="BodyText"/>
        <w:spacing w:line="249" w:lineRule="auto"/>
        <w:ind w:left="103" w:right="-3"/>
      </w:pPr>
      <w:r>
        <w:rPr/>
        <w:t>succeed</w:t>
      </w:r>
      <w:r>
        <w:rPr>
          <w:spacing w:val="-17"/>
        </w:rPr>
        <w:t> </w:t>
      </w:r>
      <w:r>
        <w:rPr/>
        <w:t>in</w:t>
      </w:r>
      <w:r>
        <w:rPr>
          <w:spacing w:val="-17"/>
        </w:rPr>
        <w:t> </w:t>
      </w:r>
      <w:r>
        <w:rPr/>
        <w:t>their</w:t>
      </w:r>
      <w:r>
        <w:rPr>
          <w:spacing w:val="-17"/>
        </w:rPr>
        <w:t> </w:t>
      </w:r>
      <w:r>
        <w:rPr/>
        <w:t>chosen</w:t>
      </w:r>
      <w:r>
        <w:rPr>
          <w:spacing w:val="-17"/>
        </w:rPr>
        <w:t> </w:t>
      </w:r>
      <w:r>
        <w:rPr/>
        <w:t>field</w:t>
      </w:r>
      <w:r>
        <w:rPr>
          <w:spacing w:val="-17"/>
        </w:rPr>
        <w:t> </w:t>
      </w:r>
      <w:r>
        <w:rPr/>
        <w:t>and</w:t>
      </w:r>
      <w:r>
        <w:rPr>
          <w:spacing w:val="-17"/>
        </w:rPr>
        <w:t> </w:t>
      </w:r>
      <w:r>
        <w:rPr/>
        <w:t>gain</w:t>
      </w:r>
      <w:r>
        <w:rPr>
          <w:spacing w:val="-17"/>
        </w:rPr>
        <w:t> </w:t>
      </w:r>
      <w:r>
        <w:rPr/>
        <w:t>the</w:t>
      </w:r>
      <w:r>
        <w:rPr>
          <w:spacing w:val="-17"/>
        </w:rPr>
        <w:t> </w:t>
      </w:r>
      <w:r>
        <w:rPr/>
        <w:t>skills for</w:t>
      </w:r>
      <w:r>
        <w:rPr>
          <w:spacing w:val="-23"/>
        </w:rPr>
        <w:t> </w:t>
      </w:r>
      <w:r>
        <w:rPr/>
        <w:t>their</w:t>
      </w:r>
      <w:r>
        <w:rPr>
          <w:spacing w:val="-23"/>
        </w:rPr>
        <w:t> </w:t>
      </w:r>
      <w:r>
        <w:rPr/>
        <w:t>ultimate</w:t>
      </w:r>
      <w:r>
        <w:rPr>
          <w:spacing w:val="-23"/>
        </w:rPr>
        <w:t> </w:t>
      </w:r>
      <w:r>
        <w:rPr/>
        <w:t>goal:</w:t>
      </w:r>
      <w:r>
        <w:rPr>
          <w:spacing w:val="-23"/>
        </w:rPr>
        <w:t> </w:t>
      </w:r>
      <w:r>
        <w:rPr/>
        <w:t>obtaining</w:t>
      </w:r>
      <w:r>
        <w:rPr>
          <w:spacing w:val="-23"/>
        </w:rPr>
        <w:t> </w:t>
      </w:r>
      <w:r>
        <w:rPr/>
        <w:t>employment.</w:t>
      </w:r>
    </w:p>
    <w:p>
      <w:pPr>
        <w:pStyle w:val="BodyText"/>
        <w:rPr>
          <w:sz w:val="14"/>
        </w:rPr>
      </w:pPr>
    </w:p>
    <w:p>
      <w:pPr>
        <w:pStyle w:val="BodyText"/>
        <w:spacing w:line="249" w:lineRule="auto"/>
        <w:ind w:left="103" w:right="244"/>
      </w:pPr>
      <w:r>
        <w:rPr>
          <w:w w:val="94"/>
        </w:rPr>
        <w:t>The </w:t>
      </w:r>
      <w:r>
        <w:rPr>
          <w:w w:val="88"/>
        </w:rPr>
        <w:t>2015 </w:t>
      </w:r>
      <w:r>
        <w:rPr>
          <w:w w:val="98"/>
        </w:rPr>
        <w:t>Building </w:t>
      </w:r>
      <w:r>
        <w:rPr>
          <w:w w:val="98"/>
        </w:rPr>
        <w:t>on </w:t>
      </w:r>
      <w:r>
        <w:rPr>
          <w:w w:val="98"/>
        </w:rPr>
        <w:t>Bridges </w:t>
      </w:r>
      <w:r>
        <w:rPr>
          <w:w w:val="98"/>
        </w:rPr>
        <w:t>program </w:t>
      </w:r>
      <w:r>
        <w:rPr>
          <w:w w:val="96"/>
        </w:rPr>
        <w:t>was </w:t>
      </w:r>
      <w:r>
        <w:rPr/>
        <w:t>a collaboration between four universities: Western Sydney University, Macquarie University, Australian Catholic University and the University of Sydney, but several</w:t>
      </w:r>
    </w:p>
    <w:p>
      <w:pPr>
        <w:pStyle w:val="BodyText"/>
        <w:spacing w:line="249" w:lineRule="auto"/>
        <w:ind w:left="103" w:right="40"/>
      </w:pPr>
      <w:r>
        <w:rPr/>
        <w:t>intensive</w:t>
      </w:r>
      <w:r>
        <w:rPr>
          <w:spacing w:val="-17"/>
        </w:rPr>
        <w:t> </w:t>
      </w:r>
      <w:r>
        <w:rPr/>
        <w:t>events</w:t>
      </w:r>
      <w:r>
        <w:rPr>
          <w:spacing w:val="-17"/>
        </w:rPr>
        <w:t> </w:t>
      </w:r>
      <w:r>
        <w:rPr/>
        <w:t>were</w:t>
      </w:r>
      <w:r>
        <w:rPr>
          <w:spacing w:val="-17"/>
        </w:rPr>
        <w:t> </w:t>
      </w:r>
      <w:r>
        <w:rPr/>
        <w:t>opened</w:t>
      </w:r>
      <w:r>
        <w:rPr>
          <w:spacing w:val="-17"/>
        </w:rPr>
        <w:t> </w:t>
      </w:r>
      <w:r>
        <w:rPr/>
        <w:t>to</w:t>
      </w:r>
      <w:r>
        <w:rPr>
          <w:spacing w:val="-17"/>
        </w:rPr>
        <w:t> </w:t>
      </w:r>
      <w:r>
        <w:rPr/>
        <w:t>participation from</w:t>
      </w:r>
      <w:r>
        <w:rPr>
          <w:spacing w:val="-17"/>
        </w:rPr>
        <w:t> </w:t>
      </w:r>
      <w:r>
        <w:rPr/>
        <w:t>all</w:t>
      </w:r>
      <w:r>
        <w:rPr>
          <w:spacing w:val="-17"/>
        </w:rPr>
        <w:t> </w:t>
      </w:r>
      <w:r>
        <w:rPr/>
        <w:t>universities</w:t>
      </w:r>
      <w:r>
        <w:rPr>
          <w:spacing w:val="-17"/>
        </w:rPr>
        <w:t> </w:t>
      </w:r>
      <w:r>
        <w:rPr/>
        <w:t>in</w:t>
      </w:r>
      <w:r>
        <w:rPr>
          <w:spacing w:val="-17"/>
        </w:rPr>
        <w:t> </w:t>
      </w:r>
      <w:r>
        <w:rPr/>
        <w:t>New</w:t>
      </w:r>
      <w:r>
        <w:rPr>
          <w:spacing w:val="-17"/>
        </w:rPr>
        <w:t> </w:t>
      </w:r>
      <w:r>
        <w:rPr/>
        <w:t>South</w:t>
      </w:r>
      <w:r>
        <w:rPr>
          <w:spacing w:val="-17"/>
        </w:rPr>
        <w:t> </w:t>
      </w:r>
      <w:r>
        <w:rPr/>
        <w:t>Wales</w:t>
      </w:r>
    </w:p>
    <w:p>
      <w:pPr>
        <w:pStyle w:val="BodyText"/>
        <w:spacing w:line="249" w:lineRule="auto"/>
        <w:ind w:left="103" w:right="161"/>
      </w:pPr>
      <w:r>
        <w:rPr/>
        <w:t>and the Australian Capital Territory. In August,</w:t>
      </w:r>
      <w:r>
        <w:rPr>
          <w:spacing w:val="-23"/>
        </w:rPr>
        <w:t> </w:t>
      </w:r>
      <w:r>
        <w:rPr/>
        <w:t>12</w:t>
      </w:r>
      <w:r>
        <w:rPr>
          <w:spacing w:val="-23"/>
        </w:rPr>
        <w:t> </w:t>
      </w:r>
      <w:r>
        <w:rPr/>
        <w:t>universities</w:t>
      </w:r>
      <w:r>
        <w:rPr>
          <w:spacing w:val="-23"/>
        </w:rPr>
        <w:t> </w:t>
      </w:r>
      <w:r>
        <w:rPr/>
        <w:t>were</w:t>
      </w:r>
      <w:r>
        <w:rPr>
          <w:spacing w:val="-23"/>
        </w:rPr>
        <w:t> </w:t>
      </w:r>
      <w:r>
        <w:rPr/>
        <w:t>represented</w:t>
      </w:r>
      <w:r>
        <w:rPr>
          <w:spacing w:val="-23"/>
        </w:rPr>
        <w:t> </w:t>
      </w:r>
      <w:r>
        <w:rPr/>
        <w:t>at </w:t>
      </w:r>
      <w:r>
        <w:rPr>
          <w:w w:val="94"/>
        </w:rPr>
        <w:t>a </w:t>
      </w:r>
      <w:r>
        <w:rPr>
          <w:w w:val="97"/>
        </w:rPr>
        <w:t>year </w:t>
      </w:r>
      <w:r>
        <w:rPr>
          <w:spacing w:val="2"/>
          <w:w w:val="82"/>
        </w:rPr>
        <w:t>10</w:t>
      </w:r>
      <w:r>
        <w:rPr>
          <w:w w:val="82"/>
        </w:rPr>
        <w:t> </w:t>
      </w:r>
      <w:r>
        <w:rPr>
          <w:spacing w:val="1"/>
          <w:w w:val="96"/>
        </w:rPr>
        <w:t>learning</w:t>
      </w:r>
      <w:r>
        <w:rPr>
          <w:w w:val="96"/>
        </w:rPr>
        <w:t> </w:t>
      </w:r>
      <w:r>
        <w:rPr>
          <w:w w:val="97"/>
        </w:rPr>
        <w:t>conference </w:t>
      </w:r>
      <w:r>
        <w:rPr>
          <w:w w:val="98"/>
        </w:rPr>
        <w:t>at </w:t>
      </w:r>
      <w:r>
        <w:rPr>
          <w:spacing w:val="1"/>
          <w:w w:val="94"/>
        </w:rPr>
        <w:t>Penrith.</w:t>
      </w:r>
      <w:r>
        <w:rPr>
          <w:w w:val="94"/>
        </w:rPr>
        <w:t> </w:t>
      </w:r>
      <w:r>
        <w:rPr>
          <w:spacing w:val="1"/>
          <w:w w:val="80"/>
        </w:rPr>
        <w:t>In</w:t>
      </w:r>
      <w:r>
        <w:rPr>
          <w:w w:val="80"/>
        </w:rPr>
        <w:t> </w:t>
      </w:r>
      <w:r>
        <w:rPr/>
        <w:t>September,</w:t>
      </w:r>
      <w:r>
        <w:rPr>
          <w:spacing w:val="-22"/>
        </w:rPr>
        <w:t> </w:t>
      </w:r>
      <w:r>
        <w:rPr/>
        <w:t>eight</w:t>
      </w:r>
      <w:r>
        <w:rPr>
          <w:spacing w:val="-22"/>
        </w:rPr>
        <w:t> </w:t>
      </w:r>
      <w:r>
        <w:rPr/>
        <w:t>universities</w:t>
      </w:r>
      <w:r>
        <w:rPr>
          <w:spacing w:val="-22"/>
        </w:rPr>
        <w:t> </w:t>
      </w:r>
      <w:r>
        <w:rPr/>
        <w:t>participated</w:t>
      </w:r>
      <w:r>
        <w:rPr>
          <w:spacing w:val="-22"/>
        </w:rPr>
        <w:t> </w:t>
      </w:r>
      <w:r>
        <w:rPr/>
        <w:t>in</w:t>
      </w:r>
    </w:p>
    <w:p>
      <w:pPr>
        <w:pStyle w:val="BodyText"/>
        <w:spacing w:line="249" w:lineRule="auto"/>
        <w:ind w:left="103" w:right="-3"/>
      </w:pPr>
      <w:r>
        <w:rPr/>
        <w:t>the Northern Rivers rural intensive, featuring a</w:t>
      </w:r>
      <w:r>
        <w:rPr>
          <w:spacing w:val="-15"/>
        </w:rPr>
        <w:t> </w:t>
      </w:r>
      <w:r>
        <w:rPr/>
        <w:t>teacher</w:t>
      </w:r>
      <w:r>
        <w:rPr>
          <w:spacing w:val="-15"/>
        </w:rPr>
        <w:t> </w:t>
      </w:r>
      <w:r>
        <w:rPr/>
        <w:t>development</w:t>
      </w:r>
      <w:r>
        <w:rPr>
          <w:spacing w:val="-15"/>
        </w:rPr>
        <w:t> </w:t>
      </w:r>
      <w:r>
        <w:rPr/>
        <w:t>workshop</w:t>
      </w:r>
      <w:r>
        <w:rPr>
          <w:spacing w:val="-15"/>
        </w:rPr>
        <w:t> </w:t>
      </w:r>
      <w:r>
        <w:rPr/>
        <w:t>and</w:t>
      </w:r>
      <w:r>
        <w:rPr>
          <w:spacing w:val="-15"/>
        </w:rPr>
        <w:t> </w:t>
      </w:r>
      <w:r>
        <w:rPr/>
        <w:t>student workshops. In October, two intensives were held at Dubbo, involving six universities, and Merimbula,</w:t>
      </w:r>
      <w:r>
        <w:rPr>
          <w:spacing w:val="-21"/>
        </w:rPr>
        <w:t> </w:t>
      </w:r>
      <w:r>
        <w:rPr/>
        <w:t>involving</w:t>
      </w:r>
      <w:r>
        <w:rPr>
          <w:spacing w:val="-21"/>
        </w:rPr>
        <w:t> </w:t>
      </w:r>
      <w:r>
        <w:rPr/>
        <w:t>nine</w:t>
      </w:r>
      <w:r>
        <w:rPr>
          <w:spacing w:val="-21"/>
        </w:rPr>
        <w:t> </w:t>
      </w:r>
      <w:r>
        <w:rPr/>
        <w:t>universities</w:t>
      </w:r>
      <w:r>
        <w:rPr>
          <w:spacing w:val="-21"/>
        </w:rPr>
        <w:t> </w:t>
      </w:r>
      <w:r>
        <w:rPr/>
        <w:t>–</w:t>
      </w:r>
      <w:r>
        <w:rPr>
          <w:spacing w:val="-21"/>
        </w:rPr>
        <w:t> </w:t>
      </w:r>
      <w:r>
        <w:rPr/>
        <w:t>along with</w:t>
      </w:r>
      <w:r>
        <w:rPr>
          <w:spacing w:val="-16"/>
        </w:rPr>
        <w:t> </w:t>
      </w:r>
      <w:r>
        <w:rPr/>
        <w:t>many</w:t>
      </w:r>
      <w:r>
        <w:rPr>
          <w:spacing w:val="-16"/>
        </w:rPr>
        <w:t> </w:t>
      </w:r>
      <w:r>
        <w:rPr/>
        <w:t>events</w:t>
      </w:r>
      <w:r>
        <w:rPr>
          <w:spacing w:val="-16"/>
        </w:rPr>
        <w:t> </w:t>
      </w:r>
      <w:r>
        <w:rPr/>
        <w:t>and</w:t>
      </w:r>
      <w:r>
        <w:rPr>
          <w:spacing w:val="-16"/>
        </w:rPr>
        <w:t> </w:t>
      </w:r>
      <w:r>
        <w:rPr/>
        <w:t>workshops</w:t>
      </w:r>
      <w:r>
        <w:rPr>
          <w:spacing w:val="-16"/>
        </w:rPr>
        <w:t> </w:t>
      </w:r>
      <w:r>
        <w:rPr/>
        <w:t>for</w:t>
      </w:r>
      <w:r>
        <w:rPr>
          <w:spacing w:val="-16"/>
        </w:rPr>
        <w:t> </w:t>
      </w:r>
      <w:r>
        <w:rPr/>
        <w:t>students</w:t>
      </w:r>
    </w:p>
    <w:p>
      <w:pPr>
        <w:pStyle w:val="BodyText"/>
        <w:spacing w:before="10"/>
      </w:pPr>
      <w:r>
        <w:rPr/>
        <w:br w:type="column"/>
      </w:r>
      <w:r>
        <w:rPr/>
      </w:r>
    </w:p>
    <w:p>
      <w:pPr>
        <w:pStyle w:val="BodyText"/>
        <w:spacing w:line="249" w:lineRule="auto"/>
        <w:ind w:left="103" w:right="112"/>
      </w:pPr>
      <w:r>
        <w:rPr>
          <w:spacing w:val="1"/>
          <w:w w:val="97"/>
        </w:rPr>
        <w:t>and</w:t>
      </w:r>
      <w:r>
        <w:rPr>
          <w:w w:val="97"/>
        </w:rPr>
        <w:t> </w:t>
      </w:r>
      <w:r>
        <w:rPr>
          <w:spacing w:val="1"/>
          <w:w w:val="94"/>
        </w:rPr>
        <w:t>teachers.</w:t>
      </w:r>
      <w:r>
        <w:rPr>
          <w:w w:val="94"/>
        </w:rPr>
        <w:t> </w:t>
      </w:r>
      <w:r>
        <w:rPr>
          <w:spacing w:val="1"/>
          <w:w w:val="97"/>
        </w:rPr>
        <w:t>More</w:t>
      </w:r>
      <w:r>
        <w:rPr>
          <w:w w:val="97"/>
        </w:rPr>
        <w:t> </w:t>
      </w:r>
      <w:r>
        <w:rPr>
          <w:spacing w:val="1"/>
          <w:w w:val="97"/>
        </w:rPr>
        <w:t>than</w:t>
      </w:r>
      <w:r>
        <w:rPr>
          <w:w w:val="97"/>
        </w:rPr>
        <w:t> </w:t>
      </w:r>
      <w:r>
        <w:rPr>
          <w:spacing w:val="3"/>
          <w:w w:val="87"/>
        </w:rPr>
        <w:t>1,300</w:t>
      </w:r>
      <w:r>
        <w:rPr>
          <w:w w:val="87"/>
        </w:rPr>
        <w:t> </w:t>
      </w:r>
      <w:r>
        <w:rPr>
          <w:spacing w:val="1"/>
          <w:w w:val="97"/>
        </w:rPr>
        <w:t>students</w:t>
      </w:r>
      <w:r>
        <w:rPr>
          <w:w w:val="97"/>
        </w:rPr>
        <w:t> </w:t>
      </w:r>
      <w:r>
        <w:rPr/>
        <w:t>attended the intensive events and work is ongoing to enhance and develop the Make Your</w:t>
      </w:r>
      <w:r>
        <w:rPr>
          <w:spacing w:val="-20"/>
        </w:rPr>
        <w:t> </w:t>
      </w:r>
      <w:r>
        <w:rPr/>
        <w:t>Mark</w:t>
      </w:r>
      <w:r>
        <w:rPr>
          <w:spacing w:val="-20"/>
        </w:rPr>
        <w:t> </w:t>
      </w:r>
      <w:r>
        <w:rPr/>
        <w:t>website,</w:t>
      </w:r>
      <w:r>
        <w:rPr>
          <w:spacing w:val="-20"/>
        </w:rPr>
        <w:t> </w:t>
      </w:r>
      <w:r>
        <w:rPr/>
        <w:t>hosted</w:t>
      </w:r>
      <w:r>
        <w:rPr>
          <w:spacing w:val="-20"/>
        </w:rPr>
        <w:t> </w:t>
      </w:r>
      <w:r>
        <w:rPr/>
        <w:t>by</w:t>
      </w:r>
      <w:r>
        <w:rPr>
          <w:spacing w:val="-20"/>
        </w:rPr>
        <w:t> </w:t>
      </w:r>
      <w:r>
        <w:rPr/>
        <w:t>the</w:t>
      </w:r>
      <w:r>
        <w:rPr>
          <w:spacing w:val="-20"/>
        </w:rPr>
        <w:t> </w:t>
      </w:r>
      <w:r>
        <w:rPr/>
        <w:t>Universities Admissions Centre</w:t>
      </w:r>
      <w:r>
        <w:rPr>
          <w:spacing w:val="-33"/>
        </w:rPr>
        <w:t> </w:t>
      </w:r>
      <w:r>
        <w:rPr/>
        <w:t>(UAC).</w:t>
      </w:r>
    </w:p>
    <w:p>
      <w:pPr>
        <w:pStyle w:val="BodyText"/>
        <w:rPr>
          <w:sz w:val="14"/>
        </w:rPr>
      </w:pPr>
    </w:p>
    <w:p>
      <w:pPr>
        <w:pStyle w:val="BodyText"/>
        <w:spacing w:line="249" w:lineRule="auto"/>
        <w:ind w:left="103" w:right="112"/>
      </w:pPr>
      <w:r>
        <w:rPr/>
        <w:t>OWP staff disseminated material on good WP practice at high-profile national education conferences on four occasions, contributing to the personal development of education professionals including staff members from other universities. OWP staff members’ articles and case studies were published</w:t>
      </w:r>
    </w:p>
    <w:p>
      <w:pPr>
        <w:pStyle w:val="BodyText"/>
        <w:spacing w:line="249" w:lineRule="auto"/>
        <w:ind w:left="103" w:right="364"/>
      </w:pPr>
      <w:r>
        <w:rPr/>
        <w:t>in highly regarded academic journals. All the OWP’s work aligns with the long-term objectives of achieving social justice and</w:t>
      </w:r>
    </w:p>
    <w:p>
      <w:pPr>
        <w:pStyle w:val="BodyText"/>
        <w:spacing w:line="247" w:lineRule="auto"/>
        <w:ind w:left="103" w:right="217"/>
        <w:jc w:val="both"/>
      </w:pPr>
      <w:r>
        <w:rPr/>
        <w:t>equality</w:t>
      </w:r>
      <w:r>
        <w:rPr>
          <w:spacing w:val="-14"/>
        </w:rPr>
        <w:t> </w:t>
      </w:r>
      <w:r>
        <w:rPr/>
        <w:t>of</w:t>
      </w:r>
      <w:r>
        <w:rPr>
          <w:spacing w:val="-14"/>
        </w:rPr>
        <w:t> </w:t>
      </w:r>
      <w:r>
        <w:rPr/>
        <w:t>opportunity;</w:t>
      </w:r>
      <w:r>
        <w:rPr>
          <w:spacing w:val="-14"/>
        </w:rPr>
        <w:t> </w:t>
      </w:r>
      <w:r>
        <w:rPr/>
        <w:t>this</w:t>
      </w:r>
      <w:r>
        <w:rPr>
          <w:spacing w:val="-14"/>
        </w:rPr>
        <w:t> </w:t>
      </w:r>
      <w:r>
        <w:rPr/>
        <w:t>approach</w:t>
      </w:r>
      <w:r>
        <w:rPr>
          <w:spacing w:val="-14"/>
        </w:rPr>
        <w:t> </w:t>
      </w:r>
      <w:r>
        <w:rPr/>
        <w:t>is</w:t>
      </w:r>
      <w:r>
        <w:rPr>
          <w:spacing w:val="-14"/>
        </w:rPr>
        <w:t> </w:t>
      </w:r>
      <w:r>
        <w:rPr>
          <w:spacing w:val="2"/>
        </w:rPr>
        <w:t>part </w:t>
      </w:r>
      <w:r>
        <w:rPr>
          <w:w w:val="95"/>
        </w:rPr>
        <w:t>of</w:t>
      </w:r>
      <w:r>
        <w:rPr>
          <w:spacing w:val="-14"/>
          <w:w w:val="95"/>
        </w:rPr>
        <w:t> </w:t>
      </w:r>
      <w:r>
        <w:rPr>
          <w:w w:val="95"/>
        </w:rPr>
        <w:t>the</w:t>
      </w:r>
      <w:r>
        <w:rPr>
          <w:spacing w:val="-14"/>
          <w:w w:val="95"/>
        </w:rPr>
        <w:t> </w:t>
      </w:r>
      <w:r>
        <w:rPr>
          <w:w w:val="95"/>
        </w:rPr>
        <w:t>University’s</w:t>
      </w:r>
      <w:r>
        <w:rPr>
          <w:spacing w:val="-14"/>
          <w:w w:val="95"/>
        </w:rPr>
        <w:t> </w:t>
      </w:r>
      <w:r>
        <w:rPr>
          <w:rFonts w:ascii="Century Gothic" w:hAnsi="Century Gothic"/>
          <w:i/>
          <w:w w:val="95"/>
        </w:rPr>
        <w:t>Securing</w:t>
      </w:r>
      <w:r>
        <w:rPr>
          <w:rFonts w:ascii="Century Gothic" w:hAnsi="Century Gothic"/>
          <w:i/>
          <w:spacing w:val="-9"/>
          <w:w w:val="95"/>
        </w:rPr>
        <w:t> </w:t>
      </w:r>
      <w:r>
        <w:rPr>
          <w:rFonts w:ascii="Century Gothic" w:hAnsi="Century Gothic"/>
          <w:i/>
          <w:w w:val="95"/>
        </w:rPr>
        <w:t>Success</w:t>
      </w:r>
      <w:r>
        <w:rPr>
          <w:rFonts w:ascii="Century Gothic" w:hAnsi="Century Gothic"/>
          <w:i/>
          <w:spacing w:val="-9"/>
          <w:w w:val="95"/>
        </w:rPr>
        <w:t> </w:t>
      </w:r>
      <w:r>
        <w:rPr>
          <w:w w:val="95"/>
        </w:rPr>
        <w:t>strategy, </w:t>
      </w:r>
      <w:r>
        <w:rPr/>
        <w:t>creating</w:t>
      </w:r>
      <w:r>
        <w:rPr>
          <w:spacing w:val="-25"/>
        </w:rPr>
        <w:t> </w:t>
      </w:r>
      <w:r>
        <w:rPr/>
        <w:t>a</w:t>
      </w:r>
      <w:r>
        <w:rPr>
          <w:spacing w:val="-25"/>
        </w:rPr>
        <w:t> </w:t>
      </w:r>
      <w:r>
        <w:rPr/>
        <w:t>student-centred</w:t>
      </w:r>
      <w:r>
        <w:rPr>
          <w:spacing w:val="-25"/>
        </w:rPr>
        <w:t> </w:t>
      </w:r>
      <w:r>
        <w:rPr/>
        <w:t>culture.</w:t>
      </w:r>
    </w:p>
    <w:p>
      <w:pPr>
        <w:pStyle w:val="BodyText"/>
        <w:spacing w:before="8"/>
        <w:rPr>
          <w:sz w:val="22"/>
        </w:rPr>
      </w:pPr>
    </w:p>
    <w:p>
      <w:pPr>
        <w:pStyle w:val="Heading5"/>
        <w:ind w:left="105" w:right="112"/>
      </w:pPr>
      <w:r>
        <w:rPr>
          <w:w w:val="95"/>
        </w:rPr>
        <w:t>CAMPUS SAFETY &amp; SECURITY</w:t>
      </w:r>
    </w:p>
    <w:p>
      <w:pPr>
        <w:pStyle w:val="BodyText"/>
        <w:spacing w:line="249" w:lineRule="auto" w:before="209"/>
        <w:ind w:left="103" w:right="422"/>
      </w:pPr>
      <w:r>
        <w:rPr/>
        <w:t>Campus Safety &amp; Security continues to provide a safe and secure environment </w:t>
      </w:r>
      <w:r>
        <w:rPr>
          <w:w w:val="98"/>
        </w:rPr>
        <w:t>for </w:t>
      </w:r>
      <w:r>
        <w:rPr>
          <w:spacing w:val="2"/>
          <w:w w:val="94"/>
        </w:rPr>
        <w:t>students,</w:t>
      </w:r>
      <w:r>
        <w:rPr>
          <w:w w:val="94"/>
        </w:rPr>
        <w:t> </w:t>
      </w:r>
      <w:r>
        <w:rPr>
          <w:spacing w:val="1"/>
          <w:w w:val="97"/>
        </w:rPr>
        <w:t>staff</w:t>
      </w:r>
      <w:r>
        <w:rPr>
          <w:w w:val="97"/>
        </w:rPr>
        <w:t> </w:t>
      </w:r>
      <w:r>
        <w:rPr>
          <w:spacing w:val="1"/>
          <w:w w:val="97"/>
        </w:rPr>
        <w:t>and</w:t>
      </w:r>
      <w:r>
        <w:rPr>
          <w:w w:val="97"/>
        </w:rPr>
        <w:t> </w:t>
      </w:r>
      <w:r>
        <w:rPr>
          <w:w w:val="94"/>
        </w:rPr>
        <w:t>visitors. </w:t>
      </w:r>
      <w:r>
        <w:rPr>
          <w:spacing w:val="1"/>
          <w:w w:val="80"/>
        </w:rPr>
        <w:t>In</w:t>
      </w:r>
      <w:r>
        <w:rPr>
          <w:w w:val="80"/>
        </w:rPr>
        <w:t> </w:t>
      </w:r>
      <w:r>
        <w:rPr>
          <w:spacing w:val="1"/>
          <w:w w:val="84"/>
        </w:rPr>
        <w:t>2015,</w:t>
      </w:r>
      <w:r>
        <w:rPr>
          <w:w w:val="84"/>
        </w:rPr>
        <w:t> </w:t>
      </w:r>
      <w:r>
        <w:rPr/>
        <w:t>the</w:t>
      </w:r>
      <w:r>
        <w:rPr>
          <w:spacing w:val="-15"/>
        </w:rPr>
        <w:t> </w:t>
      </w:r>
      <w:r>
        <w:rPr/>
        <w:t>University’s</w:t>
      </w:r>
      <w:r>
        <w:rPr>
          <w:spacing w:val="-15"/>
        </w:rPr>
        <w:t> </w:t>
      </w:r>
      <w:r>
        <w:rPr/>
        <w:t>Campus</w:t>
      </w:r>
      <w:r>
        <w:rPr>
          <w:spacing w:val="-15"/>
        </w:rPr>
        <w:t> </w:t>
      </w:r>
      <w:r>
        <w:rPr/>
        <w:t>Safety</w:t>
      </w:r>
      <w:r>
        <w:rPr>
          <w:spacing w:val="-15"/>
        </w:rPr>
        <w:t> </w:t>
      </w:r>
      <w:r>
        <w:rPr/>
        <w:t>&amp;</w:t>
      </w:r>
      <w:r>
        <w:rPr>
          <w:spacing w:val="-15"/>
        </w:rPr>
        <w:t> </w:t>
      </w:r>
      <w:r>
        <w:rPr/>
        <w:t>Security directorate</w:t>
      </w:r>
      <w:r>
        <w:rPr>
          <w:spacing w:val="-10"/>
        </w:rPr>
        <w:t> </w:t>
      </w:r>
      <w:r>
        <w:rPr/>
        <w:t>led</w:t>
      </w:r>
      <w:r>
        <w:rPr>
          <w:spacing w:val="-10"/>
        </w:rPr>
        <w:t> </w:t>
      </w:r>
      <w:r>
        <w:rPr/>
        <w:t>the</w:t>
      </w:r>
      <w:r>
        <w:rPr>
          <w:spacing w:val="-10"/>
        </w:rPr>
        <w:t> </w:t>
      </w:r>
      <w:r>
        <w:rPr/>
        <w:t>NSW</w:t>
      </w:r>
      <w:r>
        <w:rPr>
          <w:spacing w:val="-10"/>
        </w:rPr>
        <w:t> </w:t>
      </w:r>
      <w:r>
        <w:rPr/>
        <w:t>tertiary</w:t>
      </w:r>
      <w:r>
        <w:rPr>
          <w:spacing w:val="-10"/>
        </w:rPr>
        <w:t> </w:t>
      </w:r>
      <w:r>
        <w:rPr/>
        <w:t>sector</w:t>
      </w:r>
    </w:p>
    <w:p>
      <w:pPr>
        <w:pStyle w:val="BodyText"/>
        <w:spacing w:line="249" w:lineRule="auto"/>
        <w:ind w:left="103" w:right="231"/>
      </w:pPr>
      <w:r>
        <w:rPr/>
        <w:t>special interest group in safety and security (TERSEC). Campus Safety &amp; Security held simulation testing for University-wide</w:t>
      </w:r>
    </w:p>
    <w:p>
      <w:pPr>
        <w:pStyle w:val="BodyText"/>
        <w:spacing w:line="249" w:lineRule="auto"/>
        <w:ind w:left="103" w:right="136"/>
      </w:pPr>
      <w:r>
        <w:rPr/>
        <w:t>crisis planning, pandemic planning and the Nirimba Education Precinct. The simulations provided the University with the opportunity to practise, review and refine its approach to crisis planning and confirmed current good practice in this area.</w:t>
      </w:r>
    </w:p>
    <w:p>
      <w:pPr>
        <w:pStyle w:val="BodyText"/>
        <w:rPr>
          <w:sz w:val="14"/>
        </w:rPr>
      </w:pPr>
    </w:p>
    <w:p>
      <w:pPr>
        <w:pStyle w:val="BodyText"/>
        <w:spacing w:line="249" w:lineRule="auto"/>
        <w:ind w:left="103" w:right="114"/>
      </w:pPr>
      <w:r>
        <w:rPr/>
        <w:t>Campus</w:t>
      </w:r>
      <w:r>
        <w:rPr>
          <w:spacing w:val="-15"/>
        </w:rPr>
        <w:t> </w:t>
      </w:r>
      <w:r>
        <w:rPr/>
        <w:t>Safety</w:t>
      </w:r>
      <w:r>
        <w:rPr>
          <w:spacing w:val="-15"/>
        </w:rPr>
        <w:t> </w:t>
      </w:r>
      <w:r>
        <w:rPr/>
        <w:t>&amp;</w:t>
      </w:r>
      <w:r>
        <w:rPr>
          <w:spacing w:val="-15"/>
        </w:rPr>
        <w:t> </w:t>
      </w:r>
      <w:r>
        <w:rPr/>
        <w:t>Security</w:t>
      </w:r>
      <w:r>
        <w:rPr>
          <w:spacing w:val="-15"/>
        </w:rPr>
        <w:t> </w:t>
      </w:r>
      <w:r>
        <w:rPr/>
        <w:t>was</w:t>
      </w:r>
      <w:r>
        <w:rPr>
          <w:spacing w:val="-15"/>
        </w:rPr>
        <w:t> </w:t>
      </w:r>
      <w:r>
        <w:rPr/>
        <w:t>also</w:t>
      </w:r>
      <w:r>
        <w:rPr>
          <w:spacing w:val="-15"/>
        </w:rPr>
        <w:t> </w:t>
      </w:r>
      <w:r>
        <w:rPr/>
        <w:t>involved</w:t>
      </w:r>
      <w:r>
        <w:rPr>
          <w:spacing w:val="-15"/>
        </w:rPr>
        <w:t> </w:t>
      </w:r>
      <w:r>
        <w:rPr/>
        <w:t>in a post-incident review of University resilience strategies</w:t>
      </w:r>
      <w:r>
        <w:rPr>
          <w:spacing w:val="-15"/>
        </w:rPr>
        <w:t> </w:t>
      </w:r>
      <w:r>
        <w:rPr/>
        <w:t>following</w:t>
      </w:r>
      <w:r>
        <w:rPr>
          <w:spacing w:val="-15"/>
        </w:rPr>
        <w:t> </w:t>
      </w:r>
      <w:r>
        <w:rPr/>
        <w:t>the</w:t>
      </w:r>
      <w:r>
        <w:rPr>
          <w:spacing w:val="-15"/>
        </w:rPr>
        <w:t> </w:t>
      </w:r>
      <w:r>
        <w:rPr/>
        <w:t>crash</w:t>
      </w:r>
      <w:r>
        <w:rPr>
          <w:spacing w:val="-15"/>
        </w:rPr>
        <w:t> </w:t>
      </w:r>
      <w:r>
        <w:rPr/>
        <w:t>of</w:t>
      </w:r>
      <w:r>
        <w:rPr>
          <w:spacing w:val="-15"/>
        </w:rPr>
        <w:t> </w:t>
      </w:r>
      <w:r>
        <w:rPr/>
        <w:t>an</w:t>
      </w:r>
      <w:r>
        <w:rPr>
          <w:spacing w:val="-15"/>
        </w:rPr>
        <w:t> </w:t>
      </w:r>
      <w:r>
        <w:rPr>
          <w:spacing w:val="2"/>
        </w:rPr>
        <w:t>LPG</w:t>
      </w:r>
    </w:p>
    <w:p>
      <w:pPr>
        <w:pStyle w:val="BodyText"/>
        <w:spacing w:line="249" w:lineRule="auto"/>
        <w:ind w:left="103" w:right="89"/>
      </w:pPr>
      <w:r>
        <w:rPr/>
        <w:t>gas tanker on the Great Western Highway, Werrington, in July. This review focused on continuity planning, crisis communication and research protection initiatives.</w:t>
      </w:r>
    </w:p>
    <w:p>
      <w:pPr>
        <w:pStyle w:val="BodyText"/>
        <w:rPr>
          <w:sz w:val="14"/>
        </w:rPr>
      </w:pPr>
    </w:p>
    <w:p>
      <w:pPr>
        <w:pStyle w:val="BodyText"/>
        <w:spacing w:line="249" w:lineRule="auto"/>
        <w:ind w:left="103" w:right="172"/>
      </w:pPr>
      <w:r>
        <w:rPr/>
        <w:t>The Director of Campus Safety &amp; Security presented</w:t>
      </w:r>
      <w:r>
        <w:rPr>
          <w:spacing w:val="-18"/>
        </w:rPr>
        <w:t> </w:t>
      </w:r>
      <w:r>
        <w:rPr/>
        <w:t>conference</w:t>
      </w:r>
      <w:r>
        <w:rPr>
          <w:spacing w:val="-18"/>
        </w:rPr>
        <w:t> </w:t>
      </w:r>
      <w:r>
        <w:rPr/>
        <w:t>papers</w:t>
      </w:r>
      <w:r>
        <w:rPr>
          <w:spacing w:val="-18"/>
        </w:rPr>
        <w:t> </w:t>
      </w:r>
      <w:r>
        <w:rPr/>
        <w:t>showcasing</w:t>
      </w:r>
      <w:r>
        <w:rPr>
          <w:spacing w:val="-18"/>
        </w:rPr>
        <w:t> </w:t>
      </w:r>
      <w:r>
        <w:rPr/>
        <w:t>the University’s approach to student and staff risk</w:t>
      </w:r>
      <w:r>
        <w:rPr>
          <w:spacing w:val="-17"/>
        </w:rPr>
        <w:t> </w:t>
      </w:r>
      <w:r>
        <w:rPr/>
        <w:t>issues</w:t>
      </w:r>
      <w:r>
        <w:rPr>
          <w:spacing w:val="-17"/>
        </w:rPr>
        <w:t> </w:t>
      </w:r>
      <w:r>
        <w:rPr/>
        <w:t>to</w:t>
      </w:r>
      <w:r>
        <w:rPr>
          <w:spacing w:val="-17"/>
        </w:rPr>
        <w:t> </w:t>
      </w:r>
      <w:r>
        <w:rPr/>
        <w:t>a</w:t>
      </w:r>
      <w:r>
        <w:rPr>
          <w:spacing w:val="-17"/>
        </w:rPr>
        <w:t> </w:t>
      </w:r>
      <w:r>
        <w:rPr/>
        <w:t>sector-specific</w:t>
      </w:r>
      <w:r>
        <w:rPr>
          <w:spacing w:val="-17"/>
        </w:rPr>
        <w:t> </w:t>
      </w:r>
      <w:r>
        <w:rPr/>
        <w:t>audience</w:t>
      </w:r>
      <w:r>
        <w:rPr>
          <w:spacing w:val="-17"/>
        </w:rPr>
        <w:t> </w:t>
      </w:r>
      <w:r>
        <w:rPr/>
        <w:t>at</w:t>
      </w:r>
      <w:r>
        <w:rPr>
          <w:spacing w:val="-5"/>
        </w:rPr>
        <w:t> </w:t>
      </w:r>
      <w:r>
        <w:rPr/>
        <w:t>the</w:t>
      </w:r>
      <w:r>
        <w:rPr>
          <w:spacing w:val="-12"/>
        </w:rPr>
        <w:t> </w:t>
      </w:r>
      <w:r>
        <w:rPr/>
        <w:t>Campus Security &amp; Safety conference in Sydney. The Director also presented to the much broader Australian Security Industry Association</w:t>
      </w:r>
      <w:r>
        <w:rPr>
          <w:spacing w:val="-19"/>
        </w:rPr>
        <w:t> </w:t>
      </w:r>
      <w:r>
        <w:rPr/>
        <w:t>conference</w:t>
      </w:r>
      <w:r>
        <w:rPr>
          <w:spacing w:val="-19"/>
        </w:rPr>
        <w:t> </w:t>
      </w:r>
      <w:r>
        <w:rPr/>
        <w:t>in</w:t>
      </w:r>
      <w:r>
        <w:rPr>
          <w:spacing w:val="-19"/>
        </w:rPr>
        <w:t> </w:t>
      </w:r>
      <w:r>
        <w:rPr/>
        <w:t>Melbourne.</w:t>
      </w:r>
    </w:p>
    <w:p>
      <w:pPr>
        <w:spacing w:after="0" w:line="249" w:lineRule="auto"/>
        <w:sectPr>
          <w:type w:val="continuous"/>
          <w:pgSz w:w="11910" w:h="16840"/>
          <w:pgMar w:top="1580" w:bottom="280" w:left="800" w:right="800"/>
          <w:cols w:num="3" w:equalWidth="0">
            <w:col w:w="3295" w:space="148"/>
            <w:col w:w="3310" w:space="129"/>
            <w:col w:w="3428"/>
          </w:cols>
        </w:sectPr>
      </w:pPr>
    </w:p>
    <w:p>
      <w:pPr>
        <w:pStyle w:val="BodyText"/>
        <w:spacing w:before="10"/>
        <w:rPr>
          <w:sz w:val="28"/>
        </w:rPr>
      </w:pPr>
    </w:p>
    <w:p>
      <w:pPr>
        <w:pStyle w:val="Heading2"/>
        <w:ind w:left="167" w:right="7977"/>
        <w:rPr>
          <w:b w:val="0"/>
        </w:rPr>
      </w:pPr>
      <w:r>
        <w:rPr>
          <w:b w:val="0"/>
        </w:rPr>
        <w:t>Student Recruitment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740" w:right="800"/>
        </w:sectPr>
      </w:pPr>
    </w:p>
    <w:p>
      <w:pPr>
        <w:pStyle w:val="Heading5"/>
        <w:spacing w:before="197"/>
        <w:ind w:left="169" w:right="-8"/>
      </w:pPr>
      <w:r>
        <w:rPr/>
        <w:t>CAREERS</w:t>
      </w:r>
    </w:p>
    <w:p>
      <w:pPr>
        <w:pStyle w:val="BodyText"/>
        <w:spacing w:line="249" w:lineRule="auto" w:before="209"/>
        <w:ind w:left="167" w:right="-8"/>
      </w:pPr>
      <w:r>
        <w:rPr>
          <w:spacing w:val="1"/>
          <w:w w:val="80"/>
        </w:rPr>
        <w:t>In</w:t>
      </w:r>
      <w:r>
        <w:rPr>
          <w:w w:val="80"/>
        </w:rPr>
        <w:t> </w:t>
      </w:r>
      <w:r>
        <w:rPr>
          <w:spacing w:val="1"/>
          <w:w w:val="84"/>
        </w:rPr>
        <w:t>2015,</w:t>
      </w:r>
      <w:r>
        <w:rPr>
          <w:w w:val="84"/>
        </w:rPr>
        <w:t> </w:t>
      </w:r>
      <w:r>
        <w:rPr>
          <w:spacing w:val="1"/>
          <w:w w:val="96"/>
        </w:rPr>
        <w:t>Careers</w:t>
      </w:r>
      <w:r>
        <w:rPr>
          <w:w w:val="96"/>
        </w:rPr>
        <w:t> </w:t>
      </w:r>
      <w:r>
        <w:rPr>
          <w:w w:val="90"/>
        </w:rPr>
        <w:t>&amp; </w:t>
      </w:r>
      <w:r>
        <w:rPr>
          <w:spacing w:val="1"/>
          <w:w w:val="98"/>
        </w:rPr>
        <w:t>Cooperative</w:t>
      </w:r>
      <w:r>
        <w:rPr>
          <w:w w:val="98"/>
        </w:rPr>
        <w:t> </w:t>
      </w:r>
      <w:r>
        <w:rPr>
          <w:spacing w:val="1"/>
          <w:w w:val="98"/>
        </w:rPr>
        <w:t>Education</w:t>
      </w:r>
      <w:r>
        <w:rPr>
          <w:w w:val="98"/>
        </w:rPr>
        <w:t> </w:t>
      </w:r>
      <w:r>
        <w:rPr/>
        <w:t>became</w:t>
      </w:r>
      <w:r>
        <w:rPr>
          <w:spacing w:val="-20"/>
        </w:rPr>
        <w:t> </w:t>
      </w:r>
      <w:r>
        <w:rPr/>
        <w:t>known</w:t>
      </w:r>
      <w:r>
        <w:rPr>
          <w:spacing w:val="-20"/>
        </w:rPr>
        <w:t> </w:t>
      </w:r>
      <w:r>
        <w:rPr/>
        <w:t>simply</w:t>
      </w:r>
      <w:r>
        <w:rPr>
          <w:spacing w:val="-20"/>
        </w:rPr>
        <w:t> </w:t>
      </w:r>
      <w:r>
        <w:rPr/>
        <w:t>as</w:t>
      </w:r>
      <w:r>
        <w:rPr>
          <w:spacing w:val="-20"/>
        </w:rPr>
        <w:t> </w:t>
      </w:r>
      <w:r>
        <w:rPr/>
        <w:t>‘Careers’.</w:t>
      </w:r>
      <w:r>
        <w:rPr>
          <w:spacing w:val="-20"/>
        </w:rPr>
        <w:t> </w:t>
      </w:r>
      <w:r>
        <w:rPr/>
        <w:t>The</w:t>
      </w:r>
      <w:r>
        <w:rPr>
          <w:spacing w:val="-20"/>
        </w:rPr>
        <w:t> </w:t>
      </w:r>
      <w:r>
        <w:rPr/>
        <w:t>service continued to build its reputation as a key resource</w:t>
      </w:r>
      <w:r>
        <w:rPr>
          <w:spacing w:val="-16"/>
        </w:rPr>
        <w:t> </w:t>
      </w:r>
      <w:r>
        <w:rPr/>
        <w:t>for</w:t>
      </w:r>
      <w:r>
        <w:rPr>
          <w:spacing w:val="-16"/>
        </w:rPr>
        <w:t> </w:t>
      </w:r>
      <w:r>
        <w:rPr/>
        <w:t>students</w:t>
      </w:r>
      <w:r>
        <w:rPr>
          <w:spacing w:val="-16"/>
        </w:rPr>
        <w:t> </w:t>
      </w:r>
      <w:r>
        <w:rPr/>
        <w:t>seeking</w:t>
      </w:r>
      <w:r>
        <w:rPr>
          <w:spacing w:val="-16"/>
        </w:rPr>
        <w:t> </w:t>
      </w:r>
      <w:r>
        <w:rPr/>
        <w:t>to</w:t>
      </w:r>
      <w:r>
        <w:rPr>
          <w:spacing w:val="-16"/>
        </w:rPr>
        <w:t> </w:t>
      </w:r>
      <w:r>
        <w:rPr/>
        <w:t>improve</w:t>
      </w:r>
      <w:r>
        <w:rPr>
          <w:spacing w:val="-16"/>
        </w:rPr>
        <w:t> </w:t>
      </w:r>
      <w:r>
        <w:rPr/>
        <w:t>their career readiness and prepare for graduate </w:t>
      </w:r>
      <w:r>
        <w:rPr>
          <w:spacing w:val="1"/>
          <w:w w:val="95"/>
        </w:rPr>
        <w:t>employment.</w:t>
      </w:r>
      <w:r>
        <w:rPr>
          <w:spacing w:val="-7"/>
          <w:w w:val="95"/>
        </w:rPr>
        <w:t> </w:t>
      </w:r>
      <w:r>
        <w:rPr>
          <w:spacing w:val="1"/>
          <w:w w:val="94"/>
        </w:rPr>
        <w:t>The</w:t>
      </w:r>
      <w:r>
        <w:rPr>
          <w:spacing w:val="-6"/>
          <w:w w:val="94"/>
        </w:rPr>
        <w:t> </w:t>
      </w:r>
      <w:r>
        <w:rPr>
          <w:w w:val="97"/>
        </w:rPr>
        <w:t>year</w:t>
      </w:r>
      <w:r>
        <w:rPr>
          <w:spacing w:val="-7"/>
          <w:w w:val="97"/>
        </w:rPr>
        <w:t> </w:t>
      </w:r>
      <w:r>
        <w:rPr>
          <w:spacing w:val="1"/>
          <w:w w:val="88"/>
        </w:rPr>
        <w:t>2015</w:t>
      </w:r>
      <w:r>
        <w:rPr>
          <w:spacing w:val="-3"/>
          <w:w w:val="88"/>
        </w:rPr>
        <w:t> </w:t>
      </w:r>
      <w:r>
        <w:rPr>
          <w:w w:val="96"/>
        </w:rPr>
        <w:t>saw</w:t>
      </w:r>
      <w:r>
        <w:rPr>
          <w:spacing w:val="-7"/>
          <w:w w:val="96"/>
        </w:rPr>
        <w:t> </w:t>
      </w:r>
      <w:r>
        <w:rPr>
          <w:spacing w:val="1"/>
          <w:w w:val="95"/>
        </w:rPr>
        <w:t>an</w:t>
      </w:r>
      <w:r>
        <w:rPr>
          <w:spacing w:val="-7"/>
          <w:w w:val="95"/>
        </w:rPr>
        <w:t> </w:t>
      </w:r>
      <w:r>
        <w:rPr>
          <w:spacing w:val="1"/>
          <w:w w:val="96"/>
        </w:rPr>
        <w:t>increase</w:t>
      </w:r>
    </w:p>
    <w:p>
      <w:pPr>
        <w:pStyle w:val="BodyText"/>
        <w:spacing w:line="249" w:lineRule="auto"/>
        <w:ind w:left="167" w:right="-8"/>
      </w:pPr>
      <w:r>
        <w:rPr/>
        <w:t>in services offered to students, with the help of extra funding from HEPP and the Student Services and Amenities Fee (SSAF) sources. Careers also collaborated with other Schools, Divisions and industry partners to source opportunities for students to undertake a range</w:t>
      </w:r>
      <w:r>
        <w:rPr>
          <w:spacing w:val="-19"/>
        </w:rPr>
        <w:t> </w:t>
      </w:r>
      <w:r>
        <w:rPr/>
        <w:t>of</w:t>
      </w:r>
      <w:r>
        <w:rPr>
          <w:spacing w:val="-19"/>
        </w:rPr>
        <w:t> </w:t>
      </w:r>
      <w:r>
        <w:rPr/>
        <w:t>internships</w:t>
      </w:r>
      <w:r>
        <w:rPr>
          <w:spacing w:val="-19"/>
        </w:rPr>
        <w:t> </w:t>
      </w:r>
      <w:r>
        <w:rPr/>
        <w:t>both</w:t>
      </w:r>
      <w:r>
        <w:rPr>
          <w:spacing w:val="-19"/>
        </w:rPr>
        <w:t> </w:t>
      </w:r>
      <w:r>
        <w:rPr/>
        <w:t>locally</w:t>
      </w:r>
      <w:r>
        <w:rPr>
          <w:spacing w:val="-19"/>
        </w:rPr>
        <w:t> </w:t>
      </w:r>
      <w:r>
        <w:rPr/>
        <w:t>and</w:t>
      </w:r>
      <w:r>
        <w:rPr>
          <w:spacing w:val="-19"/>
        </w:rPr>
        <w:t> </w:t>
      </w:r>
      <w:r>
        <w:rPr/>
        <w:t>overseas.</w:t>
      </w:r>
    </w:p>
    <w:p>
      <w:pPr>
        <w:pStyle w:val="BodyText"/>
        <w:rPr>
          <w:sz w:val="14"/>
        </w:rPr>
      </w:pPr>
    </w:p>
    <w:p>
      <w:pPr>
        <w:pStyle w:val="BodyText"/>
        <w:spacing w:line="249" w:lineRule="auto"/>
        <w:ind w:left="167" w:right="456"/>
      </w:pPr>
      <w:r>
        <w:rPr/>
        <w:t>The Careers service offers all students the opportunity to register their details to access resources and opportunities</w:t>
      </w:r>
    </w:p>
    <w:p>
      <w:pPr>
        <w:pStyle w:val="BodyText"/>
        <w:spacing w:line="249" w:lineRule="auto"/>
        <w:ind w:left="167" w:right="16"/>
      </w:pPr>
      <w:r>
        <w:rPr>
          <w:w w:val="98"/>
        </w:rPr>
        <w:t>through </w:t>
      </w:r>
      <w:r>
        <w:rPr>
          <w:w w:val="97"/>
        </w:rPr>
        <w:t>the </w:t>
      </w:r>
      <w:r>
        <w:rPr>
          <w:spacing w:val="1"/>
          <w:w w:val="97"/>
        </w:rPr>
        <w:t>CareerHub</w:t>
      </w:r>
      <w:r>
        <w:rPr>
          <w:w w:val="97"/>
        </w:rPr>
        <w:t> </w:t>
      </w:r>
      <w:r>
        <w:rPr>
          <w:spacing w:val="1"/>
          <w:w w:val="94"/>
        </w:rPr>
        <w:t>database.</w:t>
      </w:r>
      <w:r>
        <w:rPr>
          <w:w w:val="94"/>
        </w:rPr>
        <w:t> </w:t>
      </w:r>
      <w:r>
        <w:rPr>
          <w:spacing w:val="1"/>
          <w:w w:val="80"/>
        </w:rPr>
        <w:t>In</w:t>
      </w:r>
      <w:r>
        <w:rPr>
          <w:w w:val="80"/>
        </w:rPr>
        <w:t> </w:t>
      </w:r>
      <w:r>
        <w:rPr>
          <w:spacing w:val="1"/>
          <w:w w:val="84"/>
        </w:rPr>
        <w:t>2015,</w:t>
      </w:r>
      <w:r>
        <w:rPr>
          <w:w w:val="84"/>
        </w:rPr>
        <w:t> </w:t>
      </w:r>
      <w:r>
        <w:rPr>
          <w:w w:val="97"/>
        </w:rPr>
        <w:t>more </w:t>
      </w:r>
      <w:r>
        <w:rPr>
          <w:spacing w:val="1"/>
          <w:w w:val="97"/>
        </w:rPr>
        <w:t>than</w:t>
      </w:r>
      <w:r>
        <w:rPr>
          <w:w w:val="97"/>
        </w:rPr>
        <w:t> </w:t>
      </w:r>
      <w:r>
        <w:rPr>
          <w:spacing w:val="2"/>
          <w:w w:val="93"/>
        </w:rPr>
        <w:t>14,000</w:t>
      </w:r>
      <w:r>
        <w:rPr>
          <w:w w:val="93"/>
        </w:rPr>
        <w:t> </w:t>
      </w:r>
      <w:r>
        <w:rPr>
          <w:spacing w:val="1"/>
          <w:w w:val="99"/>
        </w:rPr>
        <w:t>domestic</w:t>
      </w:r>
      <w:r>
        <w:rPr>
          <w:w w:val="99"/>
        </w:rPr>
        <w:t> </w:t>
      </w:r>
      <w:r>
        <w:rPr>
          <w:spacing w:val="1"/>
          <w:w w:val="97"/>
        </w:rPr>
        <w:t>students</w:t>
      </w:r>
      <w:r>
        <w:rPr>
          <w:w w:val="97"/>
        </w:rPr>
        <w:t> </w:t>
      </w:r>
      <w:r>
        <w:rPr>
          <w:spacing w:val="1"/>
          <w:w w:val="97"/>
        </w:rPr>
        <w:t>and</w:t>
      </w:r>
      <w:r>
        <w:rPr>
          <w:w w:val="97"/>
        </w:rPr>
        <w:t> </w:t>
      </w:r>
      <w:r>
        <w:rPr/>
        <w:t>2,074 international students registered on CareerHub.</w:t>
      </w:r>
      <w:r>
        <w:rPr>
          <w:spacing w:val="-24"/>
        </w:rPr>
        <w:t> </w:t>
      </w:r>
      <w:r>
        <w:rPr/>
        <w:t>This</w:t>
      </w:r>
      <w:r>
        <w:rPr>
          <w:spacing w:val="-24"/>
        </w:rPr>
        <w:t> </w:t>
      </w:r>
      <w:r>
        <w:rPr/>
        <w:t>represents</w:t>
      </w:r>
      <w:r>
        <w:rPr>
          <w:spacing w:val="-24"/>
        </w:rPr>
        <w:t> </w:t>
      </w:r>
      <w:r>
        <w:rPr>
          <w:spacing w:val="2"/>
        </w:rPr>
        <w:t>31</w:t>
      </w:r>
      <w:r>
        <w:rPr>
          <w:spacing w:val="-24"/>
        </w:rPr>
        <w:t> </w:t>
      </w:r>
      <w:r>
        <w:rPr/>
        <w:t>per</w:t>
      </w:r>
      <w:r>
        <w:rPr>
          <w:spacing w:val="-24"/>
        </w:rPr>
        <w:t> </w:t>
      </w:r>
      <w:r>
        <w:rPr/>
        <w:t>cent</w:t>
      </w:r>
      <w:r>
        <w:rPr>
          <w:spacing w:val="-24"/>
        </w:rPr>
        <w:t> </w:t>
      </w:r>
      <w:r>
        <w:rPr/>
        <w:t>and</w:t>
      </w:r>
      <w:r>
        <w:rPr>
          <w:spacing w:val="-24"/>
        </w:rPr>
        <w:t> </w:t>
      </w:r>
      <w:r>
        <w:rPr/>
        <w:t>55 per</w:t>
      </w:r>
      <w:r>
        <w:rPr>
          <w:spacing w:val="-16"/>
        </w:rPr>
        <w:t> </w:t>
      </w:r>
      <w:r>
        <w:rPr/>
        <w:t>cent</w:t>
      </w:r>
      <w:r>
        <w:rPr>
          <w:spacing w:val="-16"/>
        </w:rPr>
        <w:t> </w:t>
      </w:r>
      <w:r>
        <w:rPr/>
        <w:t>of</w:t>
      </w:r>
      <w:r>
        <w:rPr>
          <w:spacing w:val="-16"/>
        </w:rPr>
        <w:t> </w:t>
      </w:r>
      <w:r>
        <w:rPr/>
        <w:t>total</w:t>
      </w:r>
      <w:r>
        <w:rPr>
          <w:spacing w:val="-16"/>
        </w:rPr>
        <w:t> </w:t>
      </w:r>
      <w:r>
        <w:rPr/>
        <w:t>current</w:t>
      </w:r>
      <w:r>
        <w:rPr>
          <w:spacing w:val="-16"/>
        </w:rPr>
        <w:t> </w:t>
      </w:r>
      <w:r>
        <w:rPr/>
        <w:t>University</w:t>
      </w:r>
      <w:r>
        <w:rPr>
          <w:spacing w:val="-16"/>
        </w:rPr>
        <w:t> </w:t>
      </w:r>
      <w:r>
        <w:rPr/>
        <w:t>enrolments respectively. The jobs board was viewed </w:t>
      </w:r>
      <w:r>
        <w:rPr>
          <w:spacing w:val="2"/>
        </w:rPr>
        <w:t>250,000 </w:t>
      </w:r>
      <w:r>
        <w:rPr/>
        <w:t>times and online documents, news </w:t>
      </w:r>
      <w:r>
        <w:rPr>
          <w:spacing w:val="1"/>
          <w:w w:val="97"/>
        </w:rPr>
        <w:t>and</w:t>
      </w:r>
      <w:r>
        <w:rPr>
          <w:w w:val="97"/>
        </w:rPr>
        <w:t> </w:t>
      </w:r>
      <w:r>
        <w:rPr>
          <w:spacing w:val="1"/>
          <w:w w:val="95"/>
        </w:rPr>
        <w:t>links</w:t>
      </w:r>
      <w:r>
        <w:rPr>
          <w:w w:val="95"/>
        </w:rPr>
        <w:t> </w:t>
      </w:r>
      <w:r>
        <w:rPr>
          <w:spacing w:val="1"/>
          <w:w w:val="99"/>
        </w:rPr>
        <w:t>attracted</w:t>
      </w:r>
      <w:r>
        <w:rPr>
          <w:w w:val="99"/>
        </w:rPr>
        <w:t> </w:t>
      </w:r>
      <w:r>
        <w:rPr>
          <w:w w:val="97"/>
        </w:rPr>
        <w:t>more </w:t>
      </w:r>
      <w:r>
        <w:rPr>
          <w:spacing w:val="1"/>
          <w:w w:val="97"/>
        </w:rPr>
        <w:t>than</w:t>
      </w:r>
      <w:r>
        <w:rPr>
          <w:w w:val="97"/>
        </w:rPr>
        <w:t> </w:t>
      </w:r>
      <w:r>
        <w:rPr>
          <w:spacing w:val="3"/>
          <w:w w:val="92"/>
        </w:rPr>
        <w:t>18,000</w:t>
      </w:r>
      <w:r>
        <w:rPr>
          <w:spacing w:val="-32"/>
          <w:w w:val="92"/>
        </w:rPr>
        <w:t> </w:t>
      </w:r>
      <w:r>
        <w:rPr>
          <w:w w:val="92"/>
        </w:rPr>
        <w:t>views.</w:t>
      </w:r>
    </w:p>
    <w:p>
      <w:pPr>
        <w:pStyle w:val="BodyText"/>
        <w:rPr>
          <w:sz w:val="14"/>
        </w:rPr>
      </w:pPr>
    </w:p>
    <w:p>
      <w:pPr>
        <w:pStyle w:val="BodyText"/>
        <w:spacing w:line="249" w:lineRule="auto"/>
        <w:ind w:left="167" w:right="388"/>
      </w:pPr>
      <w:r>
        <w:rPr/>
        <w:t>The HEPP-funded </w:t>
      </w:r>
      <w:r>
        <w:rPr>
          <w:spacing w:val="2"/>
        </w:rPr>
        <w:t>JOC </w:t>
      </w:r>
      <w:r>
        <w:rPr/>
        <w:t>program saw a 25</w:t>
      </w:r>
      <w:r>
        <w:rPr>
          <w:spacing w:val="-17"/>
        </w:rPr>
        <w:t> </w:t>
      </w:r>
      <w:r>
        <w:rPr/>
        <w:t>per</w:t>
      </w:r>
      <w:r>
        <w:rPr>
          <w:spacing w:val="-17"/>
        </w:rPr>
        <w:t> </w:t>
      </w:r>
      <w:r>
        <w:rPr/>
        <w:t>cent</w:t>
      </w:r>
      <w:r>
        <w:rPr>
          <w:spacing w:val="-17"/>
        </w:rPr>
        <w:t> </w:t>
      </w:r>
      <w:r>
        <w:rPr/>
        <w:t>increase</w:t>
      </w:r>
      <w:r>
        <w:rPr>
          <w:spacing w:val="-17"/>
        </w:rPr>
        <w:t> </w:t>
      </w:r>
      <w:r>
        <w:rPr/>
        <w:t>in</w:t>
      </w:r>
      <w:r>
        <w:rPr>
          <w:spacing w:val="-17"/>
        </w:rPr>
        <w:t> </w:t>
      </w:r>
      <w:r>
        <w:rPr/>
        <w:t>the</w:t>
      </w:r>
      <w:r>
        <w:rPr>
          <w:spacing w:val="-17"/>
        </w:rPr>
        <w:t> </w:t>
      </w:r>
      <w:r>
        <w:rPr/>
        <w:t>number</w:t>
      </w:r>
      <w:r>
        <w:rPr>
          <w:spacing w:val="-17"/>
        </w:rPr>
        <w:t> </w:t>
      </w:r>
      <w:r>
        <w:rPr/>
        <w:t>of</w:t>
      </w:r>
      <w:r>
        <w:rPr>
          <w:spacing w:val="-17"/>
        </w:rPr>
        <w:t> </w:t>
      </w:r>
      <w:r>
        <w:rPr/>
        <w:t>job</w:t>
      </w:r>
    </w:p>
    <w:p>
      <w:pPr>
        <w:pStyle w:val="BodyText"/>
        <w:spacing w:line="249" w:lineRule="auto"/>
        <w:ind w:left="167" w:right="-8"/>
      </w:pPr>
      <w:r>
        <w:rPr/>
        <w:t>opportunities available, and a 39 per cent increase in the number of applications submitted</w:t>
      </w:r>
      <w:r>
        <w:rPr>
          <w:spacing w:val="-16"/>
        </w:rPr>
        <w:t> </w:t>
      </w:r>
      <w:r>
        <w:rPr/>
        <w:t>by</w:t>
      </w:r>
      <w:r>
        <w:rPr>
          <w:spacing w:val="-16"/>
        </w:rPr>
        <w:t> </w:t>
      </w:r>
      <w:r>
        <w:rPr/>
        <w:t>students</w:t>
      </w:r>
      <w:r>
        <w:rPr>
          <w:spacing w:val="-16"/>
        </w:rPr>
        <w:t> </w:t>
      </w:r>
      <w:r>
        <w:rPr/>
        <w:t>and</w:t>
      </w:r>
      <w:r>
        <w:rPr>
          <w:spacing w:val="-16"/>
        </w:rPr>
        <w:t> </w:t>
      </w:r>
      <w:r>
        <w:rPr/>
        <w:t>recent</w:t>
      </w:r>
      <w:r>
        <w:rPr>
          <w:spacing w:val="-16"/>
        </w:rPr>
        <w:t> </w:t>
      </w:r>
      <w:r>
        <w:rPr/>
        <w:t>graduates. The</w:t>
      </w:r>
      <w:r>
        <w:rPr>
          <w:spacing w:val="-17"/>
        </w:rPr>
        <w:t> </w:t>
      </w:r>
      <w:r>
        <w:rPr>
          <w:spacing w:val="2"/>
        </w:rPr>
        <w:t>JOC</w:t>
      </w:r>
      <w:r>
        <w:rPr>
          <w:spacing w:val="-17"/>
        </w:rPr>
        <w:t> </w:t>
      </w:r>
      <w:r>
        <w:rPr/>
        <w:t>team</w:t>
      </w:r>
      <w:r>
        <w:rPr>
          <w:spacing w:val="-17"/>
        </w:rPr>
        <w:t> </w:t>
      </w:r>
      <w:r>
        <w:rPr/>
        <w:t>also</w:t>
      </w:r>
      <w:r>
        <w:rPr>
          <w:spacing w:val="-17"/>
        </w:rPr>
        <w:t> </w:t>
      </w:r>
      <w:r>
        <w:rPr/>
        <w:t>increased</w:t>
      </w:r>
      <w:r>
        <w:rPr>
          <w:spacing w:val="-17"/>
        </w:rPr>
        <w:t> </w:t>
      </w:r>
      <w:r>
        <w:rPr/>
        <w:t>the</w:t>
      </w:r>
      <w:r>
        <w:rPr>
          <w:spacing w:val="-17"/>
        </w:rPr>
        <w:t> </w:t>
      </w:r>
      <w:r>
        <w:rPr/>
        <w:t>amount</w:t>
      </w:r>
      <w:r>
        <w:rPr>
          <w:spacing w:val="-17"/>
        </w:rPr>
        <w:t> </w:t>
      </w:r>
      <w:r>
        <w:rPr/>
        <w:t>and quality of information available to increase awareness of the many careers learning resources.</w:t>
      </w:r>
    </w:p>
    <w:p>
      <w:pPr>
        <w:pStyle w:val="BodyText"/>
        <w:spacing w:before="5"/>
        <w:rPr>
          <w:sz w:val="13"/>
        </w:rPr>
      </w:pPr>
    </w:p>
    <w:p>
      <w:pPr>
        <w:pStyle w:val="BodyText"/>
        <w:spacing w:line="200" w:lineRule="atLeast"/>
        <w:ind w:left="167" w:right="13"/>
        <w:jc w:val="both"/>
      </w:pPr>
      <w:r>
        <w:rPr/>
        <w:t>The</w:t>
      </w:r>
      <w:r>
        <w:rPr>
          <w:spacing w:val="-14"/>
        </w:rPr>
        <w:t> </w:t>
      </w:r>
      <w:r>
        <w:rPr/>
        <w:t>success</w:t>
      </w:r>
      <w:r>
        <w:rPr>
          <w:spacing w:val="-14"/>
        </w:rPr>
        <w:t> </w:t>
      </w:r>
      <w:r>
        <w:rPr/>
        <w:t>of</w:t>
      </w:r>
      <w:r>
        <w:rPr>
          <w:spacing w:val="-14"/>
        </w:rPr>
        <w:t> </w:t>
      </w:r>
      <w:r>
        <w:rPr/>
        <w:t>the</w:t>
      </w:r>
      <w:r>
        <w:rPr>
          <w:spacing w:val="-14"/>
        </w:rPr>
        <w:t> </w:t>
      </w:r>
      <w:r>
        <w:rPr>
          <w:spacing w:val="2"/>
        </w:rPr>
        <w:t>JOC</w:t>
      </w:r>
      <w:r>
        <w:rPr>
          <w:spacing w:val="-14"/>
        </w:rPr>
        <w:t> </w:t>
      </w:r>
      <w:r>
        <w:rPr/>
        <w:t>program</w:t>
      </w:r>
      <w:r>
        <w:rPr>
          <w:spacing w:val="-14"/>
        </w:rPr>
        <w:t> </w:t>
      </w:r>
      <w:r>
        <w:rPr/>
        <w:t>is</w:t>
      </w:r>
      <w:r>
        <w:rPr>
          <w:spacing w:val="-14"/>
        </w:rPr>
        <w:t> </w:t>
      </w:r>
      <w:r>
        <w:rPr/>
        <w:t>highlighted by</w:t>
      </w:r>
      <w:r>
        <w:rPr>
          <w:spacing w:val="-17"/>
        </w:rPr>
        <w:t> </w:t>
      </w:r>
      <w:r>
        <w:rPr/>
        <w:t>the</w:t>
      </w:r>
      <w:r>
        <w:rPr>
          <w:spacing w:val="-17"/>
        </w:rPr>
        <w:t> </w:t>
      </w:r>
      <w:r>
        <w:rPr/>
        <w:t>excellent</w:t>
      </w:r>
      <w:r>
        <w:rPr>
          <w:spacing w:val="-17"/>
        </w:rPr>
        <w:t> </w:t>
      </w:r>
      <w:r>
        <w:rPr/>
        <w:t>feedback</w:t>
      </w:r>
      <w:r>
        <w:rPr>
          <w:spacing w:val="-17"/>
        </w:rPr>
        <w:t> </w:t>
      </w:r>
      <w:r>
        <w:rPr/>
        <w:t>the</w:t>
      </w:r>
      <w:r>
        <w:rPr>
          <w:spacing w:val="-17"/>
        </w:rPr>
        <w:t> </w:t>
      </w:r>
      <w:r>
        <w:rPr/>
        <w:t>hiring</w:t>
      </w:r>
      <w:r>
        <w:rPr>
          <w:spacing w:val="-17"/>
        </w:rPr>
        <w:t> </w:t>
      </w:r>
      <w:r>
        <w:rPr/>
        <w:t>managers received,</w:t>
      </w:r>
      <w:r>
        <w:rPr>
          <w:spacing w:val="-36"/>
        </w:rPr>
        <w:t> </w:t>
      </w:r>
      <w:r>
        <w:rPr/>
        <w:t>such</w:t>
      </w:r>
      <w:r>
        <w:rPr>
          <w:spacing w:val="-36"/>
        </w:rPr>
        <w:t> </w:t>
      </w:r>
      <w:r>
        <w:rPr/>
        <w:t>as:</w:t>
      </w:r>
    </w:p>
    <w:p>
      <w:pPr>
        <w:pStyle w:val="BodyText"/>
        <w:spacing w:before="10"/>
      </w:pPr>
      <w:r>
        <w:rPr/>
        <w:br w:type="column"/>
      </w:r>
      <w:r>
        <w:rPr/>
      </w:r>
    </w:p>
    <w:p>
      <w:pPr>
        <w:pStyle w:val="Heading6"/>
        <w:ind w:left="185" w:firstLine="6"/>
        <w:rPr>
          <w:b w:val="0"/>
        </w:rPr>
      </w:pPr>
      <w:r>
        <w:rPr>
          <w:b w:val="0"/>
        </w:rPr>
        <w:t>we’ve had have been stellar and the recruitment process blissful – truly! The JOC team arranges everything – they advertise, shortlist and arrange the interviews – in consultation</w:t>
      </w:r>
    </w:p>
    <w:p>
      <w:pPr>
        <w:spacing w:before="0"/>
        <w:ind w:left="187" w:right="0" w:firstLine="3"/>
        <w:jc w:val="left"/>
        <w:rPr>
          <w:rFonts w:ascii="Chronicle Text G1" w:hAnsi="Chronicle Text G1"/>
          <w:b w:val="0"/>
          <w:sz w:val="20"/>
        </w:rPr>
      </w:pPr>
      <w:r>
        <w:rPr>
          <w:rFonts w:ascii="Chronicle Text G1" w:hAnsi="Chronicle Text G1"/>
          <w:b w:val="0"/>
          <w:sz w:val="20"/>
        </w:rPr>
        <w:t>with the hiring manager of course. Congratulations to the ever- energetic team!”</w:t>
      </w:r>
    </w:p>
    <w:p>
      <w:pPr>
        <w:pStyle w:val="BodyText"/>
        <w:spacing w:line="249" w:lineRule="auto" w:before="162"/>
        <w:ind w:left="186" w:right="97"/>
      </w:pPr>
      <w:r>
        <w:rPr/>
        <w:t>The JOC regular internship program also </w:t>
      </w:r>
      <w:r>
        <w:rPr>
          <w:w w:val="97"/>
        </w:rPr>
        <w:t>had </w:t>
      </w:r>
      <w:r>
        <w:rPr>
          <w:w w:val="98"/>
        </w:rPr>
        <w:t>strong </w:t>
      </w:r>
      <w:r>
        <w:rPr>
          <w:w w:val="93"/>
        </w:rPr>
        <w:t>numbers, </w:t>
      </w:r>
      <w:r>
        <w:rPr>
          <w:w w:val="96"/>
        </w:rPr>
        <w:t>assisting </w:t>
      </w:r>
      <w:r>
        <w:rPr>
          <w:w w:val="97"/>
        </w:rPr>
        <w:t>more </w:t>
      </w:r>
      <w:r>
        <w:rPr>
          <w:w w:val="97"/>
        </w:rPr>
        <w:t>than </w:t>
      </w:r>
      <w:r>
        <w:rPr>
          <w:w w:val="86"/>
        </w:rPr>
        <w:t>150 </w:t>
      </w:r>
      <w:r>
        <w:rPr>
          <w:w w:val="97"/>
        </w:rPr>
        <w:t>students </w:t>
      </w:r>
      <w:r>
        <w:rPr>
          <w:w w:val="98"/>
        </w:rPr>
        <w:t>into </w:t>
      </w:r>
      <w:r>
        <w:rPr>
          <w:w w:val="98"/>
        </w:rPr>
        <w:t>paid </w:t>
      </w:r>
      <w:r>
        <w:rPr>
          <w:w w:val="98"/>
        </w:rPr>
        <w:t>work </w:t>
      </w:r>
      <w:r>
        <w:rPr>
          <w:w w:val="97"/>
        </w:rPr>
        <w:t>placements </w:t>
      </w:r>
      <w:r>
        <w:rPr>
          <w:w w:val="95"/>
        </w:rPr>
        <w:t>in </w:t>
      </w:r>
      <w:r>
        <w:rPr>
          <w:w w:val="84"/>
        </w:rPr>
        <w:t>2015. </w:t>
      </w:r>
      <w:r>
        <w:rPr/>
        <w:t>Industry partners provided very positive </w:t>
      </w:r>
      <w:r>
        <w:rPr>
          <w:w w:val="95"/>
        </w:rPr>
        <w:t>feedback, including:</w:t>
      </w:r>
    </w:p>
    <w:p>
      <w:pPr>
        <w:pStyle w:val="BodyText"/>
        <w:spacing w:before="6"/>
        <w:rPr>
          <w:sz w:val="14"/>
        </w:rPr>
      </w:pPr>
    </w:p>
    <w:p>
      <w:pPr>
        <w:pStyle w:val="Heading8"/>
        <w:spacing w:line="249" w:lineRule="auto"/>
        <w:ind w:left="192" w:hanging="8"/>
      </w:pPr>
      <w:r>
        <w:rPr/>
        <w:pict>
          <v:line style="position:absolute;mso-position-horizontal-relative:page;mso-position-vertical-relative:paragraph;z-index:1384" from="217.3228pt,-2.991307pt" to="377.95280pt,-2.991307pt" stroked="true" strokeweight="1.5pt" strokecolor="#000000">
            <w10:wrap type="none"/>
          </v:line>
        </w:pict>
      </w:r>
      <w:r>
        <w:rPr/>
        <w:t>AISHA POOLE – RESOURCE RECOVERY </w:t>
      </w:r>
      <w:r>
        <w:rPr>
          <w:w w:val="95"/>
        </w:rPr>
        <w:t>COORDINATOR, PENRITH CITY COUNCIL</w:t>
      </w:r>
    </w:p>
    <w:p>
      <w:pPr>
        <w:spacing w:before="87"/>
        <w:ind w:left="187" w:right="0" w:hanging="64"/>
        <w:jc w:val="left"/>
        <w:rPr>
          <w:rFonts w:ascii="Chronicle Text G1" w:hAnsi="Chronicle Text G1"/>
          <w:b w:val="0"/>
          <w:sz w:val="20"/>
        </w:rPr>
      </w:pPr>
      <w:r>
        <w:rPr>
          <w:rFonts w:ascii="Chronicle Text G1" w:hAnsi="Chronicle Text G1"/>
          <w:b w:val="0"/>
          <w:sz w:val="20"/>
        </w:rPr>
        <w:t>“We have benefited greatly from the internship program with highly energetic and enthusiastic university students coming in to work in our team. All had initiative and drive to work and used their time with us to improve their experience and skills while getting our tasks and activities done to a high standard. Penrith Council is a leader in domestic waste management, and interns have</w:t>
      </w:r>
    </w:p>
    <w:p>
      <w:pPr>
        <w:spacing w:before="0"/>
        <w:ind w:left="191" w:right="0" w:hanging="2"/>
        <w:jc w:val="left"/>
        <w:rPr>
          <w:rFonts w:ascii="Chronicle Text G1" w:hAnsi="Chronicle Text G1"/>
          <w:b w:val="0"/>
          <w:sz w:val="20"/>
        </w:rPr>
      </w:pPr>
      <w:r>
        <w:rPr>
          <w:rFonts w:ascii="Chronicle Text G1" w:hAnsi="Chronicle Text G1"/>
          <w:b w:val="0"/>
          <w:sz w:val="20"/>
        </w:rPr>
        <w:t>fitted into the team and contributed to maintaining that position of leadership.”</w:t>
      </w:r>
    </w:p>
    <w:p>
      <w:pPr>
        <w:pStyle w:val="BodyText"/>
        <w:spacing w:before="162"/>
        <w:ind w:left="186"/>
      </w:pPr>
      <w:r>
        <w:rPr/>
        <w:t>And:</w:t>
      </w:r>
    </w:p>
    <w:p>
      <w:pPr>
        <w:pStyle w:val="BodyText"/>
        <w:spacing w:before="2"/>
        <w:rPr>
          <w:sz w:val="15"/>
        </w:rPr>
      </w:pPr>
    </w:p>
    <w:p>
      <w:pPr>
        <w:pStyle w:val="Heading8"/>
        <w:spacing w:line="249" w:lineRule="auto"/>
        <w:ind w:left="199" w:hanging="7"/>
      </w:pPr>
      <w:r>
        <w:rPr/>
        <w:pict>
          <v:line style="position:absolute;mso-position-horizontal-relative:page;mso-position-vertical-relative:paragraph;z-index:1408" from="217.3228pt,-2.991394pt" to="377.95280pt,-2.991394pt" stroked="true" strokeweight="1.5pt" strokecolor="#000000">
            <w10:wrap type="none"/>
          </v:line>
        </w:pict>
      </w:r>
      <w:r>
        <w:rPr>
          <w:w w:val="95"/>
        </w:rPr>
        <w:t>GLEN BURNS – DIRECTOR, LIVERPOOL- FAIRFIELD COMMUNITY RADIO</w:t>
      </w:r>
    </w:p>
    <w:p>
      <w:pPr>
        <w:pStyle w:val="BodyText"/>
        <w:spacing w:before="11"/>
        <w:rPr>
          <w:rFonts w:ascii="Gotham Narrow Bold"/>
          <w:b/>
        </w:rPr>
      </w:pPr>
      <w:r>
        <w:rPr/>
        <w:br w:type="column"/>
      </w:r>
      <w:r>
        <w:rPr>
          <w:rFonts w:ascii="Gotham Narrow Bold"/>
          <w:b/>
        </w:rPr>
      </w:r>
    </w:p>
    <w:p>
      <w:pPr>
        <w:pStyle w:val="BodyText"/>
        <w:spacing w:line="249" w:lineRule="auto"/>
        <w:ind w:left="167" w:right="264"/>
      </w:pPr>
      <w:r>
        <w:rPr/>
        <w:t>reviewed and changes will be implemented </w:t>
      </w:r>
      <w:r>
        <w:rPr>
          <w:w w:val="95"/>
        </w:rPr>
        <w:t>in </w:t>
      </w:r>
      <w:r>
        <w:rPr>
          <w:w w:val="85"/>
        </w:rPr>
        <w:t>2016.</w:t>
      </w:r>
    </w:p>
    <w:p>
      <w:pPr>
        <w:pStyle w:val="BodyText"/>
        <w:rPr>
          <w:sz w:val="14"/>
        </w:rPr>
      </w:pPr>
    </w:p>
    <w:p>
      <w:pPr>
        <w:pStyle w:val="BodyText"/>
        <w:spacing w:line="249" w:lineRule="auto"/>
        <w:ind w:left="167" w:right="416"/>
      </w:pPr>
      <w:r>
        <w:rPr/>
        <w:t>The international internship program </w:t>
      </w:r>
      <w:r>
        <w:rPr>
          <w:w w:val="98"/>
        </w:rPr>
        <w:t>grew </w:t>
      </w:r>
      <w:r>
        <w:rPr>
          <w:w w:val="98"/>
        </w:rPr>
        <w:t>strongly </w:t>
      </w:r>
      <w:r>
        <w:rPr>
          <w:w w:val="95"/>
        </w:rPr>
        <w:t>in </w:t>
      </w:r>
      <w:r>
        <w:rPr>
          <w:w w:val="84"/>
        </w:rPr>
        <w:t>2015, </w:t>
      </w:r>
      <w:r>
        <w:rPr>
          <w:w w:val="98"/>
        </w:rPr>
        <w:t>with </w:t>
      </w:r>
      <w:r>
        <w:rPr>
          <w:w w:val="97"/>
        </w:rPr>
        <w:t>more </w:t>
      </w:r>
      <w:r>
        <w:rPr>
          <w:w w:val="97"/>
        </w:rPr>
        <w:t>than </w:t>
      </w:r>
      <w:r>
        <w:rPr>
          <w:w w:val="103"/>
        </w:rPr>
        <w:t>50 </w:t>
      </w:r>
      <w:r>
        <w:rPr/>
        <w:t>international internships offered to our students. Sixteen were completed in July</w:t>
      </w:r>
    </w:p>
    <w:p>
      <w:pPr>
        <w:pStyle w:val="BodyText"/>
        <w:spacing w:line="249" w:lineRule="auto"/>
        <w:ind w:left="167" w:right="92"/>
      </w:pPr>
      <w:r>
        <w:rPr>
          <w:w w:val="84"/>
        </w:rPr>
        <w:t>2015, </w:t>
      </w:r>
      <w:r>
        <w:rPr>
          <w:w w:val="98"/>
        </w:rPr>
        <w:t>with </w:t>
      </w:r>
      <w:r>
        <w:rPr>
          <w:w w:val="97"/>
        </w:rPr>
        <w:t>the </w:t>
      </w:r>
      <w:r>
        <w:rPr>
          <w:w w:val="96"/>
        </w:rPr>
        <w:t>remainder </w:t>
      </w:r>
      <w:r>
        <w:rPr>
          <w:w w:val="97"/>
        </w:rPr>
        <w:t>taking </w:t>
      </w:r>
      <w:r>
        <w:rPr>
          <w:w w:val="98"/>
        </w:rPr>
        <w:t>place </w:t>
      </w:r>
      <w:r>
        <w:rPr>
          <w:w w:val="97"/>
        </w:rPr>
        <w:t>during </w:t>
      </w:r>
      <w:r>
        <w:rPr>
          <w:w w:val="97"/>
        </w:rPr>
        <w:t>the </w:t>
      </w:r>
      <w:r>
        <w:rPr>
          <w:w w:val="98"/>
        </w:rPr>
        <w:t>December </w:t>
      </w:r>
      <w:r>
        <w:rPr>
          <w:w w:val="88"/>
        </w:rPr>
        <w:t>2015 </w:t>
      </w:r>
      <w:r>
        <w:rPr>
          <w:w w:val="101"/>
        </w:rPr>
        <w:t>to </w:t>
      </w:r>
      <w:r>
        <w:rPr>
          <w:w w:val="98"/>
        </w:rPr>
        <w:t>February </w:t>
      </w:r>
      <w:r>
        <w:rPr>
          <w:w w:val="90"/>
        </w:rPr>
        <w:t>2016 </w:t>
      </w:r>
      <w:r>
        <w:rPr>
          <w:w w:val="96"/>
        </w:rPr>
        <w:t>summer </w:t>
      </w:r>
      <w:r>
        <w:rPr/>
        <w:t>holiday. The Careers service was also heavily involved in recruiting for a study tour to</w:t>
      </w:r>
    </w:p>
    <w:p>
      <w:pPr>
        <w:pStyle w:val="BodyText"/>
        <w:spacing w:line="249" w:lineRule="auto"/>
        <w:ind w:left="167" w:right="92"/>
      </w:pPr>
      <w:r>
        <w:rPr/>
        <w:t>Hong Kong, for which 16 Business students were selected. Funding for these internships came from the Schools or from government funding such as the AsiaBound project and the New Colombo program. Careers received positive</w:t>
      </w:r>
      <w:r>
        <w:rPr>
          <w:spacing w:val="-14"/>
        </w:rPr>
        <w:t> </w:t>
      </w:r>
      <w:r>
        <w:rPr/>
        <w:t>responses</w:t>
      </w:r>
      <w:r>
        <w:rPr>
          <w:spacing w:val="-14"/>
        </w:rPr>
        <w:t> </w:t>
      </w:r>
      <w:r>
        <w:rPr/>
        <w:t>from</w:t>
      </w:r>
      <w:r>
        <w:rPr>
          <w:spacing w:val="-14"/>
        </w:rPr>
        <w:t> </w:t>
      </w:r>
      <w:r>
        <w:rPr/>
        <w:t>students</w:t>
      </w:r>
      <w:r>
        <w:rPr>
          <w:spacing w:val="-14"/>
        </w:rPr>
        <w:t> </w:t>
      </w:r>
      <w:r>
        <w:rPr/>
        <w:t>and</w:t>
      </w:r>
      <w:r>
        <w:rPr>
          <w:spacing w:val="-14"/>
        </w:rPr>
        <w:t> </w:t>
      </w:r>
      <w:r>
        <w:rPr/>
        <w:t>industry partners</w:t>
      </w:r>
      <w:r>
        <w:rPr>
          <w:spacing w:val="-21"/>
        </w:rPr>
        <w:t> </w:t>
      </w:r>
      <w:r>
        <w:rPr/>
        <w:t>regarding</w:t>
      </w:r>
      <w:r>
        <w:rPr>
          <w:spacing w:val="-21"/>
        </w:rPr>
        <w:t> </w:t>
      </w:r>
      <w:r>
        <w:rPr/>
        <w:t>the</w:t>
      </w:r>
      <w:r>
        <w:rPr>
          <w:spacing w:val="-21"/>
        </w:rPr>
        <w:t> </w:t>
      </w:r>
      <w:r>
        <w:rPr/>
        <w:t>international</w:t>
      </w:r>
      <w:r>
        <w:rPr>
          <w:spacing w:val="-21"/>
        </w:rPr>
        <w:t> </w:t>
      </w:r>
      <w:r>
        <w:rPr/>
        <w:t>internship program.</w:t>
      </w:r>
    </w:p>
    <w:p>
      <w:pPr>
        <w:pStyle w:val="BodyText"/>
        <w:rPr>
          <w:sz w:val="14"/>
        </w:rPr>
      </w:pPr>
    </w:p>
    <w:p>
      <w:pPr>
        <w:pStyle w:val="BodyText"/>
        <w:spacing w:line="249" w:lineRule="auto"/>
        <w:ind w:left="167" w:right="71"/>
      </w:pPr>
      <w:r>
        <w:rPr/>
        <w:t>The new HEPP-funded Women in Science and Engineering (WiSE) program provided career preparation for women studying Science, Technology, Engineering and/or Mathematics </w:t>
      </w:r>
      <w:r>
        <w:rPr>
          <w:w w:val="96"/>
        </w:rPr>
        <w:t>(STEM) </w:t>
      </w:r>
      <w:r>
        <w:rPr>
          <w:w w:val="93"/>
        </w:rPr>
        <w:t>degrees. </w:t>
      </w:r>
      <w:r>
        <w:rPr>
          <w:w w:val="80"/>
        </w:rPr>
        <w:t>In </w:t>
      </w:r>
      <w:r>
        <w:rPr>
          <w:w w:val="84"/>
        </w:rPr>
        <w:t>2015, </w:t>
      </w:r>
      <w:r>
        <w:rPr>
          <w:w w:val="99"/>
        </w:rPr>
        <w:t>it </w:t>
      </w:r>
      <w:r>
        <w:rPr>
          <w:w w:val="99"/>
        </w:rPr>
        <w:t>provided </w:t>
      </w:r>
      <w:r>
        <w:rPr/>
        <w:t>workshops, workplace visits and mentoring partnerships with industry professionals.</w:t>
      </w:r>
    </w:p>
    <w:p>
      <w:pPr>
        <w:pStyle w:val="BodyText"/>
        <w:spacing w:line="249" w:lineRule="auto"/>
        <w:ind w:left="167" w:right="321"/>
      </w:pPr>
      <w:r>
        <w:rPr/>
        <w:t>More than 50 students participated in the mentoring strand of the program, which matched</w:t>
      </w:r>
      <w:r>
        <w:rPr>
          <w:spacing w:val="-17"/>
        </w:rPr>
        <w:t> </w:t>
      </w:r>
      <w:r>
        <w:rPr/>
        <w:t>them</w:t>
      </w:r>
      <w:r>
        <w:rPr>
          <w:spacing w:val="-17"/>
        </w:rPr>
        <w:t> </w:t>
      </w:r>
      <w:r>
        <w:rPr/>
        <w:t>to</w:t>
      </w:r>
      <w:r>
        <w:rPr>
          <w:spacing w:val="-17"/>
        </w:rPr>
        <w:t> </w:t>
      </w:r>
      <w:r>
        <w:rPr/>
        <w:t>an</w:t>
      </w:r>
      <w:r>
        <w:rPr>
          <w:spacing w:val="-17"/>
        </w:rPr>
        <w:t> </w:t>
      </w:r>
      <w:r>
        <w:rPr/>
        <w:t>industry</w:t>
      </w:r>
      <w:r>
        <w:rPr>
          <w:spacing w:val="-17"/>
        </w:rPr>
        <w:t> </w:t>
      </w:r>
      <w:r>
        <w:rPr/>
        <w:t>professional. Mentoring gave students the opportunity to</w:t>
      </w:r>
      <w:r>
        <w:rPr>
          <w:spacing w:val="-18"/>
        </w:rPr>
        <w:t> </w:t>
      </w:r>
      <w:r>
        <w:rPr/>
        <w:t>visit</w:t>
      </w:r>
      <w:r>
        <w:rPr>
          <w:spacing w:val="-18"/>
        </w:rPr>
        <w:t> </w:t>
      </w:r>
      <w:r>
        <w:rPr/>
        <w:t>workplaces,</w:t>
      </w:r>
      <w:r>
        <w:rPr>
          <w:spacing w:val="-18"/>
        </w:rPr>
        <w:t> </w:t>
      </w:r>
      <w:r>
        <w:rPr/>
        <w:t>attend</w:t>
      </w:r>
      <w:r>
        <w:rPr>
          <w:spacing w:val="-18"/>
        </w:rPr>
        <w:t> </w:t>
      </w:r>
      <w:r>
        <w:rPr/>
        <w:t>industry</w:t>
      </w:r>
      <w:r>
        <w:rPr>
          <w:spacing w:val="-18"/>
        </w:rPr>
        <w:t> </w:t>
      </w:r>
      <w:r>
        <w:rPr/>
        <w:t>events,</w:t>
      </w:r>
    </w:p>
    <w:p>
      <w:pPr>
        <w:pStyle w:val="BodyText"/>
        <w:spacing w:line="249" w:lineRule="auto"/>
        <w:ind w:left="167" w:right="58"/>
      </w:pPr>
      <w:r>
        <w:rPr/>
        <w:t>establish professional networks and arrange work experience. Some students were offered jobs at their mentor’s workplace. More than </w:t>
      </w:r>
      <w:r>
        <w:rPr>
          <w:w w:val="88"/>
        </w:rPr>
        <w:t>160 </w:t>
      </w:r>
      <w:r>
        <w:rPr>
          <w:w w:val="97"/>
        </w:rPr>
        <w:t>students </w:t>
      </w:r>
      <w:r>
        <w:rPr>
          <w:w w:val="97"/>
        </w:rPr>
        <w:t>registered </w:t>
      </w:r>
      <w:r>
        <w:rPr>
          <w:w w:val="98"/>
        </w:rPr>
        <w:t>for </w:t>
      </w:r>
      <w:r>
        <w:rPr>
          <w:w w:val="97"/>
        </w:rPr>
        <w:t>the </w:t>
      </w:r>
      <w:r>
        <w:rPr>
          <w:w w:val="94"/>
        </w:rPr>
        <w:t>program.</w:t>
      </w:r>
    </w:p>
    <w:p>
      <w:pPr>
        <w:pStyle w:val="BodyText"/>
        <w:spacing w:line="249" w:lineRule="auto"/>
        <w:ind w:left="167" w:right="264"/>
      </w:pPr>
      <w:r>
        <w:rPr/>
        <w:t>By engaging in a range of activities, 80 participants qualified for a certificate.</w:t>
      </w:r>
    </w:p>
    <w:p>
      <w:pPr>
        <w:pStyle w:val="BodyText"/>
        <w:rPr>
          <w:sz w:val="14"/>
        </w:rPr>
      </w:pPr>
    </w:p>
    <w:p>
      <w:pPr>
        <w:pStyle w:val="BodyText"/>
        <w:spacing w:line="249" w:lineRule="auto"/>
        <w:ind w:left="167" w:right="264"/>
      </w:pPr>
      <w:r>
        <w:rPr/>
        <w:t>Another HEPP-funded initiative, the Work Ready (WR) program, was implemented</w:t>
      </w:r>
    </w:p>
    <w:p>
      <w:pPr>
        <w:spacing w:after="0" w:line="249" w:lineRule="auto"/>
        <w:sectPr>
          <w:type w:val="continuous"/>
          <w:pgSz w:w="11910" w:h="16840"/>
          <w:pgMar w:top="1580" w:bottom="280" w:left="740" w:right="800"/>
          <w:cols w:num="3" w:equalWidth="0">
            <w:col w:w="3380" w:space="40"/>
            <w:col w:w="3381" w:space="77"/>
            <w:col w:w="3492"/>
          </w:cols>
        </w:sectPr>
      </w:pPr>
    </w:p>
    <w:p>
      <w:pPr>
        <w:pStyle w:val="Heading6"/>
        <w:tabs>
          <w:tab w:pos="3379" w:val="left" w:leader="none"/>
        </w:tabs>
        <w:spacing w:line="145" w:lineRule="exact"/>
        <w:ind w:firstLine="0"/>
        <w:rPr>
          <w:b w:val="0"/>
        </w:rPr>
      </w:pPr>
      <w:r>
        <w:rPr>
          <w:b w:val="0"/>
          <w:u w:val="thick"/>
        </w:rPr>
        <w:t> </w:t>
        <w:tab/>
      </w:r>
      <w:r>
        <w:rPr>
          <w:b w:val="0"/>
        </w:rPr>
        <w:t>   </w:t>
      </w:r>
      <w:r>
        <w:rPr>
          <w:b w:val="0"/>
          <w:spacing w:val="17"/>
        </w:rPr>
        <w:t> </w:t>
      </w:r>
      <w:r>
        <w:rPr>
          <w:b w:val="0"/>
        </w:rPr>
        <w:t>“We have expanded our</w:t>
      </w:r>
      <w:r>
        <w:rPr>
          <w:b w:val="0"/>
          <w:spacing w:val="-4"/>
        </w:rPr>
        <w:t> </w:t>
      </w:r>
      <w:r>
        <w:rPr>
          <w:b w:val="0"/>
        </w:rPr>
        <w:t>content</w:t>
      </w:r>
    </w:p>
    <w:p>
      <w:pPr>
        <w:pStyle w:val="BodyText"/>
        <w:spacing w:line="109" w:lineRule="exact"/>
        <w:ind w:left="167"/>
      </w:pPr>
      <w:r>
        <w:rPr/>
        <w:br w:type="column"/>
      </w:r>
      <w:r>
        <w:rPr/>
        <w:t>to improve employability skills for students</w:t>
      </w:r>
    </w:p>
    <w:p>
      <w:pPr>
        <w:spacing w:after="0" w:line="109" w:lineRule="exact"/>
        <w:sectPr>
          <w:type w:val="continuous"/>
          <w:pgSz w:w="11910" w:h="16840"/>
          <w:pgMar w:top="1580" w:bottom="280" w:left="740" w:right="800"/>
          <w:cols w:num="2" w:equalWidth="0">
            <w:col w:w="6278" w:space="601"/>
            <w:col w:w="3491"/>
          </w:cols>
        </w:sectPr>
      </w:pPr>
    </w:p>
    <w:p>
      <w:pPr>
        <w:pStyle w:val="Heading8"/>
        <w:spacing w:line="249" w:lineRule="auto" w:before="38"/>
        <w:ind w:left="173" w:right="454" w:hanging="13"/>
      </w:pPr>
      <w:r>
        <w:rPr>
          <w:w w:val="95"/>
        </w:rPr>
        <w:t>JANE HOBSON, MANAGER, RESEARCH QUALITY, POLICY &amp; PLANNING</w:t>
      </w:r>
    </w:p>
    <w:p>
      <w:pPr>
        <w:spacing w:before="87"/>
        <w:ind w:left="166" w:right="0" w:hanging="62"/>
        <w:jc w:val="left"/>
        <w:rPr>
          <w:rFonts w:ascii="Chronicle Text G1" w:hAnsi="Chronicle Text G1"/>
          <w:b w:val="0"/>
          <w:sz w:val="20"/>
        </w:rPr>
      </w:pPr>
      <w:r>
        <w:rPr>
          <w:rFonts w:ascii="Chronicle Text G1" w:hAnsi="Chronicle Text G1"/>
          <w:b w:val="0"/>
          <w:sz w:val="20"/>
        </w:rPr>
        <w:t>“Great to see Jobs on Campus and internships being celebrated on the </w:t>
      </w:r>
      <w:r>
        <w:rPr>
          <w:rFonts w:ascii="Chronicle Text G1" w:hAnsi="Chronicle Text G1"/>
          <w:b w:val="0"/>
          <w:spacing w:val="3"/>
          <w:sz w:val="20"/>
        </w:rPr>
        <w:t>UWS </w:t>
      </w:r>
      <w:r>
        <w:rPr>
          <w:rFonts w:ascii="Chronicle Text G1" w:hAnsi="Chronicle Text G1"/>
          <w:b w:val="0"/>
          <w:sz w:val="20"/>
        </w:rPr>
        <w:t>homepage. Recently discovered just how fantastic they are – we’ve had two interns and they’re now on the search for a </w:t>
      </w:r>
      <w:r>
        <w:rPr>
          <w:rFonts w:ascii="Chronicle Text G1" w:hAnsi="Chronicle Text G1"/>
          <w:b w:val="0"/>
          <w:spacing w:val="2"/>
          <w:sz w:val="20"/>
        </w:rPr>
        <w:t>casual. </w:t>
      </w:r>
      <w:r>
        <w:rPr>
          <w:rFonts w:ascii="Chronicle Text G1" w:hAnsi="Chronicle Text G1"/>
          <w:b w:val="0"/>
          <w:sz w:val="20"/>
        </w:rPr>
        <w:t>Can’t believe I’ve not used this service before to  fill </w:t>
      </w:r>
      <w:r>
        <w:rPr>
          <w:rFonts w:ascii="Chronicle Text G1" w:hAnsi="Chronicle Text G1"/>
          <w:b w:val="0"/>
          <w:spacing w:val="2"/>
          <w:sz w:val="20"/>
        </w:rPr>
        <w:t>casual </w:t>
      </w:r>
      <w:r>
        <w:rPr>
          <w:rFonts w:ascii="Chronicle Text G1" w:hAnsi="Chronicle Text G1"/>
          <w:b w:val="0"/>
          <w:sz w:val="20"/>
        </w:rPr>
        <w:t>HEW roles. The</w:t>
      </w:r>
      <w:r>
        <w:rPr>
          <w:rFonts w:ascii="Chronicle Text G1" w:hAnsi="Chronicle Text G1"/>
          <w:b w:val="0"/>
          <w:spacing w:val="4"/>
          <w:sz w:val="20"/>
        </w:rPr>
        <w:t> </w:t>
      </w:r>
      <w:r>
        <w:rPr>
          <w:rFonts w:ascii="Chronicle Text G1" w:hAnsi="Chronicle Text G1"/>
          <w:b w:val="0"/>
          <w:sz w:val="20"/>
        </w:rPr>
        <w:t>interns</w:t>
      </w:r>
    </w:p>
    <w:p>
      <w:pPr>
        <w:spacing w:before="31"/>
        <w:ind w:left="110" w:right="7" w:firstLine="2"/>
        <w:jc w:val="left"/>
        <w:rPr>
          <w:rFonts w:ascii="Chronicle Text G1" w:hAnsi="Chronicle Text G1"/>
          <w:b w:val="0"/>
          <w:sz w:val="20"/>
        </w:rPr>
      </w:pPr>
      <w:r>
        <w:rPr/>
        <w:br w:type="column"/>
      </w:r>
      <w:r>
        <w:rPr>
          <w:rFonts w:ascii="Chronicle Text G1" w:hAnsi="Chronicle Text G1"/>
          <w:b w:val="0"/>
          <w:sz w:val="20"/>
        </w:rPr>
        <w:t>offering, increased our audience and social media following </w:t>
      </w:r>
      <w:r>
        <w:rPr>
          <w:rFonts w:ascii="Chronicle Text G1" w:hAnsi="Chronicle Text G1"/>
          <w:b w:val="0"/>
          <w:spacing w:val="-3"/>
          <w:sz w:val="20"/>
        </w:rPr>
        <w:t>(doubled </w:t>
      </w:r>
      <w:r>
        <w:rPr>
          <w:rFonts w:ascii="Chronicle Text G1" w:hAnsi="Chronicle Text G1"/>
          <w:b w:val="0"/>
          <w:sz w:val="20"/>
        </w:rPr>
        <w:t>in less </w:t>
      </w:r>
      <w:r>
        <w:rPr>
          <w:rFonts w:ascii="Chronicle Text G1" w:hAnsi="Chronicle Text G1"/>
          <w:b w:val="0"/>
          <w:spacing w:val="2"/>
          <w:sz w:val="20"/>
        </w:rPr>
        <w:t>than </w:t>
      </w:r>
      <w:r>
        <w:rPr>
          <w:rFonts w:ascii="Chronicle Text G1" w:hAnsi="Chronicle Text G1"/>
          <w:b w:val="0"/>
          <w:sz w:val="20"/>
        </w:rPr>
        <w:t>a year). The internship program </w:t>
      </w:r>
      <w:r>
        <w:rPr>
          <w:rFonts w:ascii="Chronicle Text G1" w:hAnsi="Chronicle Text G1"/>
          <w:b w:val="0"/>
          <w:spacing w:val="2"/>
          <w:sz w:val="20"/>
        </w:rPr>
        <w:t>has </w:t>
      </w:r>
      <w:r>
        <w:rPr>
          <w:rFonts w:ascii="Chronicle Text G1" w:hAnsi="Chronicle Text G1"/>
          <w:b w:val="0"/>
          <w:sz w:val="20"/>
        </w:rPr>
        <w:t>allowed us to access high-quality, capable resources that require little</w:t>
      </w:r>
      <w:r>
        <w:rPr>
          <w:rFonts w:ascii="Chronicle Text G1" w:hAnsi="Chronicle Text G1"/>
          <w:b w:val="0"/>
          <w:spacing w:val="13"/>
          <w:sz w:val="20"/>
        </w:rPr>
        <w:t> </w:t>
      </w:r>
      <w:r>
        <w:rPr>
          <w:rFonts w:ascii="Chronicle Text G1" w:hAnsi="Chronicle Text G1"/>
          <w:b w:val="0"/>
          <w:sz w:val="20"/>
        </w:rPr>
        <w:t>supervision.”</w:t>
      </w:r>
    </w:p>
    <w:p>
      <w:pPr>
        <w:pStyle w:val="BodyText"/>
        <w:spacing w:line="249" w:lineRule="auto" w:before="162"/>
        <w:ind w:left="104" w:right="-2"/>
      </w:pPr>
      <w:r>
        <w:rPr/>
        <w:t>Overall,</w:t>
      </w:r>
      <w:r>
        <w:rPr>
          <w:spacing w:val="-18"/>
        </w:rPr>
        <w:t> </w:t>
      </w:r>
      <w:r>
        <w:rPr/>
        <w:t>the</w:t>
      </w:r>
      <w:r>
        <w:rPr>
          <w:spacing w:val="-18"/>
        </w:rPr>
        <w:t> </w:t>
      </w:r>
      <w:r>
        <w:rPr/>
        <w:t>Careers</w:t>
      </w:r>
      <w:r>
        <w:rPr>
          <w:spacing w:val="-18"/>
        </w:rPr>
        <w:t> </w:t>
      </w:r>
      <w:r>
        <w:rPr/>
        <w:t>service</w:t>
      </w:r>
      <w:r>
        <w:rPr>
          <w:spacing w:val="-18"/>
        </w:rPr>
        <w:t> </w:t>
      </w:r>
      <w:r>
        <w:rPr/>
        <w:t>processed</w:t>
      </w:r>
      <w:r>
        <w:rPr>
          <w:spacing w:val="-18"/>
        </w:rPr>
        <w:t> </w:t>
      </w:r>
      <w:r>
        <w:rPr/>
        <w:t>nearly </w:t>
      </w:r>
      <w:r>
        <w:rPr>
          <w:spacing w:val="2"/>
          <w:w w:val="101"/>
        </w:rPr>
        <w:t>4,000</w:t>
      </w:r>
      <w:r>
        <w:rPr>
          <w:w w:val="101"/>
        </w:rPr>
        <w:t> </w:t>
      </w:r>
      <w:r>
        <w:rPr>
          <w:spacing w:val="1"/>
          <w:w w:val="98"/>
        </w:rPr>
        <w:t>student</w:t>
      </w:r>
      <w:r>
        <w:rPr>
          <w:w w:val="98"/>
        </w:rPr>
        <w:t> </w:t>
      </w:r>
      <w:r>
        <w:rPr>
          <w:spacing w:val="1"/>
          <w:w w:val="93"/>
        </w:rPr>
        <w:t>job</w:t>
      </w:r>
      <w:r>
        <w:rPr>
          <w:w w:val="93"/>
        </w:rPr>
        <w:t> </w:t>
      </w:r>
      <w:r>
        <w:rPr>
          <w:spacing w:val="1"/>
          <w:w w:val="98"/>
        </w:rPr>
        <w:t>applications</w:t>
      </w:r>
      <w:r>
        <w:rPr>
          <w:w w:val="98"/>
        </w:rPr>
        <w:t> </w:t>
      </w:r>
      <w:r>
        <w:rPr>
          <w:w w:val="95"/>
        </w:rPr>
        <w:t>in </w:t>
      </w:r>
      <w:r>
        <w:rPr>
          <w:spacing w:val="1"/>
          <w:w w:val="84"/>
        </w:rPr>
        <w:t>2015,</w:t>
      </w:r>
      <w:r>
        <w:rPr>
          <w:w w:val="84"/>
        </w:rPr>
        <w:t> </w:t>
      </w:r>
      <w:r>
        <w:rPr>
          <w:w w:val="98"/>
        </w:rPr>
        <w:t>with </w:t>
      </w:r>
      <w:r>
        <w:rPr/>
        <w:t>more than </w:t>
      </w:r>
      <w:r>
        <w:rPr>
          <w:spacing w:val="2"/>
        </w:rPr>
        <w:t>900 </w:t>
      </w:r>
      <w:r>
        <w:rPr/>
        <w:t>students being offered an interview.</w:t>
      </w:r>
      <w:r>
        <w:rPr>
          <w:spacing w:val="-22"/>
        </w:rPr>
        <w:t> </w:t>
      </w:r>
      <w:r>
        <w:rPr/>
        <w:t>The</w:t>
      </w:r>
      <w:r>
        <w:rPr>
          <w:spacing w:val="-22"/>
        </w:rPr>
        <w:t> </w:t>
      </w:r>
      <w:r>
        <w:rPr/>
        <w:t>internship</w:t>
      </w:r>
      <w:r>
        <w:rPr>
          <w:spacing w:val="-22"/>
        </w:rPr>
        <w:t> </w:t>
      </w:r>
      <w:r>
        <w:rPr/>
        <w:t>program</w:t>
      </w:r>
      <w:r>
        <w:rPr>
          <w:spacing w:val="-22"/>
        </w:rPr>
        <w:t> </w:t>
      </w:r>
      <w:r>
        <w:rPr/>
        <w:t>is</w:t>
      </w:r>
      <w:r>
        <w:rPr>
          <w:spacing w:val="-22"/>
        </w:rPr>
        <w:t> </w:t>
      </w:r>
      <w:r>
        <w:rPr/>
        <w:t>being</w:t>
      </w:r>
    </w:p>
    <w:p>
      <w:pPr>
        <w:pStyle w:val="BodyText"/>
        <w:spacing w:line="164" w:lineRule="exact"/>
        <w:ind w:left="104" w:right="112"/>
      </w:pPr>
      <w:r>
        <w:rPr/>
        <w:br w:type="column"/>
      </w:r>
      <w:r>
        <w:rPr/>
        <w:t>identified as financially disadvantaged.</w:t>
      </w:r>
    </w:p>
    <w:p>
      <w:pPr>
        <w:pStyle w:val="BodyText"/>
        <w:spacing w:line="249" w:lineRule="auto" w:before="7"/>
        <w:ind w:left="104" w:right="151"/>
      </w:pPr>
      <w:r>
        <w:rPr/>
        <w:t>The program consisted of online modules, workshops, employer visits, mentoring and </w:t>
      </w:r>
      <w:r>
        <w:rPr>
          <w:spacing w:val="1"/>
          <w:w w:val="98"/>
        </w:rPr>
        <w:t>team-building</w:t>
      </w:r>
      <w:r>
        <w:rPr>
          <w:w w:val="98"/>
        </w:rPr>
        <w:t> </w:t>
      </w:r>
      <w:r>
        <w:rPr>
          <w:spacing w:val="1"/>
          <w:w w:val="93"/>
        </w:rPr>
        <w:t>events.</w:t>
      </w:r>
      <w:r>
        <w:rPr>
          <w:w w:val="93"/>
        </w:rPr>
        <w:t> </w:t>
      </w:r>
      <w:r>
        <w:rPr>
          <w:w w:val="112"/>
        </w:rPr>
        <w:t>A </w:t>
      </w:r>
      <w:r>
        <w:rPr>
          <w:w w:val="99"/>
        </w:rPr>
        <w:t>total </w:t>
      </w:r>
      <w:r>
        <w:rPr>
          <w:w w:val="99"/>
        </w:rPr>
        <w:t>of </w:t>
      </w:r>
      <w:r>
        <w:rPr>
          <w:spacing w:val="2"/>
          <w:w w:val="87"/>
        </w:rPr>
        <w:t>180</w:t>
      </w:r>
      <w:r>
        <w:rPr>
          <w:w w:val="87"/>
        </w:rPr>
        <w:t> </w:t>
      </w:r>
      <w:r>
        <w:rPr>
          <w:spacing w:val="1"/>
          <w:w w:val="97"/>
        </w:rPr>
        <w:t>students</w:t>
      </w:r>
      <w:r>
        <w:rPr>
          <w:w w:val="97"/>
        </w:rPr>
        <w:t> </w:t>
      </w:r>
      <w:r>
        <w:rPr/>
        <w:t>registered,</w:t>
      </w:r>
      <w:r>
        <w:rPr>
          <w:spacing w:val="-16"/>
        </w:rPr>
        <w:t> </w:t>
      </w:r>
      <w:r>
        <w:rPr/>
        <w:t>with</w:t>
      </w:r>
      <w:r>
        <w:rPr>
          <w:spacing w:val="-16"/>
        </w:rPr>
        <w:t> </w:t>
      </w:r>
      <w:r>
        <w:rPr/>
        <w:t>more</w:t>
      </w:r>
      <w:r>
        <w:rPr>
          <w:spacing w:val="-16"/>
        </w:rPr>
        <w:t> </w:t>
      </w:r>
      <w:r>
        <w:rPr/>
        <w:t>than</w:t>
      </w:r>
      <w:r>
        <w:rPr>
          <w:spacing w:val="-16"/>
        </w:rPr>
        <w:t> </w:t>
      </w:r>
      <w:r>
        <w:rPr/>
        <w:t>70</w:t>
      </w:r>
      <w:r>
        <w:rPr>
          <w:spacing w:val="-16"/>
        </w:rPr>
        <w:t> </w:t>
      </w:r>
      <w:r>
        <w:rPr/>
        <w:t>qualifying</w:t>
      </w:r>
      <w:r>
        <w:rPr>
          <w:spacing w:val="-16"/>
        </w:rPr>
        <w:t> </w:t>
      </w:r>
      <w:r>
        <w:rPr/>
        <w:t>for</w:t>
      </w:r>
      <w:r>
        <w:rPr>
          <w:spacing w:val="-16"/>
        </w:rPr>
        <w:t> </w:t>
      </w:r>
      <w:r>
        <w:rPr/>
        <w:t>a certificate</w:t>
      </w:r>
      <w:r>
        <w:rPr>
          <w:spacing w:val="-17"/>
        </w:rPr>
        <w:t> </w:t>
      </w:r>
      <w:r>
        <w:rPr/>
        <w:t>that</w:t>
      </w:r>
      <w:r>
        <w:rPr>
          <w:spacing w:val="-17"/>
        </w:rPr>
        <w:t> </w:t>
      </w:r>
      <w:r>
        <w:rPr/>
        <w:t>recognised</w:t>
      </w:r>
      <w:r>
        <w:rPr>
          <w:spacing w:val="-17"/>
        </w:rPr>
        <w:t> </w:t>
      </w:r>
      <w:r>
        <w:rPr/>
        <w:t>their</w:t>
      </w:r>
      <w:r>
        <w:rPr>
          <w:spacing w:val="-17"/>
        </w:rPr>
        <w:t> </w:t>
      </w:r>
      <w:r>
        <w:rPr/>
        <w:t>achievements in the program. Another 51 students completed at least two </w:t>
      </w:r>
      <w:r>
        <w:rPr>
          <w:spacing w:val="2"/>
        </w:rPr>
        <w:t>phases. </w:t>
      </w:r>
      <w:r>
        <w:rPr/>
        <w:t>More than </w:t>
      </w:r>
      <w:r>
        <w:rPr>
          <w:spacing w:val="3"/>
        </w:rPr>
        <w:t>1,513</w:t>
      </w:r>
      <w:r>
        <w:rPr>
          <w:spacing w:val="-31"/>
        </w:rPr>
        <w:t> </w:t>
      </w:r>
      <w:r>
        <w:rPr/>
        <w:t>students</w:t>
      </w:r>
      <w:r>
        <w:rPr>
          <w:spacing w:val="-31"/>
        </w:rPr>
        <w:t> </w:t>
      </w:r>
      <w:r>
        <w:rPr/>
        <w:t>have</w:t>
      </w:r>
      <w:r>
        <w:rPr>
          <w:spacing w:val="-31"/>
        </w:rPr>
        <w:t> </w:t>
      </w:r>
      <w:r>
        <w:rPr/>
        <w:t>used</w:t>
      </w:r>
      <w:r>
        <w:rPr>
          <w:spacing w:val="-31"/>
        </w:rPr>
        <w:t> </w:t>
      </w:r>
      <w:r>
        <w:rPr/>
        <w:t>the</w:t>
      </w:r>
      <w:r>
        <w:rPr>
          <w:spacing w:val="-31"/>
        </w:rPr>
        <w:t> </w:t>
      </w:r>
      <w:r>
        <w:rPr/>
        <w:t>program,</w:t>
      </w:r>
      <w:r>
        <w:rPr>
          <w:spacing w:val="-31"/>
        </w:rPr>
        <w:t> </w:t>
      </w:r>
      <w:r>
        <w:rPr/>
        <w:t>and</w:t>
      </w:r>
      <w:r>
        <w:rPr>
          <w:spacing w:val="-31"/>
        </w:rPr>
        <w:t> </w:t>
      </w:r>
      <w:r>
        <w:rPr/>
        <w:t>14 found</w:t>
      </w:r>
      <w:r>
        <w:rPr>
          <w:spacing w:val="-20"/>
        </w:rPr>
        <w:t> </w:t>
      </w:r>
      <w:r>
        <w:rPr/>
        <w:t>degree-related</w:t>
      </w:r>
      <w:r>
        <w:rPr>
          <w:spacing w:val="-20"/>
        </w:rPr>
        <w:t> </w:t>
      </w:r>
      <w:r>
        <w:rPr/>
        <w:t>employment</w:t>
      </w:r>
      <w:r>
        <w:rPr>
          <w:spacing w:val="-20"/>
        </w:rPr>
        <w:t> </w:t>
      </w:r>
      <w:r>
        <w:rPr/>
        <w:t>as</w:t>
      </w:r>
      <w:r>
        <w:rPr>
          <w:spacing w:val="-20"/>
        </w:rPr>
        <w:t> </w:t>
      </w:r>
      <w:r>
        <w:rPr/>
        <w:t>a</w:t>
      </w:r>
      <w:r>
        <w:rPr>
          <w:spacing w:val="-20"/>
        </w:rPr>
        <w:t> </w:t>
      </w:r>
      <w:r>
        <w:rPr/>
        <w:t>result.</w:t>
      </w:r>
    </w:p>
    <w:p>
      <w:pPr>
        <w:pStyle w:val="BodyText"/>
        <w:rPr>
          <w:sz w:val="14"/>
        </w:rPr>
      </w:pPr>
    </w:p>
    <w:p>
      <w:pPr>
        <w:pStyle w:val="BodyText"/>
        <w:spacing w:line="249" w:lineRule="auto"/>
        <w:ind w:left="104" w:right="89"/>
      </w:pPr>
      <w:r>
        <w:rPr/>
        <w:t>The SSAF-funded </w:t>
      </w:r>
      <w:r>
        <w:rPr>
          <w:spacing w:val="2"/>
        </w:rPr>
        <w:t>e-Careers </w:t>
      </w:r>
      <w:r>
        <w:rPr/>
        <w:t>program continued</w:t>
      </w:r>
      <w:r>
        <w:rPr>
          <w:spacing w:val="-17"/>
        </w:rPr>
        <w:t> </w:t>
      </w:r>
      <w:r>
        <w:rPr/>
        <w:t>to</w:t>
      </w:r>
      <w:r>
        <w:rPr>
          <w:spacing w:val="-17"/>
        </w:rPr>
        <w:t> </w:t>
      </w:r>
      <w:r>
        <w:rPr/>
        <w:t>grow</w:t>
      </w:r>
      <w:r>
        <w:rPr>
          <w:spacing w:val="-17"/>
        </w:rPr>
        <w:t> </w:t>
      </w:r>
      <w:r>
        <w:rPr/>
        <w:t>and</w:t>
      </w:r>
      <w:r>
        <w:rPr>
          <w:spacing w:val="-17"/>
        </w:rPr>
        <w:t> </w:t>
      </w:r>
      <w:r>
        <w:rPr/>
        <w:t>strengthen</w:t>
      </w:r>
      <w:r>
        <w:rPr>
          <w:spacing w:val="-17"/>
        </w:rPr>
        <w:t> </w:t>
      </w:r>
      <w:r>
        <w:rPr/>
        <w:t>the</w:t>
      </w:r>
      <w:r>
        <w:rPr>
          <w:spacing w:val="-17"/>
        </w:rPr>
        <w:t> </w:t>
      </w:r>
      <w:r>
        <w:rPr/>
        <w:t>reach</w:t>
      </w:r>
      <w:r>
        <w:rPr>
          <w:spacing w:val="-17"/>
        </w:rPr>
        <w:t> </w:t>
      </w:r>
      <w:r>
        <w:rPr/>
        <w:t>of</w:t>
      </w:r>
    </w:p>
    <w:p>
      <w:pPr>
        <w:spacing w:after="0" w:line="249" w:lineRule="auto"/>
        <w:sectPr>
          <w:type w:val="continuous"/>
          <w:pgSz w:w="11910" w:h="16840"/>
          <w:pgMar w:top="1580" w:bottom="280" w:left="740" w:right="800"/>
          <w:cols w:num="3" w:equalWidth="0">
            <w:col w:w="3361" w:space="141"/>
            <w:col w:w="3210" w:space="230"/>
            <w:col w:w="342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2"/>
      </w:pPr>
      <w:r>
        <w:rPr/>
        <w:t>the</w:t>
      </w:r>
      <w:r>
        <w:rPr>
          <w:spacing w:val="-15"/>
        </w:rPr>
        <w:t> </w:t>
      </w:r>
      <w:r>
        <w:rPr/>
        <w:t>Careers</w:t>
      </w:r>
      <w:r>
        <w:rPr>
          <w:spacing w:val="-15"/>
        </w:rPr>
        <w:t> </w:t>
      </w:r>
      <w:r>
        <w:rPr/>
        <w:t>service</w:t>
      </w:r>
      <w:r>
        <w:rPr>
          <w:spacing w:val="-15"/>
        </w:rPr>
        <w:t> </w:t>
      </w:r>
      <w:r>
        <w:rPr/>
        <w:t>to</w:t>
      </w:r>
      <w:r>
        <w:rPr>
          <w:spacing w:val="-15"/>
        </w:rPr>
        <w:t> </w:t>
      </w:r>
      <w:r>
        <w:rPr/>
        <w:t>students</w:t>
      </w:r>
      <w:r>
        <w:rPr>
          <w:spacing w:val="-15"/>
        </w:rPr>
        <w:t> </w:t>
      </w:r>
      <w:r>
        <w:rPr/>
        <w:t>via</w:t>
      </w:r>
      <w:r>
        <w:rPr>
          <w:spacing w:val="-15"/>
        </w:rPr>
        <w:t> </w:t>
      </w:r>
      <w:r>
        <w:rPr/>
        <w:t>online</w:t>
      </w:r>
      <w:r>
        <w:rPr>
          <w:spacing w:val="-15"/>
        </w:rPr>
        <w:t> </w:t>
      </w:r>
      <w:r>
        <w:rPr/>
        <w:t>and </w:t>
      </w:r>
      <w:r>
        <w:rPr>
          <w:spacing w:val="1"/>
          <w:w w:val="98"/>
        </w:rPr>
        <w:t>mobile</w:t>
      </w:r>
      <w:r>
        <w:rPr>
          <w:w w:val="98"/>
        </w:rPr>
        <w:t> </w:t>
      </w:r>
      <w:r>
        <w:rPr>
          <w:w w:val="96"/>
        </w:rPr>
        <w:t>technology. </w:t>
      </w:r>
      <w:r>
        <w:rPr>
          <w:spacing w:val="1"/>
          <w:w w:val="80"/>
        </w:rPr>
        <w:t>In</w:t>
      </w:r>
      <w:r>
        <w:rPr>
          <w:w w:val="80"/>
        </w:rPr>
        <w:t> </w:t>
      </w:r>
      <w:r>
        <w:rPr>
          <w:spacing w:val="1"/>
          <w:w w:val="84"/>
        </w:rPr>
        <w:t>2015,</w:t>
      </w:r>
      <w:r>
        <w:rPr>
          <w:w w:val="84"/>
        </w:rPr>
        <w:t> </w:t>
      </w:r>
      <w:r>
        <w:rPr>
          <w:w w:val="97"/>
        </w:rPr>
        <w:t>there </w:t>
      </w:r>
      <w:r>
        <w:rPr>
          <w:w w:val="97"/>
        </w:rPr>
        <w:t>were </w:t>
      </w:r>
      <w:r>
        <w:rPr>
          <w:w w:val="97"/>
        </w:rPr>
        <w:t>more </w:t>
      </w:r>
      <w:r>
        <w:rPr/>
        <w:t>than </w:t>
      </w:r>
      <w:r>
        <w:rPr>
          <w:spacing w:val="2"/>
        </w:rPr>
        <w:t>380 </w:t>
      </w:r>
      <w:r>
        <w:rPr/>
        <w:t>active users on the Careers Toolkit site, over 240 students who do not speak English as their first language used the Star Pronunciation program, and more than </w:t>
      </w:r>
      <w:r>
        <w:rPr>
          <w:spacing w:val="2"/>
        </w:rPr>
        <w:t>300 </w:t>
      </w:r>
      <w:r>
        <w:rPr/>
        <w:t>students were invited to undertake an online careers assessment with the Harrison Career </w:t>
      </w:r>
      <w:r>
        <w:rPr>
          <w:spacing w:val="-1"/>
          <w:w w:val="95"/>
        </w:rPr>
        <w:t>Navigator.</w:t>
      </w:r>
      <w:r>
        <w:rPr>
          <w:w w:val="95"/>
        </w:rPr>
        <w:t> </w:t>
      </w:r>
      <w:r>
        <w:rPr>
          <w:spacing w:val="1"/>
          <w:w w:val="102"/>
        </w:rPr>
        <w:t>About</w:t>
      </w:r>
      <w:r>
        <w:rPr>
          <w:w w:val="102"/>
        </w:rPr>
        <w:t> </w:t>
      </w:r>
      <w:r>
        <w:rPr>
          <w:spacing w:val="2"/>
          <w:w w:val="92"/>
        </w:rPr>
        <w:t>100</w:t>
      </w:r>
      <w:r>
        <w:rPr>
          <w:w w:val="92"/>
        </w:rPr>
        <w:t> </w:t>
      </w:r>
      <w:r>
        <w:rPr>
          <w:w w:val="97"/>
        </w:rPr>
        <w:t>new </w:t>
      </w:r>
      <w:r>
        <w:rPr>
          <w:spacing w:val="1"/>
          <w:w w:val="97"/>
        </w:rPr>
        <w:t>students</w:t>
      </w:r>
      <w:r>
        <w:rPr>
          <w:w w:val="97"/>
        </w:rPr>
        <w:t> </w:t>
      </w:r>
      <w:r>
        <w:rPr>
          <w:w w:val="97"/>
        </w:rPr>
        <w:t>registered </w:t>
      </w:r>
      <w:r>
        <w:rPr/>
        <w:t>with the InterviewStream online mock interview</w:t>
      </w:r>
      <w:r>
        <w:rPr>
          <w:spacing w:val="-16"/>
        </w:rPr>
        <w:t> </w:t>
      </w:r>
      <w:r>
        <w:rPr/>
        <w:t>product.</w:t>
      </w:r>
      <w:r>
        <w:rPr>
          <w:spacing w:val="-16"/>
        </w:rPr>
        <w:t> </w:t>
      </w:r>
      <w:r>
        <w:rPr/>
        <w:t>Continued</w:t>
      </w:r>
      <w:r>
        <w:rPr>
          <w:spacing w:val="-16"/>
        </w:rPr>
        <w:t> </w:t>
      </w:r>
      <w:r>
        <w:rPr/>
        <w:t>improvement</w:t>
      </w:r>
    </w:p>
    <w:p>
      <w:pPr>
        <w:pStyle w:val="BodyText"/>
        <w:spacing w:line="249" w:lineRule="auto"/>
        <w:ind w:left="107" w:right="-11"/>
      </w:pPr>
      <w:r>
        <w:rPr/>
        <w:t>to the Careers webpage facilitated nearly </w:t>
      </w:r>
      <w:r>
        <w:rPr>
          <w:spacing w:val="2"/>
          <w:w w:val="95"/>
        </w:rPr>
        <w:t>160,000</w:t>
      </w:r>
      <w:r>
        <w:rPr>
          <w:w w:val="95"/>
        </w:rPr>
        <w:t> </w:t>
      </w:r>
      <w:r>
        <w:rPr>
          <w:w w:val="97"/>
        </w:rPr>
        <w:t>views </w:t>
      </w:r>
      <w:r>
        <w:rPr>
          <w:spacing w:val="-1"/>
          <w:w w:val="101"/>
        </w:rPr>
        <w:t>to</w:t>
      </w:r>
      <w:r>
        <w:rPr>
          <w:w w:val="101"/>
        </w:rPr>
        <w:t> </w:t>
      </w:r>
      <w:r>
        <w:rPr>
          <w:w w:val="97"/>
        </w:rPr>
        <w:t>the </w:t>
      </w:r>
      <w:r>
        <w:rPr>
          <w:spacing w:val="1"/>
          <w:w w:val="97"/>
        </w:rPr>
        <w:t>home</w:t>
      </w:r>
      <w:r>
        <w:rPr>
          <w:w w:val="97"/>
        </w:rPr>
        <w:t> </w:t>
      </w:r>
      <w:r>
        <w:rPr>
          <w:spacing w:val="1"/>
          <w:w w:val="98"/>
        </w:rPr>
        <w:t>page</w:t>
      </w:r>
      <w:r>
        <w:rPr>
          <w:w w:val="98"/>
        </w:rPr>
        <w:t> </w:t>
      </w:r>
      <w:r>
        <w:rPr>
          <w:spacing w:val="1"/>
          <w:w w:val="91"/>
        </w:rPr>
        <w:t>alone.</w:t>
      </w:r>
      <w:r>
        <w:rPr>
          <w:w w:val="91"/>
        </w:rPr>
        <w:t> </w:t>
      </w:r>
      <w:r>
        <w:rPr>
          <w:spacing w:val="1"/>
          <w:w w:val="94"/>
        </w:rPr>
        <w:t>This</w:t>
      </w:r>
      <w:r>
        <w:rPr>
          <w:w w:val="94"/>
        </w:rPr>
        <w:t> </w:t>
      </w:r>
      <w:r>
        <w:rPr/>
        <w:t>represents an increase of more than 30 per </w:t>
      </w:r>
      <w:r>
        <w:rPr>
          <w:w w:val="99"/>
        </w:rPr>
        <w:t>cent </w:t>
      </w:r>
      <w:r>
        <w:rPr>
          <w:spacing w:val="1"/>
          <w:w w:val="98"/>
        </w:rPr>
        <w:t>on</w:t>
      </w:r>
      <w:r>
        <w:rPr>
          <w:w w:val="98"/>
        </w:rPr>
        <w:t> </w:t>
      </w:r>
      <w:r>
        <w:rPr>
          <w:spacing w:val="1"/>
          <w:w w:val="86"/>
        </w:rPr>
        <w:t>2014.</w:t>
      </w:r>
      <w:r>
        <w:rPr>
          <w:w w:val="86"/>
        </w:rPr>
        <w:t> </w:t>
      </w:r>
      <w:r>
        <w:rPr>
          <w:spacing w:val="1"/>
          <w:w w:val="80"/>
        </w:rPr>
        <w:t>In</w:t>
      </w:r>
      <w:r>
        <w:rPr>
          <w:w w:val="80"/>
        </w:rPr>
        <w:t> </w:t>
      </w:r>
      <w:r>
        <w:rPr>
          <w:spacing w:val="1"/>
          <w:w w:val="84"/>
        </w:rPr>
        <w:t>2015,</w:t>
      </w:r>
      <w:r>
        <w:rPr>
          <w:w w:val="84"/>
        </w:rPr>
        <w:t> </w:t>
      </w:r>
      <w:r>
        <w:rPr>
          <w:spacing w:val="2"/>
          <w:w w:val="96"/>
        </w:rPr>
        <w:t>e-Careers</w:t>
      </w:r>
      <w:r>
        <w:rPr>
          <w:w w:val="96"/>
        </w:rPr>
        <w:t> </w:t>
      </w:r>
      <w:r>
        <w:rPr>
          <w:w w:val="99"/>
        </w:rPr>
        <w:t>employed </w:t>
      </w:r>
      <w:r>
        <w:rPr>
          <w:w w:val="94"/>
        </w:rPr>
        <w:t>a </w:t>
      </w:r>
      <w:r>
        <w:rPr/>
        <w:t>specialist online media developer to produce quality video promotional and educational resources, which have been used to complement</w:t>
      </w:r>
      <w:r>
        <w:rPr>
          <w:spacing w:val="-16"/>
        </w:rPr>
        <w:t> </w:t>
      </w:r>
      <w:r>
        <w:rPr/>
        <w:t>other</w:t>
      </w:r>
      <w:r>
        <w:rPr>
          <w:spacing w:val="-16"/>
        </w:rPr>
        <w:t> </w:t>
      </w:r>
      <w:r>
        <w:rPr/>
        <w:t>programs</w:t>
      </w:r>
      <w:r>
        <w:rPr>
          <w:spacing w:val="-16"/>
        </w:rPr>
        <w:t> </w:t>
      </w:r>
      <w:r>
        <w:rPr/>
        <w:t>and</w:t>
      </w:r>
      <w:r>
        <w:rPr>
          <w:spacing w:val="-16"/>
        </w:rPr>
        <w:t> </w:t>
      </w:r>
      <w:r>
        <w:rPr/>
        <w:t>increase</w:t>
      </w:r>
      <w:r>
        <w:rPr>
          <w:spacing w:val="-16"/>
        </w:rPr>
        <w:t> </w:t>
      </w:r>
      <w:r>
        <w:rPr/>
        <w:t>the reach</w:t>
      </w:r>
      <w:r>
        <w:rPr>
          <w:spacing w:val="-22"/>
        </w:rPr>
        <w:t> </w:t>
      </w:r>
      <w:r>
        <w:rPr/>
        <w:t>to</w:t>
      </w:r>
      <w:r>
        <w:rPr>
          <w:spacing w:val="-22"/>
        </w:rPr>
        <w:t> </w:t>
      </w:r>
      <w:r>
        <w:rPr/>
        <w:t>students.</w:t>
      </w:r>
    </w:p>
    <w:p>
      <w:pPr>
        <w:pStyle w:val="BodyText"/>
        <w:rPr>
          <w:sz w:val="14"/>
        </w:rPr>
      </w:pPr>
    </w:p>
    <w:p>
      <w:pPr>
        <w:pStyle w:val="BodyText"/>
        <w:spacing w:line="249" w:lineRule="auto"/>
        <w:ind w:left="107" w:right="110"/>
      </w:pPr>
      <w:r>
        <w:rPr/>
        <w:t>The Careers service continued to offer a high-quality program of expert face-to-face education and tailored support to students through the Events and Careers Education</w:t>
      </w:r>
    </w:p>
    <w:p>
      <w:pPr>
        <w:pStyle w:val="BodyText"/>
        <w:spacing w:line="249" w:lineRule="auto"/>
        <w:ind w:left="107"/>
      </w:pPr>
      <w:r>
        <w:rPr>
          <w:w w:val="97"/>
        </w:rPr>
        <w:t>Consultant </w:t>
      </w:r>
      <w:r>
        <w:rPr>
          <w:w w:val="92"/>
        </w:rPr>
        <w:t>teams. </w:t>
      </w:r>
      <w:r>
        <w:rPr>
          <w:w w:val="80"/>
        </w:rPr>
        <w:t>In </w:t>
      </w:r>
      <w:r>
        <w:rPr>
          <w:w w:val="84"/>
        </w:rPr>
        <w:t>2015, </w:t>
      </w:r>
      <w:r>
        <w:rPr>
          <w:w w:val="97"/>
        </w:rPr>
        <w:t>the </w:t>
      </w:r>
      <w:r>
        <w:rPr>
          <w:w w:val="96"/>
        </w:rPr>
        <w:t>Careers </w:t>
      </w:r>
      <w:r>
        <w:rPr>
          <w:w w:val="98"/>
        </w:rPr>
        <w:t>Events </w:t>
      </w:r>
      <w:r>
        <w:rPr/>
        <w:t>team delivered 18 events, connecting 1,856 students to 156 organisations and more than 400 industry representatives for employment or volunteering opportunities. There were</w:t>
      </w:r>
    </w:p>
    <w:p>
      <w:pPr>
        <w:pStyle w:val="BodyText"/>
        <w:spacing w:line="249" w:lineRule="auto"/>
        <w:ind w:left="107" w:right="-11"/>
      </w:pPr>
      <w:r>
        <w:rPr>
          <w:w w:val="95"/>
        </w:rPr>
        <w:t>11 </w:t>
      </w:r>
      <w:r>
        <w:rPr/>
        <w:t>niche Graduate Career Series events and five major careers events for students in education, law, property and construction management, psychology and social work. General careers information was provided to over</w:t>
      </w:r>
      <w:r>
        <w:rPr>
          <w:spacing w:val="-15"/>
        </w:rPr>
        <w:t> </w:t>
      </w:r>
      <w:r>
        <w:rPr>
          <w:spacing w:val="3"/>
        </w:rPr>
        <w:t>8,600</w:t>
      </w:r>
      <w:r>
        <w:rPr>
          <w:spacing w:val="-15"/>
        </w:rPr>
        <w:t> </w:t>
      </w:r>
      <w:r>
        <w:rPr/>
        <w:t>students</w:t>
      </w:r>
      <w:r>
        <w:rPr>
          <w:spacing w:val="-15"/>
        </w:rPr>
        <w:t> </w:t>
      </w:r>
      <w:r>
        <w:rPr/>
        <w:t>at</w:t>
      </w:r>
      <w:r>
        <w:rPr>
          <w:spacing w:val="-15"/>
        </w:rPr>
        <w:t> </w:t>
      </w:r>
      <w:r>
        <w:rPr/>
        <w:t>University-wide</w:t>
      </w:r>
      <w:r>
        <w:rPr>
          <w:spacing w:val="-15"/>
        </w:rPr>
        <w:t> </w:t>
      </w:r>
      <w:r>
        <w:rPr/>
        <w:t>events such as Open Day, O-week and Student Services fairs. More than </w:t>
      </w:r>
      <w:r>
        <w:rPr>
          <w:spacing w:val="2"/>
        </w:rPr>
        <w:t>900 </w:t>
      </w:r>
      <w:r>
        <w:rPr/>
        <w:t>individual consultations were delivered, in addition to correspondence with over </w:t>
      </w:r>
      <w:r>
        <w:rPr>
          <w:spacing w:val="2"/>
        </w:rPr>
        <w:t>600 </w:t>
      </w:r>
      <w:r>
        <w:rPr/>
        <w:t>students via online questions and email. Workshops and guest lectures were delivered to more than </w:t>
      </w:r>
      <w:r>
        <w:rPr>
          <w:spacing w:val="2"/>
        </w:rPr>
        <w:t>2,000</w:t>
      </w:r>
      <w:r>
        <w:rPr>
          <w:spacing w:val="-15"/>
        </w:rPr>
        <w:t> </w:t>
      </w:r>
      <w:r>
        <w:rPr/>
        <w:t>students.</w:t>
      </w:r>
    </w:p>
    <w:p>
      <w:pPr>
        <w:pStyle w:val="BodyText"/>
        <w:rPr>
          <w:sz w:val="14"/>
        </w:rPr>
      </w:pPr>
    </w:p>
    <w:p>
      <w:pPr>
        <w:pStyle w:val="BodyText"/>
        <w:spacing w:line="249" w:lineRule="auto"/>
        <w:ind w:left="107" w:right="95"/>
      </w:pPr>
      <w:r>
        <w:rPr/>
        <w:t>The Careers service continued to contribute strongly to the University’s strategic goal</w:t>
      </w:r>
    </w:p>
    <w:p>
      <w:pPr>
        <w:pStyle w:val="BodyText"/>
        <w:spacing w:line="249" w:lineRule="auto"/>
        <w:ind w:left="107" w:right="136"/>
      </w:pPr>
      <w:r>
        <w:rPr/>
        <w:t>of being a distinctively student-centred university through innovation, international reach, championing the local region and helping to secure success for students and graduates.</w:t>
      </w:r>
    </w:p>
    <w:p>
      <w:pPr>
        <w:pStyle w:val="BodyText"/>
        <w:spacing w:before="6"/>
        <w:rPr>
          <w:sz w:val="21"/>
        </w:rPr>
      </w:pPr>
      <w:r>
        <w:rPr/>
        <w:br w:type="column"/>
      </w:r>
      <w:r>
        <w:rPr>
          <w:sz w:val="21"/>
        </w:rPr>
      </w:r>
    </w:p>
    <w:p>
      <w:pPr>
        <w:pStyle w:val="Heading5"/>
        <w:spacing w:line="260" w:lineRule="exact"/>
        <w:ind w:left="115" w:hanging="9"/>
      </w:pPr>
      <w:r>
        <w:rPr>
          <w:w w:val="95"/>
        </w:rPr>
        <w:t>ACADEMIC REGISTRAR’S </w:t>
      </w:r>
      <w:r>
        <w:rPr/>
        <w:t>OFFICE</w:t>
      </w:r>
    </w:p>
    <w:p>
      <w:pPr>
        <w:pStyle w:val="BodyText"/>
        <w:spacing w:line="249" w:lineRule="auto" w:before="214"/>
        <w:ind w:left="112"/>
      </w:pPr>
      <w:r>
        <w:rPr/>
        <w:t>The</w:t>
      </w:r>
      <w:r>
        <w:rPr>
          <w:spacing w:val="-15"/>
        </w:rPr>
        <w:t> </w:t>
      </w:r>
      <w:r>
        <w:rPr/>
        <w:t>business</w:t>
      </w:r>
      <w:r>
        <w:rPr>
          <w:spacing w:val="-15"/>
        </w:rPr>
        <w:t> </w:t>
      </w:r>
      <w:r>
        <w:rPr/>
        <w:t>units</w:t>
      </w:r>
      <w:r>
        <w:rPr>
          <w:spacing w:val="-15"/>
        </w:rPr>
        <w:t> </w:t>
      </w:r>
      <w:r>
        <w:rPr/>
        <w:t>of</w:t>
      </w:r>
      <w:r>
        <w:rPr>
          <w:spacing w:val="-15"/>
        </w:rPr>
        <w:t> </w:t>
      </w:r>
      <w:r>
        <w:rPr/>
        <w:t>the</w:t>
      </w:r>
      <w:r>
        <w:rPr>
          <w:spacing w:val="-15"/>
        </w:rPr>
        <w:t> </w:t>
      </w:r>
      <w:r>
        <w:rPr/>
        <w:t>Academic</w:t>
      </w:r>
      <w:r>
        <w:rPr>
          <w:spacing w:val="-15"/>
        </w:rPr>
        <w:t> </w:t>
      </w:r>
      <w:r>
        <w:rPr/>
        <w:t>Registrar’s Office (ARO) continued to provide excellent student administration support and services by expanding and integrating services for students,</w:t>
      </w:r>
      <w:r>
        <w:rPr>
          <w:spacing w:val="-25"/>
        </w:rPr>
        <w:t> </w:t>
      </w:r>
      <w:r>
        <w:rPr/>
        <w:t>including</w:t>
      </w:r>
      <w:r>
        <w:rPr>
          <w:spacing w:val="-25"/>
        </w:rPr>
        <w:t> </w:t>
      </w:r>
      <w:r>
        <w:rPr/>
        <w:t>international</w:t>
      </w:r>
      <w:r>
        <w:rPr>
          <w:spacing w:val="-25"/>
        </w:rPr>
        <w:t> </w:t>
      </w:r>
      <w:r>
        <w:rPr/>
        <w:t>students.</w:t>
      </w:r>
    </w:p>
    <w:p>
      <w:pPr>
        <w:pStyle w:val="BodyText"/>
        <w:rPr>
          <w:sz w:val="14"/>
        </w:rPr>
      </w:pPr>
    </w:p>
    <w:p>
      <w:pPr>
        <w:pStyle w:val="BodyText"/>
        <w:spacing w:line="249" w:lineRule="auto"/>
        <w:ind w:left="112" w:right="8"/>
      </w:pPr>
      <w:r>
        <w:rPr>
          <w:w w:val="80"/>
        </w:rPr>
        <w:t>In </w:t>
      </w:r>
      <w:r>
        <w:rPr>
          <w:w w:val="84"/>
        </w:rPr>
        <w:t>2015, </w:t>
      </w:r>
      <w:r>
        <w:rPr>
          <w:w w:val="97"/>
        </w:rPr>
        <w:t>the </w:t>
      </w:r>
      <w:r>
        <w:rPr>
          <w:w w:val="97"/>
        </w:rPr>
        <w:t>University </w:t>
      </w:r>
      <w:r>
        <w:rPr>
          <w:w w:val="97"/>
        </w:rPr>
        <w:t>had </w:t>
      </w:r>
      <w:r>
        <w:rPr>
          <w:w w:val="97"/>
        </w:rPr>
        <w:t>significant </w:t>
      </w:r>
      <w:r>
        <w:rPr>
          <w:w w:val="99"/>
        </w:rPr>
        <w:t>activity </w:t>
      </w:r>
      <w:r>
        <w:rPr/>
        <w:t>in course development, with 63 new courses, 326 variations and three retirements. In addition, there were 248 new units and</w:t>
      </w:r>
    </w:p>
    <w:p>
      <w:pPr>
        <w:pStyle w:val="BodyText"/>
        <w:spacing w:line="249" w:lineRule="auto"/>
        <w:ind w:left="112" w:right="128"/>
      </w:pPr>
      <w:r>
        <w:rPr/>
        <w:t>492 variations to units. The course data management area continued to focus on maintaining the online handbook to ensure timely and accurate information is available for applicants and students.</w:t>
      </w:r>
    </w:p>
    <w:p>
      <w:pPr>
        <w:pStyle w:val="BodyText"/>
        <w:rPr>
          <w:sz w:val="14"/>
        </w:rPr>
      </w:pPr>
    </w:p>
    <w:p>
      <w:pPr>
        <w:pStyle w:val="BodyText"/>
        <w:spacing w:line="249" w:lineRule="auto"/>
        <w:ind w:left="112" w:right="57"/>
      </w:pPr>
      <w:r>
        <w:rPr>
          <w:w w:val="80"/>
        </w:rPr>
        <w:t>In </w:t>
      </w:r>
      <w:r>
        <w:rPr>
          <w:w w:val="84"/>
        </w:rPr>
        <w:t>2015, </w:t>
      </w:r>
      <w:r>
        <w:rPr>
          <w:w w:val="97"/>
        </w:rPr>
        <w:t>the </w:t>
      </w:r>
      <w:r>
        <w:rPr>
          <w:w w:val="104"/>
        </w:rPr>
        <w:t>ARO </w:t>
      </w:r>
      <w:r>
        <w:rPr>
          <w:w w:val="98"/>
        </w:rPr>
        <w:t>processed </w:t>
      </w:r>
      <w:r>
        <w:rPr>
          <w:w w:val="97"/>
        </w:rPr>
        <w:t>more </w:t>
      </w:r>
      <w:r>
        <w:rPr>
          <w:w w:val="97"/>
        </w:rPr>
        <w:t>than </w:t>
      </w:r>
      <w:r>
        <w:rPr/>
        <w:t>254,192 applicant preferences and made </w:t>
      </w:r>
      <w:r>
        <w:rPr>
          <w:w w:val="89"/>
        </w:rPr>
        <w:t>19,070 </w:t>
      </w:r>
      <w:r>
        <w:rPr>
          <w:w w:val="97"/>
        </w:rPr>
        <w:t>offers </w:t>
      </w:r>
      <w:r>
        <w:rPr>
          <w:w w:val="98"/>
        </w:rPr>
        <w:t>for </w:t>
      </w:r>
      <w:r>
        <w:rPr>
          <w:w w:val="99"/>
        </w:rPr>
        <w:t>domestic </w:t>
      </w:r>
      <w:r>
        <w:rPr>
          <w:w w:val="98"/>
        </w:rPr>
        <w:t>applicants </w:t>
      </w:r>
      <w:r>
        <w:rPr>
          <w:w w:val="98"/>
        </w:rPr>
        <w:t>through </w:t>
      </w:r>
      <w:r>
        <w:rPr/>
        <w:t>UAC. The domestic admissions team also processed 576 direct applications and</w:t>
      </w:r>
    </w:p>
    <w:p>
      <w:pPr>
        <w:pStyle w:val="BodyText"/>
        <w:spacing w:line="249" w:lineRule="auto"/>
        <w:ind w:left="112" w:right="21"/>
      </w:pPr>
      <w:r>
        <w:rPr/>
        <w:t>made 342 direct offers to applicants. The International Admissions team processed </w:t>
      </w:r>
      <w:r>
        <w:rPr>
          <w:w w:val="97"/>
        </w:rPr>
        <w:t>more </w:t>
      </w:r>
      <w:r>
        <w:rPr>
          <w:spacing w:val="1"/>
          <w:w w:val="97"/>
        </w:rPr>
        <w:t>than</w:t>
      </w:r>
      <w:r>
        <w:rPr>
          <w:w w:val="97"/>
        </w:rPr>
        <w:t> </w:t>
      </w:r>
      <w:r>
        <w:rPr>
          <w:spacing w:val="2"/>
          <w:w w:val="83"/>
        </w:rPr>
        <w:t>11,900</w:t>
      </w:r>
      <w:r>
        <w:rPr>
          <w:w w:val="83"/>
        </w:rPr>
        <w:t> </w:t>
      </w:r>
      <w:r>
        <w:rPr>
          <w:w w:val="96"/>
        </w:rPr>
        <w:t>international </w:t>
      </w:r>
      <w:r>
        <w:rPr>
          <w:spacing w:val="1"/>
          <w:w w:val="98"/>
        </w:rPr>
        <w:t>applications</w:t>
      </w:r>
      <w:r>
        <w:rPr>
          <w:w w:val="98"/>
        </w:rPr>
        <w:t> </w:t>
      </w:r>
      <w:r>
        <w:rPr/>
        <w:t>and</w:t>
      </w:r>
      <w:r>
        <w:rPr>
          <w:spacing w:val="-23"/>
        </w:rPr>
        <w:t> </w:t>
      </w:r>
      <w:r>
        <w:rPr/>
        <w:t>generated</w:t>
      </w:r>
      <w:r>
        <w:rPr>
          <w:spacing w:val="-23"/>
        </w:rPr>
        <w:t> </w:t>
      </w:r>
      <w:r>
        <w:rPr/>
        <w:t>over</w:t>
      </w:r>
      <w:r>
        <w:rPr>
          <w:spacing w:val="-23"/>
        </w:rPr>
        <w:t> </w:t>
      </w:r>
      <w:r>
        <w:rPr/>
        <w:t>8,700</w:t>
      </w:r>
      <w:r>
        <w:rPr>
          <w:spacing w:val="-23"/>
        </w:rPr>
        <w:t> </w:t>
      </w:r>
      <w:r>
        <w:rPr/>
        <w:t>offers.</w:t>
      </w:r>
      <w:r>
        <w:rPr>
          <w:spacing w:val="-23"/>
        </w:rPr>
        <w:t> </w:t>
      </w:r>
      <w:r>
        <w:rPr/>
        <w:t>International Admissions</w:t>
      </w:r>
      <w:r>
        <w:rPr>
          <w:spacing w:val="-11"/>
        </w:rPr>
        <w:t> </w:t>
      </w:r>
      <w:r>
        <w:rPr/>
        <w:t>staff</w:t>
      </w:r>
      <w:r>
        <w:rPr>
          <w:spacing w:val="-11"/>
        </w:rPr>
        <w:t> </w:t>
      </w:r>
      <w:r>
        <w:rPr/>
        <w:t>collaborated</w:t>
      </w:r>
      <w:r>
        <w:rPr>
          <w:spacing w:val="-11"/>
        </w:rPr>
        <w:t> </w:t>
      </w:r>
      <w:r>
        <w:rPr/>
        <w:t>on</w:t>
      </w:r>
      <w:r>
        <w:rPr>
          <w:spacing w:val="-11"/>
        </w:rPr>
        <w:t> </w:t>
      </w:r>
      <w:r>
        <w:rPr/>
        <w:t>reducing</w:t>
      </w:r>
    </w:p>
    <w:p>
      <w:pPr>
        <w:pStyle w:val="BodyText"/>
        <w:spacing w:line="249" w:lineRule="auto"/>
        <w:ind w:left="112" w:right="57"/>
      </w:pPr>
      <w:r>
        <w:rPr/>
        <w:t>the University’s Streamlined Visa Processing (SVP) index for international applicants from</w:t>
      </w:r>
    </w:p>
    <w:p>
      <w:pPr>
        <w:pStyle w:val="BodyText"/>
        <w:spacing w:line="249" w:lineRule="auto"/>
        <w:ind w:left="112"/>
      </w:pPr>
      <w:r>
        <w:rPr/>
        <w:t>2.4 in June to </w:t>
      </w:r>
      <w:r>
        <w:rPr>
          <w:spacing w:val="2"/>
        </w:rPr>
        <w:t>1.87 </w:t>
      </w:r>
      <w:r>
        <w:rPr/>
        <w:t>in October, putting the University in a much better position in terms of</w:t>
      </w:r>
      <w:r>
        <w:rPr>
          <w:spacing w:val="-16"/>
        </w:rPr>
        <w:t> </w:t>
      </w:r>
      <w:r>
        <w:rPr/>
        <w:t>its</w:t>
      </w:r>
      <w:r>
        <w:rPr>
          <w:spacing w:val="-16"/>
        </w:rPr>
        <w:t> </w:t>
      </w:r>
      <w:r>
        <w:rPr/>
        <w:t>risk</w:t>
      </w:r>
      <w:r>
        <w:rPr>
          <w:spacing w:val="-16"/>
        </w:rPr>
        <w:t> </w:t>
      </w:r>
      <w:r>
        <w:rPr/>
        <w:t>of</w:t>
      </w:r>
      <w:r>
        <w:rPr>
          <w:spacing w:val="-16"/>
        </w:rPr>
        <w:t> </w:t>
      </w:r>
      <w:r>
        <w:rPr/>
        <w:t>losing</w:t>
      </w:r>
      <w:r>
        <w:rPr>
          <w:spacing w:val="-16"/>
        </w:rPr>
        <w:t> </w:t>
      </w:r>
      <w:r>
        <w:rPr/>
        <w:t>SVP</w:t>
      </w:r>
      <w:r>
        <w:rPr>
          <w:spacing w:val="-16"/>
        </w:rPr>
        <w:t> </w:t>
      </w:r>
      <w:r>
        <w:rPr/>
        <w:t>status.</w:t>
      </w:r>
      <w:r>
        <w:rPr>
          <w:spacing w:val="-16"/>
        </w:rPr>
        <w:t> </w:t>
      </w:r>
      <w:r>
        <w:rPr/>
        <w:t>The</w:t>
      </w:r>
      <w:r>
        <w:rPr>
          <w:spacing w:val="-16"/>
        </w:rPr>
        <w:t> </w:t>
      </w:r>
      <w:r>
        <w:rPr/>
        <w:t>Enrolments team facilitated the enrolment of </w:t>
      </w:r>
      <w:r>
        <w:rPr>
          <w:spacing w:val="-3"/>
        </w:rPr>
        <w:t>27,749 </w:t>
      </w:r>
      <w:r>
        <w:rPr/>
        <w:t>commencing students and oversaw 306,976 </w:t>
      </w:r>
      <w:r>
        <w:rPr>
          <w:w w:val="95"/>
        </w:rPr>
        <w:t>unit</w:t>
      </w:r>
      <w:r>
        <w:rPr>
          <w:spacing w:val="19"/>
          <w:w w:val="95"/>
        </w:rPr>
        <w:t> </w:t>
      </w:r>
      <w:r>
        <w:rPr>
          <w:w w:val="95"/>
        </w:rPr>
        <w:t>enrolments.</w:t>
      </w:r>
    </w:p>
    <w:p>
      <w:pPr>
        <w:pStyle w:val="BodyText"/>
        <w:rPr>
          <w:sz w:val="14"/>
        </w:rPr>
      </w:pPr>
    </w:p>
    <w:p>
      <w:pPr>
        <w:pStyle w:val="BodyText"/>
        <w:spacing w:line="249" w:lineRule="auto"/>
        <w:ind w:left="112" w:right="278"/>
      </w:pPr>
      <w:r>
        <w:rPr/>
        <w:t>The ARO continued to support Schools </w:t>
      </w:r>
      <w:r>
        <w:rPr>
          <w:spacing w:val="-1"/>
          <w:w w:val="98"/>
        </w:rPr>
        <w:t>with</w:t>
      </w:r>
      <w:r>
        <w:rPr>
          <w:w w:val="98"/>
        </w:rPr>
        <w:t> </w:t>
      </w:r>
      <w:r>
        <w:rPr>
          <w:w w:val="97"/>
        </w:rPr>
        <w:t>the </w:t>
      </w:r>
      <w:r>
        <w:rPr>
          <w:spacing w:val="-1"/>
          <w:w w:val="97"/>
        </w:rPr>
        <w:t>Early</w:t>
      </w:r>
      <w:r>
        <w:rPr>
          <w:w w:val="97"/>
        </w:rPr>
        <w:t> </w:t>
      </w:r>
      <w:r>
        <w:rPr>
          <w:w w:val="97"/>
        </w:rPr>
        <w:t>Offer </w:t>
      </w:r>
      <w:r>
        <w:rPr>
          <w:w w:val="94"/>
        </w:rPr>
        <w:t>program. </w:t>
      </w:r>
      <w:r>
        <w:rPr>
          <w:w w:val="80"/>
        </w:rPr>
        <w:t>In </w:t>
      </w:r>
      <w:r>
        <w:rPr>
          <w:w w:val="84"/>
        </w:rPr>
        <w:t>2015, </w:t>
      </w:r>
      <w:r>
        <w:rPr>
          <w:w w:val="97"/>
        </w:rPr>
        <w:t>the </w:t>
      </w:r>
      <w:r>
        <w:rPr/>
        <w:t>University</w:t>
      </w:r>
      <w:r>
        <w:rPr>
          <w:spacing w:val="-24"/>
        </w:rPr>
        <w:t> </w:t>
      </w:r>
      <w:r>
        <w:rPr/>
        <w:t>expanded</w:t>
      </w:r>
      <w:r>
        <w:rPr>
          <w:spacing w:val="-24"/>
        </w:rPr>
        <w:t> </w:t>
      </w:r>
      <w:r>
        <w:rPr/>
        <w:t>the</w:t>
      </w:r>
      <w:r>
        <w:rPr>
          <w:spacing w:val="-24"/>
        </w:rPr>
        <w:t> </w:t>
      </w:r>
      <w:r>
        <w:rPr/>
        <w:t>use</w:t>
      </w:r>
      <w:r>
        <w:rPr>
          <w:spacing w:val="-24"/>
        </w:rPr>
        <w:t> </w:t>
      </w:r>
      <w:r>
        <w:rPr/>
        <w:t>of</w:t>
      </w:r>
      <w:r>
        <w:rPr>
          <w:spacing w:val="-24"/>
        </w:rPr>
        <w:t> </w:t>
      </w:r>
      <w:r>
        <w:rPr/>
        <w:t>the</w:t>
      </w:r>
      <w:r>
        <w:rPr>
          <w:spacing w:val="-24"/>
        </w:rPr>
        <w:t> </w:t>
      </w:r>
      <w:r>
        <w:rPr/>
        <w:t>Schools Recommendation</w:t>
      </w:r>
      <w:r>
        <w:rPr>
          <w:spacing w:val="-31"/>
        </w:rPr>
        <w:t> </w:t>
      </w:r>
      <w:r>
        <w:rPr/>
        <w:t>Scheme</w:t>
      </w:r>
      <w:r>
        <w:rPr>
          <w:spacing w:val="-31"/>
        </w:rPr>
        <w:t> </w:t>
      </w:r>
      <w:r>
        <w:rPr/>
        <w:t>(SRS),</w:t>
      </w:r>
      <w:r>
        <w:rPr>
          <w:spacing w:val="-31"/>
        </w:rPr>
        <w:t> </w:t>
      </w:r>
      <w:r>
        <w:rPr/>
        <w:t>whereby students</w:t>
      </w:r>
      <w:r>
        <w:rPr>
          <w:spacing w:val="-28"/>
        </w:rPr>
        <w:t> </w:t>
      </w:r>
      <w:r>
        <w:rPr/>
        <w:t>receive</w:t>
      </w:r>
      <w:r>
        <w:rPr>
          <w:spacing w:val="-28"/>
        </w:rPr>
        <w:t> </w:t>
      </w:r>
      <w:r>
        <w:rPr/>
        <w:t>non-ATAR-based</w:t>
      </w:r>
      <w:r>
        <w:rPr>
          <w:spacing w:val="-28"/>
        </w:rPr>
        <w:t> </w:t>
      </w:r>
      <w:r>
        <w:rPr/>
        <w:t>offers</w:t>
      </w:r>
      <w:r>
        <w:rPr>
          <w:spacing w:val="-28"/>
        </w:rPr>
        <w:t> </w:t>
      </w:r>
      <w:r>
        <w:rPr/>
        <w:t>to a</w:t>
      </w:r>
      <w:r>
        <w:rPr>
          <w:spacing w:val="-27"/>
        </w:rPr>
        <w:t> </w:t>
      </w:r>
      <w:r>
        <w:rPr/>
        <w:t>wide</w:t>
      </w:r>
      <w:r>
        <w:rPr>
          <w:spacing w:val="-27"/>
        </w:rPr>
        <w:t> </w:t>
      </w:r>
      <w:r>
        <w:rPr/>
        <w:t>range</w:t>
      </w:r>
      <w:r>
        <w:rPr>
          <w:spacing w:val="-27"/>
        </w:rPr>
        <w:t> </w:t>
      </w:r>
      <w:r>
        <w:rPr/>
        <w:t>of</w:t>
      </w:r>
      <w:r>
        <w:rPr>
          <w:spacing w:val="-27"/>
        </w:rPr>
        <w:t> </w:t>
      </w:r>
      <w:r>
        <w:rPr/>
        <w:t>Western</w:t>
      </w:r>
      <w:r>
        <w:rPr>
          <w:spacing w:val="-27"/>
        </w:rPr>
        <w:t> </w:t>
      </w:r>
      <w:r>
        <w:rPr/>
        <w:t>Sydney</w:t>
      </w:r>
      <w:r>
        <w:rPr>
          <w:spacing w:val="-27"/>
        </w:rPr>
        <w:t> </w:t>
      </w:r>
      <w:r>
        <w:rPr/>
        <w:t>University</w:t>
      </w:r>
    </w:p>
    <w:p>
      <w:pPr>
        <w:pStyle w:val="BodyText"/>
        <w:spacing w:line="249" w:lineRule="auto"/>
        <w:ind w:left="112"/>
      </w:pPr>
      <w:r>
        <w:rPr/>
        <w:t>programs</w:t>
      </w:r>
      <w:r>
        <w:rPr>
          <w:spacing w:val="-27"/>
        </w:rPr>
        <w:t> </w:t>
      </w:r>
      <w:r>
        <w:rPr/>
        <w:t>in</w:t>
      </w:r>
      <w:r>
        <w:rPr>
          <w:spacing w:val="-27"/>
        </w:rPr>
        <w:t> </w:t>
      </w:r>
      <w:r>
        <w:rPr/>
        <w:t>early</w:t>
      </w:r>
      <w:r>
        <w:rPr>
          <w:spacing w:val="-27"/>
        </w:rPr>
        <w:t> </w:t>
      </w:r>
      <w:r>
        <w:rPr/>
        <w:t>December.</w:t>
      </w:r>
      <w:r>
        <w:rPr>
          <w:spacing w:val="-27"/>
        </w:rPr>
        <w:t> </w:t>
      </w:r>
      <w:r>
        <w:rPr/>
        <w:t>Western</w:t>
      </w:r>
      <w:r>
        <w:rPr>
          <w:spacing w:val="-27"/>
        </w:rPr>
        <w:t> </w:t>
      </w:r>
      <w:r>
        <w:rPr/>
        <w:t>Sydney University made just over 700 offers to SRS </w:t>
      </w:r>
      <w:r>
        <w:rPr>
          <w:spacing w:val="-1"/>
          <w:w w:val="97"/>
        </w:rPr>
        <w:t>recipients</w:t>
      </w:r>
      <w:r>
        <w:rPr>
          <w:w w:val="97"/>
        </w:rPr>
        <w:t> </w:t>
      </w:r>
      <w:r>
        <w:rPr>
          <w:spacing w:val="-1"/>
          <w:w w:val="95"/>
        </w:rPr>
        <w:t>in</w:t>
      </w:r>
      <w:r>
        <w:rPr>
          <w:w w:val="95"/>
        </w:rPr>
        <w:t> </w:t>
      </w:r>
      <w:r>
        <w:rPr>
          <w:w w:val="97"/>
        </w:rPr>
        <w:t>the </w:t>
      </w:r>
      <w:r>
        <w:rPr>
          <w:w w:val="98"/>
        </w:rPr>
        <w:t>December </w:t>
      </w:r>
      <w:r>
        <w:rPr>
          <w:w w:val="88"/>
        </w:rPr>
        <w:t>2015 </w:t>
      </w:r>
      <w:r>
        <w:rPr>
          <w:w w:val="93"/>
        </w:rPr>
        <w:t>round. </w:t>
      </w:r>
      <w:r>
        <w:rPr>
          <w:w w:val="94"/>
        </w:rPr>
        <w:t>The </w:t>
      </w:r>
      <w:r>
        <w:rPr/>
        <w:t>ARO</w:t>
      </w:r>
      <w:r>
        <w:rPr>
          <w:spacing w:val="-22"/>
        </w:rPr>
        <w:t> </w:t>
      </w:r>
      <w:r>
        <w:rPr/>
        <w:t>supported</w:t>
      </w:r>
      <w:r>
        <w:rPr>
          <w:spacing w:val="-22"/>
        </w:rPr>
        <w:t> </w:t>
      </w:r>
      <w:r>
        <w:rPr/>
        <w:t>the</w:t>
      </w:r>
      <w:r>
        <w:rPr>
          <w:spacing w:val="-22"/>
        </w:rPr>
        <w:t> </w:t>
      </w:r>
      <w:r>
        <w:rPr/>
        <w:t>introduction</w:t>
      </w:r>
      <w:r>
        <w:rPr>
          <w:spacing w:val="-22"/>
        </w:rPr>
        <w:t> </w:t>
      </w:r>
      <w:r>
        <w:rPr/>
        <w:t>of</w:t>
      </w:r>
      <w:r>
        <w:rPr>
          <w:spacing w:val="-22"/>
        </w:rPr>
        <w:t> </w:t>
      </w:r>
      <w:r>
        <w:rPr/>
        <w:t>the</w:t>
      </w:r>
      <w:r>
        <w:rPr>
          <w:spacing w:val="-22"/>
        </w:rPr>
        <w:t> </w:t>
      </w:r>
      <w:r>
        <w:rPr/>
        <w:t>multiple device strategy for students, implementing a process</w:t>
      </w:r>
      <w:r>
        <w:rPr>
          <w:spacing w:val="-24"/>
        </w:rPr>
        <w:t> </w:t>
      </w:r>
      <w:r>
        <w:rPr/>
        <w:t>to</w:t>
      </w:r>
      <w:r>
        <w:rPr>
          <w:spacing w:val="-24"/>
        </w:rPr>
        <w:t> </w:t>
      </w:r>
      <w:r>
        <w:rPr/>
        <w:t>manage</w:t>
      </w:r>
      <w:r>
        <w:rPr>
          <w:spacing w:val="-24"/>
        </w:rPr>
        <w:t> </w:t>
      </w:r>
      <w:r>
        <w:rPr/>
        <w:t>the</w:t>
      </w:r>
      <w:r>
        <w:rPr>
          <w:spacing w:val="-24"/>
        </w:rPr>
        <w:t> </w:t>
      </w:r>
      <w:r>
        <w:rPr/>
        <w:t>successful</w:t>
      </w:r>
      <w:r>
        <w:rPr>
          <w:spacing w:val="-24"/>
        </w:rPr>
        <w:t> </w:t>
      </w:r>
      <w:r>
        <w:rPr/>
        <w:t>distribution of</w:t>
      </w:r>
      <w:r>
        <w:rPr>
          <w:spacing w:val="-29"/>
        </w:rPr>
        <w:t> </w:t>
      </w:r>
      <w:r>
        <w:rPr/>
        <w:t>devices</w:t>
      </w:r>
      <w:r>
        <w:rPr>
          <w:spacing w:val="-29"/>
        </w:rPr>
        <w:t> </w:t>
      </w:r>
      <w:r>
        <w:rPr/>
        <w:t>to</w:t>
      </w:r>
      <w:r>
        <w:rPr>
          <w:spacing w:val="-29"/>
        </w:rPr>
        <w:t> </w:t>
      </w:r>
      <w:r>
        <w:rPr/>
        <w:t>eligible</w:t>
      </w:r>
      <w:r>
        <w:rPr>
          <w:spacing w:val="-29"/>
        </w:rPr>
        <w:t> </w:t>
      </w:r>
      <w:r>
        <w:rPr/>
        <w:t>students.</w:t>
      </w:r>
    </w:p>
    <w:p>
      <w:pPr>
        <w:pStyle w:val="BodyText"/>
        <w:rPr>
          <w:sz w:val="14"/>
        </w:rPr>
      </w:pPr>
    </w:p>
    <w:p>
      <w:pPr>
        <w:pStyle w:val="BodyText"/>
        <w:spacing w:line="249" w:lineRule="auto"/>
        <w:ind w:left="112" w:right="350"/>
      </w:pPr>
      <w:r>
        <w:rPr/>
        <w:t>The Timetabling unit continued to work closely with Capital Works and Facilities,</w:t>
      </w:r>
    </w:p>
    <w:p>
      <w:pPr>
        <w:pStyle w:val="BodyText"/>
        <w:spacing w:before="2"/>
        <w:rPr>
          <w:sz w:val="20"/>
        </w:rPr>
      </w:pPr>
      <w:r>
        <w:rPr/>
        <w:br w:type="column"/>
      </w:r>
      <w:r>
        <w:rPr>
          <w:sz w:val="20"/>
        </w:rPr>
      </w:r>
    </w:p>
    <w:p>
      <w:pPr>
        <w:pStyle w:val="BodyText"/>
        <w:spacing w:line="249" w:lineRule="auto"/>
        <w:ind w:left="107" w:right="90"/>
      </w:pPr>
      <w:r>
        <w:rPr/>
        <w:t>providing teaching data and feedback to assist with planning room capacities, layouts and room assignments in order to facilitate improved learning environments for students. The increased demand for non-teaching events – often related to engagement – remains a priority across all campuses, with casual room bookings increasing by 34 per </w:t>
      </w:r>
      <w:r>
        <w:rPr>
          <w:w w:val="99"/>
        </w:rPr>
        <w:t>cent </w:t>
      </w:r>
      <w:r>
        <w:rPr>
          <w:w w:val="97"/>
        </w:rPr>
        <w:t>since </w:t>
      </w:r>
      <w:r>
        <w:rPr>
          <w:w w:val="86"/>
        </w:rPr>
        <w:t>2014.</w:t>
      </w:r>
    </w:p>
    <w:p>
      <w:pPr>
        <w:pStyle w:val="BodyText"/>
        <w:rPr>
          <w:sz w:val="14"/>
        </w:rPr>
      </w:pPr>
    </w:p>
    <w:p>
      <w:pPr>
        <w:pStyle w:val="BodyText"/>
        <w:spacing w:line="249" w:lineRule="auto"/>
        <w:ind w:left="107" w:right="220"/>
      </w:pPr>
      <w:r>
        <w:rPr/>
        <w:t>Student Central, a first point of contact for </w:t>
      </w:r>
      <w:r>
        <w:rPr>
          <w:spacing w:val="2"/>
          <w:w w:val="94"/>
        </w:rPr>
        <w:t>students,</w:t>
      </w:r>
      <w:r>
        <w:rPr>
          <w:w w:val="94"/>
        </w:rPr>
        <w:t> </w:t>
      </w:r>
      <w:r>
        <w:rPr>
          <w:spacing w:val="1"/>
          <w:w w:val="97"/>
        </w:rPr>
        <w:t>managed</w:t>
      </w:r>
      <w:r>
        <w:rPr>
          <w:w w:val="97"/>
        </w:rPr>
        <w:t> </w:t>
      </w:r>
      <w:r>
        <w:rPr>
          <w:spacing w:val="2"/>
          <w:w w:val="89"/>
        </w:rPr>
        <w:t>150,302</w:t>
      </w:r>
      <w:r>
        <w:rPr>
          <w:w w:val="89"/>
        </w:rPr>
        <w:t> </w:t>
      </w:r>
      <w:r>
        <w:rPr>
          <w:spacing w:val="1"/>
          <w:w w:val="98"/>
        </w:rPr>
        <w:t>phone</w:t>
      </w:r>
      <w:r>
        <w:rPr>
          <w:w w:val="98"/>
        </w:rPr>
        <w:t> </w:t>
      </w:r>
      <w:r>
        <w:rPr>
          <w:spacing w:val="1"/>
          <w:w w:val="92"/>
        </w:rPr>
        <w:t>calls,</w:t>
      </w:r>
      <w:r>
        <w:rPr>
          <w:w w:val="92"/>
        </w:rPr>
        <w:t> </w:t>
      </w:r>
      <w:r>
        <w:rPr/>
        <w:t>174,857</w:t>
      </w:r>
      <w:r>
        <w:rPr>
          <w:spacing w:val="-34"/>
        </w:rPr>
        <w:t> </w:t>
      </w:r>
      <w:r>
        <w:rPr/>
        <w:t>face-to-face</w:t>
      </w:r>
      <w:r>
        <w:rPr>
          <w:spacing w:val="-34"/>
        </w:rPr>
        <w:t> </w:t>
      </w:r>
      <w:r>
        <w:rPr/>
        <w:t>transactions</w:t>
      </w:r>
      <w:r>
        <w:rPr>
          <w:spacing w:val="-34"/>
        </w:rPr>
        <w:t> </w:t>
      </w:r>
      <w:r>
        <w:rPr/>
        <w:t>and</w:t>
      </w:r>
      <w:r>
        <w:rPr>
          <w:spacing w:val="-34"/>
        </w:rPr>
        <w:t> </w:t>
      </w:r>
      <w:r>
        <w:rPr>
          <w:spacing w:val="2"/>
        </w:rPr>
        <w:t>52,228 </w:t>
      </w:r>
      <w:r>
        <w:rPr/>
        <w:t>email queries. It produced 25,047 ID cards </w:t>
      </w:r>
      <w:r>
        <w:rPr>
          <w:spacing w:val="-3"/>
          <w:w w:val="95"/>
        </w:rPr>
        <w:t>(as</w:t>
      </w:r>
      <w:r>
        <w:rPr>
          <w:w w:val="95"/>
        </w:rPr>
        <w:t> </w:t>
      </w:r>
      <w:r>
        <w:rPr>
          <w:w w:val="98"/>
        </w:rPr>
        <w:t>at </w:t>
      </w:r>
      <w:r>
        <w:rPr>
          <w:w w:val="97"/>
        </w:rPr>
        <w:t>the </w:t>
      </w:r>
      <w:r>
        <w:rPr>
          <w:spacing w:val="1"/>
          <w:w w:val="97"/>
        </w:rPr>
        <w:t>end</w:t>
      </w:r>
      <w:r>
        <w:rPr>
          <w:w w:val="97"/>
        </w:rPr>
        <w:t> </w:t>
      </w:r>
      <w:r>
        <w:rPr>
          <w:w w:val="99"/>
        </w:rPr>
        <w:t>of </w:t>
      </w:r>
      <w:r>
        <w:rPr>
          <w:spacing w:val="1"/>
          <w:w w:val="98"/>
        </w:rPr>
        <w:t>November</w:t>
      </w:r>
      <w:r>
        <w:rPr>
          <w:w w:val="98"/>
        </w:rPr>
        <w:t> </w:t>
      </w:r>
      <w:r>
        <w:rPr>
          <w:spacing w:val="1"/>
          <w:w w:val="86"/>
        </w:rPr>
        <w:t>2015).</w:t>
      </w:r>
      <w:r>
        <w:rPr>
          <w:w w:val="86"/>
        </w:rPr>
        <w:t> </w:t>
      </w:r>
      <w:r>
        <w:rPr>
          <w:spacing w:val="1"/>
          <w:w w:val="94"/>
        </w:rPr>
        <w:t>The</w:t>
      </w:r>
      <w:r>
        <w:rPr>
          <w:w w:val="94"/>
        </w:rPr>
        <w:t> </w:t>
      </w:r>
      <w:r>
        <w:rPr>
          <w:w w:val="97"/>
        </w:rPr>
        <w:t>unit </w:t>
      </w:r>
      <w:r>
        <w:rPr/>
        <w:t>also processed </w:t>
      </w:r>
      <w:r>
        <w:rPr>
          <w:spacing w:val="2"/>
        </w:rPr>
        <w:t>25,000 </w:t>
      </w:r>
      <w:r>
        <w:rPr/>
        <w:t>special consideration e-forms</w:t>
      </w:r>
      <w:r>
        <w:rPr>
          <w:spacing w:val="-15"/>
        </w:rPr>
        <w:t> </w:t>
      </w:r>
      <w:r>
        <w:rPr/>
        <w:t>and</w:t>
      </w:r>
      <w:r>
        <w:rPr>
          <w:spacing w:val="-15"/>
        </w:rPr>
        <w:t> </w:t>
      </w:r>
      <w:r>
        <w:rPr/>
        <w:t>an</w:t>
      </w:r>
      <w:r>
        <w:rPr>
          <w:spacing w:val="-15"/>
        </w:rPr>
        <w:t> </w:t>
      </w:r>
      <w:r>
        <w:rPr/>
        <w:t>additional</w:t>
      </w:r>
      <w:r>
        <w:rPr>
          <w:spacing w:val="-15"/>
        </w:rPr>
        <w:t> </w:t>
      </w:r>
      <w:r>
        <w:rPr>
          <w:spacing w:val="2"/>
        </w:rPr>
        <w:t>25,000</w:t>
      </w:r>
      <w:r>
        <w:rPr>
          <w:spacing w:val="-15"/>
        </w:rPr>
        <w:t> </w:t>
      </w:r>
      <w:r>
        <w:rPr/>
        <w:t>forms.</w:t>
      </w:r>
    </w:p>
    <w:p>
      <w:pPr>
        <w:pStyle w:val="BodyText"/>
        <w:spacing w:line="249" w:lineRule="auto"/>
        <w:ind w:left="107" w:right="94"/>
      </w:pPr>
      <w:r>
        <w:rPr/>
        <w:t>Student Central extended hours on weekdays from 8am–8pm, and on weekends from 9am–5pm to ensure services are available</w:t>
      </w:r>
    </w:p>
    <w:p>
      <w:pPr>
        <w:pStyle w:val="BodyText"/>
        <w:spacing w:line="249" w:lineRule="auto"/>
        <w:ind w:left="107" w:right="242"/>
      </w:pPr>
      <w:r>
        <w:rPr/>
        <w:t>for the WesternOnline student cohort and part-time students. The Student Enquiry and Information Services area was heavily involved</w:t>
      </w:r>
      <w:r>
        <w:rPr>
          <w:spacing w:val="-15"/>
        </w:rPr>
        <w:t> </w:t>
      </w:r>
      <w:r>
        <w:rPr/>
        <w:t>with</w:t>
      </w:r>
      <w:r>
        <w:rPr>
          <w:spacing w:val="-15"/>
        </w:rPr>
        <w:t> </w:t>
      </w:r>
      <w:r>
        <w:rPr/>
        <w:t>the</w:t>
      </w:r>
      <w:r>
        <w:rPr>
          <w:spacing w:val="-15"/>
        </w:rPr>
        <w:t> </w:t>
      </w:r>
      <w:r>
        <w:rPr/>
        <w:t>introduction</w:t>
      </w:r>
      <w:r>
        <w:rPr>
          <w:spacing w:val="-15"/>
        </w:rPr>
        <w:t> </w:t>
      </w:r>
      <w:r>
        <w:rPr/>
        <w:t>of</w:t>
      </w:r>
      <w:r>
        <w:rPr>
          <w:spacing w:val="-15"/>
        </w:rPr>
        <w:t> </w:t>
      </w:r>
      <w:r>
        <w:rPr/>
        <w:t>the</w:t>
      </w:r>
      <w:r>
        <w:rPr>
          <w:spacing w:val="-15"/>
        </w:rPr>
        <w:t> </w:t>
      </w:r>
      <w:r>
        <w:rPr/>
        <w:t>student</w:t>
      </w:r>
    </w:p>
    <w:p>
      <w:pPr>
        <w:pStyle w:val="BodyText"/>
        <w:spacing w:line="249" w:lineRule="auto"/>
        <w:ind w:left="107" w:right="63"/>
      </w:pPr>
      <w:r>
        <w:rPr/>
        <w:t>Opal card for travel concessions, working with Student Systems and the University legal staff to ensure compliance with the Transport for NSW requirements. A refurbished Student Central was opened at the Kingswood campus, reflecting the style and facilities available at other campuses.</w:t>
      </w:r>
    </w:p>
    <w:p>
      <w:pPr>
        <w:pStyle w:val="BodyText"/>
        <w:rPr>
          <w:sz w:val="14"/>
        </w:rPr>
      </w:pPr>
    </w:p>
    <w:p>
      <w:pPr>
        <w:pStyle w:val="BodyText"/>
        <w:spacing w:line="249" w:lineRule="auto"/>
        <w:ind w:left="107" w:right="34"/>
      </w:pPr>
      <w:r>
        <w:rPr/>
        <w:t>The Assessment unit was responsible for </w:t>
      </w:r>
      <w:r>
        <w:rPr>
          <w:spacing w:val="2"/>
        </w:rPr>
        <w:t>128,965 </w:t>
      </w:r>
      <w:r>
        <w:rPr/>
        <w:t>main and deferred examination sittings</w:t>
      </w:r>
      <w:r>
        <w:rPr>
          <w:spacing w:val="-22"/>
        </w:rPr>
        <w:t> </w:t>
      </w:r>
      <w:r>
        <w:rPr/>
        <w:t>across</w:t>
      </w:r>
      <w:r>
        <w:rPr>
          <w:spacing w:val="-22"/>
        </w:rPr>
        <w:t> </w:t>
      </w:r>
      <w:r>
        <w:rPr/>
        <w:t>the</w:t>
      </w:r>
      <w:r>
        <w:rPr>
          <w:spacing w:val="-22"/>
        </w:rPr>
        <w:t> </w:t>
      </w:r>
      <w:r>
        <w:rPr/>
        <w:t>summer,</w:t>
      </w:r>
      <w:r>
        <w:rPr>
          <w:spacing w:val="-22"/>
        </w:rPr>
        <w:t> </w:t>
      </w:r>
      <w:r>
        <w:rPr/>
        <w:t>autumn</w:t>
      </w:r>
      <w:r>
        <w:rPr>
          <w:spacing w:val="-22"/>
        </w:rPr>
        <w:t> </w:t>
      </w:r>
      <w:r>
        <w:rPr/>
        <w:t>and</w:t>
      </w:r>
      <w:r>
        <w:rPr>
          <w:spacing w:val="-22"/>
        </w:rPr>
        <w:t> </w:t>
      </w:r>
      <w:r>
        <w:rPr/>
        <w:t>spring teaching sessions. The unit also conducted exams at external locations and provided facilities</w:t>
      </w:r>
      <w:r>
        <w:rPr>
          <w:spacing w:val="-18"/>
        </w:rPr>
        <w:t> </w:t>
      </w:r>
      <w:r>
        <w:rPr/>
        <w:t>for</w:t>
      </w:r>
      <w:r>
        <w:rPr>
          <w:spacing w:val="-18"/>
        </w:rPr>
        <w:t> </w:t>
      </w:r>
      <w:r>
        <w:rPr/>
        <w:t>students</w:t>
      </w:r>
      <w:r>
        <w:rPr>
          <w:spacing w:val="-18"/>
        </w:rPr>
        <w:t> </w:t>
      </w:r>
      <w:r>
        <w:rPr/>
        <w:t>from</w:t>
      </w:r>
      <w:r>
        <w:rPr>
          <w:spacing w:val="-18"/>
        </w:rPr>
        <w:t> </w:t>
      </w:r>
      <w:r>
        <w:rPr/>
        <w:t>other</w:t>
      </w:r>
      <w:r>
        <w:rPr>
          <w:spacing w:val="-18"/>
        </w:rPr>
        <w:t> </w:t>
      </w:r>
      <w:r>
        <w:rPr/>
        <w:t>institutions.</w:t>
      </w:r>
    </w:p>
    <w:p>
      <w:pPr>
        <w:pStyle w:val="BodyText"/>
        <w:rPr>
          <w:sz w:val="14"/>
        </w:rPr>
      </w:pPr>
    </w:p>
    <w:p>
      <w:pPr>
        <w:pStyle w:val="BodyText"/>
        <w:spacing w:line="249" w:lineRule="auto"/>
        <w:ind w:left="107" w:right="357"/>
      </w:pPr>
      <w:r>
        <w:rPr/>
        <w:t>The University graduated 4,486 students in April, 2,863 in September and 923 in</w:t>
      </w:r>
    </w:p>
    <w:p>
      <w:pPr>
        <w:pStyle w:val="BodyText"/>
        <w:spacing w:line="249" w:lineRule="auto"/>
        <w:ind w:left="107" w:right="203"/>
      </w:pPr>
      <w:r>
        <w:rPr/>
        <w:t>December. Another 763 students graduated from the College, Western Sydney, across three ceremony rounds in February, July and November. In addition, 98 students graduated at the Hong Kong Baptist University, ceremony in early December.</w:t>
      </w:r>
    </w:p>
    <w:p>
      <w:pPr>
        <w:pStyle w:val="BodyText"/>
        <w:spacing w:line="249" w:lineRule="auto"/>
        <w:ind w:left="107" w:right="168"/>
      </w:pPr>
      <w:r>
        <w:rPr/>
        <w:t>September ceremonies saw the introduction of the graduation memento, with graduates able</w:t>
      </w:r>
      <w:r>
        <w:rPr>
          <w:spacing w:val="-15"/>
        </w:rPr>
        <w:t> </w:t>
      </w:r>
      <w:r>
        <w:rPr/>
        <w:t>to</w:t>
      </w:r>
      <w:r>
        <w:rPr>
          <w:spacing w:val="-15"/>
        </w:rPr>
        <w:t> </w:t>
      </w:r>
      <w:r>
        <w:rPr/>
        <w:t>keep</w:t>
      </w:r>
      <w:r>
        <w:rPr>
          <w:spacing w:val="-15"/>
        </w:rPr>
        <w:t> </w:t>
      </w:r>
      <w:r>
        <w:rPr/>
        <w:t>the</w:t>
      </w:r>
      <w:r>
        <w:rPr>
          <w:spacing w:val="-15"/>
        </w:rPr>
        <w:t> </w:t>
      </w:r>
      <w:r>
        <w:rPr/>
        <w:t>trencher</w:t>
      </w:r>
      <w:r>
        <w:rPr>
          <w:spacing w:val="-15"/>
        </w:rPr>
        <w:t> </w:t>
      </w:r>
      <w:r>
        <w:rPr>
          <w:spacing w:val="-3"/>
        </w:rPr>
        <w:t>(cap)</w:t>
      </w:r>
      <w:r>
        <w:rPr>
          <w:spacing w:val="-15"/>
        </w:rPr>
        <w:t> </w:t>
      </w:r>
      <w:r>
        <w:rPr/>
        <w:t>worn</w:t>
      </w:r>
      <w:r>
        <w:rPr>
          <w:spacing w:val="-15"/>
        </w:rPr>
        <w:t> </w:t>
      </w:r>
      <w:r>
        <w:rPr/>
        <w:t>at</w:t>
      </w:r>
      <w:r>
        <w:rPr>
          <w:spacing w:val="-15"/>
        </w:rPr>
        <w:t> </w:t>
      </w:r>
      <w:r>
        <w:rPr/>
        <w:t>their ceremony,</w:t>
      </w:r>
      <w:r>
        <w:rPr>
          <w:spacing w:val="-20"/>
        </w:rPr>
        <w:t> </w:t>
      </w:r>
      <w:r>
        <w:rPr/>
        <w:t>and</w:t>
      </w:r>
      <w:r>
        <w:rPr>
          <w:spacing w:val="-20"/>
        </w:rPr>
        <w:t> </w:t>
      </w:r>
      <w:r>
        <w:rPr/>
        <w:t>feedback</w:t>
      </w:r>
      <w:r>
        <w:rPr>
          <w:spacing w:val="-20"/>
        </w:rPr>
        <w:t> </w:t>
      </w:r>
      <w:r>
        <w:rPr/>
        <w:t>on</w:t>
      </w:r>
      <w:r>
        <w:rPr>
          <w:spacing w:val="-20"/>
        </w:rPr>
        <w:t> </w:t>
      </w:r>
      <w:r>
        <w:rPr/>
        <w:t>this</w:t>
      </w:r>
      <w:r>
        <w:rPr>
          <w:spacing w:val="-20"/>
        </w:rPr>
        <w:t> </w:t>
      </w:r>
      <w:r>
        <w:rPr/>
        <w:t>initiative</w:t>
      </w:r>
      <w:r>
        <w:rPr>
          <w:spacing w:val="-20"/>
        </w:rPr>
        <w:t> </w:t>
      </w:r>
      <w:r>
        <w:rPr/>
        <w:t>was very</w:t>
      </w:r>
      <w:r>
        <w:rPr>
          <w:spacing w:val="-16"/>
        </w:rPr>
        <w:t> </w:t>
      </w:r>
      <w:r>
        <w:rPr/>
        <w:t>positive.</w:t>
      </w:r>
      <w:r>
        <w:rPr>
          <w:spacing w:val="-16"/>
        </w:rPr>
        <w:t> </w:t>
      </w:r>
      <w:r>
        <w:rPr/>
        <w:t>The</w:t>
      </w:r>
      <w:r>
        <w:rPr>
          <w:spacing w:val="-16"/>
        </w:rPr>
        <w:t> </w:t>
      </w:r>
      <w:r>
        <w:rPr/>
        <w:t>September</w:t>
      </w:r>
      <w:r>
        <w:rPr>
          <w:spacing w:val="-16"/>
        </w:rPr>
        <w:t> </w:t>
      </w:r>
      <w:r>
        <w:rPr/>
        <w:t>and</w:t>
      </w:r>
      <w:r>
        <w:rPr>
          <w:spacing w:val="-16"/>
        </w:rPr>
        <w:t> </w:t>
      </w:r>
      <w:r>
        <w:rPr/>
        <w:t>December ceremonies also benefited from a new system for identifying potential graduates, with</w:t>
      </w:r>
      <w:r>
        <w:rPr>
          <w:spacing w:val="-12"/>
        </w:rPr>
        <w:t> </w:t>
      </w:r>
      <w:r>
        <w:rPr/>
        <w:t>students</w:t>
      </w:r>
      <w:r>
        <w:rPr>
          <w:spacing w:val="-12"/>
        </w:rPr>
        <w:t> </w:t>
      </w:r>
      <w:r>
        <w:rPr/>
        <w:t>no</w:t>
      </w:r>
      <w:r>
        <w:rPr>
          <w:spacing w:val="-12"/>
        </w:rPr>
        <w:t> </w:t>
      </w:r>
      <w:r>
        <w:rPr/>
        <w:t>longer</w:t>
      </w:r>
      <w:r>
        <w:rPr>
          <w:spacing w:val="-12"/>
        </w:rPr>
        <w:t> </w:t>
      </w:r>
      <w:r>
        <w:rPr/>
        <w:t>needing</w:t>
      </w:r>
      <w:r>
        <w:rPr>
          <w:spacing w:val="-12"/>
        </w:rPr>
        <w:t> </w:t>
      </w:r>
      <w:r>
        <w:rPr/>
        <w:t>to</w:t>
      </w:r>
      <w:r>
        <w:rPr>
          <w:spacing w:val="-12"/>
        </w:rPr>
        <w:t> </w:t>
      </w:r>
      <w:r>
        <w:rPr/>
        <w:t>apply</w:t>
      </w:r>
      <w:r>
        <w:rPr>
          <w:spacing w:val="-12"/>
        </w:rPr>
        <w:t> </w:t>
      </w:r>
      <w:r>
        <w:rPr/>
        <w:t>to</w:t>
      </w:r>
    </w:p>
    <w:p>
      <w:pPr>
        <w:spacing w:after="0" w:line="249" w:lineRule="auto"/>
        <w:sectPr>
          <w:type w:val="continuous"/>
          <w:pgSz w:w="11910" w:h="16840"/>
          <w:pgMar w:top="1580" w:bottom="280" w:left="800" w:right="800"/>
          <w:cols w:num="3" w:equalWidth="0">
            <w:col w:w="3307" w:space="126"/>
            <w:col w:w="3325" w:space="120"/>
            <w:col w:w="3432"/>
          </w:cols>
        </w:sectPr>
      </w:pPr>
    </w:p>
    <w:p>
      <w:pPr>
        <w:pStyle w:val="BodyText"/>
        <w:spacing w:before="10"/>
        <w:rPr>
          <w:sz w:val="28"/>
        </w:rPr>
      </w:pPr>
    </w:p>
    <w:p>
      <w:pPr>
        <w:pStyle w:val="Heading2"/>
        <w:ind w:right="7977"/>
        <w:rPr>
          <w:b w:val="0"/>
        </w:rPr>
      </w:pPr>
      <w:r>
        <w:rPr>
          <w:b w:val="0"/>
        </w:rPr>
        <w:t>Student Recruitment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51"/>
          <w:footerReference w:type="default" r:id="rId52"/>
          <w:pgSz w:w="11910" w:h="16840"/>
          <w:pgMar w:footer="473" w:header="494" w:top="680" w:bottom="660" w:left="800" w:right="800"/>
        </w:sectPr>
      </w:pPr>
    </w:p>
    <w:p>
      <w:pPr>
        <w:pStyle w:val="BodyText"/>
        <w:spacing w:before="11"/>
        <w:rPr>
          <w:rFonts w:ascii="Chronicle Text G1"/>
          <w:b w:val="0"/>
        </w:rPr>
      </w:pPr>
    </w:p>
    <w:p>
      <w:pPr>
        <w:pStyle w:val="BodyText"/>
        <w:spacing w:line="249" w:lineRule="auto"/>
        <w:ind w:left="107" w:right="-15"/>
      </w:pPr>
      <w:r>
        <w:rPr/>
        <w:t>graduate. As well as providing administrative support for graduations, the unit generated </w:t>
      </w:r>
      <w:r>
        <w:rPr>
          <w:spacing w:val="2"/>
        </w:rPr>
        <w:t>19,225 </w:t>
      </w:r>
      <w:r>
        <w:rPr/>
        <w:t>hard copy and electronic documents, including</w:t>
      </w:r>
      <w:r>
        <w:rPr>
          <w:spacing w:val="-15"/>
        </w:rPr>
        <w:t> </w:t>
      </w:r>
      <w:r>
        <w:rPr/>
        <w:t>course</w:t>
      </w:r>
      <w:r>
        <w:rPr>
          <w:spacing w:val="-15"/>
        </w:rPr>
        <w:t> </w:t>
      </w:r>
      <w:r>
        <w:rPr/>
        <w:t>completion</w:t>
      </w:r>
      <w:r>
        <w:rPr>
          <w:spacing w:val="-15"/>
        </w:rPr>
        <w:t> </w:t>
      </w:r>
      <w:r>
        <w:rPr/>
        <w:t>letters,</w:t>
      </w:r>
      <w:r>
        <w:rPr>
          <w:spacing w:val="-15"/>
        </w:rPr>
        <w:t> </w:t>
      </w:r>
      <w:r>
        <w:rPr/>
        <w:t>academic transcripts,</w:t>
      </w:r>
      <w:r>
        <w:rPr>
          <w:spacing w:val="-24"/>
        </w:rPr>
        <w:t> </w:t>
      </w:r>
      <w:r>
        <w:rPr/>
        <w:t>replacement</w:t>
      </w:r>
      <w:r>
        <w:rPr>
          <w:spacing w:val="-24"/>
        </w:rPr>
        <w:t> </w:t>
      </w:r>
      <w:r>
        <w:rPr/>
        <w:t>testamurs,</w:t>
      </w:r>
      <w:r>
        <w:rPr>
          <w:spacing w:val="-24"/>
        </w:rPr>
        <w:t> </w:t>
      </w:r>
      <w:r>
        <w:rPr/>
        <w:t>Australian Higher Education Graduation Statements and embassy</w:t>
      </w:r>
      <w:r>
        <w:rPr>
          <w:spacing w:val="-25"/>
        </w:rPr>
        <w:t> </w:t>
      </w:r>
      <w:r>
        <w:rPr/>
        <w:t>result</w:t>
      </w:r>
      <w:r>
        <w:rPr>
          <w:spacing w:val="-25"/>
        </w:rPr>
        <w:t> </w:t>
      </w:r>
      <w:r>
        <w:rPr/>
        <w:t>letters.</w:t>
      </w:r>
    </w:p>
    <w:p>
      <w:pPr>
        <w:pStyle w:val="BodyText"/>
        <w:rPr>
          <w:sz w:val="14"/>
        </w:rPr>
      </w:pPr>
    </w:p>
    <w:p>
      <w:pPr>
        <w:pStyle w:val="BodyText"/>
        <w:spacing w:line="249" w:lineRule="auto"/>
        <w:ind w:left="107" w:right="54"/>
      </w:pPr>
      <w:r>
        <w:rPr>
          <w:spacing w:val="1"/>
          <w:w w:val="80"/>
        </w:rPr>
        <w:t>In</w:t>
      </w:r>
      <w:r>
        <w:rPr>
          <w:w w:val="80"/>
        </w:rPr>
        <w:t> </w:t>
      </w:r>
      <w:r>
        <w:rPr>
          <w:spacing w:val="1"/>
          <w:w w:val="84"/>
        </w:rPr>
        <w:t>2015,</w:t>
      </w:r>
      <w:r>
        <w:rPr>
          <w:w w:val="84"/>
        </w:rPr>
        <w:t> </w:t>
      </w:r>
      <w:r>
        <w:rPr>
          <w:spacing w:val="1"/>
          <w:w w:val="97"/>
        </w:rPr>
        <w:t>advances</w:t>
      </w:r>
      <w:r>
        <w:rPr>
          <w:w w:val="97"/>
        </w:rPr>
        <w:t> </w:t>
      </w:r>
      <w:r>
        <w:rPr>
          <w:w w:val="95"/>
        </w:rPr>
        <w:t>in </w:t>
      </w:r>
      <w:r>
        <w:rPr>
          <w:spacing w:val="1"/>
          <w:w w:val="99"/>
        </w:rPr>
        <w:t>technology</w:t>
      </w:r>
      <w:r>
        <w:rPr>
          <w:w w:val="99"/>
        </w:rPr>
        <w:t> </w:t>
      </w:r>
      <w:r>
        <w:rPr>
          <w:w w:val="97"/>
        </w:rPr>
        <w:t>were </w:t>
      </w:r>
      <w:r>
        <w:rPr>
          <w:spacing w:val="1"/>
          <w:w w:val="98"/>
        </w:rPr>
        <w:t>once</w:t>
      </w:r>
      <w:r>
        <w:rPr>
          <w:w w:val="98"/>
        </w:rPr>
        <w:t> </w:t>
      </w:r>
      <w:r>
        <w:rPr/>
        <w:t>again</w:t>
      </w:r>
      <w:r>
        <w:rPr>
          <w:spacing w:val="-18"/>
        </w:rPr>
        <w:t> </w:t>
      </w:r>
      <w:r>
        <w:rPr/>
        <w:t>a</w:t>
      </w:r>
      <w:r>
        <w:rPr>
          <w:spacing w:val="-18"/>
        </w:rPr>
        <w:t> </w:t>
      </w:r>
      <w:r>
        <w:rPr/>
        <w:t>focus,</w:t>
      </w:r>
      <w:r>
        <w:rPr>
          <w:spacing w:val="-18"/>
        </w:rPr>
        <w:t> </w:t>
      </w:r>
      <w:r>
        <w:rPr/>
        <w:t>benefitting</w:t>
      </w:r>
      <w:r>
        <w:rPr>
          <w:spacing w:val="-18"/>
        </w:rPr>
        <w:t> </w:t>
      </w:r>
      <w:r>
        <w:rPr/>
        <w:t>students</w:t>
      </w:r>
      <w:r>
        <w:rPr>
          <w:spacing w:val="-18"/>
        </w:rPr>
        <w:t> </w:t>
      </w:r>
      <w:r>
        <w:rPr/>
        <w:t>and</w:t>
      </w:r>
      <w:r>
        <w:rPr>
          <w:spacing w:val="-18"/>
        </w:rPr>
        <w:t> </w:t>
      </w:r>
      <w:r>
        <w:rPr/>
        <w:t>staff. An</w:t>
      </w:r>
      <w:r>
        <w:rPr>
          <w:spacing w:val="-13"/>
        </w:rPr>
        <w:t> </w:t>
      </w:r>
      <w:r>
        <w:rPr/>
        <w:t>online</w:t>
      </w:r>
      <w:r>
        <w:rPr>
          <w:spacing w:val="-13"/>
        </w:rPr>
        <w:t> </w:t>
      </w:r>
      <w:r>
        <w:rPr/>
        <w:t>applicant</w:t>
      </w:r>
      <w:r>
        <w:rPr>
          <w:spacing w:val="-13"/>
        </w:rPr>
        <w:t> </w:t>
      </w:r>
      <w:r>
        <w:rPr>
          <w:spacing w:val="2"/>
        </w:rPr>
        <w:t>portal</w:t>
      </w:r>
      <w:r>
        <w:rPr>
          <w:spacing w:val="-13"/>
        </w:rPr>
        <w:t> </w:t>
      </w:r>
      <w:r>
        <w:rPr/>
        <w:t>was</w:t>
      </w:r>
      <w:r>
        <w:rPr>
          <w:spacing w:val="-13"/>
        </w:rPr>
        <w:t> </w:t>
      </w:r>
      <w:r>
        <w:rPr/>
        <w:t>introduced</w:t>
      </w:r>
      <w:r>
        <w:rPr>
          <w:spacing w:val="-13"/>
        </w:rPr>
        <w:t> </w:t>
      </w:r>
      <w:r>
        <w:rPr/>
        <w:t>for international applicants and agents, as well as a direct interface between major agent IDP and the student management system known</w:t>
      </w:r>
      <w:r>
        <w:rPr>
          <w:spacing w:val="-17"/>
        </w:rPr>
        <w:t> </w:t>
      </w:r>
      <w:r>
        <w:rPr/>
        <w:t>as</w:t>
      </w:r>
      <w:r>
        <w:rPr>
          <w:spacing w:val="-17"/>
        </w:rPr>
        <w:t> </w:t>
      </w:r>
      <w:r>
        <w:rPr/>
        <w:t>Callista.</w:t>
      </w:r>
      <w:r>
        <w:rPr>
          <w:spacing w:val="-17"/>
        </w:rPr>
        <w:t> </w:t>
      </w:r>
      <w:r>
        <w:rPr/>
        <w:t>This</w:t>
      </w:r>
      <w:r>
        <w:rPr>
          <w:spacing w:val="-17"/>
        </w:rPr>
        <w:t> </w:t>
      </w:r>
      <w:r>
        <w:rPr/>
        <w:t>allowed</w:t>
      </w:r>
      <w:r>
        <w:rPr>
          <w:spacing w:val="-17"/>
        </w:rPr>
        <w:t> </w:t>
      </w:r>
      <w:r>
        <w:rPr/>
        <w:t>for</w:t>
      </w:r>
      <w:r>
        <w:rPr>
          <w:spacing w:val="-17"/>
        </w:rPr>
        <w:t> </w:t>
      </w:r>
      <w:r>
        <w:rPr/>
        <w:t>the</w:t>
      </w:r>
      <w:r>
        <w:rPr>
          <w:spacing w:val="-17"/>
        </w:rPr>
        <w:t> </w:t>
      </w:r>
      <w:r>
        <w:rPr/>
        <w:t>direct transfer</w:t>
      </w:r>
      <w:r>
        <w:rPr>
          <w:spacing w:val="-16"/>
        </w:rPr>
        <w:t> </w:t>
      </w:r>
      <w:r>
        <w:rPr/>
        <w:t>of</w:t>
      </w:r>
      <w:r>
        <w:rPr>
          <w:spacing w:val="-16"/>
        </w:rPr>
        <w:t> </w:t>
      </w:r>
      <w:r>
        <w:rPr/>
        <w:t>applications</w:t>
      </w:r>
      <w:r>
        <w:rPr>
          <w:spacing w:val="-16"/>
        </w:rPr>
        <w:t> </w:t>
      </w:r>
      <w:r>
        <w:rPr/>
        <w:t>from</w:t>
      </w:r>
      <w:r>
        <w:rPr>
          <w:spacing w:val="-16"/>
        </w:rPr>
        <w:t> </w:t>
      </w:r>
      <w:r>
        <w:rPr/>
        <w:t>IDP’s</w:t>
      </w:r>
      <w:r>
        <w:rPr>
          <w:spacing w:val="-16"/>
        </w:rPr>
        <w:t> </w:t>
      </w:r>
      <w:r>
        <w:rPr/>
        <w:t>system</w:t>
      </w:r>
      <w:r>
        <w:rPr>
          <w:spacing w:val="-16"/>
        </w:rPr>
        <w:t> </w:t>
      </w:r>
      <w:r>
        <w:rPr/>
        <w:t>to the</w:t>
      </w:r>
      <w:r>
        <w:rPr>
          <w:spacing w:val="-19"/>
        </w:rPr>
        <w:t> </w:t>
      </w:r>
      <w:r>
        <w:rPr/>
        <w:t>University,</w:t>
      </w:r>
      <w:r>
        <w:rPr>
          <w:spacing w:val="-19"/>
        </w:rPr>
        <w:t> </w:t>
      </w:r>
      <w:r>
        <w:rPr/>
        <w:t>removing</w:t>
      </w:r>
      <w:r>
        <w:rPr>
          <w:spacing w:val="-19"/>
        </w:rPr>
        <w:t> </w:t>
      </w:r>
      <w:r>
        <w:rPr/>
        <w:t>the</w:t>
      </w:r>
      <w:r>
        <w:rPr>
          <w:spacing w:val="-19"/>
        </w:rPr>
        <w:t> </w:t>
      </w:r>
      <w:r>
        <w:rPr/>
        <w:t>need</w:t>
      </w:r>
      <w:r>
        <w:rPr>
          <w:spacing w:val="-19"/>
        </w:rPr>
        <w:t> </w:t>
      </w:r>
      <w:r>
        <w:rPr/>
        <w:t>for</w:t>
      </w:r>
      <w:r>
        <w:rPr>
          <w:spacing w:val="-19"/>
        </w:rPr>
        <w:t> </w:t>
      </w:r>
      <w:r>
        <w:rPr/>
        <w:t>manual applications.</w:t>
      </w:r>
      <w:r>
        <w:rPr>
          <w:spacing w:val="-17"/>
        </w:rPr>
        <w:t> </w:t>
      </w:r>
      <w:r>
        <w:rPr>
          <w:spacing w:val="2"/>
        </w:rPr>
        <w:t>Because</w:t>
      </w:r>
      <w:r>
        <w:rPr>
          <w:spacing w:val="-17"/>
        </w:rPr>
        <w:t> </w:t>
      </w:r>
      <w:r>
        <w:rPr/>
        <w:t>of</w:t>
      </w:r>
      <w:r>
        <w:rPr>
          <w:spacing w:val="-17"/>
        </w:rPr>
        <w:t> </w:t>
      </w:r>
      <w:r>
        <w:rPr/>
        <w:t>these</w:t>
      </w:r>
      <w:r>
        <w:rPr>
          <w:spacing w:val="-17"/>
        </w:rPr>
        <w:t> </w:t>
      </w:r>
      <w:r>
        <w:rPr/>
        <w:t>initiatives,</w:t>
      </w:r>
      <w:r>
        <w:rPr>
          <w:spacing w:val="-17"/>
        </w:rPr>
        <w:t> </w:t>
      </w:r>
      <w:r>
        <w:rPr/>
        <w:t>40 per cent of international applications were electronic,</w:t>
      </w:r>
      <w:r>
        <w:rPr>
          <w:spacing w:val="-14"/>
        </w:rPr>
        <w:t> </w:t>
      </w:r>
      <w:r>
        <w:rPr/>
        <w:t>improving</w:t>
      </w:r>
      <w:r>
        <w:rPr>
          <w:spacing w:val="-14"/>
        </w:rPr>
        <w:t> </w:t>
      </w:r>
      <w:r>
        <w:rPr/>
        <w:t>the</w:t>
      </w:r>
      <w:r>
        <w:rPr>
          <w:spacing w:val="-14"/>
        </w:rPr>
        <w:t> </w:t>
      </w:r>
      <w:r>
        <w:rPr/>
        <w:t>service</w:t>
      </w:r>
      <w:r>
        <w:rPr>
          <w:spacing w:val="-14"/>
        </w:rPr>
        <w:t> </w:t>
      </w:r>
      <w:r>
        <w:rPr/>
        <w:t>to</w:t>
      </w:r>
      <w:r>
        <w:rPr>
          <w:spacing w:val="-14"/>
        </w:rPr>
        <w:t> </w:t>
      </w:r>
      <w:r>
        <w:rPr/>
        <w:t>students and</w:t>
      </w:r>
      <w:r>
        <w:rPr>
          <w:spacing w:val="-17"/>
        </w:rPr>
        <w:t> </w:t>
      </w:r>
      <w:r>
        <w:rPr/>
        <w:t>the</w:t>
      </w:r>
      <w:r>
        <w:rPr>
          <w:spacing w:val="-17"/>
        </w:rPr>
        <w:t> </w:t>
      </w:r>
      <w:r>
        <w:rPr/>
        <w:t>efficiency</w:t>
      </w:r>
      <w:r>
        <w:rPr>
          <w:spacing w:val="-17"/>
        </w:rPr>
        <w:t> </w:t>
      </w:r>
      <w:r>
        <w:rPr/>
        <w:t>of</w:t>
      </w:r>
      <w:r>
        <w:rPr>
          <w:spacing w:val="-17"/>
        </w:rPr>
        <w:t> </w:t>
      </w:r>
      <w:r>
        <w:rPr/>
        <w:t>processing.</w:t>
      </w:r>
    </w:p>
    <w:p>
      <w:pPr>
        <w:pStyle w:val="BodyText"/>
        <w:rPr>
          <w:sz w:val="14"/>
        </w:rPr>
      </w:pPr>
    </w:p>
    <w:p>
      <w:pPr>
        <w:pStyle w:val="BodyText"/>
        <w:spacing w:line="249" w:lineRule="auto"/>
        <w:ind w:left="107" w:right="-4"/>
      </w:pPr>
      <w:r>
        <w:rPr/>
        <w:t>MyStudentRecords (MySR), the main online tool for student self-administration, was </w:t>
      </w:r>
      <w:r>
        <w:rPr>
          <w:w w:val="97"/>
        </w:rPr>
        <w:t>significantly </w:t>
      </w:r>
      <w:r>
        <w:rPr>
          <w:w w:val="98"/>
        </w:rPr>
        <w:t>revamped </w:t>
      </w:r>
      <w:r>
        <w:rPr>
          <w:w w:val="95"/>
        </w:rPr>
        <w:t>in </w:t>
      </w:r>
      <w:r>
        <w:rPr>
          <w:w w:val="97"/>
        </w:rPr>
        <w:t>late </w:t>
      </w:r>
      <w:r>
        <w:rPr>
          <w:w w:val="84"/>
        </w:rPr>
        <w:t>2015, </w:t>
      </w:r>
      <w:r>
        <w:rPr>
          <w:w w:val="98"/>
        </w:rPr>
        <w:t>improving </w:t>
      </w:r>
      <w:r>
        <w:rPr/>
        <w:t>the look and feel for student users.</w:t>
      </w:r>
    </w:p>
    <w:p>
      <w:pPr>
        <w:pStyle w:val="BodyText"/>
        <w:rPr>
          <w:sz w:val="14"/>
        </w:rPr>
      </w:pPr>
    </w:p>
    <w:p>
      <w:pPr>
        <w:pStyle w:val="BodyText"/>
        <w:spacing w:line="249" w:lineRule="auto"/>
        <w:ind w:left="107" w:right="127"/>
      </w:pPr>
      <w:r>
        <w:rPr/>
        <w:t>All units were impacted by the rebrand, with the Student Systems unit heavily involved in the rebranding of systems, including the Applicant and Agent Portals, </w:t>
      </w:r>
      <w:r>
        <w:rPr>
          <w:w w:val="95"/>
        </w:rPr>
        <w:t>MyStudentRecords, Transcripts, Testamurs, </w:t>
      </w:r>
      <w:r>
        <w:rPr/>
        <w:t>Australian Higher Education Graduate</w:t>
      </w:r>
    </w:p>
    <w:p>
      <w:pPr>
        <w:pStyle w:val="BodyText"/>
        <w:spacing w:line="249" w:lineRule="auto"/>
        <w:ind w:left="107" w:right="8"/>
      </w:pPr>
      <w:r>
        <w:rPr/>
        <w:t>Statement (AHEGS) and all emails generated by Callista. In addition, the unit needed to undertake a double upgrade of the Callista student management system, which was successfully achieved with a great cross-</w:t>
      </w:r>
    </w:p>
    <w:p>
      <w:pPr>
        <w:pStyle w:val="BodyText"/>
        <w:spacing w:line="249" w:lineRule="auto"/>
        <w:ind w:left="107" w:right="307"/>
      </w:pPr>
      <w:r>
        <w:rPr/>
        <w:t>unit collaborative effort with Information Technology and Digital Services (ITDS).</w:t>
      </w:r>
    </w:p>
    <w:p>
      <w:pPr>
        <w:pStyle w:val="BodyText"/>
        <w:rPr>
          <w:sz w:val="14"/>
        </w:rPr>
      </w:pPr>
    </w:p>
    <w:p>
      <w:pPr>
        <w:pStyle w:val="BodyText"/>
        <w:spacing w:line="249" w:lineRule="auto"/>
        <w:ind w:left="107" w:right="75"/>
      </w:pPr>
      <w:r>
        <w:rPr/>
        <w:t>All</w:t>
      </w:r>
      <w:r>
        <w:rPr>
          <w:spacing w:val="-13"/>
        </w:rPr>
        <w:t> </w:t>
      </w:r>
      <w:r>
        <w:rPr/>
        <w:t>areas</w:t>
      </w:r>
      <w:r>
        <w:rPr>
          <w:spacing w:val="-13"/>
        </w:rPr>
        <w:t> </w:t>
      </w:r>
      <w:r>
        <w:rPr/>
        <w:t>of</w:t>
      </w:r>
      <w:r>
        <w:rPr>
          <w:spacing w:val="-13"/>
        </w:rPr>
        <w:t> </w:t>
      </w:r>
      <w:r>
        <w:rPr/>
        <w:t>ARO</w:t>
      </w:r>
      <w:r>
        <w:rPr>
          <w:spacing w:val="-13"/>
        </w:rPr>
        <w:t> </w:t>
      </w:r>
      <w:r>
        <w:rPr/>
        <w:t>were</w:t>
      </w:r>
      <w:r>
        <w:rPr>
          <w:spacing w:val="-13"/>
        </w:rPr>
        <w:t> </w:t>
      </w:r>
      <w:r>
        <w:rPr/>
        <w:t>involved</w:t>
      </w:r>
      <w:r>
        <w:rPr>
          <w:spacing w:val="-13"/>
        </w:rPr>
        <w:t> </w:t>
      </w:r>
      <w:r>
        <w:rPr/>
        <w:t>in</w:t>
      </w:r>
      <w:r>
        <w:rPr>
          <w:spacing w:val="-13"/>
        </w:rPr>
        <w:t> </w:t>
      </w:r>
      <w:r>
        <w:rPr/>
        <w:t>the</w:t>
      </w:r>
      <w:r>
        <w:rPr>
          <w:spacing w:val="-13"/>
        </w:rPr>
        <w:t> </w:t>
      </w:r>
      <w:r>
        <w:rPr/>
        <w:t>student management system review project, which began with a detailed sector-benchmarking project, and continued through business process mapping and specification development</w:t>
      </w:r>
      <w:r>
        <w:rPr>
          <w:spacing w:val="-15"/>
        </w:rPr>
        <w:t> </w:t>
      </w:r>
      <w:r>
        <w:rPr/>
        <w:t>prior</w:t>
      </w:r>
      <w:r>
        <w:rPr>
          <w:spacing w:val="-15"/>
        </w:rPr>
        <w:t> </w:t>
      </w:r>
      <w:r>
        <w:rPr/>
        <w:t>to</w:t>
      </w:r>
      <w:r>
        <w:rPr>
          <w:spacing w:val="-15"/>
        </w:rPr>
        <w:t> </w:t>
      </w:r>
      <w:r>
        <w:rPr/>
        <w:t>tender</w:t>
      </w:r>
      <w:r>
        <w:rPr>
          <w:spacing w:val="-15"/>
        </w:rPr>
        <w:t> </w:t>
      </w:r>
      <w:r>
        <w:rPr/>
        <w:t>design,</w:t>
      </w:r>
      <w:r>
        <w:rPr>
          <w:spacing w:val="-15"/>
        </w:rPr>
        <w:t> </w:t>
      </w:r>
      <w:r>
        <w:rPr/>
        <w:t>which</w:t>
      </w:r>
      <w:r>
        <w:rPr>
          <w:spacing w:val="-15"/>
        </w:rPr>
        <w:t> </w:t>
      </w:r>
      <w:r>
        <w:rPr/>
        <w:t>is </w:t>
      </w:r>
      <w:r>
        <w:rPr>
          <w:spacing w:val="1"/>
          <w:w w:val="97"/>
        </w:rPr>
        <w:t>due</w:t>
      </w:r>
      <w:r>
        <w:rPr>
          <w:w w:val="97"/>
        </w:rPr>
        <w:t> </w:t>
      </w:r>
      <w:r>
        <w:rPr>
          <w:w w:val="95"/>
        </w:rPr>
        <w:t>in</w:t>
      </w:r>
      <w:r>
        <w:rPr>
          <w:spacing w:val="-12"/>
          <w:w w:val="95"/>
        </w:rPr>
        <w:t> </w:t>
      </w:r>
      <w:r>
        <w:rPr>
          <w:spacing w:val="2"/>
          <w:w w:val="85"/>
        </w:rPr>
        <w:t>2016.</w:t>
      </w:r>
    </w:p>
    <w:p>
      <w:pPr>
        <w:pStyle w:val="BodyText"/>
        <w:rPr>
          <w:sz w:val="14"/>
        </w:rPr>
      </w:pPr>
    </w:p>
    <w:p>
      <w:pPr>
        <w:pStyle w:val="BodyText"/>
        <w:spacing w:line="249" w:lineRule="auto"/>
        <w:ind w:left="107" w:right="-4"/>
      </w:pPr>
      <w:r>
        <w:rPr>
          <w:w w:val="97"/>
        </w:rPr>
        <w:t>Structural </w:t>
      </w:r>
      <w:r>
        <w:rPr>
          <w:w w:val="97"/>
        </w:rPr>
        <w:t>changes </w:t>
      </w:r>
      <w:r>
        <w:rPr>
          <w:w w:val="97"/>
        </w:rPr>
        <w:t>will </w:t>
      </w:r>
      <w:r>
        <w:rPr>
          <w:w w:val="97"/>
        </w:rPr>
        <w:t>take </w:t>
      </w:r>
      <w:r>
        <w:rPr>
          <w:w w:val="98"/>
        </w:rPr>
        <w:t>place </w:t>
      </w:r>
      <w:r>
        <w:rPr>
          <w:w w:val="98"/>
        </w:rPr>
        <w:t>from </w:t>
      </w:r>
      <w:r>
        <w:rPr>
          <w:w w:val="90"/>
        </w:rPr>
        <w:t>2016 </w:t>
      </w:r>
      <w:r>
        <w:rPr>
          <w:w w:val="94"/>
        </w:rPr>
        <w:t>onwards, </w:t>
      </w:r>
      <w:r>
        <w:rPr>
          <w:w w:val="97"/>
        </w:rPr>
        <w:t>so </w:t>
      </w:r>
      <w:r>
        <w:rPr>
          <w:w w:val="88"/>
        </w:rPr>
        <w:t>2015 </w:t>
      </w:r>
      <w:r>
        <w:rPr>
          <w:w w:val="96"/>
        </w:rPr>
        <w:t>was </w:t>
      </w:r>
      <w:r>
        <w:rPr>
          <w:w w:val="97"/>
        </w:rPr>
        <w:t>the </w:t>
      </w:r>
      <w:r>
        <w:rPr>
          <w:w w:val="96"/>
        </w:rPr>
        <w:t>last </w:t>
      </w:r>
      <w:r>
        <w:rPr>
          <w:w w:val="97"/>
        </w:rPr>
        <w:t>year </w:t>
      </w:r>
      <w:r>
        <w:rPr>
          <w:w w:val="98"/>
        </w:rPr>
        <w:t>that </w:t>
      </w:r>
      <w:r>
        <w:rPr>
          <w:w w:val="97"/>
        </w:rPr>
        <w:t>the </w:t>
      </w:r>
      <w:r>
        <w:rPr/>
        <w:t>portfolio will report in the current format.</w:t>
      </w:r>
    </w:p>
    <w:p>
      <w:pPr>
        <w:pStyle w:val="Heading5"/>
        <w:spacing w:before="197"/>
        <w:ind w:left="112" w:right="17"/>
      </w:pPr>
      <w:r>
        <w:rPr>
          <w:b w:val="0"/>
        </w:rPr>
        <w:br w:type="column"/>
      </w:r>
      <w:r>
        <w:rPr>
          <w:w w:val="95"/>
        </w:rPr>
        <w:t>SCHOOLS ENGAGEMENT</w:t>
      </w:r>
    </w:p>
    <w:p>
      <w:pPr>
        <w:pStyle w:val="BodyText"/>
        <w:spacing w:line="249" w:lineRule="auto" w:before="209"/>
        <w:ind w:left="107" w:right="-18"/>
      </w:pPr>
      <w:r>
        <w:rPr/>
        <w:t>The University’s whole-of-institution Schools Engagement</w:t>
      </w:r>
      <w:r>
        <w:rPr>
          <w:spacing w:val="-29"/>
        </w:rPr>
        <w:t> </w:t>
      </w:r>
      <w:r>
        <w:rPr/>
        <w:t>program</w:t>
      </w:r>
      <w:r>
        <w:rPr>
          <w:spacing w:val="-29"/>
        </w:rPr>
        <w:t> </w:t>
      </w:r>
      <w:r>
        <w:rPr/>
        <w:t>has</w:t>
      </w:r>
      <w:r>
        <w:rPr>
          <w:spacing w:val="-29"/>
        </w:rPr>
        <w:t> </w:t>
      </w:r>
      <w:r>
        <w:rPr/>
        <w:t>been</w:t>
      </w:r>
      <w:r>
        <w:rPr>
          <w:spacing w:val="-29"/>
        </w:rPr>
        <w:t> </w:t>
      </w:r>
      <w:r>
        <w:rPr/>
        <w:t>operating</w:t>
      </w:r>
      <w:r>
        <w:rPr>
          <w:spacing w:val="-29"/>
        </w:rPr>
        <w:t> </w:t>
      </w:r>
      <w:r>
        <w:rPr/>
        <w:t>since 2007–08. It provides for mutually beneficial collaborations between the University, the school sector and other relevant stakeholders to increase engagement with public, private and independent schools and increase the </w:t>
      </w:r>
      <w:r>
        <w:rPr>
          <w:w w:val="95"/>
        </w:rPr>
        <w:t>educational aspirations and</w:t>
      </w:r>
      <w:r>
        <w:rPr>
          <w:spacing w:val="19"/>
          <w:w w:val="95"/>
        </w:rPr>
        <w:t> </w:t>
      </w:r>
      <w:r>
        <w:rPr>
          <w:w w:val="95"/>
        </w:rPr>
        <w:t>attainment</w:t>
      </w:r>
    </w:p>
    <w:p>
      <w:pPr>
        <w:pStyle w:val="BodyText"/>
        <w:spacing w:line="249" w:lineRule="auto"/>
        <w:ind w:left="107" w:right="164"/>
      </w:pPr>
      <w:r>
        <w:rPr/>
        <w:t>of school students. It enhances students’ university</w:t>
      </w:r>
      <w:r>
        <w:rPr>
          <w:spacing w:val="-26"/>
        </w:rPr>
        <w:t> </w:t>
      </w:r>
      <w:r>
        <w:rPr/>
        <w:t>preparedness</w:t>
      </w:r>
      <w:r>
        <w:rPr>
          <w:spacing w:val="-26"/>
        </w:rPr>
        <w:t> </w:t>
      </w:r>
      <w:r>
        <w:rPr/>
        <w:t>and</w:t>
      </w:r>
      <w:r>
        <w:rPr>
          <w:spacing w:val="-26"/>
        </w:rPr>
        <w:t> </w:t>
      </w:r>
      <w:r>
        <w:rPr/>
        <w:t>prospects,</w:t>
      </w:r>
      <w:r>
        <w:rPr>
          <w:spacing w:val="-26"/>
        </w:rPr>
        <w:t> </w:t>
      </w:r>
      <w:r>
        <w:rPr/>
        <w:t>and creates ongoing connections between the University, prospective students and their parents.</w:t>
      </w:r>
      <w:r>
        <w:rPr>
          <w:spacing w:val="-26"/>
        </w:rPr>
        <w:t> </w:t>
      </w:r>
      <w:r>
        <w:rPr/>
        <w:t>University</w:t>
      </w:r>
      <w:r>
        <w:rPr>
          <w:spacing w:val="-26"/>
        </w:rPr>
        <w:t> </w:t>
      </w:r>
      <w:r>
        <w:rPr/>
        <w:t>students</w:t>
      </w:r>
      <w:r>
        <w:rPr>
          <w:spacing w:val="-26"/>
        </w:rPr>
        <w:t> </w:t>
      </w:r>
      <w:r>
        <w:rPr/>
        <w:t>who</w:t>
      </w:r>
      <w:r>
        <w:rPr>
          <w:spacing w:val="-26"/>
        </w:rPr>
        <w:t> </w:t>
      </w:r>
      <w:r>
        <w:rPr/>
        <w:t>assist</w:t>
      </w:r>
      <w:r>
        <w:rPr>
          <w:spacing w:val="-26"/>
        </w:rPr>
        <w:t> </w:t>
      </w:r>
      <w:r>
        <w:rPr/>
        <w:t>with the</w:t>
      </w:r>
      <w:r>
        <w:rPr>
          <w:spacing w:val="-30"/>
        </w:rPr>
        <w:t> </w:t>
      </w:r>
      <w:r>
        <w:rPr/>
        <w:t>program</w:t>
      </w:r>
      <w:r>
        <w:rPr>
          <w:spacing w:val="-30"/>
        </w:rPr>
        <w:t> </w:t>
      </w:r>
      <w:r>
        <w:rPr/>
        <w:t>gain</w:t>
      </w:r>
      <w:r>
        <w:rPr>
          <w:spacing w:val="-30"/>
        </w:rPr>
        <w:t> </w:t>
      </w:r>
      <w:r>
        <w:rPr/>
        <w:t>valuable</w:t>
      </w:r>
      <w:r>
        <w:rPr>
          <w:spacing w:val="-30"/>
        </w:rPr>
        <w:t> </w:t>
      </w:r>
      <w:r>
        <w:rPr/>
        <w:t>and</w:t>
      </w:r>
      <w:r>
        <w:rPr>
          <w:spacing w:val="-30"/>
        </w:rPr>
        <w:t> </w:t>
      </w:r>
      <w:r>
        <w:rPr/>
        <w:t>professionally relevant</w:t>
      </w:r>
      <w:r>
        <w:rPr>
          <w:spacing w:val="-31"/>
        </w:rPr>
        <w:t> </w:t>
      </w:r>
      <w:r>
        <w:rPr/>
        <w:t>knowledge</w:t>
      </w:r>
      <w:r>
        <w:rPr>
          <w:spacing w:val="-31"/>
        </w:rPr>
        <w:t> </w:t>
      </w:r>
      <w:r>
        <w:rPr/>
        <w:t>and</w:t>
      </w:r>
      <w:r>
        <w:rPr>
          <w:spacing w:val="-31"/>
        </w:rPr>
        <w:t> </w:t>
      </w:r>
      <w:r>
        <w:rPr/>
        <w:t>skills.</w:t>
      </w:r>
      <w:r>
        <w:rPr>
          <w:spacing w:val="-31"/>
        </w:rPr>
        <w:t> </w:t>
      </w:r>
      <w:r>
        <w:rPr/>
        <w:t>The</w:t>
      </w:r>
      <w:r>
        <w:rPr>
          <w:spacing w:val="-31"/>
        </w:rPr>
        <w:t> </w:t>
      </w:r>
      <w:r>
        <w:rPr/>
        <w:t>number</w:t>
      </w:r>
      <w:r>
        <w:rPr>
          <w:spacing w:val="-31"/>
        </w:rPr>
        <w:t> </w:t>
      </w:r>
      <w:r>
        <w:rPr/>
        <w:t>of school</w:t>
      </w:r>
      <w:r>
        <w:rPr>
          <w:spacing w:val="-25"/>
        </w:rPr>
        <w:t> </w:t>
      </w:r>
      <w:r>
        <w:rPr/>
        <w:t>students</w:t>
      </w:r>
      <w:r>
        <w:rPr>
          <w:spacing w:val="-25"/>
        </w:rPr>
        <w:t> </w:t>
      </w:r>
      <w:r>
        <w:rPr/>
        <w:t>benefiting</w:t>
      </w:r>
      <w:r>
        <w:rPr>
          <w:spacing w:val="-25"/>
        </w:rPr>
        <w:t> </w:t>
      </w:r>
      <w:r>
        <w:rPr/>
        <w:t>from</w:t>
      </w:r>
      <w:r>
        <w:rPr>
          <w:spacing w:val="-25"/>
        </w:rPr>
        <w:t> </w:t>
      </w:r>
      <w:r>
        <w:rPr/>
        <w:t>the</w:t>
      </w:r>
      <w:r>
        <w:rPr>
          <w:spacing w:val="-25"/>
        </w:rPr>
        <w:t> </w:t>
      </w:r>
      <w:r>
        <w:rPr/>
        <w:t>program has</w:t>
      </w:r>
      <w:r>
        <w:rPr>
          <w:spacing w:val="-31"/>
        </w:rPr>
        <w:t> </w:t>
      </w:r>
      <w:r>
        <w:rPr/>
        <w:t>increased</w:t>
      </w:r>
      <w:r>
        <w:rPr>
          <w:spacing w:val="-31"/>
        </w:rPr>
        <w:t> </w:t>
      </w:r>
      <w:r>
        <w:rPr/>
        <w:t>exponentially</w:t>
      </w:r>
      <w:r>
        <w:rPr>
          <w:spacing w:val="-31"/>
        </w:rPr>
        <w:t> </w:t>
      </w:r>
      <w:r>
        <w:rPr/>
        <w:t>since</w:t>
      </w:r>
      <w:r>
        <w:rPr>
          <w:spacing w:val="-31"/>
        </w:rPr>
        <w:t> </w:t>
      </w:r>
      <w:r>
        <w:rPr/>
        <w:t>the</w:t>
      </w:r>
      <w:r>
        <w:rPr>
          <w:spacing w:val="-31"/>
        </w:rPr>
        <w:t> </w:t>
      </w:r>
      <w:r>
        <w:rPr/>
        <w:t>outset, </w:t>
      </w:r>
      <w:r>
        <w:rPr>
          <w:w w:val="97"/>
        </w:rPr>
        <w:t>and</w:t>
      </w:r>
      <w:r>
        <w:rPr>
          <w:spacing w:val="-10"/>
          <w:w w:val="97"/>
        </w:rPr>
        <w:t> </w:t>
      </w:r>
      <w:r>
        <w:rPr>
          <w:spacing w:val="-1"/>
          <w:w w:val="95"/>
        </w:rPr>
        <w:t>in</w:t>
      </w:r>
      <w:r>
        <w:rPr>
          <w:spacing w:val="-9"/>
          <w:w w:val="95"/>
        </w:rPr>
        <w:t> </w:t>
      </w:r>
      <w:r>
        <w:rPr>
          <w:w w:val="88"/>
        </w:rPr>
        <w:t>2015</w:t>
      </w:r>
      <w:r>
        <w:rPr>
          <w:spacing w:val="-5"/>
          <w:w w:val="88"/>
        </w:rPr>
        <w:t> </w:t>
      </w:r>
      <w:r>
        <w:rPr>
          <w:spacing w:val="-1"/>
          <w:w w:val="99"/>
        </w:rPr>
        <w:t>it</w:t>
      </w:r>
      <w:r>
        <w:rPr>
          <w:spacing w:val="-11"/>
          <w:w w:val="99"/>
        </w:rPr>
        <w:t> </w:t>
      </w:r>
      <w:r>
        <w:rPr>
          <w:spacing w:val="-2"/>
          <w:w w:val="98"/>
        </w:rPr>
        <w:t>involved</w:t>
      </w:r>
      <w:r>
        <w:rPr>
          <w:spacing w:val="-10"/>
          <w:w w:val="98"/>
        </w:rPr>
        <w:t> </w:t>
      </w:r>
      <w:r>
        <w:rPr>
          <w:spacing w:val="-2"/>
          <w:w w:val="98"/>
        </w:rPr>
        <w:t>over</w:t>
      </w:r>
      <w:r>
        <w:rPr>
          <w:spacing w:val="-10"/>
          <w:w w:val="98"/>
        </w:rPr>
        <w:t> </w:t>
      </w:r>
      <w:r>
        <w:rPr>
          <w:spacing w:val="1"/>
          <w:w w:val="101"/>
        </w:rPr>
        <w:t>50,000</w:t>
      </w:r>
      <w:r>
        <w:rPr>
          <w:spacing w:val="-12"/>
          <w:w w:val="101"/>
        </w:rPr>
        <w:t> </w:t>
      </w:r>
      <w:r>
        <w:rPr>
          <w:spacing w:val="-1"/>
          <w:w w:val="93"/>
        </w:rPr>
        <w:t>students</w:t>
      </w:r>
      <w:r>
        <w:rPr>
          <w:spacing w:val="-1"/>
          <w:w w:val="93"/>
          <w:position w:val="5"/>
          <w:sz w:val="9"/>
        </w:rPr>
        <w:t>1</w:t>
      </w:r>
      <w:r>
        <w:rPr>
          <w:w w:val="93"/>
          <w:position w:val="5"/>
          <w:sz w:val="9"/>
        </w:rPr>
        <w:t> </w:t>
      </w:r>
      <w:r>
        <w:rPr/>
        <w:t>from</w:t>
      </w:r>
      <w:r>
        <w:rPr>
          <w:spacing w:val="-28"/>
        </w:rPr>
        <w:t> </w:t>
      </w:r>
      <w:r>
        <w:rPr/>
        <w:t>more</w:t>
      </w:r>
      <w:r>
        <w:rPr>
          <w:spacing w:val="-28"/>
        </w:rPr>
        <w:t> </w:t>
      </w:r>
      <w:r>
        <w:rPr/>
        <w:t>than</w:t>
      </w:r>
      <w:r>
        <w:rPr>
          <w:spacing w:val="-28"/>
        </w:rPr>
        <w:t> </w:t>
      </w:r>
      <w:r>
        <w:rPr/>
        <w:t>2,500</w:t>
      </w:r>
      <w:r>
        <w:rPr>
          <w:spacing w:val="-28"/>
        </w:rPr>
        <w:t> </w:t>
      </w:r>
      <w:r>
        <w:rPr/>
        <w:t>schools.</w:t>
      </w:r>
    </w:p>
    <w:p>
      <w:pPr>
        <w:pStyle w:val="BodyText"/>
        <w:rPr>
          <w:sz w:val="14"/>
        </w:rPr>
      </w:pPr>
    </w:p>
    <w:p>
      <w:pPr>
        <w:pStyle w:val="BodyText"/>
        <w:spacing w:line="249" w:lineRule="auto"/>
        <w:ind w:left="107" w:right="190"/>
      </w:pPr>
      <w:r>
        <w:rPr/>
        <w:t>All of the University’s faculties, most research hubs and many non-academic areas participated in Schools Engagement.</w:t>
      </w:r>
    </w:p>
    <w:p>
      <w:pPr>
        <w:pStyle w:val="BodyText"/>
        <w:spacing w:line="249" w:lineRule="auto"/>
        <w:ind w:left="107" w:right="17"/>
      </w:pPr>
      <w:r>
        <w:rPr/>
        <w:t>Initiatives </w:t>
      </w:r>
      <w:r>
        <w:rPr>
          <w:spacing w:val="2"/>
        </w:rPr>
        <w:t>embedded </w:t>
      </w:r>
      <w:r>
        <w:rPr/>
        <w:t>across the University are</w:t>
      </w:r>
      <w:r>
        <w:rPr>
          <w:spacing w:val="-18"/>
        </w:rPr>
        <w:t> </w:t>
      </w:r>
      <w:r>
        <w:rPr/>
        <w:t>diverse</w:t>
      </w:r>
      <w:r>
        <w:rPr>
          <w:spacing w:val="-18"/>
        </w:rPr>
        <w:t> </w:t>
      </w:r>
      <w:r>
        <w:rPr/>
        <w:t>and</w:t>
      </w:r>
      <w:r>
        <w:rPr>
          <w:spacing w:val="-18"/>
        </w:rPr>
        <w:t> </w:t>
      </w:r>
      <w:r>
        <w:rPr/>
        <w:t>range</w:t>
      </w:r>
      <w:r>
        <w:rPr>
          <w:spacing w:val="-18"/>
        </w:rPr>
        <w:t> </w:t>
      </w:r>
      <w:r>
        <w:rPr/>
        <w:t>from</w:t>
      </w:r>
      <w:r>
        <w:rPr>
          <w:spacing w:val="-18"/>
        </w:rPr>
        <w:t> </w:t>
      </w:r>
      <w:r>
        <w:rPr/>
        <w:t>large-scale,</w:t>
      </w:r>
      <w:r>
        <w:rPr>
          <w:spacing w:val="-18"/>
        </w:rPr>
        <w:t> </w:t>
      </w:r>
      <w:r>
        <w:rPr/>
        <w:t>multi- year aspiration-building programs such as Fast Forward, through advanced-learning opportunities</w:t>
      </w:r>
      <w:r>
        <w:rPr>
          <w:spacing w:val="-11"/>
        </w:rPr>
        <w:t> </w:t>
      </w:r>
      <w:r>
        <w:rPr/>
        <w:t>for</w:t>
      </w:r>
      <w:r>
        <w:rPr>
          <w:spacing w:val="-11"/>
        </w:rPr>
        <w:t> </w:t>
      </w:r>
      <w:r>
        <w:rPr/>
        <w:t>gifted</w:t>
      </w:r>
      <w:r>
        <w:rPr>
          <w:spacing w:val="-11"/>
        </w:rPr>
        <w:t> </w:t>
      </w:r>
      <w:r>
        <w:rPr/>
        <w:t>and</w:t>
      </w:r>
      <w:r>
        <w:rPr>
          <w:spacing w:val="-11"/>
        </w:rPr>
        <w:t> </w:t>
      </w:r>
      <w:r>
        <w:rPr/>
        <w:t>talented</w:t>
      </w:r>
      <w:r>
        <w:rPr>
          <w:spacing w:val="-11"/>
        </w:rPr>
        <w:t> </w:t>
      </w:r>
      <w:r>
        <w:rPr/>
        <w:t>students such</w:t>
      </w:r>
      <w:r>
        <w:rPr>
          <w:spacing w:val="-16"/>
        </w:rPr>
        <w:t> </w:t>
      </w:r>
      <w:r>
        <w:rPr/>
        <w:t>as</w:t>
      </w:r>
      <w:r>
        <w:rPr>
          <w:spacing w:val="-16"/>
        </w:rPr>
        <w:t> </w:t>
      </w:r>
      <w:r>
        <w:rPr/>
        <w:t>Young</w:t>
      </w:r>
      <w:r>
        <w:rPr>
          <w:spacing w:val="-16"/>
        </w:rPr>
        <w:t> </w:t>
      </w:r>
      <w:r>
        <w:rPr/>
        <w:t>Writers’</w:t>
      </w:r>
      <w:r>
        <w:rPr>
          <w:spacing w:val="-16"/>
        </w:rPr>
        <w:t> </w:t>
      </w:r>
      <w:r>
        <w:rPr/>
        <w:t>Day</w:t>
      </w:r>
      <w:r>
        <w:rPr>
          <w:spacing w:val="-16"/>
        </w:rPr>
        <w:t> </w:t>
      </w:r>
      <w:r>
        <w:rPr/>
        <w:t>and</w:t>
      </w:r>
      <w:r>
        <w:rPr>
          <w:spacing w:val="-16"/>
        </w:rPr>
        <w:t> </w:t>
      </w:r>
      <w:r>
        <w:rPr/>
        <w:t>the</w:t>
      </w:r>
      <w:r>
        <w:rPr>
          <w:spacing w:val="-16"/>
        </w:rPr>
        <w:t> </w:t>
      </w:r>
      <w:r>
        <w:rPr/>
        <w:t>Brain</w:t>
      </w:r>
      <w:r>
        <w:rPr>
          <w:spacing w:val="-16"/>
        </w:rPr>
        <w:t> </w:t>
      </w:r>
      <w:r>
        <w:rPr/>
        <w:t>Bee Challenge,</w:t>
      </w:r>
      <w:r>
        <w:rPr>
          <w:spacing w:val="-17"/>
        </w:rPr>
        <w:t> </w:t>
      </w:r>
      <w:r>
        <w:rPr/>
        <w:t>to</w:t>
      </w:r>
      <w:r>
        <w:rPr>
          <w:spacing w:val="-17"/>
        </w:rPr>
        <w:t> </w:t>
      </w:r>
      <w:r>
        <w:rPr/>
        <w:t>one-off</w:t>
      </w:r>
      <w:r>
        <w:rPr>
          <w:spacing w:val="-17"/>
        </w:rPr>
        <w:t> </w:t>
      </w:r>
      <w:r>
        <w:rPr/>
        <w:t>expert</w:t>
      </w:r>
      <w:r>
        <w:rPr>
          <w:spacing w:val="-17"/>
        </w:rPr>
        <w:t> </w:t>
      </w:r>
      <w:r>
        <w:rPr/>
        <w:t>presentations</w:t>
      </w:r>
    </w:p>
    <w:p>
      <w:pPr>
        <w:pStyle w:val="BodyText"/>
        <w:spacing w:line="249" w:lineRule="auto"/>
        <w:ind w:left="107" w:right="96"/>
      </w:pPr>
      <w:r>
        <w:rPr/>
        <w:t>in schools by renowned academic speakers. All relevant initiatives were positively </w:t>
      </w:r>
      <w:r>
        <w:rPr>
          <w:w w:val="97"/>
        </w:rPr>
        <w:t>evaluated </w:t>
      </w:r>
      <w:r>
        <w:rPr>
          <w:w w:val="95"/>
        </w:rPr>
        <w:t>in </w:t>
      </w:r>
      <w:r>
        <w:rPr>
          <w:w w:val="88"/>
        </w:rPr>
        <w:t>2015 </w:t>
      </w:r>
      <w:r>
        <w:rPr>
          <w:w w:val="97"/>
        </w:rPr>
        <w:t>and </w:t>
      </w:r>
      <w:r>
        <w:rPr>
          <w:w w:val="99"/>
        </w:rPr>
        <w:t>most </w:t>
      </w:r>
      <w:r>
        <w:rPr>
          <w:w w:val="98"/>
        </w:rPr>
        <w:t>extended </w:t>
      </w:r>
      <w:r>
        <w:rPr>
          <w:w w:val="97"/>
        </w:rPr>
        <w:t>their </w:t>
      </w:r>
      <w:r>
        <w:rPr/>
        <w:t>reach. Proven longer-term HEPP-funded programs for Aboriginal and Torres Strait Islander students, Pathways to Dreaming and Heartbeat, continued to grow and were complemented by newer programs in the</w:t>
      </w:r>
    </w:p>
    <w:p>
      <w:pPr>
        <w:pStyle w:val="BodyText"/>
        <w:spacing w:line="249" w:lineRule="auto"/>
        <w:ind w:left="107" w:right="17"/>
      </w:pPr>
      <w:r>
        <w:rPr/>
        <w:t>same</w:t>
      </w:r>
      <w:r>
        <w:rPr>
          <w:spacing w:val="-20"/>
        </w:rPr>
        <w:t> </w:t>
      </w:r>
      <w:r>
        <w:rPr/>
        <w:t>space,</w:t>
      </w:r>
      <w:r>
        <w:rPr>
          <w:spacing w:val="-20"/>
        </w:rPr>
        <w:t> </w:t>
      </w:r>
      <w:r>
        <w:rPr/>
        <w:t>all</w:t>
      </w:r>
      <w:r>
        <w:rPr>
          <w:spacing w:val="-20"/>
        </w:rPr>
        <w:t> </w:t>
      </w:r>
      <w:r>
        <w:rPr/>
        <w:t>of</w:t>
      </w:r>
      <w:r>
        <w:rPr>
          <w:spacing w:val="-20"/>
        </w:rPr>
        <w:t> </w:t>
      </w:r>
      <w:r>
        <w:rPr/>
        <w:t>which</w:t>
      </w:r>
      <w:r>
        <w:rPr>
          <w:spacing w:val="-20"/>
        </w:rPr>
        <w:t> </w:t>
      </w:r>
      <w:r>
        <w:rPr/>
        <w:t>were</w:t>
      </w:r>
      <w:r>
        <w:rPr>
          <w:spacing w:val="-20"/>
        </w:rPr>
        <w:t> </w:t>
      </w:r>
      <w:r>
        <w:rPr/>
        <w:t>very</w:t>
      </w:r>
      <w:r>
        <w:rPr>
          <w:spacing w:val="-20"/>
        </w:rPr>
        <w:t> </w:t>
      </w:r>
      <w:r>
        <w:rPr/>
        <w:t>successful. Through Australian Government Bridges to Higher</w:t>
      </w:r>
      <w:r>
        <w:rPr>
          <w:spacing w:val="-19"/>
        </w:rPr>
        <w:t> </w:t>
      </w:r>
      <w:r>
        <w:rPr/>
        <w:t>Education</w:t>
      </w:r>
      <w:r>
        <w:rPr>
          <w:spacing w:val="-19"/>
        </w:rPr>
        <w:t> </w:t>
      </w:r>
      <w:r>
        <w:rPr/>
        <w:t>funding,</w:t>
      </w:r>
      <w:r>
        <w:rPr>
          <w:spacing w:val="-19"/>
        </w:rPr>
        <w:t> </w:t>
      </w:r>
      <w:r>
        <w:rPr/>
        <w:t>a</w:t>
      </w:r>
      <w:r>
        <w:rPr>
          <w:spacing w:val="-19"/>
        </w:rPr>
        <w:t> </w:t>
      </w:r>
      <w:r>
        <w:rPr/>
        <w:t>new</w:t>
      </w:r>
      <w:r>
        <w:rPr>
          <w:spacing w:val="-19"/>
        </w:rPr>
        <w:t> </w:t>
      </w:r>
      <w:r>
        <w:rPr/>
        <w:t>website</w:t>
      </w:r>
    </w:p>
    <w:p>
      <w:pPr>
        <w:pStyle w:val="BodyText"/>
        <w:spacing w:line="249" w:lineRule="auto"/>
        <w:ind w:left="107" w:right="471"/>
        <w:jc w:val="both"/>
      </w:pPr>
      <w:r>
        <w:rPr/>
        <w:t>was</w:t>
      </w:r>
      <w:r>
        <w:rPr>
          <w:spacing w:val="-17"/>
        </w:rPr>
        <w:t> </w:t>
      </w:r>
      <w:r>
        <w:rPr/>
        <w:t>developed</w:t>
      </w:r>
      <w:r>
        <w:rPr>
          <w:spacing w:val="-17"/>
        </w:rPr>
        <w:t> </w:t>
      </w:r>
      <w:r>
        <w:rPr/>
        <w:t>for</w:t>
      </w:r>
      <w:r>
        <w:rPr>
          <w:spacing w:val="-17"/>
        </w:rPr>
        <w:t> </w:t>
      </w:r>
      <w:r>
        <w:rPr/>
        <w:t>Heartbeat,</w:t>
      </w:r>
      <w:r>
        <w:rPr>
          <w:spacing w:val="-17"/>
        </w:rPr>
        <w:t> </w:t>
      </w:r>
      <w:r>
        <w:rPr/>
        <w:t>featuring an</w:t>
      </w:r>
      <w:r>
        <w:rPr>
          <w:spacing w:val="-17"/>
        </w:rPr>
        <w:t> </w:t>
      </w:r>
      <w:r>
        <w:rPr/>
        <w:t>interactive</w:t>
      </w:r>
      <w:r>
        <w:rPr>
          <w:spacing w:val="-17"/>
        </w:rPr>
        <w:t> </w:t>
      </w:r>
      <w:r>
        <w:rPr/>
        <w:t>game</w:t>
      </w:r>
      <w:r>
        <w:rPr>
          <w:spacing w:val="-17"/>
        </w:rPr>
        <w:t> </w:t>
      </w:r>
      <w:r>
        <w:rPr/>
        <w:t>linked</w:t>
      </w:r>
      <w:r>
        <w:rPr>
          <w:spacing w:val="-17"/>
        </w:rPr>
        <w:t> </w:t>
      </w:r>
      <w:r>
        <w:rPr/>
        <w:t>to</w:t>
      </w:r>
      <w:r>
        <w:rPr>
          <w:spacing w:val="-17"/>
        </w:rPr>
        <w:t> </w:t>
      </w:r>
      <w:r>
        <w:rPr/>
        <w:t>traditional Aboriginal</w:t>
      </w:r>
      <w:r>
        <w:rPr>
          <w:spacing w:val="-10"/>
        </w:rPr>
        <w:t> </w:t>
      </w:r>
      <w:r>
        <w:rPr/>
        <w:t>knowledge.</w:t>
      </w:r>
    </w:p>
    <w:p>
      <w:pPr>
        <w:pStyle w:val="BodyText"/>
        <w:rPr>
          <w:sz w:val="14"/>
        </w:rPr>
      </w:pPr>
    </w:p>
    <w:p>
      <w:pPr>
        <w:pStyle w:val="BodyText"/>
        <w:spacing w:line="249" w:lineRule="auto"/>
        <w:ind w:left="107" w:right="184"/>
      </w:pPr>
      <w:r>
        <w:rPr/>
        <w:t>The University also runs professionally accredited courses for school teachers and staff, and undertakes research projects relevant to the school sector. The Schools Engagement Reference Group, comprising</w:t>
      </w:r>
    </w:p>
    <w:p>
      <w:pPr>
        <w:pStyle w:val="BodyText"/>
        <w:spacing w:before="10"/>
      </w:pPr>
      <w:r>
        <w:rPr/>
        <w:br w:type="column"/>
      </w:r>
      <w:r>
        <w:rPr/>
      </w:r>
    </w:p>
    <w:p>
      <w:pPr>
        <w:pStyle w:val="BodyText"/>
        <w:spacing w:line="249" w:lineRule="auto"/>
        <w:ind w:left="107" w:right="125"/>
      </w:pPr>
      <w:r>
        <w:rPr/>
        <w:t>senior administrators and school principals from the public, Catholic and independent school sectors, continued to provide valuable advice, advocacy and assistance with implementing the University’s three-year Schools Engagement Strategic Plan, which is </w:t>
      </w:r>
      <w:r>
        <w:rPr>
          <w:w w:val="97"/>
        </w:rPr>
        <w:t>due </w:t>
      </w:r>
      <w:r>
        <w:rPr>
          <w:w w:val="98"/>
        </w:rPr>
        <w:t>for </w:t>
      </w:r>
      <w:r>
        <w:rPr>
          <w:w w:val="97"/>
        </w:rPr>
        <w:t>review </w:t>
      </w:r>
      <w:r>
        <w:rPr>
          <w:w w:val="95"/>
        </w:rPr>
        <w:t>in </w:t>
      </w:r>
      <w:r>
        <w:rPr>
          <w:w w:val="85"/>
        </w:rPr>
        <w:t>2016.</w:t>
      </w:r>
    </w:p>
    <w:p>
      <w:pPr>
        <w:pStyle w:val="BodyText"/>
        <w:spacing w:before="7"/>
        <w:rPr>
          <w:sz w:val="21"/>
        </w:rPr>
      </w:pPr>
    </w:p>
    <w:p>
      <w:pPr>
        <w:pStyle w:val="Heading8"/>
        <w:ind w:right="112"/>
      </w:pPr>
      <w:r>
        <w:rPr>
          <w:w w:val="95"/>
        </w:rPr>
        <w:t>PATHWAYS TO SUCCESS</w:t>
      </w:r>
    </w:p>
    <w:p>
      <w:pPr>
        <w:spacing w:line="247" w:lineRule="auto" w:before="86"/>
        <w:ind w:left="107" w:right="107" w:firstLine="0"/>
        <w:jc w:val="left"/>
        <w:rPr>
          <w:sz w:val="16"/>
        </w:rPr>
      </w:pPr>
      <w:r>
        <w:rPr>
          <w:sz w:val="16"/>
        </w:rPr>
        <w:t>Pathways to Success is a two-year project aiming to seek new admission pathways to bachelor degrees within a range of entry criteria for admission that may include the </w:t>
      </w:r>
      <w:r>
        <w:rPr>
          <w:spacing w:val="-3"/>
          <w:sz w:val="16"/>
        </w:rPr>
        <w:t>ATAR. </w:t>
      </w:r>
      <w:r>
        <w:rPr>
          <w:sz w:val="16"/>
        </w:rPr>
        <w:t>Pathways should align with the </w:t>
      </w:r>
      <w:r>
        <w:rPr>
          <w:rFonts w:ascii="Century Gothic"/>
          <w:i/>
          <w:sz w:val="16"/>
        </w:rPr>
        <w:t>TEQSA </w:t>
      </w:r>
      <w:r>
        <w:rPr>
          <w:rFonts w:ascii="Century Gothic"/>
          <w:i/>
          <w:w w:val="95"/>
          <w:sz w:val="16"/>
        </w:rPr>
        <w:t>Higher Education Threshold Standards for </w:t>
      </w:r>
      <w:r>
        <w:rPr>
          <w:rFonts w:ascii="Century Gothic"/>
          <w:i/>
          <w:sz w:val="16"/>
        </w:rPr>
        <w:t>Admission </w:t>
      </w:r>
      <w:r>
        <w:rPr>
          <w:sz w:val="16"/>
        </w:rPr>
        <w:t>and the </w:t>
      </w:r>
      <w:r>
        <w:rPr>
          <w:rFonts w:ascii="Century Gothic"/>
          <w:i/>
          <w:sz w:val="16"/>
        </w:rPr>
        <w:t>Securing Success </w:t>
      </w:r>
      <w:r>
        <w:rPr>
          <w:sz w:val="16"/>
        </w:rPr>
        <w:t>goals. These goals include:</w:t>
      </w:r>
    </w:p>
    <w:p>
      <w:pPr>
        <w:pStyle w:val="BodyText"/>
        <w:spacing w:before="8"/>
        <w:rPr>
          <w:sz w:val="14"/>
        </w:rPr>
      </w:pPr>
    </w:p>
    <w:p>
      <w:pPr>
        <w:spacing w:line="249" w:lineRule="auto" w:before="0"/>
        <w:ind w:left="107" w:right="112" w:firstLine="0"/>
        <w:jc w:val="left"/>
        <w:rPr>
          <w:rFonts w:ascii="Gotham Narrow Book"/>
          <w:b w:val="0"/>
          <w:i/>
          <w:sz w:val="16"/>
        </w:rPr>
      </w:pPr>
      <w:r>
        <w:rPr>
          <w:rFonts w:ascii="Gotham Narrow Book"/>
          <w:b w:val="0"/>
          <w:i/>
          <w:sz w:val="16"/>
        </w:rPr>
        <w:t>Goal 1: To be a distinctively student-centred </w:t>
      </w:r>
      <w:r>
        <w:rPr>
          <w:rFonts w:ascii="Gotham Narrow Book"/>
          <w:b w:val="0"/>
          <w:i/>
          <w:sz w:val="16"/>
        </w:rPr>
        <w:t>university</w:t>
      </w:r>
    </w:p>
    <w:p>
      <w:pPr>
        <w:pStyle w:val="BodyText"/>
        <w:ind w:left="107" w:right="26"/>
      </w:pPr>
      <w:r>
        <w:rPr>
          <w:rFonts w:ascii="Gotham Narrow Book"/>
          <w:b w:val="0"/>
        </w:rPr>
        <w:t>1.1: Offer a range of pathways that emphasise excellence and opportunity. </w:t>
      </w:r>
      <w:r>
        <w:rPr/>
        <w:t>These will support seamless movement between Western</w:t>
      </w:r>
    </w:p>
    <w:p>
      <w:pPr>
        <w:pStyle w:val="BodyText"/>
        <w:spacing w:line="249" w:lineRule="auto" w:before="7"/>
        <w:ind w:left="107" w:right="259"/>
      </w:pPr>
      <w:r>
        <w:rPr/>
        <w:t>Sydney</w:t>
      </w:r>
      <w:r>
        <w:rPr>
          <w:spacing w:val="-21"/>
        </w:rPr>
        <w:t> </w:t>
      </w:r>
      <w:r>
        <w:rPr/>
        <w:t>University</w:t>
      </w:r>
      <w:r>
        <w:rPr>
          <w:spacing w:val="-21"/>
        </w:rPr>
        <w:t> </w:t>
      </w:r>
      <w:r>
        <w:rPr/>
        <w:t>The</w:t>
      </w:r>
      <w:r>
        <w:rPr>
          <w:spacing w:val="-21"/>
        </w:rPr>
        <w:t> </w:t>
      </w:r>
      <w:r>
        <w:rPr/>
        <w:t>College,</w:t>
      </w:r>
      <w:r>
        <w:rPr>
          <w:spacing w:val="-21"/>
        </w:rPr>
        <w:t> </w:t>
      </w:r>
      <w:r>
        <w:rPr/>
        <w:t>the</w:t>
      </w:r>
      <w:r>
        <w:rPr>
          <w:spacing w:val="-21"/>
        </w:rPr>
        <w:t> </w:t>
      </w:r>
      <w:r>
        <w:rPr/>
        <w:t>Academy and</w:t>
      </w:r>
      <w:r>
        <w:rPr>
          <w:spacing w:val="-20"/>
        </w:rPr>
        <w:t> </w:t>
      </w:r>
      <w:r>
        <w:rPr/>
        <w:t>a</w:t>
      </w:r>
      <w:r>
        <w:rPr>
          <w:spacing w:val="-20"/>
        </w:rPr>
        <w:t> </w:t>
      </w:r>
      <w:r>
        <w:rPr/>
        <w:t>growing</w:t>
      </w:r>
      <w:r>
        <w:rPr>
          <w:spacing w:val="-20"/>
        </w:rPr>
        <w:t> </w:t>
      </w:r>
      <w:r>
        <w:rPr/>
        <w:t>number</w:t>
      </w:r>
      <w:r>
        <w:rPr>
          <w:spacing w:val="-20"/>
        </w:rPr>
        <w:t> </w:t>
      </w:r>
      <w:r>
        <w:rPr/>
        <w:t>of</w:t>
      </w:r>
      <w:r>
        <w:rPr>
          <w:spacing w:val="-20"/>
        </w:rPr>
        <w:t> </w:t>
      </w:r>
      <w:r>
        <w:rPr/>
        <w:t>local,</w:t>
      </w:r>
      <w:r>
        <w:rPr>
          <w:spacing w:val="-20"/>
        </w:rPr>
        <w:t> </w:t>
      </w:r>
      <w:r>
        <w:rPr/>
        <w:t>national</w:t>
      </w:r>
      <w:r>
        <w:rPr>
          <w:spacing w:val="-20"/>
        </w:rPr>
        <w:t> </w:t>
      </w:r>
      <w:r>
        <w:rPr/>
        <w:t>and </w:t>
      </w:r>
      <w:r>
        <w:rPr>
          <w:w w:val="95"/>
        </w:rPr>
        <w:t>international</w:t>
      </w:r>
      <w:r>
        <w:rPr>
          <w:spacing w:val="31"/>
          <w:w w:val="95"/>
        </w:rPr>
        <w:t> </w:t>
      </w:r>
      <w:r>
        <w:rPr>
          <w:w w:val="95"/>
        </w:rPr>
        <w:t>providers</w:t>
      </w:r>
    </w:p>
    <w:p>
      <w:pPr>
        <w:pStyle w:val="BodyText"/>
        <w:spacing w:before="6"/>
        <w:rPr>
          <w:sz w:val="14"/>
        </w:rPr>
      </w:pPr>
    </w:p>
    <w:p>
      <w:pPr>
        <w:spacing w:line="249" w:lineRule="auto" w:before="0"/>
        <w:ind w:left="107" w:right="388" w:firstLine="0"/>
        <w:jc w:val="left"/>
        <w:rPr>
          <w:rFonts w:ascii="Gotham Narrow Book"/>
          <w:b w:val="0"/>
          <w:i/>
          <w:sz w:val="16"/>
        </w:rPr>
      </w:pPr>
      <w:r>
        <w:rPr>
          <w:rFonts w:ascii="Gotham Narrow Book"/>
          <w:b w:val="0"/>
          <w:i/>
          <w:sz w:val="16"/>
        </w:rPr>
        <w:t>Goal 3: To deliver a unique learning </w:t>
      </w:r>
      <w:r>
        <w:rPr>
          <w:rFonts w:ascii="Gotham Narrow Book"/>
          <w:b w:val="0"/>
          <w:i/>
          <w:sz w:val="16"/>
        </w:rPr>
        <w:t>experience that is innovative, flexible and responsive</w:t>
      </w:r>
    </w:p>
    <w:p>
      <w:pPr>
        <w:pStyle w:val="BodyText"/>
        <w:spacing w:line="247" w:lineRule="auto"/>
        <w:ind w:left="107" w:right="112"/>
      </w:pPr>
      <w:r>
        <w:rPr>
          <w:rFonts w:ascii="Gotham Narrow Book"/>
          <w:b w:val="0"/>
        </w:rPr>
        <w:t>3.1: Continue to expand entry pathways, </w:t>
      </w:r>
      <w:r>
        <w:rPr/>
        <w:t>enhance English proficiency support, and develop learning capabilities through flexible modes</w:t>
      </w:r>
      <w:r>
        <w:rPr>
          <w:spacing w:val="-37"/>
        </w:rPr>
        <w:t> </w:t>
      </w:r>
      <w:r>
        <w:rPr/>
        <w:t>of</w:t>
      </w:r>
      <w:r>
        <w:rPr>
          <w:spacing w:val="-37"/>
        </w:rPr>
        <w:t> </w:t>
      </w:r>
      <w:r>
        <w:rPr/>
        <w:t>delivery,</w:t>
      </w:r>
      <w:r>
        <w:rPr>
          <w:spacing w:val="-37"/>
        </w:rPr>
        <w:t> </w:t>
      </w:r>
      <w:r>
        <w:rPr/>
        <w:t>consistent</w:t>
      </w:r>
      <w:r>
        <w:rPr>
          <w:spacing w:val="-37"/>
        </w:rPr>
        <w:t> </w:t>
      </w:r>
      <w:r>
        <w:rPr/>
        <w:t>with</w:t>
      </w:r>
      <w:r>
        <w:rPr>
          <w:spacing w:val="-37"/>
        </w:rPr>
        <w:t> </w:t>
      </w:r>
      <w:r>
        <w:rPr/>
        <w:t>Objective</w:t>
      </w:r>
      <w:r>
        <w:rPr>
          <w:spacing w:val="-37"/>
        </w:rPr>
        <w:t> </w:t>
      </w:r>
      <w:r>
        <w:rPr>
          <w:w w:val="95"/>
        </w:rPr>
        <w:t>1.1</w:t>
      </w:r>
    </w:p>
    <w:p>
      <w:pPr>
        <w:pStyle w:val="BodyText"/>
        <w:spacing w:before="2"/>
        <w:rPr>
          <w:sz w:val="14"/>
        </w:rPr>
      </w:pPr>
    </w:p>
    <w:p>
      <w:pPr>
        <w:pStyle w:val="BodyText"/>
        <w:spacing w:line="249" w:lineRule="auto"/>
        <w:ind w:left="107" w:right="187"/>
        <w:jc w:val="both"/>
      </w:pPr>
      <w:r>
        <w:rPr/>
        <w:t>In</w:t>
      </w:r>
      <w:r>
        <w:rPr>
          <w:spacing w:val="-18"/>
        </w:rPr>
        <w:t> </w:t>
      </w:r>
      <w:r>
        <w:rPr/>
        <w:t>the</w:t>
      </w:r>
      <w:r>
        <w:rPr>
          <w:spacing w:val="-18"/>
        </w:rPr>
        <w:t> </w:t>
      </w:r>
      <w:r>
        <w:rPr/>
        <w:t>first</w:t>
      </w:r>
      <w:r>
        <w:rPr>
          <w:spacing w:val="-18"/>
        </w:rPr>
        <w:t> </w:t>
      </w:r>
      <w:r>
        <w:rPr/>
        <w:t>year</w:t>
      </w:r>
      <w:r>
        <w:rPr>
          <w:spacing w:val="-18"/>
        </w:rPr>
        <w:t> </w:t>
      </w:r>
      <w:r>
        <w:rPr/>
        <w:t>of</w:t>
      </w:r>
      <w:r>
        <w:rPr>
          <w:spacing w:val="-18"/>
        </w:rPr>
        <w:t> </w:t>
      </w:r>
      <w:r>
        <w:rPr/>
        <w:t>the</w:t>
      </w:r>
      <w:r>
        <w:rPr>
          <w:spacing w:val="-18"/>
        </w:rPr>
        <w:t> </w:t>
      </w:r>
      <w:r>
        <w:rPr/>
        <w:t>project,</w:t>
      </w:r>
      <w:r>
        <w:rPr>
          <w:spacing w:val="-18"/>
        </w:rPr>
        <w:t> </w:t>
      </w:r>
      <w:r>
        <w:rPr/>
        <w:t>a</w:t>
      </w:r>
      <w:r>
        <w:rPr>
          <w:spacing w:val="-18"/>
        </w:rPr>
        <w:t> </w:t>
      </w:r>
      <w:r>
        <w:rPr/>
        <w:t>methodology was</w:t>
      </w:r>
      <w:r>
        <w:rPr>
          <w:spacing w:val="-16"/>
        </w:rPr>
        <w:t> </w:t>
      </w:r>
      <w:r>
        <w:rPr/>
        <w:t>developed</w:t>
      </w:r>
      <w:r>
        <w:rPr>
          <w:spacing w:val="-16"/>
        </w:rPr>
        <w:t> </w:t>
      </w:r>
      <w:r>
        <w:rPr/>
        <w:t>to</w:t>
      </w:r>
      <w:r>
        <w:rPr>
          <w:spacing w:val="-16"/>
        </w:rPr>
        <w:t> </w:t>
      </w:r>
      <w:r>
        <w:rPr/>
        <w:t>review</w:t>
      </w:r>
      <w:r>
        <w:rPr>
          <w:spacing w:val="-16"/>
        </w:rPr>
        <w:t> </w:t>
      </w:r>
      <w:r>
        <w:rPr/>
        <w:t>and</w:t>
      </w:r>
      <w:r>
        <w:rPr>
          <w:spacing w:val="-16"/>
        </w:rPr>
        <w:t> </w:t>
      </w:r>
      <w:r>
        <w:rPr/>
        <w:t>align</w:t>
      </w:r>
      <w:r>
        <w:rPr>
          <w:spacing w:val="-16"/>
        </w:rPr>
        <w:t> </w:t>
      </w:r>
      <w:r>
        <w:rPr/>
        <w:t>admission criteria</w:t>
      </w:r>
      <w:r>
        <w:rPr>
          <w:spacing w:val="-18"/>
        </w:rPr>
        <w:t> </w:t>
      </w:r>
      <w:r>
        <w:rPr/>
        <w:t>(entry</w:t>
      </w:r>
      <w:r>
        <w:rPr>
          <w:spacing w:val="-18"/>
        </w:rPr>
        <w:t> </w:t>
      </w:r>
      <w:r>
        <w:rPr/>
        <w:t>threshold</w:t>
      </w:r>
      <w:r>
        <w:rPr>
          <w:spacing w:val="-18"/>
        </w:rPr>
        <w:t> </w:t>
      </w:r>
      <w:r>
        <w:rPr/>
        <w:t>skills</w:t>
      </w:r>
      <w:r>
        <w:rPr>
          <w:spacing w:val="-18"/>
        </w:rPr>
        <w:t> </w:t>
      </w:r>
      <w:r>
        <w:rPr/>
        <w:t>and</w:t>
      </w:r>
      <w:r>
        <w:rPr>
          <w:spacing w:val="-18"/>
        </w:rPr>
        <w:t> </w:t>
      </w:r>
      <w:r>
        <w:rPr/>
        <w:t>knowledge requirements)</w:t>
      </w:r>
      <w:r>
        <w:rPr>
          <w:spacing w:val="-21"/>
        </w:rPr>
        <w:t> </w:t>
      </w:r>
      <w:r>
        <w:rPr/>
        <w:t>required</w:t>
      </w:r>
      <w:r>
        <w:rPr>
          <w:spacing w:val="-21"/>
        </w:rPr>
        <w:t> </w:t>
      </w:r>
      <w:r>
        <w:rPr/>
        <w:t>to</w:t>
      </w:r>
      <w:r>
        <w:rPr>
          <w:spacing w:val="-21"/>
        </w:rPr>
        <w:t> </w:t>
      </w:r>
      <w:r>
        <w:rPr/>
        <w:t>succeed</w:t>
      </w:r>
      <w:r>
        <w:rPr>
          <w:spacing w:val="-21"/>
        </w:rPr>
        <w:t> </w:t>
      </w:r>
      <w:r>
        <w:rPr/>
        <w:t>in</w:t>
      </w:r>
    </w:p>
    <w:p>
      <w:pPr>
        <w:spacing w:line="244" w:lineRule="auto" w:before="0"/>
        <w:ind w:left="107" w:right="356" w:firstLine="0"/>
        <w:jc w:val="left"/>
        <w:rPr>
          <w:sz w:val="16"/>
        </w:rPr>
      </w:pPr>
      <w:r>
        <w:rPr>
          <w:sz w:val="16"/>
        </w:rPr>
        <w:t>first-year units of study (</w:t>
      </w:r>
      <w:r>
        <w:rPr>
          <w:rFonts w:ascii="Century Gothic" w:hAnsi="Century Gothic"/>
          <w:i/>
          <w:sz w:val="16"/>
        </w:rPr>
        <w:t>Academic and </w:t>
      </w:r>
      <w:r>
        <w:rPr>
          <w:rFonts w:ascii="Century Gothic" w:hAnsi="Century Gothic"/>
          <w:i/>
          <w:w w:val="90"/>
          <w:sz w:val="16"/>
        </w:rPr>
        <w:t>Non-academic Thresholds for Admission – </w:t>
      </w:r>
      <w:r>
        <w:rPr>
          <w:rFonts w:ascii="Century Gothic" w:hAnsi="Century Gothic"/>
          <w:i/>
          <w:sz w:val="16"/>
        </w:rPr>
        <w:t>ANTA</w:t>
      </w:r>
      <w:r>
        <w:rPr>
          <w:sz w:val="16"/>
        </w:rPr>
        <w:t>). The process included considering new ways to assess potential applicants’ ability and alignment with the discipline,</w:t>
      </w:r>
    </w:p>
    <w:p>
      <w:pPr>
        <w:pStyle w:val="BodyText"/>
        <w:spacing w:line="249" w:lineRule="auto" w:before="3"/>
        <w:ind w:left="107" w:right="122"/>
      </w:pPr>
      <w:r>
        <w:rPr/>
        <w:t>and to promote the School/discipline to new cohorts of potential students. This process of admission criteria review is being considered for inclusion in the Course Development and Approval Process Review.</w:t>
      </w:r>
    </w:p>
    <w:p>
      <w:pPr>
        <w:pStyle w:val="BodyText"/>
        <w:rPr>
          <w:sz w:val="14"/>
        </w:rPr>
      </w:pPr>
    </w:p>
    <w:p>
      <w:pPr>
        <w:pStyle w:val="BodyText"/>
        <w:spacing w:line="249" w:lineRule="auto"/>
        <w:ind w:left="107" w:right="112"/>
      </w:pPr>
      <w:r>
        <w:rPr/>
        <w:t>Using the established HSC Geography Enrichment</w:t>
      </w:r>
      <w:r>
        <w:rPr>
          <w:spacing w:val="-18"/>
        </w:rPr>
        <w:t> </w:t>
      </w:r>
      <w:r>
        <w:rPr/>
        <w:t>Day</w:t>
      </w:r>
      <w:r>
        <w:rPr>
          <w:spacing w:val="-18"/>
        </w:rPr>
        <w:t> </w:t>
      </w:r>
      <w:r>
        <w:rPr/>
        <w:t>as</w:t>
      </w:r>
      <w:r>
        <w:rPr>
          <w:spacing w:val="-18"/>
        </w:rPr>
        <w:t> </w:t>
      </w:r>
      <w:r>
        <w:rPr/>
        <w:t>the</w:t>
      </w:r>
      <w:r>
        <w:rPr>
          <w:spacing w:val="-18"/>
        </w:rPr>
        <w:t> </w:t>
      </w:r>
      <w:r>
        <w:rPr/>
        <w:t>base</w:t>
      </w:r>
      <w:r>
        <w:rPr>
          <w:spacing w:val="-18"/>
        </w:rPr>
        <w:t> </w:t>
      </w:r>
      <w:r>
        <w:rPr/>
        <w:t>model,</w:t>
      </w:r>
      <w:r>
        <w:rPr>
          <w:spacing w:val="-18"/>
        </w:rPr>
        <w:t> </w:t>
      </w:r>
      <w:r>
        <w:rPr/>
        <w:t>and</w:t>
      </w:r>
      <w:r>
        <w:rPr>
          <w:spacing w:val="-18"/>
        </w:rPr>
        <w:t> </w:t>
      </w:r>
      <w:r>
        <w:rPr/>
        <w:t>in</w:t>
      </w:r>
    </w:p>
    <w:p>
      <w:pPr>
        <w:spacing w:after="0" w:line="249" w:lineRule="auto"/>
        <w:sectPr>
          <w:type w:val="continuous"/>
          <w:pgSz w:w="11910" w:h="16840"/>
          <w:pgMar w:top="1580" w:bottom="280" w:left="800" w:right="800"/>
          <w:cols w:num="3" w:equalWidth="0">
            <w:col w:w="3303" w:space="136"/>
            <w:col w:w="3321" w:space="119"/>
            <w:col w:w="3431"/>
          </w:cols>
        </w:sectPr>
      </w:pPr>
    </w:p>
    <w:p>
      <w:pPr>
        <w:pStyle w:val="BodyText"/>
        <w:spacing w:before="6"/>
        <w:rPr>
          <w:sz w:val="24"/>
        </w:rPr>
      </w:pPr>
    </w:p>
    <w:p>
      <w:pPr>
        <w:pStyle w:val="BodyText"/>
        <w:spacing w:line="20" w:lineRule="exact"/>
        <w:ind w:left="104"/>
        <w:rPr>
          <w:sz w:val="2"/>
        </w:rPr>
      </w:pPr>
      <w:r>
        <w:rPr>
          <w:sz w:val="2"/>
        </w:rPr>
        <w:pict>
          <v:group style="width:504.85pt;height:.25pt;mso-position-horizontal-relative:char;mso-position-vertical-relative:line" coordorigin="0,0" coordsize="10097,5">
            <v:line style="position:absolute" from="3,3" to="10094,3" stroked="true" strokeweight=".25pt" strokecolor="#000000"/>
          </v:group>
        </w:pict>
      </w:r>
      <w:r>
        <w:rPr>
          <w:sz w:val="2"/>
        </w:rPr>
      </w:r>
    </w:p>
    <w:p>
      <w:pPr>
        <w:spacing w:before="15"/>
        <w:ind w:left="107" w:right="0" w:firstLine="0"/>
        <w:jc w:val="left"/>
        <w:rPr>
          <w:sz w:val="14"/>
        </w:rPr>
      </w:pPr>
      <w:r>
        <w:rPr>
          <w:w w:val="95"/>
          <w:sz w:val="14"/>
        </w:rPr>
        <w:t>1  </w:t>
      </w:r>
      <w:r>
        <w:rPr>
          <w:sz w:val="14"/>
        </w:rPr>
        <w:t>This is not a unique count as it is not always possible to tell when a student attends more than one activity.</w:t>
      </w:r>
    </w:p>
    <w:p>
      <w:pPr>
        <w:spacing w:after="0"/>
        <w:jc w:val="left"/>
        <w:rPr>
          <w:sz w:val="14"/>
        </w:rPr>
        <w:sectPr>
          <w:type w:val="continuous"/>
          <w:pgSz w:w="11910" w:h="16840"/>
          <w:pgMar w:top="1580" w:bottom="280" w:left="800" w:right="800"/>
        </w:sectPr>
      </w:pPr>
    </w:p>
    <w:p>
      <w:pPr>
        <w:pStyle w:val="BodyText"/>
        <w:rPr>
          <w:sz w:val="20"/>
        </w:rPr>
      </w:pPr>
    </w:p>
    <w:p>
      <w:pPr>
        <w:pStyle w:val="BodyText"/>
        <w:spacing w:before="9" w:after="1"/>
      </w:pPr>
    </w:p>
    <w:tbl>
      <w:tblPr>
        <w:tblW w:w="0" w:type="auto"/>
        <w:jc w:val="left"/>
        <w:tblInd w:w="32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438"/>
        <w:gridCol w:w="2211"/>
        <w:gridCol w:w="2211"/>
        <w:gridCol w:w="2228"/>
      </w:tblGrid>
      <w:tr>
        <w:trPr>
          <w:trHeight w:val="688" w:hRule="exact"/>
        </w:trPr>
        <w:tc>
          <w:tcPr>
            <w:tcW w:w="3438" w:type="dxa"/>
            <w:tcBorders>
              <w:top w:val="nil"/>
              <w:left w:val="nil"/>
              <w:bottom w:val="nil"/>
              <w:right w:val="single" w:sz="4" w:space="0" w:color="FFFFFF"/>
            </w:tcBorders>
            <w:shd w:val="clear" w:color="auto" w:fill="939598"/>
          </w:tcPr>
          <w:p>
            <w:pPr>
              <w:pStyle w:val="TableParagraph"/>
              <w:spacing w:before="54"/>
              <w:ind w:left="80"/>
              <w:jc w:val="left"/>
              <w:rPr>
                <w:rFonts w:ascii="Gotham Narrow Bold"/>
                <w:b/>
                <w:sz w:val="16"/>
              </w:rPr>
            </w:pPr>
            <w:r>
              <w:rPr>
                <w:rFonts w:ascii="Gotham Narrow Bold"/>
                <w:b/>
                <w:color w:val="FFFFFF"/>
                <w:sz w:val="16"/>
              </w:rPr>
              <w:t>SCHOOL</w:t>
            </w:r>
          </w:p>
        </w:tc>
        <w:tc>
          <w:tcPr>
            <w:tcW w:w="2211" w:type="dxa"/>
            <w:tcBorders>
              <w:top w:val="nil"/>
              <w:left w:val="single" w:sz="4" w:space="0" w:color="FFFFFF"/>
              <w:bottom w:val="nil"/>
              <w:right w:val="single" w:sz="4" w:space="0" w:color="FFFFFF"/>
            </w:tcBorders>
            <w:shd w:val="clear" w:color="auto" w:fill="939598"/>
          </w:tcPr>
          <w:p>
            <w:pPr>
              <w:pStyle w:val="TableParagraph"/>
              <w:spacing w:line="249" w:lineRule="auto" w:before="54"/>
              <w:ind w:left="240" w:hanging="110"/>
              <w:jc w:val="left"/>
              <w:rPr>
                <w:rFonts w:ascii="Gotham Narrow Bold"/>
                <w:b/>
                <w:sz w:val="16"/>
              </w:rPr>
            </w:pPr>
            <w:r>
              <w:rPr>
                <w:rFonts w:ascii="Gotham Narrow Bold"/>
                <w:b/>
                <w:color w:val="FFFFFF"/>
                <w:w w:val="95"/>
                <w:sz w:val="16"/>
              </w:rPr>
              <w:t>2014 EXCEPTIONAL MERIT PATHWAYS PROGRAMS</w:t>
            </w:r>
          </w:p>
        </w:tc>
        <w:tc>
          <w:tcPr>
            <w:tcW w:w="2211" w:type="dxa"/>
            <w:tcBorders>
              <w:top w:val="nil"/>
              <w:left w:val="single" w:sz="4" w:space="0" w:color="FFFFFF"/>
              <w:bottom w:val="nil"/>
              <w:right w:val="single" w:sz="4" w:space="0" w:color="FFFFFF"/>
            </w:tcBorders>
            <w:shd w:val="clear" w:color="auto" w:fill="939598"/>
          </w:tcPr>
          <w:p>
            <w:pPr>
              <w:pStyle w:val="TableParagraph"/>
              <w:spacing w:line="249" w:lineRule="auto" w:before="54"/>
              <w:ind w:left="240" w:hanging="106"/>
              <w:jc w:val="left"/>
              <w:rPr>
                <w:rFonts w:ascii="Gotham Narrow Bold"/>
                <w:b/>
                <w:sz w:val="16"/>
              </w:rPr>
            </w:pPr>
            <w:r>
              <w:rPr>
                <w:rFonts w:ascii="Gotham Narrow Bold"/>
                <w:b/>
                <w:color w:val="FFFFFF"/>
                <w:w w:val="95"/>
                <w:sz w:val="16"/>
              </w:rPr>
              <w:t>2015 EXCEPTIONAL MERIT PATHWAYS PROGRAMS</w:t>
            </w:r>
          </w:p>
        </w:tc>
        <w:tc>
          <w:tcPr>
            <w:tcW w:w="2228" w:type="dxa"/>
            <w:tcBorders>
              <w:top w:val="nil"/>
              <w:left w:val="single" w:sz="4" w:space="0" w:color="FFFFFF"/>
              <w:bottom w:val="nil"/>
              <w:right w:val="nil"/>
            </w:tcBorders>
            <w:shd w:val="clear" w:color="auto" w:fill="939598"/>
          </w:tcPr>
          <w:p>
            <w:pPr>
              <w:pStyle w:val="TableParagraph"/>
              <w:spacing w:line="249" w:lineRule="auto" w:before="54"/>
              <w:ind w:left="248" w:right="251"/>
              <w:jc w:val="center"/>
              <w:rPr>
                <w:rFonts w:ascii="Gotham Narrow Bold"/>
                <w:b/>
                <w:sz w:val="16"/>
              </w:rPr>
            </w:pPr>
            <w:r>
              <w:rPr>
                <w:rFonts w:ascii="Gotham Narrow Bold"/>
                <w:b/>
                <w:color w:val="FFFFFF"/>
                <w:sz w:val="16"/>
              </w:rPr>
              <w:t>2016 PLANNED EXCEPTIONAL MERIT </w:t>
            </w:r>
            <w:r>
              <w:rPr>
                <w:rFonts w:ascii="Gotham Narrow Bold"/>
                <w:b/>
                <w:color w:val="FFFFFF"/>
                <w:w w:val="95"/>
                <w:sz w:val="16"/>
              </w:rPr>
              <w:t>PATHWAYS PROGRAMS</w:t>
            </w:r>
          </w:p>
        </w:tc>
      </w:tr>
      <w:tr>
        <w:trPr>
          <w:trHeight w:val="288" w:hRule="exact"/>
        </w:trPr>
        <w:tc>
          <w:tcPr>
            <w:tcW w:w="3438" w:type="dxa"/>
            <w:tcBorders>
              <w:top w:val="nil"/>
            </w:tcBorders>
            <w:shd w:val="clear" w:color="auto" w:fill="E6E7E8"/>
          </w:tcPr>
          <w:p>
            <w:pPr>
              <w:pStyle w:val="TableParagraph"/>
              <w:spacing w:before="48"/>
              <w:ind w:left="75"/>
              <w:jc w:val="left"/>
              <w:rPr>
                <w:sz w:val="16"/>
              </w:rPr>
            </w:pPr>
            <w:r>
              <w:rPr>
                <w:sz w:val="16"/>
              </w:rPr>
              <w:t>Humanities and Communication Arts</w:t>
            </w:r>
          </w:p>
        </w:tc>
        <w:tc>
          <w:tcPr>
            <w:tcW w:w="2211" w:type="dxa"/>
            <w:tcBorders>
              <w:top w:val="nil"/>
            </w:tcBorders>
            <w:shd w:val="clear" w:color="auto" w:fill="E6E7E8"/>
          </w:tcPr>
          <w:p>
            <w:pPr>
              <w:pStyle w:val="TableParagraph"/>
              <w:spacing w:before="48"/>
              <w:ind w:right="1057"/>
              <w:rPr>
                <w:sz w:val="16"/>
              </w:rPr>
            </w:pPr>
            <w:r>
              <w:rPr>
                <w:w w:val="93"/>
                <w:sz w:val="16"/>
              </w:rPr>
              <w:t>2</w:t>
            </w:r>
          </w:p>
        </w:tc>
        <w:tc>
          <w:tcPr>
            <w:tcW w:w="2211" w:type="dxa"/>
            <w:tcBorders>
              <w:top w:val="nil"/>
            </w:tcBorders>
            <w:shd w:val="clear" w:color="auto" w:fill="E6E7E8"/>
          </w:tcPr>
          <w:p>
            <w:pPr>
              <w:pStyle w:val="TableParagraph"/>
              <w:spacing w:before="48"/>
              <w:ind w:left="1055"/>
              <w:jc w:val="left"/>
              <w:rPr>
                <w:sz w:val="16"/>
              </w:rPr>
            </w:pPr>
            <w:r>
              <w:rPr>
                <w:w w:val="103"/>
                <w:sz w:val="16"/>
              </w:rPr>
              <w:t>4</w:t>
            </w:r>
          </w:p>
        </w:tc>
        <w:tc>
          <w:tcPr>
            <w:tcW w:w="2228" w:type="dxa"/>
            <w:tcBorders>
              <w:top w:val="nil"/>
            </w:tcBorders>
            <w:shd w:val="clear" w:color="auto" w:fill="E6E7E8"/>
          </w:tcPr>
          <w:p>
            <w:pPr>
              <w:pStyle w:val="TableParagraph"/>
              <w:spacing w:before="48"/>
              <w:jc w:val="center"/>
              <w:rPr>
                <w:sz w:val="16"/>
              </w:rPr>
            </w:pPr>
            <w:r>
              <w:rPr>
                <w:w w:val="93"/>
                <w:sz w:val="16"/>
              </w:rPr>
              <w:t>2</w:t>
            </w:r>
          </w:p>
        </w:tc>
      </w:tr>
      <w:tr>
        <w:trPr>
          <w:trHeight w:val="288" w:hRule="exact"/>
        </w:trPr>
        <w:tc>
          <w:tcPr>
            <w:tcW w:w="3438" w:type="dxa"/>
            <w:shd w:val="clear" w:color="auto" w:fill="E6E7E8"/>
          </w:tcPr>
          <w:p>
            <w:pPr>
              <w:pStyle w:val="TableParagraph"/>
              <w:spacing w:before="43"/>
              <w:ind w:left="74"/>
              <w:jc w:val="left"/>
              <w:rPr>
                <w:sz w:val="16"/>
              </w:rPr>
            </w:pPr>
            <w:r>
              <w:rPr>
                <w:sz w:val="16"/>
              </w:rPr>
              <w:t>Law</w:t>
            </w:r>
          </w:p>
        </w:tc>
        <w:tc>
          <w:tcPr>
            <w:tcW w:w="2211" w:type="dxa"/>
            <w:shd w:val="clear" w:color="auto" w:fill="E6E7E8"/>
          </w:tcPr>
          <w:p>
            <w:pPr>
              <w:pStyle w:val="TableParagraph"/>
              <w:spacing w:before="43"/>
              <w:ind w:right="1049"/>
              <w:rPr>
                <w:sz w:val="16"/>
              </w:rPr>
            </w:pPr>
            <w:r>
              <w:rPr>
                <w:w w:val="111"/>
                <w:sz w:val="16"/>
              </w:rPr>
              <w:t>0</w:t>
            </w:r>
          </w:p>
        </w:tc>
        <w:tc>
          <w:tcPr>
            <w:tcW w:w="2211" w:type="dxa"/>
            <w:shd w:val="clear" w:color="auto" w:fill="E6E7E8"/>
          </w:tcPr>
          <w:p>
            <w:pPr>
              <w:pStyle w:val="TableParagraph"/>
              <w:spacing w:before="43"/>
              <w:ind w:left="1059"/>
              <w:jc w:val="left"/>
              <w:rPr>
                <w:sz w:val="16"/>
              </w:rPr>
            </w:pPr>
            <w:r>
              <w:rPr>
                <w:w w:val="93"/>
                <w:sz w:val="16"/>
              </w:rPr>
              <w:t>2</w:t>
            </w:r>
          </w:p>
        </w:tc>
        <w:tc>
          <w:tcPr>
            <w:tcW w:w="2228" w:type="dxa"/>
            <w:shd w:val="clear" w:color="auto" w:fill="E6E7E8"/>
          </w:tcPr>
          <w:p>
            <w:pPr/>
          </w:p>
        </w:tc>
      </w:tr>
      <w:tr>
        <w:trPr>
          <w:trHeight w:val="288" w:hRule="exact"/>
        </w:trPr>
        <w:tc>
          <w:tcPr>
            <w:tcW w:w="3438" w:type="dxa"/>
            <w:shd w:val="clear" w:color="auto" w:fill="E6E7E8"/>
          </w:tcPr>
          <w:p>
            <w:pPr>
              <w:pStyle w:val="TableParagraph"/>
              <w:spacing w:before="43"/>
              <w:ind w:left="75"/>
              <w:jc w:val="left"/>
              <w:rPr>
                <w:sz w:val="16"/>
              </w:rPr>
            </w:pPr>
            <w:r>
              <w:rPr>
                <w:sz w:val="16"/>
              </w:rPr>
              <w:t>Social Sciences and Psychology</w:t>
            </w:r>
          </w:p>
        </w:tc>
        <w:tc>
          <w:tcPr>
            <w:tcW w:w="2211" w:type="dxa"/>
            <w:shd w:val="clear" w:color="auto" w:fill="E6E7E8"/>
          </w:tcPr>
          <w:p>
            <w:pPr>
              <w:pStyle w:val="TableParagraph"/>
              <w:spacing w:before="43"/>
              <w:ind w:right="1057"/>
              <w:rPr>
                <w:sz w:val="16"/>
              </w:rPr>
            </w:pPr>
            <w:r>
              <w:rPr>
                <w:w w:val="93"/>
                <w:sz w:val="16"/>
              </w:rPr>
              <w:t>2</w:t>
            </w:r>
          </w:p>
        </w:tc>
        <w:tc>
          <w:tcPr>
            <w:tcW w:w="2211" w:type="dxa"/>
            <w:shd w:val="clear" w:color="auto" w:fill="E6E7E8"/>
          </w:tcPr>
          <w:p>
            <w:pPr>
              <w:pStyle w:val="TableParagraph"/>
              <w:spacing w:before="43"/>
              <w:ind w:left="1059"/>
              <w:jc w:val="left"/>
              <w:rPr>
                <w:sz w:val="16"/>
              </w:rPr>
            </w:pPr>
            <w:r>
              <w:rPr>
                <w:w w:val="93"/>
                <w:sz w:val="16"/>
              </w:rPr>
              <w:t>2</w:t>
            </w:r>
          </w:p>
        </w:tc>
        <w:tc>
          <w:tcPr>
            <w:tcW w:w="2228" w:type="dxa"/>
            <w:shd w:val="clear" w:color="auto" w:fill="E6E7E8"/>
          </w:tcPr>
          <w:p>
            <w:pPr>
              <w:pStyle w:val="TableParagraph"/>
              <w:spacing w:before="43"/>
              <w:jc w:val="center"/>
              <w:rPr>
                <w:sz w:val="16"/>
              </w:rPr>
            </w:pPr>
            <w:r>
              <w:rPr>
                <w:w w:val="93"/>
                <w:sz w:val="16"/>
              </w:rPr>
              <w:t>2</w:t>
            </w:r>
          </w:p>
        </w:tc>
      </w:tr>
      <w:tr>
        <w:trPr>
          <w:trHeight w:val="288" w:hRule="exact"/>
        </w:trPr>
        <w:tc>
          <w:tcPr>
            <w:tcW w:w="3438" w:type="dxa"/>
            <w:shd w:val="clear" w:color="auto" w:fill="E6E7E8"/>
          </w:tcPr>
          <w:p>
            <w:pPr>
              <w:pStyle w:val="TableParagraph"/>
              <w:spacing w:before="43"/>
              <w:ind w:left="74"/>
              <w:jc w:val="left"/>
              <w:rPr>
                <w:sz w:val="16"/>
              </w:rPr>
            </w:pPr>
            <w:r>
              <w:rPr>
                <w:sz w:val="16"/>
              </w:rPr>
              <w:t>Science and Health</w:t>
            </w:r>
          </w:p>
        </w:tc>
        <w:tc>
          <w:tcPr>
            <w:tcW w:w="2211" w:type="dxa"/>
            <w:shd w:val="clear" w:color="auto" w:fill="E6E7E8"/>
          </w:tcPr>
          <w:p>
            <w:pPr>
              <w:pStyle w:val="TableParagraph"/>
              <w:spacing w:before="43"/>
              <w:ind w:right="1050"/>
              <w:rPr>
                <w:sz w:val="16"/>
              </w:rPr>
            </w:pPr>
            <w:r>
              <w:rPr>
                <w:w w:val="111"/>
                <w:sz w:val="16"/>
              </w:rPr>
              <w:t>0</w:t>
            </w:r>
          </w:p>
        </w:tc>
        <w:tc>
          <w:tcPr>
            <w:tcW w:w="2211" w:type="dxa"/>
            <w:shd w:val="clear" w:color="auto" w:fill="E6E7E8"/>
          </w:tcPr>
          <w:p>
            <w:pPr>
              <w:pStyle w:val="TableParagraph"/>
              <w:spacing w:before="43"/>
              <w:ind w:left="1076"/>
              <w:jc w:val="left"/>
              <w:rPr>
                <w:sz w:val="16"/>
              </w:rPr>
            </w:pPr>
            <w:r>
              <w:rPr>
                <w:w w:val="54"/>
                <w:sz w:val="16"/>
              </w:rPr>
              <w:t>1</w:t>
            </w:r>
          </w:p>
        </w:tc>
        <w:tc>
          <w:tcPr>
            <w:tcW w:w="2228" w:type="dxa"/>
            <w:shd w:val="clear" w:color="auto" w:fill="E6E7E8"/>
          </w:tcPr>
          <w:p>
            <w:pPr>
              <w:pStyle w:val="TableParagraph"/>
              <w:spacing w:before="43"/>
              <w:jc w:val="center"/>
              <w:rPr>
                <w:sz w:val="16"/>
              </w:rPr>
            </w:pPr>
            <w:r>
              <w:rPr>
                <w:w w:val="93"/>
                <w:sz w:val="16"/>
              </w:rPr>
              <w:t>2</w:t>
            </w:r>
          </w:p>
        </w:tc>
      </w:tr>
      <w:tr>
        <w:trPr>
          <w:trHeight w:val="288" w:hRule="exact"/>
        </w:trPr>
        <w:tc>
          <w:tcPr>
            <w:tcW w:w="3438" w:type="dxa"/>
            <w:shd w:val="clear" w:color="auto" w:fill="E6E7E8"/>
          </w:tcPr>
          <w:p>
            <w:pPr>
              <w:pStyle w:val="TableParagraph"/>
              <w:spacing w:before="43"/>
              <w:ind w:left="74"/>
              <w:jc w:val="left"/>
              <w:rPr>
                <w:sz w:val="16"/>
              </w:rPr>
            </w:pPr>
            <w:r>
              <w:rPr>
                <w:sz w:val="16"/>
              </w:rPr>
              <w:t>Computing, Engineering and Mathematics</w:t>
            </w:r>
          </w:p>
        </w:tc>
        <w:tc>
          <w:tcPr>
            <w:tcW w:w="2211" w:type="dxa"/>
            <w:shd w:val="clear" w:color="auto" w:fill="E6E7E8"/>
          </w:tcPr>
          <w:p>
            <w:pPr>
              <w:pStyle w:val="TableParagraph"/>
              <w:spacing w:before="43"/>
              <w:ind w:right="1050"/>
              <w:rPr>
                <w:sz w:val="16"/>
              </w:rPr>
            </w:pPr>
            <w:r>
              <w:rPr>
                <w:w w:val="111"/>
                <w:sz w:val="16"/>
              </w:rPr>
              <w:t>0</w:t>
            </w:r>
          </w:p>
        </w:tc>
        <w:tc>
          <w:tcPr>
            <w:tcW w:w="2211" w:type="dxa"/>
            <w:shd w:val="clear" w:color="auto" w:fill="E6E7E8"/>
          </w:tcPr>
          <w:p>
            <w:pPr>
              <w:pStyle w:val="TableParagraph"/>
              <w:spacing w:before="43"/>
              <w:ind w:left="1051"/>
              <w:jc w:val="left"/>
              <w:rPr>
                <w:sz w:val="16"/>
              </w:rPr>
            </w:pPr>
            <w:r>
              <w:rPr>
                <w:w w:val="111"/>
                <w:sz w:val="16"/>
              </w:rPr>
              <w:t>0</w:t>
            </w:r>
          </w:p>
        </w:tc>
        <w:tc>
          <w:tcPr>
            <w:tcW w:w="2228" w:type="dxa"/>
            <w:shd w:val="clear" w:color="auto" w:fill="E6E7E8"/>
          </w:tcPr>
          <w:p>
            <w:pPr>
              <w:pStyle w:val="TableParagraph"/>
              <w:spacing w:before="43"/>
              <w:jc w:val="center"/>
              <w:rPr>
                <w:sz w:val="16"/>
              </w:rPr>
            </w:pPr>
            <w:r>
              <w:rPr>
                <w:w w:val="94"/>
                <w:sz w:val="16"/>
              </w:rPr>
              <w:t>3</w:t>
            </w:r>
          </w:p>
        </w:tc>
      </w:tr>
      <w:tr>
        <w:trPr>
          <w:trHeight w:val="801" w:hRule="exact"/>
        </w:trPr>
        <w:tc>
          <w:tcPr>
            <w:tcW w:w="3438" w:type="dxa"/>
            <w:shd w:val="clear" w:color="auto" w:fill="E6E7E8"/>
          </w:tcPr>
          <w:p>
            <w:pPr>
              <w:pStyle w:val="TableParagraph"/>
              <w:spacing w:before="0"/>
              <w:jc w:val="left"/>
              <w:rPr>
                <w:sz w:val="16"/>
              </w:rPr>
            </w:pPr>
          </w:p>
          <w:p>
            <w:pPr>
              <w:pStyle w:val="TableParagraph"/>
              <w:spacing w:before="114"/>
              <w:ind w:left="74"/>
              <w:jc w:val="left"/>
              <w:rPr>
                <w:rFonts w:ascii="Calibri"/>
                <w:sz w:val="16"/>
              </w:rPr>
            </w:pPr>
            <w:r>
              <w:rPr>
                <w:rFonts w:ascii="Calibri"/>
                <w:w w:val="110"/>
                <w:sz w:val="16"/>
              </w:rPr>
              <w:t>Outcomes</w:t>
            </w:r>
          </w:p>
        </w:tc>
        <w:tc>
          <w:tcPr>
            <w:tcW w:w="2211" w:type="dxa"/>
            <w:shd w:val="clear" w:color="auto" w:fill="E6E7E8"/>
          </w:tcPr>
          <w:p>
            <w:pPr>
              <w:pStyle w:val="TableParagraph"/>
              <w:spacing w:before="50"/>
              <w:ind w:left="74"/>
              <w:jc w:val="left"/>
              <w:rPr>
                <w:rFonts w:ascii="Calibri"/>
                <w:sz w:val="16"/>
              </w:rPr>
            </w:pPr>
            <w:r>
              <w:rPr>
                <w:rFonts w:ascii="Calibri"/>
                <w:w w:val="105"/>
                <w:sz w:val="16"/>
              </w:rPr>
              <w:t>137 applicants</w:t>
            </w:r>
          </w:p>
          <w:p>
            <w:pPr>
              <w:pStyle w:val="TableParagraph"/>
              <w:spacing w:before="61"/>
              <w:ind w:left="74"/>
              <w:jc w:val="left"/>
              <w:rPr>
                <w:rFonts w:ascii="Calibri"/>
                <w:sz w:val="16"/>
              </w:rPr>
            </w:pPr>
            <w:r>
              <w:rPr>
                <w:rFonts w:ascii="Calibri"/>
                <w:w w:val="105"/>
                <w:sz w:val="16"/>
              </w:rPr>
              <w:t>122 offers</w:t>
            </w:r>
          </w:p>
          <w:p>
            <w:pPr>
              <w:pStyle w:val="TableParagraph"/>
              <w:spacing w:before="61"/>
              <w:ind w:left="74"/>
              <w:jc w:val="left"/>
              <w:rPr>
                <w:rFonts w:ascii="Calibri"/>
                <w:sz w:val="16"/>
              </w:rPr>
            </w:pPr>
            <w:r>
              <w:rPr>
                <w:rFonts w:ascii="Calibri"/>
                <w:sz w:val="16"/>
              </w:rPr>
              <w:t>12 enrolments</w:t>
            </w:r>
          </w:p>
        </w:tc>
        <w:tc>
          <w:tcPr>
            <w:tcW w:w="2211" w:type="dxa"/>
            <w:shd w:val="clear" w:color="auto" w:fill="E6E7E8"/>
          </w:tcPr>
          <w:p>
            <w:pPr>
              <w:pStyle w:val="TableParagraph"/>
              <w:spacing w:before="50"/>
              <w:ind w:left="74"/>
              <w:jc w:val="left"/>
              <w:rPr>
                <w:rFonts w:ascii="Calibri"/>
                <w:sz w:val="16"/>
              </w:rPr>
            </w:pPr>
            <w:r>
              <w:rPr>
                <w:rFonts w:ascii="Calibri"/>
                <w:w w:val="110"/>
                <w:sz w:val="16"/>
              </w:rPr>
              <w:t>tba</w:t>
            </w:r>
          </w:p>
          <w:p>
            <w:pPr>
              <w:pStyle w:val="TableParagraph"/>
              <w:spacing w:line="314" w:lineRule="auto" w:before="61"/>
              <w:ind w:left="74" w:right="672"/>
              <w:jc w:val="left"/>
              <w:rPr>
                <w:rFonts w:ascii="Calibri"/>
                <w:sz w:val="16"/>
              </w:rPr>
            </w:pPr>
            <w:r>
              <w:rPr>
                <w:rFonts w:ascii="Calibri"/>
                <w:sz w:val="16"/>
              </w:rPr>
              <w:t>111 offers (to date) tba</w:t>
            </w:r>
          </w:p>
        </w:tc>
        <w:tc>
          <w:tcPr>
            <w:tcW w:w="2228" w:type="dxa"/>
            <w:shd w:val="clear" w:color="auto" w:fill="E6E7E8"/>
          </w:tcPr>
          <w:p>
            <w:pPr/>
          </w:p>
        </w:tc>
      </w:tr>
    </w:tbl>
    <w:p>
      <w:pPr>
        <w:pStyle w:val="BodyText"/>
        <w:rPr>
          <w:sz w:val="20"/>
        </w:rPr>
      </w:pPr>
    </w:p>
    <w:p>
      <w:pPr>
        <w:pStyle w:val="BodyText"/>
        <w:rPr>
          <w:sz w:val="20"/>
        </w:rPr>
      </w:pPr>
    </w:p>
    <w:p>
      <w:pPr>
        <w:spacing w:after="0"/>
        <w:rPr>
          <w:sz w:val="20"/>
        </w:rPr>
        <w:sectPr>
          <w:pgSz w:w="11910" w:h="16840"/>
          <w:pgMar w:header="494" w:footer="473" w:top="680" w:bottom="660" w:left="580" w:right="580"/>
        </w:sectPr>
      </w:pPr>
    </w:p>
    <w:p>
      <w:pPr>
        <w:pStyle w:val="BodyText"/>
        <w:spacing w:before="3"/>
        <w:rPr>
          <w:sz w:val="20"/>
        </w:rPr>
      </w:pPr>
    </w:p>
    <w:p>
      <w:pPr>
        <w:pStyle w:val="BodyText"/>
        <w:spacing w:line="249" w:lineRule="auto"/>
        <w:ind w:left="327" w:right="27"/>
      </w:pPr>
      <w:r>
        <w:rPr/>
        <w:pict>
          <v:rect style="position:absolute;margin-left:34.015999pt;margin-top:-194.694794pt;width:527.244pt;height:172.913pt;mso-position-horizontal-relative:page;mso-position-vertical-relative:paragraph;z-index:-333208" filled="true" fillcolor="#e6e7e8" stroked="false">
            <v:fill type="solid"/>
            <w10:wrap type="none"/>
          </v:rect>
        </w:pict>
      </w:r>
      <w:r>
        <w:rPr/>
        <w:t>consultation</w:t>
      </w:r>
      <w:r>
        <w:rPr>
          <w:spacing w:val="-17"/>
        </w:rPr>
        <w:t> </w:t>
      </w:r>
      <w:r>
        <w:rPr/>
        <w:t>with</w:t>
      </w:r>
      <w:r>
        <w:rPr>
          <w:spacing w:val="-17"/>
        </w:rPr>
        <w:t> </w:t>
      </w:r>
      <w:r>
        <w:rPr/>
        <w:t>the</w:t>
      </w:r>
      <w:r>
        <w:rPr>
          <w:spacing w:val="-17"/>
        </w:rPr>
        <w:t> </w:t>
      </w:r>
      <w:r>
        <w:rPr/>
        <w:t>Schools,</w:t>
      </w:r>
      <w:r>
        <w:rPr>
          <w:spacing w:val="-17"/>
        </w:rPr>
        <w:t> </w:t>
      </w:r>
      <w:r>
        <w:rPr/>
        <w:t>the</w:t>
      </w:r>
      <w:r>
        <w:rPr>
          <w:spacing w:val="-17"/>
        </w:rPr>
        <w:t> </w:t>
      </w:r>
      <w:r>
        <w:rPr/>
        <w:t>Guidelines for the Development of Exceptional Merit Pathways were introduced and successfully </w:t>
      </w:r>
      <w:r>
        <w:rPr>
          <w:spacing w:val="1"/>
          <w:w w:val="98"/>
        </w:rPr>
        <w:t>applied</w:t>
      </w:r>
      <w:r>
        <w:rPr>
          <w:w w:val="98"/>
        </w:rPr>
        <w:t> </w:t>
      </w:r>
      <w:r>
        <w:rPr>
          <w:w w:val="95"/>
        </w:rPr>
        <w:t>in </w:t>
      </w:r>
      <w:r>
        <w:rPr>
          <w:spacing w:val="1"/>
          <w:w w:val="90"/>
        </w:rPr>
        <w:t>2014</w:t>
      </w:r>
      <w:r>
        <w:rPr>
          <w:w w:val="90"/>
        </w:rPr>
        <w:t> </w:t>
      </w:r>
      <w:r>
        <w:rPr>
          <w:spacing w:val="1"/>
          <w:w w:val="97"/>
        </w:rPr>
        <w:t>and</w:t>
      </w:r>
      <w:r>
        <w:rPr>
          <w:w w:val="97"/>
        </w:rPr>
        <w:t> </w:t>
      </w:r>
      <w:r>
        <w:rPr>
          <w:spacing w:val="1"/>
          <w:w w:val="84"/>
        </w:rPr>
        <w:t>2015.</w:t>
      </w:r>
      <w:r>
        <w:rPr>
          <w:w w:val="84"/>
        </w:rPr>
        <w:t> </w:t>
      </w:r>
      <w:r>
        <w:rPr>
          <w:w w:val="112"/>
        </w:rPr>
        <w:t>A </w:t>
      </w:r>
      <w:r>
        <w:rPr>
          <w:spacing w:val="1"/>
          <w:w w:val="97"/>
        </w:rPr>
        <w:t>number</w:t>
      </w:r>
      <w:r>
        <w:rPr>
          <w:w w:val="97"/>
        </w:rPr>
        <w:t> </w:t>
      </w:r>
      <w:r>
        <w:rPr>
          <w:w w:val="99"/>
        </w:rPr>
        <w:t>of </w:t>
      </w:r>
      <w:r>
        <w:rPr/>
        <w:t>Exceptional</w:t>
      </w:r>
      <w:r>
        <w:rPr>
          <w:spacing w:val="-17"/>
        </w:rPr>
        <w:t> </w:t>
      </w:r>
      <w:r>
        <w:rPr/>
        <w:t>Merit</w:t>
      </w:r>
      <w:r>
        <w:rPr>
          <w:spacing w:val="-17"/>
        </w:rPr>
        <w:t> </w:t>
      </w:r>
      <w:r>
        <w:rPr/>
        <w:t>Pathways</w:t>
      </w:r>
      <w:r>
        <w:rPr>
          <w:spacing w:val="-17"/>
        </w:rPr>
        <w:t> </w:t>
      </w:r>
      <w:r>
        <w:rPr/>
        <w:t>were</w:t>
      </w:r>
      <w:r>
        <w:rPr>
          <w:spacing w:val="-17"/>
        </w:rPr>
        <w:t> </w:t>
      </w:r>
      <w:r>
        <w:rPr/>
        <w:t>successfully </w:t>
      </w:r>
      <w:r>
        <w:rPr>
          <w:spacing w:val="1"/>
          <w:w w:val="98"/>
        </w:rPr>
        <w:t>implemented</w:t>
      </w:r>
      <w:r>
        <w:rPr>
          <w:w w:val="98"/>
        </w:rPr>
        <w:t> </w:t>
      </w:r>
      <w:r>
        <w:rPr>
          <w:w w:val="95"/>
        </w:rPr>
        <w:t>in </w:t>
      </w:r>
      <w:r>
        <w:rPr>
          <w:w w:val="97"/>
        </w:rPr>
        <w:t>four </w:t>
      </w:r>
      <w:r>
        <w:rPr>
          <w:spacing w:val="1"/>
          <w:w w:val="98"/>
        </w:rPr>
        <w:t>Schools</w:t>
      </w:r>
      <w:r>
        <w:rPr>
          <w:w w:val="98"/>
        </w:rPr>
        <w:t> </w:t>
      </w:r>
      <w:r>
        <w:rPr>
          <w:w w:val="95"/>
        </w:rPr>
        <w:t>in </w:t>
      </w:r>
      <w:r>
        <w:rPr>
          <w:spacing w:val="1"/>
          <w:w w:val="88"/>
        </w:rPr>
        <w:t>2015</w:t>
      </w:r>
      <w:r>
        <w:rPr>
          <w:w w:val="88"/>
        </w:rPr>
        <w:t> </w:t>
      </w:r>
      <w:r>
        <w:rPr>
          <w:spacing w:val="1"/>
          <w:w w:val="97"/>
        </w:rPr>
        <w:t>and</w:t>
      </w:r>
      <w:r>
        <w:rPr>
          <w:w w:val="97"/>
        </w:rPr>
        <w:t> </w:t>
      </w:r>
      <w:r>
        <w:rPr>
          <w:w w:val="95"/>
        </w:rPr>
        <w:t>are </w:t>
      </w:r>
      <w:r>
        <w:rPr>
          <w:spacing w:val="1"/>
          <w:w w:val="97"/>
        </w:rPr>
        <w:t>planned</w:t>
      </w:r>
      <w:r>
        <w:rPr>
          <w:spacing w:val="-7"/>
          <w:w w:val="97"/>
        </w:rPr>
        <w:t> </w:t>
      </w:r>
      <w:r>
        <w:rPr>
          <w:w w:val="95"/>
        </w:rPr>
        <w:t>in</w:t>
      </w:r>
      <w:r>
        <w:rPr>
          <w:spacing w:val="-6"/>
          <w:w w:val="95"/>
        </w:rPr>
        <w:t> </w:t>
      </w:r>
      <w:r>
        <w:rPr>
          <w:spacing w:val="1"/>
          <w:w w:val="95"/>
        </w:rPr>
        <w:t>an</w:t>
      </w:r>
      <w:r>
        <w:rPr>
          <w:spacing w:val="-6"/>
          <w:w w:val="95"/>
        </w:rPr>
        <w:t> </w:t>
      </w:r>
      <w:r>
        <w:rPr>
          <w:spacing w:val="1"/>
          <w:w w:val="97"/>
        </w:rPr>
        <w:t>additional</w:t>
      </w:r>
      <w:r>
        <w:rPr>
          <w:spacing w:val="-7"/>
          <w:w w:val="97"/>
        </w:rPr>
        <w:t> </w:t>
      </w:r>
      <w:r>
        <w:rPr>
          <w:spacing w:val="1"/>
          <w:w w:val="98"/>
        </w:rPr>
        <w:t>School</w:t>
      </w:r>
      <w:r>
        <w:rPr>
          <w:spacing w:val="-8"/>
          <w:w w:val="98"/>
        </w:rPr>
        <w:t> </w:t>
      </w:r>
      <w:r>
        <w:rPr>
          <w:w w:val="98"/>
        </w:rPr>
        <w:t>for</w:t>
      </w:r>
      <w:r>
        <w:rPr>
          <w:spacing w:val="-7"/>
          <w:w w:val="98"/>
        </w:rPr>
        <w:t> </w:t>
      </w:r>
      <w:r>
        <w:rPr>
          <w:spacing w:val="2"/>
          <w:w w:val="85"/>
        </w:rPr>
        <w:t>2016.</w:t>
      </w:r>
    </w:p>
    <w:p>
      <w:pPr>
        <w:pStyle w:val="BodyText"/>
        <w:spacing w:line="249" w:lineRule="auto"/>
        <w:ind w:left="327" w:right="27"/>
      </w:pPr>
      <w:r>
        <w:rPr>
          <w:spacing w:val="1"/>
          <w:w w:val="100"/>
        </w:rPr>
        <w:t>Although</w:t>
      </w:r>
      <w:r>
        <w:rPr>
          <w:w w:val="100"/>
        </w:rPr>
        <w:t> </w:t>
      </w:r>
      <w:r>
        <w:rPr>
          <w:spacing w:val="1"/>
          <w:w w:val="97"/>
        </w:rPr>
        <w:t>enrolments</w:t>
      </w:r>
      <w:r>
        <w:rPr>
          <w:w w:val="97"/>
        </w:rPr>
        <w:t> </w:t>
      </w:r>
      <w:r>
        <w:rPr>
          <w:w w:val="95"/>
        </w:rPr>
        <w:t>in </w:t>
      </w:r>
      <w:r>
        <w:rPr>
          <w:spacing w:val="1"/>
          <w:w w:val="88"/>
        </w:rPr>
        <w:t>2015</w:t>
      </w:r>
      <w:r>
        <w:rPr>
          <w:w w:val="88"/>
        </w:rPr>
        <w:t> </w:t>
      </w:r>
      <w:r>
        <w:rPr>
          <w:w w:val="97"/>
        </w:rPr>
        <w:t>were </w:t>
      </w:r>
      <w:r>
        <w:rPr>
          <w:spacing w:val="-1"/>
          <w:w w:val="91"/>
        </w:rPr>
        <w:t>low,</w:t>
      </w:r>
      <w:r>
        <w:rPr>
          <w:w w:val="91"/>
        </w:rPr>
        <w:t> </w:t>
      </w:r>
      <w:r>
        <w:rPr/>
        <w:t>Schools</w:t>
      </w:r>
      <w:r>
        <w:rPr>
          <w:spacing w:val="-15"/>
        </w:rPr>
        <w:t> </w:t>
      </w:r>
      <w:r>
        <w:rPr/>
        <w:t>are</w:t>
      </w:r>
      <w:r>
        <w:rPr>
          <w:spacing w:val="-15"/>
        </w:rPr>
        <w:t> </w:t>
      </w:r>
      <w:r>
        <w:rPr/>
        <w:t>now</w:t>
      </w:r>
      <w:r>
        <w:rPr>
          <w:spacing w:val="-15"/>
        </w:rPr>
        <w:t> </w:t>
      </w:r>
      <w:r>
        <w:rPr/>
        <w:t>clearer</w:t>
      </w:r>
      <w:r>
        <w:rPr>
          <w:spacing w:val="-15"/>
        </w:rPr>
        <w:t> </w:t>
      </w:r>
      <w:r>
        <w:rPr/>
        <w:t>about</w:t>
      </w:r>
      <w:r>
        <w:rPr>
          <w:spacing w:val="-15"/>
        </w:rPr>
        <w:t> </w:t>
      </w:r>
      <w:r>
        <w:rPr/>
        <w:t>the</w:t>
      </w:r>
      <w:r>
        <w:rPr>
          <w:spacing w:val="-15"/>
        </w:rPr>
        <w:t> </w:t>
      </w:r>
      <w:r>
        <w:rPr/>
        <w:t>process</w:t>
      </w:r>
      <w:r>
        <w:rPr>
          <w:spacing w:val="-15"/>
        </w:rPr>
        <w:t> </w:t>
      </w:r>
      <w:r>
        <w:rPr/>
        <w:t>to follow</w:t>
      </w:r>
      <w:r>
        <w:rPr>
          <w:spacing w:val="-18"/>
        </w:rPr>
        <w:t> </w:t>
      </w:r>
      <w:r>
        <w:rPr/>
        <w:t>up</w:t>
      </w:r>
      <w:r>
        <w:rPr>
          <w:spacing w:val="-18"/>
        </w:rPr>
        <w:t> </w:t>
      </w:r>
      <w:r>
        <w:rPr/>
        <w:t>on</w:t>
      </w:r>
      <w:r>
        <w:rPr>
          <w:spacing w:val="-18"/>
        </w:rPr>
        <w:t> </w:t>
      </w:r>
      <w:r>
        <w:rPr/>
        <w:t>early</w:t>
      </w:r>
      <w:r>
        <w:rPr>
          <w:spacing w:val="-18"/>
        </w:rPr>
        <w:t> </w:t>
      </w:r>
      <w:r>
        <w:rPr/>
        <w:t>offers.</w:t>
      </w:r>
    </w:p>
    <w:p>
      <w:pPr>
        <w:pStyle w:val="BodyText"/>
        <w:rPr>
          <w:sz w:val="14"/>
        </w:rPr>
      </w:pPr>
    </w:p>
    <w:p>
      <w:pPr>
        <w:pStyle w:val="BodyText"/>
        <w:spacing w:line="249" w:lineRule="auto"/>
        <w:ind w:left="327" w:right="42"/>
      </w:pPr>
      <w:r>
        <w:rPr/>
        <w:t>The project provided a focused setting and several opportunities for staff members involved in pathways and university engagement programs to share information and</w:t>
      </w:r>
      <w:r>
        <w:rPr>
          <w:spacing w:val="-19"/>
        </w:rPr>
        <w:t> </w:t>
      </w:r>
      <w:r>
        <w:rPr/>
        <w:t>resources.</w:t>
      </w:r>
      <w:r>
        <w:rPr>
          <w:spacing w:val="-19"/>
        </w:rPr>
        <w:t> </w:t>
      </w:r>
      <w:r>
        <w:rPr/>
        <w:t>The</w:t>
      </w:r>
      <w:r>
        <w:rPr>
          <w:spacing w:val="-19"/>
        </w:rPr>
        <w:t> </w:t>
      </w:r>
      <w:r>
        <w:rPr/>
        <w:t>Pathways</w:t>
      </w:r>
      <w:r>
        <w:rPr>
          <w:spacing w:val="-19"/>
        </w:rPr>
        <w:t> </w:t>
      </w:r>
      <w:r>
        <w:rPr/>
        <w:t>Network</w:t>
      </w:r>
      <w:r>
        <w:rPr>
          <w:spacing w:val="-19"/>
        </w:rPr>
        <w:t> </w:t>
      </w:r>
      <w:r>
        <w:rPr/>
        <w:t>Forum was</w:t>
      </w:r>
      <w:r>
        <w:rPr>
          <w:spacing w:val="-17"/>
        </w:rPr>
        <w:t> </w:t>
      </w:r>
      <w:r>
        <w:rPr/>
        <w:t>established</w:t>
      </w:r>
      <w:r>
        <w:rPr>
          <w:spacing w:val="-17"/>
        </w:rPr>
        <w:t> </w:t>
      </w:r>
      <w:r>
        <w:rPr/>
        <w:t>and</w:t>
      </w:r>
      <w:r>
        <w:rPr>
          <w:spacing w:val="-17"/>
        </w:rPr>
        <w:t> </w:t>
      </w:r>
      <w:r>
        <w:rPr/>
        <w:t>will</w:t>
      </w:r>
      <w:r>
        <w:rPr>
          <w:spacing w:val="-17"/>
        </w:rPr>
        <w:t> </w:t>
      </w:r>
      <w:r>
        <w:rPr/>
        <w:t>meet</w:t>
      </w:r>
      <w:r>
        <w:rPr>
          <w:spacing w:val="-17"/>
        </w:rPr>
        <w:t> </w:t>
      </w:r>
      <w:r>
        <w:rPr/>
        <w:t>three</w:t>
      </w:r>
      <w:r>
        <w:rPr>
          <w:spacing w:val="-17"/>
        </w:rPr>
        <w:t> </w:t>
      </w:r>
      <w:r>
        <w:rPr/>
        <w:t>times</w:t>
      </w:r>
    </w:p>
    <w:p>
      <w:pPr>
        <w:pStyle w:val="BodyText"/>
        <w:spacing w:line="249" w:lineRule="auto"/>
        <w:ind w:left="327" w:right="-9"/>
      </w:pPr>
      <w:r>
        <w:rPr/>
        <w:t>a year to ensure coordinated planning and synchronising of programs and resources across pre-entry engagement and pathways programs.</w:t>
      </w:r>
      <w:r>
        <w:rPr>
          <w:spacing w:val="-15"/>
        </w:rPr>
        <w:t> </w:t>
      </w:r>
      <w:r>
        <w:rPr/>
        <w:t>As</w:t>
      </w:r>
      <w:r>
        <w:rPr>
          <w:spacing w:val="-15"/>
        </w:rPr>
        <w:t> </w:t>
      </w:r>
      <w:r>
        <w:rPr/>
        <w:t>the</w:t>
      </w:r>
      <w:r>
        <w:rPr>
          <w:spacing w:val="-15"/>
        </w:rPr>
        <w:t> </w:t>
      </w:r>
      <w:r>
        <w:rPr/>
        <w:t>Our</w:t>
      </w:r>
      <w:r>
        <w:rPr>
          <w:spacing w:val="-15"/>
        </w:rPr>
        <w:t> </w:t>
      </w:r>
      <w:r>
        <w:rPr/>
        <w:t>Futures</w:t>
      </w:r>
      <w:r>
        <w:rPr>
          <w:spacing w:val="-15"/>
        </w:rPr>
        <w:t> </w:t>
      </w:r>
      <w:r>
        <w:rPr/>
        <w:t>Funding</w:t>
      </w:r>
      <w:r>
        <w:rPr>
          <w:spacing w:val="-15"/>
        </w:rPr>
        <w:t> </w:t>
      </w:r>
      <w:r>
        <w:rPr/>
        <w:t>for</w:t>
      </w:r>
      <w:r>
        <w:rPr>
          <w:spacing w:val="-15"/>
        </w:rPr>
        <w:t> </w:t>
      </w:r>
      <w:r>
        <w:rPr/>
        <w:t>the Pathways to Success project ends this year, the management of this forum will move to the</w:t>
      </w:r>
      <w:r>
        <w:rPr>
          <w:spacing w:val="-15"/>
        </w:rPr>
        <w:t> </w:t>
      </w:r>
      <w:r>
        <w:rPr/>
        <w:t>Director</w:t>
      </w:r>
      <w:r>
        <w:rPr>
          <w:spacing w:val="-15"/>
        </w:rPr>
        <w:t> </w:t>
      </w:r>
      <w:r>
        <w:rPr/>
        <w:t>of</w:t>
      </w:r>
      <w:r>
        <w:rPr>
          <w:spacing w:val="-15"/>
        </w:rPr>
        <w:t> </w:t>
      </w:r>
      <w:r>
        <w:rPr/>
        <w:t>Participation</w:t>
      </w:r>
      <w:r>
        <w:rPr>
          <w:spacing w:val="-15"/>
        </w:rPr>
        <w:t> </w:t>
      </w:r>
      <w:r>
        <w:rPr/>
        <w:t>and</w:t>
      </w:r>
      <w:r>
        <w:rPr>
          <w:spacing w:val="-15"/>
        </w:rPr>
        <w:t> </w:t>
      </w:r>
      <w:r>
        <w:rPr/>
        <w:t>Success.</w:t>
      </w:r>
    </w:p>
    <w:p>
      <w:pPr>
        <w:pStyle w:val="BodyText"/>
        <w:spacing w:before="6"/>
        <w:rPr>
          <w:sz w:val="22"/>
        </w:rPr>
      </w:pPr>
    </w:p>
    <w:p>
      <w:pPr>
        <w:pStyle w:val="Heading5"/>
        <w:ind w:left="332" w:right="-9"/>
      </w:pPr>
      <w:r>
        <w:rPr>
          <w:w w:val="95"/>
        </w:rPr>
        <w:t>STUDENT SUPPORT</w:t>
      </w:r>
      <w:r>
        <w:rPr>
          <w:spacing w:val="-35"/>
          <w:w w:val="95"/>
        </w:rPr>
        <w:t> </w:t>
      </w:r>
      <w:r>
        <w:rPr>
          <w:w w:val="95"/>
        </w:rPr>
        <w:t>SERVICES</w:t>
      </w:r>
    </w:p>
    <w:p>
      <w:pPr>
        <w:pStyle w:val="BodyText"/>
        <w:spacing w:line="249" w:lineRule="auto" w:before="209"/>
        <w:ind w:left="327" w:right="258"/>
      </w:pPr>
      <w:r>
        <w:rPr/>
        <w:t>Throughout 2015, Student Support Services (SSS) continued contributing to and encouraging student engagement. It</w:t>
      </w:r>
    </w:p>
    <w:p>
      <w:pPr>
        <w:pStyle w:val="BodyText"/>
        <w:spacing w:line="249" w:lineRule="auto"/>
        <w:ind w:left="327" w:right="27"/>
      </w:pPr>
      <w:r>
        <w:rPr/>
        <w:t>developed strategic partnerships to enhance student learning and retention, and evolved targeted student-centred programs and services to give students opportunities to build their skills and resources to maximise their potential. Involvement with key University and campus initiatives continued, as did direct service provision to individual students.</w:t>
      </w:r>
    </w:p>
    <w:p>
      <w:pPr>
        <w:pStyle w:val="BodyText"/>
        <w:spacing w:before="7"/>
        <w:rPr>
          <w:sz w:val="21"/>
        </w:rPr>
      </w:pPr>
    </w:p>
    <w:p>
      <w:pPr>
        <w:pStyle w:val="Heading8"/>
        <w:ind w:left="327" w:right="27"/>
      </w:pPr>
      <w:r>
        <w:rPr>
          <w:w w:val="95"/>
        </w:rPr>
        <w:t>DEMAND FOR SERVICES</w:t>
      </w:r>
    </w:p>
    <w:p>
      <w:pPr>
        <w:pStyle w:val="BodyText"/>
        <w:spacing w:line="249" w:lineRule="auto" w:before="86"/>
        <w:ind w:left="327"/>
      </w:pPr>
      <w:r>
        <w:rPr/>
        <w:t>The</w:t>
      </w:r>
      <w:r>
        <w:rPr>
          <w:spacing w:val="-15"/>
        </w:rPr>
        <w:t> </w:t>
      </w:r>
      <w:r>
        <w:rPr/>
        <w:t>Counselling</w:t>
      </w:r>
      <w:r>
        <w:rPr>
          <w:spacing w:val="-15"/>
        </w:rPr>
        <w:t> </w:t>
      </w:r>
      <w:r>
        <w:rPr/>
        <w:t>Service</w:t>
      </w:r>
      <w:r>
        <w:rPr>
          <w:spacing w:val="-15"/>
        </w:rPr>
        <w:t> </w:t>
      </w:r>
      <w:r>
        <w:rPr/>
        <w:t>continued</w:t>
      </w:r>
      <w:r>
        <w:rPr>
          <w:spacing w:val="-15"/>
        </w:rPr>
        <w:t> </w:t>
      </w:r>
      <w:r>
        <w:rPr/>
        <w:t>to</w:t>
      </w:r>
      <w:r>
        <w:rPr>
          <w:spacing w:val="-15"/>
        </w:rPr>
        <w:t> </w:t>
      </w:r>
      <w:r>
        <w:rPr/>
        <w:t>develop more flexible counselling approaches to support students undertaking study via </w:t>
      </w:r>
      <w:r>
        <w:rPr>
          <w:spacing w:val="1"/>
          <w:w w:val="96"/>
        </w:rPr>
        <w:t>various</w:t>
      </w:r>
      <w:r>
        <w:rPr>
          <w:w w:val="96"/>
        </w:rPr>
        <w:t> </w:t>
      </w:r>
      <w:r>
        <w:rPr>
          <w:spacing w:val="2"/>
          <w:w w:val="93"/>
        </w:rPr>
        <w:t>modes.</w:t>
      </w:r>
      <w:r>
        <w:rPr>
          <w:w w:val="93"/>
        </w:rPr>
        <w:t> </w:t>
      </w:r>
      <w:r>
        <w:rPr>
          <w:spacing w:val="2"/>
          <w:w w:val="103"/>
        </w:rPr>
        <w:t>As</w:t>
      </w:r>
      <w:r>
        <w:rPr>
          <w:w w:val="103"/>
        </w:rPr>
        <w:t> </w:t>
      </w:r>
      <w:r>
        <w:rPr>
          <w:w w:val="98"/>
        </w:rPr>
        <w:t>at </w:t>
      </w:r>
      <w:r>
        <w:rPr>
          <w:spacing w:val="2"/>
          <w:w w:val="77"/>
        </w:rPr>
        <w:t>16</w:t>
      </w:r>
      <w:r>
        <w:rPr>
          <w:w w:val="77"/>
        </w:rPr>
        <w:t> </w:t>
      </w:r>
      <w:r>
        <w:rPr>
          <w:spacing w:val="1"/>
          <w:w w:val="98"/>
        </w:rPr>
        <w:t>November</w:t>
      </w:r>
      <w:r>
        <w:rPr>
          <w:w w:val="98"/>
        </w:rPr>
        <w:t> </w:t>
      </w:r>
      <w:r>
        <w:rPr>
          <w:spacing w:val="1"/>
          <w:w w:val="84"/>
        </w:rPr>
        <w:t>2015,</w:t>
      </w:r>
      <w:r>
        <w:rPr>
          <w:w w:val="84"/>
        </w:rPr>
        <w:t> </w:t>
      </w:r>
      <w:r>
        <w:rPr>
          <w:spacing w:val="2"/>
        </w:rPr>
        <w:t>2,460 </w:t>
      </w:r>
      <w:r>
        <w:rPr/>
        <w:t>individual students had accessed the counselling service and 5,792 occasions of service had taken place, with the average number of occasions of service per client </w:t>
      </w:r>
      <w:r>
        <w:rPr>
          <w:w w:val="98"/>
        </w:rPr>
        <w:t>slightly</w:t>
      </w:r>
      <w:r>
        <w:rPr>
          <w:spacing w:val="-7"/>
          <w:w w:val="98"/>
        </w:rPr>
        <w:t> </w:t>
      </w:r>
      <w:r>
        <w:rPr>
          <w:spacing w:val="1"/>
          <w:w w:val="97"/>
        </w:rPr>
        <w:t>decreasing</w:t>
      </w:r>
      <w:r>
        <w:rPr>
          <w:spacing w:val="-7"/>
          <w:w w:val="97"/>
        </w:rPr>
        <w:t> </w:t>
      </w:r>
      <w:r>
        <w:rPr>
          <w:spacing w:val="1"/>
          <w:w w:val="98"/>
        </w:rPr>
        <w:t>from</w:t>
      </w:r>
      <w:r>
        <w:rPr>
          <w:spacing w:val="-7"/>
          <w:w w:val="98"/>
        </w:rPr>
        <w:t> </w:t>
      </w:r>
      <w:r>
        <w:rPr>
          <w:w w:val="89"/>
        </w:rPr>
        <w:t>2.47</w:t>
      </w:r>
      <w:r>
        <w:rPr>
          <w:spacing w:val="-3"/>
          <w:w w:val="89"/>
        </w:rPr>
        <w:t> </w:t>
      </w:r>
      <w:r>
        <w:rPr>
          <w:w w:val="95"/>
        </w:rPr>
        <w:t>in</w:t>
      </w:r>
      <w:r>
        <w:rPr>
          <w:spacing w:val="-6"/>
          <w:w w:val="95"/>
        </w:rPr>
        <w:t> </w:t>
      </w:r>
      <w:r>
        <w:rPr>
          <w:spacing w:val="1"/>
          <w:w w:val="90"/>
        </w:rPr>
        <w:t>2014</w:t>
      </w:r>
      <w:r>
        <w:rPr>
          <w:spacing w:val="-3"/>
          <w:w w:val="90"/>
        </w:rPr>
        <w:t> </w:t>
      </w:r>
      <w:r>
        <w:rPr>
          <w:spacing w:val="-1"/>
          <w:w w:val="101"/>
        </w:rPr>
        <w:t>to</w:t>
      </w:r>
      <w:r>
        <w:rPr>
          <w:spacing w:val="-9"/>
          <w:w w:val="101"/>
        </w:rPr>
        <w:t> </w:t>
      </w:r>
      <w:r>
        <w:rPr>
          <w:spacing w:val="2"/>
          <w:w w:val="87"/>
        </w:rPr>
        <w:t>2.35</w:t>
      </w:r>
    </w:p>
    <w:p>
      <w:pPr>
        <w:pStyle w:val="BodyText"/>
        <w:spacing w:line="249" w:lineRule="auto"/>
        <w:ind w:left="327" w:right="27"/>
      </w:pPr>
      <w:r>
        <w:rPr>
          <w:w w:val="95"/>
        </w:rPr>
        <w:t>in </w:t>
      </w:r>
      <w:r>
        <w:rPr>
          <w:w w:val="84"/>
        </w:rPr>
        <w:t>2015. </w:t>
      </w:r>
      <w:r>
        <w:rPr>
          <w:w w:val="97"/>
        </w:rPr>
        <w:t>Throughout </w:t>
      </w:r>
      <w:r>
        <w:rPr>
          <w:w w:val="84"/>
        </w:rPr>
        <w:t>2015, </w:t>
      </w:r>
      <w:r>
        <w:rPr>
          <w:w w:val="97"/>
        </w:rPr>
        <w:t>the </w:t>
      </w:r>
      <w:r>
        <w:rPr>
          <w:w w:val="97"/>
        </w:rPr>
        <w:t>Counselling </w:t>
      </w:r>
      <w:r>
        <w:rPr/>
        <w:t>Service adopted single-session approaches for some issues, increased the availability</w:t>
      </w:r>
    </w:p>
    <w:p>
      <w:pPr>
        <w:pStyle w:val="BodyText"/>
        <w:spacing w:before="3"/>
        <w:rPr>
          <w:sz w:val="20"/>
        </w:rPr>
      </w:pPr>
      <w:r>
        <w:rPr/>
        <w:br w:type="column"/>
      </w:r>
      <w:r>
        <w:rPr>
          <w:sz w:val="20"/>
        </w:rPr>
      </w:r>
    </w:p>
    <w:p>
      <w:pPr>
        <w:pStyle w:val="BodyText"/>
        <w:spacing w:line="249" w:lineRule="auto"/>
        <w:ind w:left="220" w:right="-20"/>
      </w:pPr>
      <w:r>
        <w:rPr/>
        <w:t>of drop-in appointments, and continued to offer Skype and phone appointments and the online e-counselling service.</w:t>
      </w:r>
    </w:p>
    <w:p>
      <w:pPr>
        <w:pStyle w:val="BodyText"/>
        <w:rPr>
          <w:sz w:val="14"/>
        </w:rPr>
      </w:pPr>
    </w:p>
    <w:p>
      <w:pPr>
        <w:pStyle w:val="BodyText"/>
        <w:spacing w:line="249" w:lineRule="auto"/>
        <w:ind w:left="220"/>
      </w:pPr>
      <w:r>
        <w:rPr/>
        <w:t>The Counselling Service continued to provide debriefing, support and counselling to both students and staff members affected by </w:t>
      </w:r>
      <w:r>
        <w:rPr>
          <w:w w:val="98"/>
        </w:rPr>
        <w:t>traumatic </w:t>
      </w:r>
      <w:r>
        <w:rPr>
          <w:w w:val="97"/>
        </w:rPr>
        <w:t>incidents </w:t>
      </w:r>
      <w:r>
        <w:rPr>
          <w:w w:val="95"/>
        </w:rPr>
        <w:t>in </w:t>
      </w:r>
      <w:r>
        <w:rPr>
          <w:w w:val="84"/>
        </w:rPr>
        <w:t>2015.</w:t>
      </w:r>
    </w:p>
    <w:p>
      <w:pPr>
        <w:pStyle w:val="BodyText"/>
        <w:rPr>
          <w:sz w:val="14"/>
        </w:rPr>
      </w:pPr>
    </w:p>
    <w:p>
      <w:pPr>
        <w:pStyle w:val="BodyText"/>
        <w:spacing w:line="249" w:lineRule="auto"/>
        <w:ind w:left="220" w:right="-20"/>
      </w:pPr>
      <w:r>
        <w:rPr>
          <w:spacing w:val="2"/>
          <w:w w:val="103"/>
        </w:rPr>
        <w:t>As</w:t>
      </w:r>
      <w:r>
        <w:rPr>
          <w:w w:val="103"/>
        </w:rPr>
        <w:t> </w:t>
      </w:r>
      <w:r>
        <w:rPr>
          <w:w w:val="98"/>
        </w:rPr>
        <w:t>at </w:t>
      </w:r>
      <w:r>
        <w:rPr>
          <w:spacing w:val="2"/>
          <w:w w:val="77"/>
        </w:rPr>
        <w:t>16</w:t>
      </w:r>
      <w:r>
        <w:rPr>
          <w:w w:val="77"/>
        </w:rPr>
        <w:t> </w:t>
      </w:r>
      <w:r>
        <w:rPr>
          <w:spacing w:val="1"/>
          <w:w w:val="98"/>
        </w:rPr>
        <w:t>November</w:t>
      </w:r>
      <w:r>
        <w:rPr>
          <w:w w:val="98"/>
        </w:rPr>
        <w:t> </w:t>
      </w:r>
      <w:r>
        <w:rPr>
          <w:spacing w:val="1"/>
          <w:w w:val="84"/>
        </w:rPr>
        <w:t>2015,</w:t>
      </w:r>
      <w:r>
        <w:rPr>
          <w:w w:val="84"/>
        </w:rPr>
        <w:t> </w:t>
      </w:r>
      <w:r>
        <w:rPr>
          <w:w w:val="97"/>
        </w:rPr>
        <w:t>the </w:t>
      </w:r>
      <w:r>
        <w:rPr>
          <w:spacing w:val="1"/>
          <w:w w:val="97"/>
        </w:rPr>
        <w:t>number</w:t>
      </w:r>
      <w:r>
        <w:rPr>
          <w:w w:val="97"/>
        </w:rPr>
        <w:t> </w:t>
      </w:r>
      <w:r>
        <w:rPr>
          <w:w w:val="99"/>
        </w:rPr>
        <w:t>of </w:t>
      </w:r>
      <w:r>
        <w:rPr/>
        <w:t>Academic Integration Plans (AIPs) for </w:t>
      </w:r>
      <w:r>
        <w:rPr>
          <w:spacing w:val="1"/>
          <w:w w:val="97"/>
        </w:rPr>
        <w:t>students</w:t>
      </w:r>
      <w:r>
        <w:rPr>
          <w:w w:val="97"/>
        </w:rPr>
        <w:t> </w:t>
      </w:r>
      <w:r>
        <w:rPr>
          <w:w w:val="98"/>
        </w:rPr>
        <w:t>with </w:t>
      </w:r>
      <w:r>
        <w:rPr>
          <w:spacing w:val="1"/>
          <w:w w:val="98"/>
        </w:rPr>
        <w:t>disability</w:t>
      </w:r>
      <w:r>
        <w:rPr>
          <w:w w:val="98"/>
        </w:rPr>
        <w:t> </w:t>
      </w:r>
      <w:r>
        <w:rPr>
          <w:spacing w:val="1"/>
          <w:w w:val="97"/>
        </w:rPr>
        <w:t>increased</w:t>
      </w:r>
      <w:r>
        <w:rPr>
          <w:w w:val="97"/>
        </w:rPr>
        <w:t> </w:t>
      </w:r>
      <w:r>
        <w:rPr>
          <w:spacing w:val="-1"/>
          <w:w w:val="102"/>
        </w:rPr>
        <w:t>by</w:t>
      </w:r>
      <w:r>
        <w:rPr>
          <w:w w:val="102"/>
        </w:rPr>
        <w:t> </w:t>
      </w:r>
      <w:r>
        <w:rPr>
          <w:spacing w:val="1"/>
          <w:w w:val="76"/>
        </w:rPr>
        <w:t>12.01</w:t>
      </w:r>
      <w:r>
        <w:rPr>
          <w:w w:val="76"/>
        </w:rPr>
        <w:t> </w:t>
      </w:r>
      <w:r>
        <w:rPr>
          <w:spacing w:val="1"/>
          <w:w w:val="97"/>
        </w:rPr>
        <w:t>per</w:t>
      </w:r>
      <w:r>
        <w:rPr>
          <w:w w:val="97"/>
        </w:rPr>
        <w:t> </w:t>
      </w:r>
      <w:r>
        <w:rPr>
          <w:w w:val="99"/>
        </w:rPr>
        <w:t>cent </w:t>
      </w:r>
      <w:r>
        <w:rPr>
          <w:w w:val="98"/>
        </w:rPr>
        <w:t>over </w:t>
      </w:r>
      <w:r>
        <w:rPr>
          <w:w w:val="94"/>
        </w:rPr>
        <w:t>a </w:t>
      </w:r>
      <w:r>
        <w:rPr>
          <w:w w:val="95"/>
        </w:rPr>
        <w:t>similar </w:t>
      </w:r>
      <w:r>
        <w:rPr>
          <w:spacing w:val="1"/>
          <w:w w:val="98"/>
        </w:rPr>
        <w:t>period</w:t>
      </w:r>
      <w:r>
        <w:rPr>
          <w:w w:val="98"/>
        </w:rPr>
        <w:t> </w:t>
      </w:r>
      <w:r>
        <w:rPr>
          <w:w w:val="95"/>
        </w:rPr>
        <w:t>in </w:t>
      </w:r>
      <w:r>
        <w:rPr>
          <w:spacing w:val="1"/>
          <w:w w:val="86"/>
        </w:rPr>
        <w:t>2014,</w:t>
      </w:r>
      <w:r>
        <w:rPr>
          <w:w w:val="86"/>
        </w:rPr>
        <w:t> </w:t>
      </w:r>
      <w:r>
        <w:rPr>
          <w:w w:val="96"/>
        </w:rPr>
        <w:t>while </w:t>
      </w:r>
      <w:r>
        <w:rPr>
          <w:w w:val="97"/>
        </w:rPr>
        <w:t>the </w:t>
      </w:r>
      <w:r>
        <w:rPr>
          <w:spacing w:val="1"/>
          <w:w w:val="97"/>
        </w:rPr>
        <w:t>number</w:t>
      </w:r>
      <w:r>
        <w:rPr>
          <w:spacing w:val="-7"/>
          <w:w w:val="97"/>
        </w:rPr>
        <w:t> </w:t>
      </w:r>
      <w:r>
        <w:rPr>
          <w:w w:val="99"/>
        </w:rPr>
        <w:t>of</w:t>
      </w:r>
      <w:r>
        <w:rPr>
          <w:spacing w:val="-9"/>
          <w:w w:val="99"/>
        </w:rPr>
        <w:t> </w:t>
      </w:r>
      <w:r>
        <w:rPr>
          <w:w w:val="97"/>
        </w:rPr>
        <w:t>new</w:t>
      </w:r>
      <w:r>
        <w:rPr>
          <w:spacing w:val="-8"/>
          <w:w w:val="97"/>
        </w:rPr>
        <w:t> </w:t>
      </w:r>
      <w:r>
        <w:rPr>
          <w:spacing w:val="2"/>
          <w:w w:val="94"/>
        </w:rPr>
        <w:t>AIPs</w:t>
      </w:r>
      <w:r>
        <w:rPr>
          <w:spacing w:val="-6"/>
          <w:w w:val="94"/>
        </w:rPr>
        <w:t> </w:t>
      </w:r>
      <w:r>
        <w:rPr>
          <w:spacing w:val="1"/>
          <w:w w:val="98"/>
        </w:rPr>
        <w:t>opened</w:t>
      </w:r>
      <w:r>
        <w:rPr>
          <w:spacing w:val="-8"/>
          <w:w w:val="98"/>
        </w:rPr>
        <w:t> </w:t>
      </w:r>
      <w:r>
        <w:rPr>
          <w:w w:val="95"/>
        </w:rPr>
        <w:t>in</w:t>
      </w:r>
      <w:r>
        <w:rPr>
          <w:spacing w:val="-7"/>
          <w:w w:val="95"/>
        </w:rPr>
        <w:t> </w:t>
      </w:r>
      <w:r>
        <w:rPr>
          <w:spacing w:val="1"/>
          <w:w w:val="88"/>
        </w:rPr>
        <w:t>2015</w:t>
      </w:r>
      <w:r>
        <w:rPr>
          <w:spacing w:val="-3"/>
          <w:w w:val="88"/>
        </w:rPr>
        <w:t> </w:t>
      </w:r>
      <w:r>
        <w:rPr>
          <w:spacing w:val="1"/>
          <w:w w:val="97"/>
        </w:rPr>
        <w:t>increased</w:t>
      </w:r>
      <w:r>
        <w:rPr>
          <w:w w:val="97"/>
        </w:rPr>
        <w:t> </w:t>
      </w:r>
      <w:r>
        <w:rPr/>
        <w:t>by</w:t>
      </w:r>
      <w:r>
        <w:rPr>
          <w:spacing w:val="-16"/>
        </w:rPr>
        <w:t> </w:t>
      </w:r>
      <w:r>
        <w:rPr/>
        <w:t>3.49</w:t>
      </w:r>
      <w:r>
        <w:rPr>
          <w:spacing w:val="-16"/>
        </w:rPr>
        <w:t> </w:t>
      </w:r>
      <w:r>
        <w:rPr/>
        <w:t>per</w:t>
      </w:r>
      <w:r>
        <w:rPr>
          <w:spacing w:val="-16"/>
        </w:rPr>
        <w:t> </w:t>
      </w:r>
      <w:r>
        <w:rPr/>
        <w:t>cent.</w:t>
      </w:r>
      <w:r>
        <w:rPr>
          <w:spacing w:val="-16"/>
        </w:rPr>
        <w:t> </w:t>
      </w:r>
      <w:r>
        <w:rPr/>
        <w:t>Physical</w:t>
      </w:r>
      <w:r>
        <w:rPr>
          <w:spacing w:val="-16"/>
        </w:rPr>
        <w:t> </w:t>
      </w:r>
      <w:r>
        <w:rPr/>
        <w:t>mobility</w:t>
      </w:r>
      <w:r>
        <w:rPr>
          <w:spacing w:val="-16"/>
        </w:rPr>
        <w:t> </w:t>
      </w:r>
      <w:r>
        <w:rPr/>
        <w:t>and</w:t>
      </w:r>
      <w:r>
        <w:rPr>
          <w:spacing w:val="-16"/>
        </w:rPr>
        <w:t> </w:t>
      </w:r>
      <w:r>
        <w:rPr/>
        <w:t>mental health</w:t>
      </w:r>
      <w:r>
        <w:rPr>
          <w:spacing w:val="-27"/>
        </w:rPr>
        <w:t> </w:t>
      </w:r>
      <w:r>
        <w:rPr/>
        <w:t>issues</w:t>
      </w:r>
      <w:r>
        <w:rPr>
          <w:spacing w:val="-27"/>
        </w:rPr>
        <w:t> </w:t>
      </w:r>
      <w:r>
        <w:rPr/>
        <w:t>represented</w:t>
      </w:r>
      <w:r>
        <w:rPr>
          <w:spacing w:val="-27"/>
        </w:rPr>
        <w:t> </w:t>
      </w:r>
      <w:r>
        <w:rPr/>
        <w:t>24.16</w:t>
      </w:r>
      <w:r>
        <w:rPr>
          <w:spacing w:val="-27"/>
        </w:rPr>
        <w:t> </w:t>
      </w:r>
      <w:r>
        <w:rPr/>
        <w:t>per</w:t>
      </w:r>
      <w:r>
        <w:rPr>
          <w:spacing w:val="-27"/>
        </w:rPr>
        <w:t> </w:t>
      </w:r>
      <w:r>
        <w:rPr/>
        <w:t>cent</w:t>
      </w:r>
      <w:r>
        <w:rPr>
          <w:spacing w:val="-27"/>
        </w:rPr>
        <w:t> </w:t>
      </w:r>
      <w:r>
        <w:rPr/>
        <w:t>and</w:t>
      </w:r>
    </w:p>
    <w:p>
      <w:pPr>
        <w:pStyle w:val="BodyText"/>
        <w:spacing w:line="249" w:lineRule="auto"/>
        <w:ind w:left="220" w:right="198"/>
        <w:jc w:val="both"/>
      </w:pPr>
      <w:r>
        <w:rPr>
          <w:spacing w:val="2"/>
        </w:rPr>
        <w:t>44.19</w:t>
      </w:r>
      <w:r>
        <w:rPr>
          <w:spacing w:val="-22"/>
        </w:rPr>
        <w:t> </w:t>
      </w:r>
      <w:r>
        <w:rPr/>
        <w:t>per</w:t>
      </w:r>
      <w:r>
        <w:rPr>
          <w:spacing w:val="-22"/>
        </w:rPr>
        <w:t> </w:t>
      </w:r>
      <w:r>
        <w:rPr/>
        <w:t>cent</w:t>
      </w:r>
      <w:r>
        <w:rPr>
          <w:spacing w:val="-22"/>
        </w:rPr>
        <w:t> </w:t>
      </w:r>
      <w:r>
        <w:rPr/>
        <w:t>(respectively)</w:t>
      </w:r>
      <w:r>
        <w:rPr>
          <w:spacing w:val="-22"/>
        </w:rPr>
        <w:t> </w:t>
      </w:r>
      <w:r>
        <w:rPr/>
        <w:t>of</w:t>
      </w:r>
      <w:r>
        <w:rPr>
          <w:spacing w:val="-22"/>
        </w:rPr>
        <w:t> </w:t>
      </w:r>
      <w:r>
        <w:rPr/>
        <w:t>all</w:t>
      </w:r>
      <w:r>
        <w:rPr>
          <w:spacing w:val="-22"/>
        </w:rPr>
        <w:t> </w:t>
      </w:r>
      <w:r>
        <w:rPr/>
        <w:t>new</w:t>
      </w:r>
      <w:r>
        <w:rPr>
          <w:spacing w:val="-22"/>
        </w:rPr>
        <w:t> </w:t>
      </w:r>
      <w:r>
        <w:rPr/>
        <w:t>AIPs </w:t>
      </w:r>
      <w:r>
        <w:rPr>
          <w:w w:val="98"/>
        </w:rPr>
        <w:t>created</w:t>
      </w:r>
      <w:r>
        <w:rPr>
          <w:spacing w:val="-8"/>
          <w:w w:val="98"/>
        </w:rPr>
        <w:t> </w:t>
      </w:r>
      <w:r>
        <w:rPr>
          <w:w w:val="95"/>
        </w:rPr>
        <w:t>in</w:t>
      </w:r>
      <w:r>
        <w:rPr>
          <w:spacing w:val="-7"/>
          <w:w w:val="95"/>
        </w:rPr>
        <w:t> </w:t>
      </w:r>
      <w:r>
        <w:rPr>
          <w:spacing w:val="1"/>
          <w:w w:val="84"/>
        </w:rPr>
        <w:t>2015,</w:t>
      </w:r>
      <w:r>
        <w:rPr>
          <w:spacing w:val="-1"/>
          <w:w w:val="84"/>
        </w:rPr>
        <w:t> </w:t>
      </w:r>
      <w:r>
        <w:rPr>
          <w:spacing w:val="1"/>
          <w:w w:val="99"/>
        </w:rPr>
        <w:t>compared</w:t>
      </w:r>
      <w:r>
        <w:rPr>
          <w:spacing w:val="-9"/>
          <w:w w:val="99"/>
        </w:rPr>
        <w:t> </w:t>
      </w:r>
      <w:r>
        <w:rPr>
          <w:spacing w:val="-1"/>
          <w:w w:val="101"/>
        </w:rPr>
        <w:t>to</w:t>
      </w:r>
      <w:r>
        <w:rPr>
          <w:spacing w:val="-10"/>
          <w:w w:val="101"/>
        </w:rPr>
        <w:t> </w:t>
      </w:r>
      <w:r>
        <w:rPr>
          <w:spacing w:val="1"/>
          <w:w w:val="82"/>
        </w:rPr>
        <w:t>25.41</w:t>
      </w:r>
      <w:r>
        <w:rPr>
          <w:spacing w:val="-1"/>
          <w:w w:val="82"/>
        </w:rPr>
        <w:t> </w:t>
      </w:r>
      <w:r>
        <w:rPr>
          <w:spacing w:val="1"/>
          <w:w w:val="97"/>
        </w:rPr>
        <w:t>per</w:t>
      </w:r>
      <w:r>
        <w:rPr>
          <w:spacing w:val="-8"/>
          <w:w w:val="97"/>
        </w:rPr>
        <w:t> </w:t>
      </w:r>
      <w:r>
        <w:rPr>
          <w:w w:val="99"/>
        </w:rPr>
        <w:t>cent </w:t>
      </w:r>
      <w:r>
        <w:rPr>
          <w:spacing w:val="1"/>
          <w:w w:val="97"/>
        </w:rPr>
        <w:t>and</w:t>
      </w:r>
      <w:r>
        <w:rPr>
          <w:w w:val="97"/>
        </w:rPr>
        <w:t> </w:t>
      </w:r>
      <w:r>
        <w:rPr>
          <w:spacing w:val="3"/>
          <w:w w:val="96"/>
        </w:rPr>
        <w:t>40.88</w:t>
      </w:r>
      <w:r>
        <w:rPr>
          <w:w w:val="96"/>
        </w:rPr>
        <w:t> </w:t>
      </w:r>
      <w:r>
        <w:rPr>
          <w:spacing w:val="1"/>
          <w:w w:val="97"/>
        </w:rPr>
        <w:t>per</w:t>
      </w:r>
      <w:r>
        <w:rPr>
          <w:w w:val="97"/>
        </w:rPr>
        <w:t> </w:t>
      </w:r>
      <w:r>
        <w:rPr>
          <w:w w:val="99"/>
        </w:rPr>
        <w:t>cent </w:t>
      </w:r>
      <w:r>
        <w:rPr>
          <w:w w:val="95"/>
        </w:rPr>
        <w:t>in</w:t>
      </w:r>
      <w:r>
        <w:rPr>
          <w:spacing w:val="-27"/>
          <w:w w:val="95"/>
        </w:rPr>
        <w:t> </w:t>
      </w:r>
      <w:r>
        <w:rPr>
          <w:spacing w:val="1"/>
          <w:w w:val="86"/>
        </w:rPr>
        <w:t>2014.</w:t>
      </w:r>
    </w:p>
    <w:p>
      <w:pPr>
        <w:pStyle w:val="BodyText"/>
        <w:rPr>
          <w:sz w:val="14"/>
        </w:rPr>
      </w:pPr>
    </w:p>
    <w:p>
      <w:pPr>
        <w:pStyle w:val="BodyText"/>
        <w:spacing w:line="249" w:lineRule="auto"/>
        <w:ind w:left="220" w:right="109"/>
      </w:pPr>
      <w:r>
        <w:rPr>
          <w:w w:val="97"/>
        </w:rPr>
        <w:t>During </w:t>
      </w:r>
      <w:r>
        <w:rPr>
          <w:w w:val="84"/>
        </w:rPr>
        <w:t>2015, </w:t>
      </w:r>
      <w:r>
        <w:rPr>
          <w:w w:val="97"/>
        </w:rPr>
        <w:t>the </w:t>
      </w:r>
      <w:r>
        <w:rPr>
          <w:w w:val="98"/>
        </w:rPr>
        <w:t>Student </w:t>
      </w:r>
      <w:r>
        <w:rPr>
          <w:w w:val="97"/>
        </w:rPr>
        <w:t>Welfare </w:t>
      </w:r>
      <w:r>
        <w:rPr>
          <w:w w:val="97"/>
        </w:rPr>
        <w:t>Service </w:t>
      </w:r>
      <w:r>
        <w:rPr/>
        <w:t>saw an increase in complexity of presenting cases; the number of unique clients for the</w:t>
      </w:r>
    </w:p>
    <w:p>
      <w:pPr>
        <w:pStyle w:val="BodyText"/>
        <w:spacing w:line="249" w:lineRule="auto"/>
        <w:ind w:left="220" w:right="-20"/>
      </w:pPr>
      <w:r>
        <w:rPr>
          <w:w w:val="97"/>
        </w:rPr>
        <w:t>Welfare</w:t>
      </w:r>
      <w:r>
        <w:rPr>
          <w:spacing w:val="-9"/>
          <w:w w:val="97"/>
        </w:rPr>
        <w:t> </w:t>
      </w:r>
      <w:r>
        <w:rPr>
          <w:spacing w:val="1"/>
          <w:w w:val="97"/>
        </w:rPr>
        <w:t>Service</w:t>
      </w:r>
      <w:r>
        <w:rPr>
          <w:spacing w:val="-9"/>
          <w:w w:val="97"/>
        </w:rPr>
        <w:t> </w:t>
      </w:r>
      <w:r>
        <w:rPr>
          <w:w w:val="95"/>
        </w:rPr>
        <w:t>in</w:t>
      </w:r>
      <w:r>
        <w:rPr>
          <w:spacing w:val="-8"/>
          <w:w w:val="95"/>
        </w:rPr>
        <w:t> </w:t>
      </w:r>
      <w:r>
        <w:rPr>
          <w:spacing w:val="1"/>
          <w:w w:val="88"/>
        </w:rPr>
        <w:t>2015</w:t>
      </w:r>
      <w:r>
        <w:rPr>
          <w:spacing w:val="-4"/>
          <w:w w:val="88"/>
        </w:rPr>
        <w:t> </w:t>
      </w:r>
      <w:r>
        <w:rPr>
          <w:spacing w:val="-1"/>
          <w:w w:val="99"/>
        </w:rPr>
        <w:t>(to</w:t>
      </w:r>
      <w:r>
        <w:rPr>
          <w:spacing w:val="-10"/>
          <w:w w:val="99"/>
        </w:rPr>
        <w:t> </w:t>
      </w:r>
      <w:r>
        <w:rPr>
          <w:spacing w:val="2"/>
          <w:w w:val="77"/>
        </w:rPr>
        <w:t>16</w:t>
      </w:r>
      <w:r>
        <w:rPr>
          <w:spacing w:val="1"/>
          <w:w w:val="77"/>
        </w:rPr>
        <w:t> </w:t>
      </w:r>
      <w:r>
        <w:rPr>
          <w:spacing w:val="1"/>
          <w:w w:val="98"/>
        </w:rPr>
        <w:t>November</w:t>
      </w:r>
      <w:r>
        <w:rPr>
          <w:spacing w:val="-10"/>
          <w:w w:val="98"/>
        </w:rPr>
        <w:t> </w:t>
      </w:r>
      <w:r>
        <w:rPr>
          <w:spacing w:val="1"/>
          <w:w w:val="90"/>
        </w:rPr>
        <w:t>2015)</w:t>
      </w:r>
      <w:r>
        <w:rPr>
          <w:w w:val="90"/>
        </w:rPr>
        <w:t> </w:t>
      </w:r>
      <w:r>
        <w:rPr/>
        <w:t>was 2,274 and the number of occasions of service</w:t>
      </w:r>
      <w:r>
        <w:rPr>
          <w:spacing w:val="-24"/>
        </w:rPr>
        <w:t> </w:t>
      </w:r>
      <w:r>
        <w:rPr/>
        <w:t>was</w:t>
      </w:r>
      <w:r>
        <w:rPr>
          <w:spacing w:val="-24"/>
        </w:rPr>
        <w:t> </w:t>
      </w:r>
      <w:r>
        <w:rPr>
          <w:spacing w:val="3"/>
        </w:rPr>
        <w:t>4,363.</w:t>
      </w:r>
      <w:r>
        <w:rPr>
          <w:spacing w:val="-24"/>
        </w:rPr>
        <w:t> </w:t>
      </w:r>
      <w:r>
        <w:rPr/>
        <w:t>In</w:t>
      </w:r>
      <w:r>
        <w:rPr>
          <w:spacing w:val="-24"/>
        </w:rPr>
        <w:t> </w:t>
      </w:r>
      <w:r>
        <w:rPr/>
        <w:t>addition,</w:t>
      </w:r>
      <w:r>
        <w:rPr>
          <w:spacing w:val="-24"/>
        </w:rPr>
        <w:t> </w:t>
      </w:r>
      <w:r>
        <w:rPr/>
        <w:t>another</w:t>
      </w:r>
      <w:r>
        <w:rPr>
          <w:spacing w:val="-24"/>
        </w:rPr>
        <w:t> </w:t>
      </w:r>
      <w:r>
        <w:rPr>
          <w:spacing w:val="2"/>
        </w:rPr>
        <w:t>2,323 </w:t>
      </w:r>
      <w:r>
        <w:rPr/>
        <w:t>occasions of service delivered the textbook voucher</w:t>
      </w:r>
      <w:r>
        <w:rPr>
          <w:spacing w:val="-34"/>
        </w:rPr>
        <w:t> </w:t>
      </w:r>
      <w:r>
        <w:rPr/>
        <w:t>scheme.</w:t>
      </w:r>
    </w:p>
    <w:p>
      <w:pPr>
        <w:pStyle w:val="BodyText"/>
        <w:rPr>
          <w:sz w:val="14"/>
        </w:rPr>
      </w:pPr>
    </w:p>
    <w:p>
      <w:pPr>
        <w:pStyle w:val="BodyText"/>
        <w:spacing w:line="249" w:lineRule="auto"/>
        <w:ind w:left="220" w:right="222"/>
      </w:pPr>
      <w:r>
        <w:rPr/>
        <w:t>Following the exponential growth in both student attendees and total contact hours </w:t>
      </w:r>
      <w:r>
        <w:rPr>
          <w:w w:val="95"/>
        </w:rPr>
        <w:t>in </w:t>
      </w:r>
      <w:r>
        <w:rPr>
          <w:w w:val="86"/>
        </w:rPr>
        <w:t>2014, </w:t>
      </w:r>
      <w:r>
        <w:rPr>
          <w:w w:val="103"/>
        </w:rPr>
        <w:t>PASS </w:t>
      </w:r>
      <w:r>
        <w:rPr>
          <w:w w:val="97"/>
        </w:rPr>
        <w:t>refined </w:t>
      </w:r>
      <w:r>
        <w:rPr>
          <w:w w:val="97"/>
        </w:rPr>
        <w:t>and </w:t>
      </w:r>
      <w:r>
        <w:rPr>
          <w:w w:val="98"/>
        </w:rPr>
        <w:t>consolidated</w:t>
      </w:r>
    </w:p>
    <w:p>
      <w:pPr>
        <w:pStyle w:val="BodyText"/>
        <w:spacing w:line="249" w:lineRule="auto"/>
        <w:ind w:left="220" w:right="96"/>
      </w:pPr>
      <w:r>
        <w:rPr>
          <w:spacing w:val="1"/>
          <w:w w:val="97"/>
        </w:rPr>
        <w:t>offerings</w:t>
      </w:r>
      <w:r>
        <w:rPr>
          <w:spacing w:val="-9"/>
          <w:w w:val="97"/>
        </w:rPr>
        <w:t> </w:t>
      </w:r>
      <w:r>
        <w:rPr>
          <w:w w:val="98"/>
        </w:rPr>
        <w:t>for</w:t>
      </w:r>
      <w:r>
        <w:rPr>
          <w:spacing w:val="-9"/>
          <w:w w:val="98"/>
        </w:rPr>
        <w:t> </w:t>
      </w:r>
      <w:r>
        <w:rPr>
          <w:spacing w:val="1"/>
          <w:w w:val="88"/>
        </w:rPr>
        <w:t>2015</w:t>
      </w:r>
      <w:r>
        <w:rPr>
          <w:spacing w:val="-4"/>
          <w:w w:val="88"/>
        </w:rPr>
        <w:t> </w:t>
      </w:r>
      <w:r>
        <w:rPr>
          <w:spacing w:val="-1"/>
          <w:w w:val="101"/>
        </w:rPr>
        <w:t>to</w:t>
      </w:r>
      <w:r>
        <w:rPr>
          <w:spacing w:val="-11"/>
          <w:w w:val="101"/>
        </w:rPr>
        <w:t> </w:t>
      </w:r>
      <w:r>
        <w:rPr>
          <w:spacing w:val="1"/>
          <w:w w:val="98"/>
        </w:rPr>
        <w:t>focus</w:t>
      </w:r>
      <w:r>
        <w:rPr>
          <w:spacing w:val="-9"/>
          <w:w w:val="98"/>
        </w:rPr>
        <w:t> </w:t>
      </w:r>
      <w:r>
        <w:rPr>
          <w:spacing w:val="1"/>
          <w:w w:val="98"/>
        </w:rPr>
        <w:t>on</w:t>
      </w:r>
      <w:r>
        <w:rPr>
          <w:spacing w:val="-9"/>
          <w:w w:val="98"/>
        </w:rPr>
        <w:t> </w:t>
      </w:r>
      <w:r>
        <w:rPr>
          <w:w w:val="98"/>
        </w:rPr>
        <w:t>developing</w:t>
      </w:r>
      <w:r>
        <w:rPr>
          <w:spacing w:val="-9"/>
          <w:w w:val="98"/>
        </w:rPr>
        <w:t> </w:t>
      </w:r>
      <w:r>
        <w:rPr>
          <w:w w:val="97"/>
        </w:rPr>
        <w:t>the </w:t>
      </w:r>
      <w:r>
        <w:rPr/>
        <w:t>PASSOnline and PASSWrite initiatives. This strategic approach increased accessibility for all students. The PASSOnline program </w:t>
      </w:r>
      <w:r>
        <w:rPr>
          <w:w w:val="98"/>
        </w:rPr>
        <w:t>grew </w:t>
      </w:r>
      <w:r>
        <w:rPr>
          <w:spacing w:val="1"/>
          <w:w w:val="98"/>
        </w:rPr>
        <w:t>rapidly</w:t>
      </w:r>
      <w:r>
        <w:rPr>
          <w:w w:val="98"/>
        </w:rPr>
        <w:t> </w:t>
      </w:r>
      <w:r>
        <w:rPr>
          <w:w w:val="95"/>
        </w:rPr>
        <w:t>in </w:t>
      </w:r>
      <w:r>
        <w:rPr>
          <w:spacing w:val="1"/>
          <w:w w:val="84"/>
        </w:rPr>
        <w:t>2015,</w:t>
      </w:r>
      <w:r>
        <w:rPr>
          <w:w w:val="84"/>
        </w:rPr>
        <w:t> </w:t>
      </w:r>
      <w:r>
        <w:rPr>
          <w:w w:val="98"/>
        </w:rPr>
        <w:t>with </w:t>
      </w:r>
      <w:r>
        <w:rPr>
          <w:w w:val="93"/>
        </w:rPr>
        <w:t>32 </w:t>
      </w:r>
      <w:r>
        <w:rPr>
          <w:spacing w:val="1"/>
          <w:w w:val="97"/>
        </w:rPr>
        <w:t>per</w:t>
      </w:r>
      <w:r>
        <w:rPr>
          <w:w w:val="97"/>
        </w:rPr>
        <w:t> </w:t>
      </w:r>
      <w:r>
        <w:rPr>
          <w:w w:val="99"/>
        </w:rPr>
        <w:t>cent </w:t>
      </w:r>
      <w:r>
        <w:rPr>
          <w:w w:val="99"/>
        </w:rPr>
        <w:t>of </w:t>
      </w:r>
      <w:r>
        <w:rPr/>
        <w:t>autumn</w:t>
      </w:r>
      <w:r>
        <w:rPr>
          <w:spacing w:val="-16"/>
        </w:rPr>
        <w:t> </w:t>
      </w:r>
      <w:r>
        <w:rPr/>
        <w:t>units</w:t>
      </w:r>
      <w:r>
        <w:rPr>
          <w:spacing w:val="-16"/>
        </w:rPr>
        <w:t> </w:t>
      </w:r>
      <w:r>
        <w:rPr/>
        <w:t>and</w:t>
      </w:r>
      <w:r>
        <w:rPr>
          <w:spacing w:val="-16"/>
        </w:rPr>
        <w:t> </w:t>
      </w:r>
      <w:r>
        <w:rPr/>
        <w:t>47</w:t>
      </w:r>
      <w:r>
        <w:rPr>
          <w:spacing w:val="-16"/>
        </w:rPr>
        <w:t> </w:t>
      </w:r>
      <w:r>
        <w:rPr/>
        <w:t>per</w:t>
      </w:r>
      <w:r>
        <w:rPr>
          <w:spacing w:val="-16"/>
        </w:rPr>
        <w:t> </w:t>
      </w:r>
      <w:r>
        <w:rPr/>
        <w:t>cent</w:t>
      </w:r>
      <w:r>
        <w:rPr>
          <w:spacing w:val="-16"/>
        </w:rPr>
        <w:t> </w:t>
      </w:r>
      <w:r>
        <w:rPr/>
        <w:t>of</w:t>
      </w:r>
      <w:r>
        <w:rPr>
          <w:spacing w:val="-16"/>
        </w:rPr>
        <w:t> </w:t>
      </w:r>
      <w:r>
        <w:rPr/>
        <w:t>spring</w:t>
      </w:r>
      <w:r>
        <w:rPr>
          <w:spacing w:val="-16"/>
        </w:rPr>
        <w:t> </w:t>
      </w:r>
      <w:r>
        <w:rPr/>
        <w:t>units having</w:t>
      </w:r>
      <w:r>
        <w:rPr>
          <w:spacing w:val="-15"/>
        </w:rPr>
        <w:t> </w:t>
      </w:r>
      <w:r>
        <w:rPr/>
        <w:t>an</w:t>
      </w:r>
      <w:r>
        <w:rPr>
          <w:spacing w:val="-15"/>
        </w:rPr>
        <w:t> </w:t>
      </w:r>
      <w:r>
        <w:rPr/>
        <w:t>online</w:t>
      </w:r>
      <w:r>
        <w:rPr>
          <w:spacing w:val="-15"/>
        </w:rPr>
        <w:t> </w:t>
      </w:r>
      <w:r>
        <w:rPr/>
        <w:t>delivery</w:t>
      </w:r>
      <w:r>
        <w:rPr>
          <w:spacing w:val="-15"/>
        </w:rPr>
        <w:t> </w:t>
      </w:r>
      <w:r>
        <w:rPr/>
        <w:t>option.</w:t>
      </w:r>
      <w:r>
        <w:rPr>
          <w:spacing w:val="-15"/>
        </w:rPr>
        <w:t> </w:t>
      </w:r>
      <w:r>
        <w:rPr/>
        <w:t>PASSOnline attendance</w:t>
      </w:r>
      <w:r>
        <w:rPr>
          <w:spacing w:val="-16"/>
        </w:rPr>
        <w:t> </w:t>
      </w:r>
      <w:r>
        <w:rPr/>
        <w:t>in</w:t>
      </w:r>
      <w:r>
        <w:rPr>
          <w:spacing w:val="-16"/>
        </w:rPr>
        <w:t> </w:t>
      </w:r>
      <w:r>
        <w:rPr/>
        <w:t>spring</w:t>
      </w:r>
      <w:r>
        <w:rPr>
          <w:spacing w:val="-16"/>
        </w:rPr>
        <w:t> </w:t>
      </w:r>
      <w:r>
        <w:rPr/>
        <w:t>grew</w:t>
      </w:r>
      <w:r>
        <w:rPr>
          <w:spacing w:val="-16"/>
        </w:rPr>
        <w:t> </w:t>
      </w:r>
      <w:r>
        <w:rPr/>
        <w:t>76</w:t>
      </w:r>
      <w:r>
        <w:rPr>
          <w:spacing w:val="-16"/>
        </w:rPr>
        <w:t> </w:t>
      </w:r>
      <w:r>
        <w:rPr/>
        <w:t>per</w:t>
      </w:r>
      <w:r>
        <w:rPr>
          <w:spacing w:val="-16"/>
        </w:rPr>
        <w:t> </w:t>
      </w:r>
      <w:r>
        <w:rPr/>
        <w:t>cent</w:t>
      </w:r>
      <w:r>
        <w:rPr>
          <w:spacing w:val="-16"/>
        </w:rPr>
        <w:t> </w:t>
      </w:r>
      <w:r>
        <w:rPr/>
        <w:t>from</w:t>
      </w:r>
    </w:p>
    <w:p>
      <w:pPr>
        <w:pStyle w:val="BodyText"/>
        <w:spacing w:line="249" w:lineRule="auto"/>
        <w:ind w:left="220" w:right="-20"/>
      </w:pPr>
      <w:r>
        <w:rPr>
          <w:w w:val="90"/>
        </w:rPr>
        <w:t>2014 </w:t>
      </w:r>
      <w:r>
        <w:rPr>
          <w:w w:val="97"/>
        </w:rPr>
        <w:t>and </w:t>
      </w:r>
      <w:r>
        <w:rPr>
          <w:w w:val="99"/>
        </w:rPr>
        <w:t>now </w:t>
      </w:r>
      <w:r>
        <w:rPr>
          <w:w w:val="98"/>
        </w:rPr>
        <w:t>accounts </w:t>
      </w:r>
      <w:r>
        <w:rPr>
          <w:w w:val="98"/>
        </w:rPr>
        <w:t>for </w:t>
      </w:r>
      <w:r>
        <w:rPr>
          <w:w w:val="79"/>
        </w:rPr>
        <w:t>15.6 </w:t>
      </w:r>
      <w:r>
        <w:rPr>
          <w:w w:val="97"/>
        </w:rPr>
        <w:t>per </w:t>
      </w:r>
      <w:r>
        <w:rPr>
          <w:w w:val="99"/>
        </w:rPr>
        <w:t>cent </w:t>
      </w:r>
      <w:r>
        <w:rPr>
          <w:w w:val="99"/>
        </w:rPr>
        <w:t>of </w:t>
      </w:r>
      <w:r>
        <w:rPr>
          <w:w w:val="95"/>
        </w:rPr>
        <w:t>all </w:t>
      </w:r>
      <w:r>
        <w:rPr/>
        <w:t>PASS attendees.</w:t>
      </w:r>
    </w:p>
    <w:p>
      <w:pPr>
        <w:pStyle w:val="BodyText"/>
        <w:rPr>
          <w:sz w:val="14"/>
        </w:rPr>
      </w:pPr>
    </w:p>
    <w:p>
      <w:pPr>
        <w:pStyle w:val="BodyText"/>
        <w:spacing w:line="249" w:lineRule="auto"/>
        <w:ind w:left="220" w:right="217"/>
      </w:pPr>
      <w:r>
        <w:rPr/>
        <w:t>PASSWrite is a discipline-based academic reading</w:t>
      </w:r>
      <w:r>
        <w:rPr>
          <w:spacing w:val="-16"/>
        </w:rPr>
        <w:t> </w:t>
      </w:r>
      <w:r>
        <w:rPr/>
        <w:t>and</w:t>
      </w:r>
      <w:r>
        <w:rPr>
          <w:spacing w:val="-16"/>
        </w:rPr>
        <w:t> </w:t>
      </w:r>
      <w:r>
        <w:rPr/>
        <w:t>writing</w:t>
      </w:r>
      <w:r>
        <w:rPr>
          <w:spacing w:val="-16"/>
        </w:rPr>
        <w:t> </w:t>
      </w:r>
      <w:r>
        <w:rPr/>
        <w:t>development</w:t>
      </w:r>
      <w:r>
        <w:rPr>
          <w:spacing w:val="-16"/>
        </w:rPr>
        <w:t> </w:t>
      </w:r>
      <w:r>
        <w:rPr/>
        <w:t>program, delivered in PASS’s signature collaborative and peer-led style. PASSWrite expanded to</w:t>
      </w:r>
      <w:r>
        <w:rPr>
          <w:spacing w:val="-15"/>
        </w:rPr>
        <w:t> </w:t>
      </w:r>
      <w:r>
        <w:rPr/>
        <w:t>support</w:t>
      </w:r>
      <w:r>
        <w:rPr>
          <w:spacing w:val="-15"/>
        </w:rPr>
        <w:t> </w:t>
      </w:r>
      <w:r>
        <w:rPr/>
        <w:t>four</w:t>
      </w:r>
      <w:r>
        <w:rPr>
          <w:spacing w:val="-15"/>
        </w:rPr>
        <w:t> </w:t>
      </w:r>
      <w:r>
        <w:rPr/>
        <w:t>disciplines</w:t>
      </w:r>
      <w:r>
        <w:rPr>
          <w:spacing w:val="-15"/>
        </w:rPr>
        <w:t> </w:t>
      </w:r>
      <w:r>
        <w:rPr/>
        <w:t>(Humanities</w:t>
      </w:r>
      <w:r>
        <w:rPr>
          <w:spacing w:val="-15"/>
        </w:rPr>
        <w:t> </w:t>
      </w:r>
      <w:r>
        <w:rPr/>
        <w:t>and Communication</w:t>
      </w:r>
      <w:r>
        <w:rPr>
          <w:spacing w:val="-30"/>
        </w:rPr>
        <w:t> </w:t>
      </w:r>
      <w:r>
        <w:rPr>
          <w:spacing w:val="3"/>
        </w:rPr>
        <w:t>Arts,</w:t>
      </w:r>
      <w:r>
        <w:rPr>
          <w:spacing w:val="-30"/>
        </w:rPr>
        <w:t> </w:t>
      </w:r>
      <w:r>
        <w:rPr>
          <w:spacing w:val="2"/>
        </w:rPr>
        <w:t>Business,</w:t>
      </w:r>
      <w:r>
        <w:rPr>
          <w:spacing w:val="-30"/>
        </w:rPr>
        <w:t> </w:t>
      </w:r>
      <w:r>
        <w:rPr/>
        <w:t>Education,</w:t>
      </w:r>
    </w:p>
    <w:p>
      <w:pPr>
        <w:pStyle w:val="BodyText"/>
        <w:spacing w:line="249" w:lineRule="auto"/>
        <w:ind w:left="220" w:right="-20"/>
      </w:pPr>
      <w:r>
        <w:rPr/>
        <w:t>and</w:t>
      </w:r>
      <w:r>
        <w:rPr>
          <w:spacing w:val="-13"/>
        </w:rPr>
        <w:t> </w:t>
      </w:r>
      <w:r>
        <w:rPr/>
        <w:t>Social</w:t>
      </w:r>
      <w:r>
        <w:rPr>
          <w:spacing w:val="-13"/>
        </w:rPr>
        <w:t> </w:t>
      </w:r>
      <w:r>
        <w:rPr/>
        <w:t>Sciences</w:t>
      </w:r>
      <w:r>
        <w:rPr>
          <w:spacing w:val="-13"/>
        </w:rPr>
        <w:t> </w:t>
      </w:r>
      <w:r>
        <w:rPr/>
        <w:t>and</w:t>
      </w:r>
      <w:r>
        <w:rPr>
          <w:spacing w:val="-13"/>
        </w:rPr>
        <w:t> </w:t>
      </w:r>
      <w:r>
        <w:rPr/>
        <w:t>Psychology)</w:t>
      </w:r>
      <w:r>
        <w:rPr>
          <w:spacing w:val="-13"/>
        </w:rPr>
        <w:t> </w:t>
      </w:r>
      <w:r>
        <w:rPr/>
        <w:t>in</w:t>
      </w:r>
      <w:r>
        <w:rPr>
          <w:spacing w:val="-13"/>
        </w:rPr>
        <w:t> </w:t>
      </w:r>
      <w:r>
        <w:rPr/>
        <w:t>spring </w:t>
      </w:r>
      <w:r>
        <w:rPr>
          <w:spacing w:val="1"/>
          <w:w w:val="84"/>
        </w:rPr>
        <w:t>2015.</w:t>
      </w:r>
      <w:r>
        <w:rPr>
          <w:w w:val="84"/>
        </w:rPr>
        <w:t> </w:t>
      </w:r>
      <w:r>
        <w:rPr>
          <w:spacing w:val="1"/>
          <w:w w:val="98"/>
        </w:rPr>
        <w:t>Seventy-one</w:t>
      </w:r>
      <w:r>
        <w:rPr>
          <w:w w:val="98"/>
        </w:rPr>
        <w:t> </w:t>
      </w:r>
      <w:r>
        <w:rPr>
          <w:spacing w:val="1"/>
          <w:w w:val="97"/>
        </w:rPr>
        <w:t>students</w:t>
      </w:r>
      <w:r>
        <w:rPr>
          <w:w w:val="97"/>
        </w:rPr>
        <w:t> </w:t>
      </w:r>
      <w:r>
        <w:rPr>
          <w:spacing w:val="1"/>
          <w:w w:val="98"/>
        </w:rPr>
        <w:t>attended</w:t>
      </w:r>
      <w:r>
        <w:rPr>
          <w:w w:val="98"/>
        </w:rPr>
        <w:t> </w:t>
      </w:r>
      <w:r>
        <w:rPr>
          <w:w w:val="97"/>
        </w:rPr>
        <w:t>this </w:t>
      </w:r>
      <w:r>
        <w:rPr/>
        <w:t>intensive</w:t>
      </w:r>
      <w:r>
        <w:rPr>
          <w:spacing w:val="-21"/>
        </w:rPr>
        <w:t> </w:t>
      </w:r>
      <w:r>
        <w:rPr/>
        <w:t>support</w:t>
      </w:r>
      <w:r>
        <w:rPr>
          <w:spacing w:val="-21"/>
        </w:rPr>
        <w:t> </w:t>
      </w:r>
      <w:r>
        <w:rPr/>
        <w:t>program.</w:t>
      </w:r>
    </w:p>
    <w:p>
      <w:pPr>
        <w:pStyle w:val="BodyText"/>
        <w:rPr>
          <w:sz w:val="14"/>
        </w:rPr>
      </w:pPr>
    </w:p>
    <w:p>
      <w:pPr>
        <w:pStyle w:val="BodyText"/>
        <w:spacing w:line="249" w:lineRule="auto"/>
        <w:ind w:left="220" w:right="-20"/>
      </w:pPr>
      <w:r>
        <w:rPr/>
        <w:t>The face-to-face PASS program had 3,520 </w:t>
      </w:r>
      <w:r>
        <w:rPr>
          <w:w w:val="97"/>
        </w:rPr>
        <w:t>attendees </w:t>
      </w:r>
      <w:r>
        <w:rPr>
          <w:w w:val="97"/>
        </w:rPr>
        <w:t>during </w:t>
      </w:r>
      <w:r>
        <w:rPr>
          <w:w w:val="97"/>
        </w:rPr>
        <w:t>autumn </w:t>
      </w:r>
      <w:r>
        <w:rPr>
          <w:w w:val="84"/>
        </w:rPr>
        <w:t>2015, </w:t>
      </w:r>
      <w:r>
        <w:rPr>
          <w:w w:val="98"/>
        </w:rPr>
        <w:t>with </w:t>
      </w:r>
      <w:r>
        <w:rPr>
          <w:w w:val="97"/>
        </w:rPr>
        <w:t>another</w:t>
      </w:r>
    </w:p>
    <w:p>
      <w:pPr>
        <w:pStyle w:val="BodyText"/>
        <w:spacing w:before="3"/>
        <w:rPr>
          <w:sz w:val="20"/>
        </w:rPr>
      </w:pPr>
      <w:r>
        <w:rPr/>
        <w:br w:type="column"/>
      </w:r>
      <w:r>
        <w:rPr>
          <w:sz w:val="20"/>
        </w:rPr>
      </w:r>
    </w:p>
    <w:p>
      <w:pPr>
        <w:pStyle w:val="BodyText"/>
        <w:spacing w:line="249" w:lineRule="auto"/>
        <w:ind w:left="199" w:right="475"/>
      </w:pPr>
      <w:r>
        <w:rPr/>
        <w:t>2,265 students attending spring sessions. </w:t>
      </w:r>
      <w:r>
        <w:rPr>
          <w:w w:val="94"/>
        </w:rPr>
        <w:t>The </w:t>
      </w:r>
      <w:r>
        <w:rPr>
          <w:w w:val="99"/>
        </w:rPr>
        <w:t>total </w:t>
      </w:r>
      <w:r>
        <w:rPr>
          <w:w w:val="100"/>
        </w:rPr>
        <w:t>contact </w:t>
      </w:r>
      <w:r>
        <w:rPr>
          <w:w w:val="96"/>
        </w:rPr>
        <w:t>hours </w:t>
      </w:r>
      <w:r>
        <w:rPr>
          <w:w w:val="98"/>
        </w:rPr>
        <w:t>for </w:t>
      </w:r>
      <w:r>
        <w:rPr>
          <w:w w:val="96"/>
        </w:rPr>
        <w:t>summer </w:t>
      </w:r>
      <w:r>
        <w:rPr>
          <w:w w:val="83"/>
        </w:rPr>
        <w:t>2014–15, </w:t>
      </w:r>
      <w:r>
        <w:rPr>
          <w:w w:val="95"/>
        </w:rPr>
        <w:t>autumn and spring programs was 21,917.</w:t>
      </w:r>
    </w:p>
    <w:p>
      <w:pPr>
        <w:pStyle w:val="BodyText"/>
        <w:rPr>
          <w:sz w:val="14"/>
        </w:rPr>
      </w:pPr>
    </w:p>
    <w:p>
      <w:pPr>
        <w:pStyle w:val="BodyText"/>
        <w:spacing w:line="249" w:lineRule="auto"/>
        <w:ind w:left="199" w:right="339"/>
      </w:pPr>
      <w:r>
        <w:rPr/>
        <w:t>The</w:t>
      </w:r>
      <w:r>
        <w:rPr>
          <w:spacing w:val="-18"/>
        </w:rPr>
        <w:t> </w:t>
      </w:r>
      <w:r>
        <w:rPr/>
        <w:t>Aboriginal</w:t>
      </w:r>
      <w:r>
        <w:rPr>
          <w:spacing w:val="-18"/>
        </w:rPr>
        <w:t> </w:t>
      </w:r>
      <w:r>
        <w:rPr/>
        <w:t>and</w:t>
      </w:r>
      <w:r>
        <w:rPr>
          <w:spacing w:val="-18"/>
        </w:rPr>
        <w:t> </w:t>
      </w:r>
      <w:r>
        <w:rPr/>
        <w:t>Torres</w:t>
      </w:r>
      <w:r>
        <w:rPr>
          <w:spacing w:val="-18"/>
        </w:rPr>
        <w:t> </w:t>
      </w:r>
      <w:r>
        <w:rPr/>
        <w:t>Strait</w:t>
      </w:r>
      <w:r>
        <w:rPr>
          <w:spacing w:val="-18"/>
        </w:rPr>
        <w:t> </w:t>
      </w:r>
      <w:r>
        <w:rPr/>
        <w:t>Islander</w:t>
      </w:r>
      <w:r>
        <w:rPr>
          <w:spacing w:val="-18"/>
        </w:rPr>
        <w:t> </w:t>
      </w:r>
      <w:r>
        <w:rPr/>
        <w:t>PASS </w:t>
      </w:r>
      <w:r>
        <w:rPr>
          <w:w w:val="98"/>
        </w:rPr>
        <w:t>Facilitator </w:t>
      </w:r>
      <w:r>
        <w:rPr>
          <w:spacing w:val="1"/>
          <w:w w:val="99"/>
        </w:rPr>
        <w:t>Network</w:t>
      </w:r>
      <w:r>
        <w:rPr>
          <w:w w:val="99"/>
        </w:rPr>
        <w:t> </w:t>
      </w:r>
      <w:r>
        <w:rPr>
          <w:w w:val="96"/>
        </w:rPr>
        <w:t>was </w:t>
      </w:r>
      <w:r>
        <w:rPr>
          <w:spacing w:val="1"/>
          <w:w w:val="97"/>
        </w:rPr>
        <w:t>established</w:t>
      </w:r>
      <w:r>
        <w:rPr>
          <w:w w:val="97"/>
        </w:rPr>
        <w:t> </w:t>
      </w:r>
      <w:r>
        <w:rPr>
          <w:w w:val="95"/>
        </w:rPr>
        <w:t>in </w:t>
      </w:r>
      <w:r>
        <w:rPr>
          <w:spacing w:val="1"/>
          <w:w w:val="84"/>
        </w:rPr>
        <w:t>2015.</w:t>
      </w:r>
      <w:r>
        <w:rPr>
          <w:w w:val="84"/>
        </w:rPr>
        <w:t> </w:t>
      </w:r>
      <w:r>
        <w:rPr/>
        <w:t>The</w:t>
      </w:r>
      <w:r>
        <w:rPr>
          <w:spacing w:val="-17"/>
        </w:rPr>
        <w:t> </w:t>
      </w:r>
      <w:r>
        <w:rPr/>
        <w:t>network</w:t>
      </w:r>
      <w:r>
        <w:rPr>
          <w:spacing w:val="-17"/>
        </w:rPr>
        <w:t> </w:t>
      </w:r>
      <w:r>
        <w:rPr/>
        <w:t>aims</w:t>
      </w:r>
      <w:r>
        <w:rPr>
          <w:spacing w:val="-17"/>
        </w:rPr>
        <w:t> </w:t>
      </w:r>
      <w:r>
        <w:rPr/>
        <w:t>to</w:t>
      </w:r>
      <w:r>
        <w:rPr>
          <w:spacing w:val="-17"/>
        </w:rPr>
        <w:t> </w:t>
      </w:r>
      <w:r>
        <w:rPr/>
        <w:t>increase</w:t>
      </w:r>
      <w:r>
        <w:rPr>
          <w:spacing w:val="-17"/>
        </w:rPr>
        <w:t> </w:t>
      </w:r>
      <w:r>
        <w:rPr/>
        <w:t>the</w:t>
      </w:r>
      <w:r>
        <w:rPr>
          <w:spacing w:val="-17"/>
        </w:rPr>
        <w:t> </w:t>
      </w:r>
      <w:r>
        <w:rPr/>
        <w:t>participation of Aboriginal and Torres Strait Islander students to become both PASS facilitators and</w:t>
      </w:r>
      <w:r>
        <w:rPr>
          <w:spacing w:val="-14"/>
        </w:rPr>
        <w:t> </w:t>
      </w:r>
      <w:r>
        <w:rPr/>
        <w:t>session</w:t>
      </w:r>
      <w:r>
        <w:rPr>
          <w:spacing w:val="-14"/>
        </w:rPr>
        <w:t> </w:t>
      </w:r>
      <w:r>
        <w:rPr/>
        <w:t>attendees.</w:t>
      </w:r>
      <w:r>
        <w:rPr>
          <w:spacing w:val="-14"/>
        </w:rPr>
        <w:t> </w:t>
      </w:r>
      <w:r>
        <w:rPr/>
        <w:t>Five</w:t>
      </w:r>
      <w:r>
        <w:rPr>
          <w:spacing w:val="-14"/>
        </w:rPr>
        <w:t> </w:t>
      </w:r>
      <w:r>
        <w:rPr/>
        <w:t>Aboriginal</w:t>
      </w:r>
      <w:r>
        <w:rPr>
          <w:spacing w:val="-14"/>
        </w:rPr>
        <w:t> </w:t>
      </w:r>
      <w:r>
        <w:rPr/>
        <w:t>and/or Torres</w:t>
      </w:r>
      <w:r>
        <w:rPr>
          <w:spacing w:val="-23"/>
        </w:rPr>
        <w:t> </w:t>
      </w:r>
      <w:r>
        <w:rPr/>
        <w:t>Strait</w:t>
      </w:r>
      <w:r>
        <w:rPr>
          <w:spacing w:val="-23"/>
        </w:rPr>
        <w:t> </w:t>
      </w:r>
      <w:r>
        <w:rPr/>
        <w:t>Islander</w:t>
      </w:r>
      <w:r>
        <w:rPr>
          <w:spacing w:val="-23"/>
        </w:rPr>
        <w:t> </w:t>
      </w:r>
      <w:r>
        <w:rPr/>
        <w:t>students</w:t>
      </w:r>
      <w:r>
        <w:rPr>
          <w:spacing w:val="-23"/>
        </w:rPr>
        <w:t> </w:t>
      </w:r>
      <w:r>
        <w:rPr/>
        <w:t>were</w:t>
      </w:r>
      <w:r>
        <w:rPr>
          <w:spacing w:val="-23"/>
        </w:rPr>
        <w:t> </w:t>
      </w:r>
      <w:r>
        <w:rPr/>
        <w:t>appointed as PASS facilitators, and a core unit in the Indigenous major degree was added to the PASS-supported</w:t>
      </w:r>
      <w:r>
        <w:rPr>
          <w:spacing w:val="-4"/>
        </w:rPr>
        <w:t> </w:t>
      </w:r>
      <w:r>
        <w:rPr/>
        <w:t>units.</w:t>
      </w:r>
    </w:p>
    <w:p>
      <w:pPr>
        <w:pStyle w:val="BodyText"/>
        <w:spacing w:before="7"/>
        <w:rPr>
          <w:sz w:val="21"/>
        </w:rPr>
      </w:pPr>
    </w:p>
    <w:p>
      <w:pPr>
        <w:pStyle w:val="Heading8"/>
        <w:ind w:left="199" w:right="475"/>
      </w:pPr>
      <w:r>
        <w:rPr>
          <w:w w:val="95"/>
        </w:rPr>
        <w:t>ACHIEVEMENTS AND KEY ACTIVITIES</w:t>
      </w:r>
    </w:p>
    <w:p>
      <w:pPr>
        <w:spacing w:line="249" w:lineRule="auto" w:before="93"/>
        <w:ind w:left="205" w:right="475" w:firstLine="5"/>
        <w:jc w:val="left"/>
        <w:rPr>
          <w:rFonts w:ascii="Gotham Narrow Bold"/>
          <w:b/>
          <w:sz w:val="16"/>
        </w:rPr>
      </w:pPr>
      <w:r>
        <w:rPr>
          <w:rFonts w:ascii="Gotham Narrow Bold"/>
          <w:b/>
          <w:color w:val="636466"/>
          <w:w w:val="95"/>
          <w:sz w:val="16"/>
        </w:rPr>
        <w:t>International Focus (Including Cultural Competency Development)</w:t>
      </w:r>
    </w:p>
    <w:p>
      <w:pPr>
        <w:pStyle w:val="BodyText"/>
        <w:spacing w:line="249" w:lineRule="auto" w:before="79"/>
        <w:ind w:left="200" w:right="368"/>
      </w:pPr>
      <w:r>
        <w:rPr/>
        <w:t>Following the introduction of dedicated International Student Welfare support in </w:t>
      </w:r>
      <w:r>
        <w:rPr>
          <w:spacing w:val="1"/>
          <w:w w:val="86"/>
        </w:rPr>
        <w:t>2014,</w:t>
      </w:r>
      <w:r>
        <w:rPr>
          <w:w w:val="86"/>
        </w:rPr>
        <w:t> </w:t>
      </w:r>
      <w:r>
        <w:rPr>
          <w:w w:val="97"/>
        </w:rPr>
        <w:t>English </w:t>
      </w:r>
      <w:r>
        <w:rPr>
          <w:w w:val="98"/>
        </w:rPr>
        <w:t>conversation </w:t>
      </w:r>
      <w:r>
        <w:rPr>
          <w:w w:val="98"/>
        </w:rPr>
        <w:t>groups </w:t>
      </w:r>
      <w:r>
        <w:rPr>
          <w:w w:val="97"/>
        </w:rPr>
        <w:t>were </w:t>
      </w:r>
      <w:r>
        <w:rPr>
          <w:w w:val="98"/>
        </w:rPr>
        <w:t>introduced </w:t>
      </w:r>
      <w:r>
        <w:rPr>
          <w:w w:val="95"/>
        </w:rPr>
        <w:t>in </w:t>
      </w:r>
      <w:r>
        <w:rPr>
          <w:spacing w:val="1"/>
          <w:w w:val="97"/>
        </w:rPr>
        <w:t>spring</w:t>
      </w:r>
      <w:r>
        <w:rPr>
          <w:w w:val="97"/>
        </w:rPr>
        <w:t> </w:t>
      </w:r>
      <w:r>
        <w:rPr>
          <w:spacing w:val="1"/>
          <w:w w:val="84"/>
        </w:rPr>
        <w:t>2015.</w:t>
      </w:r>
      <w:r>
        <w:rPr>
          <w:w w:val="84"/>
        </w:rPr>
        <w:t> </w:t>
      </w:r>
      <w:r>
        <w:rPr>
          <w:spacing w:val="2"/>
          <w:w w:val="97"/>
        </w:rPr>
        <w:t>Thirty</w:t>
      </w:r>
      <w:r>
        <w:rPr>
          <w:w w:val="97"/>
        </w:rPr>
        <w:t> </w:t>
      </w:r>
      <w:r>
        <w:rPr>
          <w:spacing w:val="1"/>
          <w:w w:val="97"/>
        </w:rPr>
        <w:t>English </w:t>
      </w:r>
      <w:r>
        <w:rPr/>
        <w:t>conversation group sessions were offered across multiple campuses (including the College)</w:t>
      </w:r>
      <w:r>
        <w:rPr>
          <w:spacing w:val="-20"/>
        </w:rPr>
        <w:t> </w:t>
      </w:r>
      <w:r>
        <w:rPr/>
        <w:t>each</w:t>
      </w:r>
      <w:r>
        <w:rPr>
          <w:spacing w:val="-20"/>
        </w:rPr>
        <w:t> </w:t>
      </w:r>
      <w:r>
        <w:rPr/>
        <w:t>week</w:t>
      </w:r>
      <w:r>
        <w:rPr>
          <w:spacing w:val="-20"/>
        </w:rPr>
        <w:t> </w:t>
      </w:r>
      <w:r>
        <w:rPr/>
        <w:t>for</w:t>
      </w:r>
      <w:r>
        <w:rPr>
          <w:spacing w:val="-20"/>
        </w:rPr>
        <w:t> </w:t>
      </w:r>
      <w:r>
        <w:rPr/>
        <w:t>five</w:t>
      </w:r>
      <w:r>
        <w:rPr>
          <w:spacing w:val="-20"/>
        </w:rPr>
        <w:t> </w:t>
      </w:r>
      <w:r>
        <w:rPr/>
        <w:t>weeks,</w:t>
      </w:r>
      <w:r>
        <w:rPr>
          <w:spacing w:val="-20"/>
        </w:rPr>
        <w:t> </w:t>
      </w:r>
      <w:r>
        <w:rPr/>
        <w:t>giving</w:t>
      </w:r>
      <w:r>
        <w:rPr>
          <w:spacing w:val="-20"/>
        </w:rPr>
        <w:t> </w:t>
      </w:r>
      <w:r>
        <w:rPr/>
        <w:t>129 students</w:t>
      </w:r>
      <w:r>
        <w:rPr>
          <w:spacing w:val="-17"/>
        </w:rPr>
        <w:t> </w:t>
      </w:r>
      <w:r>
        <w:rPr/>
        <w:t>from</w:t>
      </w:r>
      <w:r>
        <w:rPr>
          <w:spacing w:val="-17"/>
        </w:rPr>
        <w:t> </w:t>
      </w:r>
      <w:r>
        <w:rPr/>
        <w:t>international</w:t>
      </w:r>
      <w:r>
        <w:rPr>
          <w:spacing w:val="-17"/>
        </w:rPr>
        <w:t> </w:t>
      </w:r>
      <w:r>
        <w:rPr/>
        <w:t>and</w:t>
      </w:r>
      <w:r>
        <w:rPr>
          <w:spacing w:val="-17"/>
        </w:rPr>
        <w:t> </w:t>
      </w:r>
      <w:r>
        <w:rPr/>
        <w:t>culturally</w:t>
      </w:r>
      <w:r>
        <w:rPr>
          <w:spacing w:val="-17"/>
        </w:rPr>
        <w:t> </w:t>
      </w:r>
      <w:r>
        <w:rPr/>
        <w:t>and linguistically</w:t>
      </w:r>
      <w:r>
        <w:rPr>
          <w:spacing w:val="-15"/>
        </w:rPr>
        <w:t> </w:t>
      </w:r>
      <w:r>
        <w:rPr/>
        <w:t>diverse</w:t>
      </w:r>
      <w:r>
        <w:rPr>
          <w:spacing w:val="-15"/>
        </w:rPr>
        <w:t> </w:t>
      </w:r>
      <w:r>
        <w:rPr/>
        <w:t>(CALD)</w:t>
      </w:r>
      <w:r>
        <w:rPr>
          <w:spacing w:val="-15"/>
        </w:rPr>
        <w:t> </w:t>
      </w:r>
      <w:r>
        <w:rPr/>
        <w:t>backgrounds</w:t>
      </w:r>
      <w:r>
        <w:rPr>
          <w:spacing w:val="-15"/>
        </w:rPr>
        <w:t> </w:t>
      </w:r>
      <w:r>
        <w:rPr/>
        <w:t>a</w:t>
      </w:r>
    </w:p>
    <w:p>
      <w:pPr>
        <w:pStyle w:val="BodyText"/>
        <w:spacing w:line="249" w:lineRule="auto"/>
        <w:ind w:left="200" w:right="336"/>
      </w:pPr>
      <w:r>
        <w:rPr/>
        <w:t>chance</w:t>
      </w:r>
      <w:r>
        <w:rPr>
          <w:spacing w:val="-18"/>
        </w:rPr>
        <w:t> </w:t>
      </w:r>
      <w:r>
        <w:rPr/>
        <w:t>to</w:t>
      </w:r>
      <w:r>
        <w:rPr>
          <w:spacing w:val="-18"/>
        </w:rPr>
        <w:t> </w:t>
      </w:r>
      <w:r>
        <w:rPr/>
        <w:t>practise</w:t>
      </w:r>
      <w:r>
        <w:rPr>
          <w:spacing w:val="-18"/>
        </w:rPr>
        <w:t> </w:t>
      </w:r>
      <w:r>
        <w:rPr/>
        <w:t>speaking</w:t>
      </w:r>
      <w:r>
        <w:rPr>
          <w:spacing w:val="-18"/>
        </w:rPr>
        <w:t> </w:t>
      </w:r>
      <w:r>
        <w:rPr/>
        <w:t>English.</w:t>
      </w:r>
      <w:r>
        <w:rPr>
          <w:spacing w:val="-18"/>
        </w:rPr>
        <w:t> </w:t>
      </w:r>
      <w:r>
        <w:rPr/>
        <w:t>The</w:t>
      </w:r>
      <w:r>
        <w:rPr>
          <w:spacing w:val="-18"/>
        </w:rPr>
        <w:t> </w:t>
      </w:r>
      <w:r>
        <w:rPr/>
        <w:t>peer- led program involves 29 Masters of TESOL students who are engaged as volunteer facilitators,</w:t>
      </w:r>
      <w:r>
        <w:rPr>
          <w:spacing w:val="-17"/>
        </w:rPr>
        <w:t> </w:t>
      </w:r>
      <w:r>
        <w:rPr/>
        <w:t>and</w:t>
      </w:r>
      <w:r>
        <w:rPr>
          <w:spacing w:val="-17"/>
        </w:rPr>
        <w:t> </w:t>
      </w:r>
      <w:r>
        <w:rPr/>
        <w:t>the</w:t>
      </w:r>
      <w:r>
        <w:rPr>
          <w:spacing w:val="-17"/>
        </w:rPr>
        <w:t> </w:t>
      </w:r>
      <w:r>
        <w:rPr/>
        <w:t>hours</w:t>
      </w:r>
      <w:r>
        <w:rPr>
          <w:spacing w:val="-17"/>
        </w:rPr>
        <w:t> </w:t>
      </w:r>
      <w:r>
        <w:rPr/>
        <w:t>were</w:t>
      </w:r>
      <w:r>
        <w:rPr>
          <w:spacing w:val="-17"/>
        </w:rPr>
        <w:t> </w:t>
      </w:r>
      <w:r>
        <w:rPr/>
        <w:t>recognised</w:t>
      </w:r>
      <w:r>
        <w:rPr>
          <w:spacing w:val="-17"/>
        </w:rPr>
        <w:t> </w:t>
      </w:r>
      <w:r>
        <w:rPr/>
        <w:t>as </w:t>
      </w:r>
      <w:r>
        <w:rPr>
          <w:spacing w:val="2"/>
        </w:rPr>
        <w:t>part</w:t>
      </w:r>
      <w:r>
        <w:rPr>
          <w:spacing w:val="-21"/>
        </w:rPr>
        <w:t> </w:t>
      </w:r>
      <w:r>
        <w:rPr/>
        <w:t>of</w:t>
      </w:r>
      <w:r>
        <w:rPr>
          <w:spacing w:val="-21"/>
        </w:rPr>
        <w:t> </w:t>
      </w:r>
      <w:r>
        <w:rPr/>
        <w:t>their</w:t>
      </w:r>
      <w:r>
        <w:rPr>
          <w:spacing w:val="-21"/>
        </w:rPr>
        <w:t> </w:t>
      </w:r>
      <w:r>
        <w:rPr/>
        <w:t>course</w:t>
      </w:r>
      <w:r>
        <w:rPr>
          <w:spacing w:val="-21"/>
        </w:rPr>
        <w:t> </w:t>
      </w:r>
      <w:r>
        <w:rPr/>
        <w:t>learning</w:t>
      </w:r>
      <w:r>
        <w:rPr>
          <w:spacing w:val="-21"/>
        </w:rPr>
        <w:t> </w:t>
      </w:r>
      <w:r>
        <w:rPr/>
        <w:t>requirements.</w:t>
      </w:r>
    </w:p>
    <w:p>
      <w:pPr>
        <w:pStyle w:val="BodyText"/>
        <w:rPr>
          <w:sz w:val="14"/>
        </w:rPr>
      </w:pPr>
    </w:p>
    <w:p>
      <w:pPr>
        <w:pStyle w:val="BodyText"/>
        <w:spacing w:line="249" w:lineRule="auto"/>
        <w:ind w:left="200" w:right="566"/>
      </w:pPr>
      <w:r>
        <w:rPr/>
        <w:t>Student cultural awareness workshops </w:t>
      </w:r>
      <w:r>
        <w:rPr>
          <w:w w:val="97"/>
        </w:rPr>
        <w:t>were </w:t>
      </w:r>
      <w:r>
        <w:rPr>
          <w:w w:val="97"/>
        </w:rPr>
        <w:t>delivered </w:t>
      </w:r>
      <w:r>
        <w:rPr>
          <w:w w:val="95"/>
        </w:rPr>
        <w:t>in </w:t>
      </w:r>
      <w:r>
        <w:rPr>
          <w:w w:val="88"/>
        </w:rPr>
        <w:t>2015 </w:t>
      </w:r>
      <w:r>
        <w:rPr>
          <w:w w:val="95"/>
        </w:rPr>
        <w:t>in </w:t>
      </w:r>
      <w:r>
        <w:rPr>
          <w:w w:val="94"/>
        </w:rPr>
        <w:t>a </w:t>
      </w:r>
      <w:r>
        <w:rPr>
          <w:w w:val="94"/>
        </w:rPr>
        <w:t>joint </w:t>
      </w:r>
      <w:r>
        <w:rPr>
          <w:w w:val="97"/>
        </w:rPr>
        <w:t>initiative </w:t>
      </w:r>
      <w:r>
        <w:rPr/>
        <w:t>between the Student Welfare Service and the Counselling Service. These workshops</w:t>
      </w:r>
    </w:p>
    <w:p>
      <w:pPr>
        <w:pStyle w:val="BodyText"/>
        <w:spacing w:line="249" w:lineRule="auto"/>
        <w:ind w:left="200" w:right="368"/>
      </w:pPr>
      <w:r>
        <w:rPr>
          <w:w w:val="97"/>
        </w:rPr>
        <w:t>were </w:t>
      </w:r>
      <w:r>
        <w:rPr>
          <w:w w:val="98"/>
        </w:rPr>
        <w:t>offered </w:t>
      </w:r>
      <w:r>
        <w:rPr>
          <w:w w:val="101"/>
        </w:rPr>
        <w:t>to </w:t>
      </w:r>
      <w:r>
        <w:rPr>
          <w:w w:val="99"/>
        </w:rPr>
        <w:t>about </w:t>
      </w:r>
      <w:r>
        <w:rPr>
          <w:w w:val="88"/>
        </w:rPr>
        <w:t>160 </w:t>
      </w:r>
      <w:r>
        <w:rPr>
          <w:w w:val="98"/>
        </w:rPr>
        <w:t>student </w:t>
      </w:r>
      <w:r>
        <w:rPr>
          <w:w w:val="94"/>
        </w:rPr>
        <w:t>volunteers, </w:t>
      </w:r>
      <w:r>
        <w:rPr/>
        <w:t>leaders or employees to improve cultural </w:t>
      </w:r>
      <w:r>
        <w:rPr>
          <w:w w:val="95"/>
        </w:rPr>
        <w:t>awareness </w:t>
      </w:r>
      <w:r>
        <w:rPr>
          <w:w w:val="97"/>
        </w:rPr>
        <w:t>and </w:t>
      </w:r>
      <w:r>
        <w:rPr>
          <w:w w:val="95"/>
        </w:rPr>
        <w:t>sensitivity. </w:t>
      </w:r>
      <w:r>
        <w:rPr>
          <w:w w:val="80"/>
        </w:rPr>
        <w:t>In </w:t>
      </w:r>
      <w:r>
        <w:rPr>
          <w:w w:val="100"/>
        </w:rPr>
        <w:t>October </w:t>
      </w:r>
      <w:r>
        <w:rPr>
          <w:w w:val="84"/>
        </w:rPr>
        <w:t>2015, </w:t>
      </w:r>
      <w:r>
        <w:rPr/>
        <w:t>seven focus groups were facilitated to offer international students the opportunity to provide feedback to the University about their experience throughout the student life cycle. Data is being compiled, with a report </w:t>
      </w:r>
      <w:r>
        <w:rPr>
          <w:w w:val="99"/>
        </w:rPr>
        <w:t>expected </w:t>
      </w:r>
      <w:r>
        <w:rPr>
          <w:w w:val="101"/>
        </w:rPr>
        <w:t>to </w:t>
      </w:r>
      <w:r>
        <w:rPr>
          <w:w w:val="99"/>
        </w:rPr>
        <w:t>be </w:t>
      </w:r>
      <w:r>
        <w:rPr>
          <w:w w:val="98"/>
        </w:rPr>
        <w:t>ready </w:t>
      </w:r>
      <w:r>
        <w:rPr>
          <w:w w:val="95"/>
        </w:rPr>
        <w:t>in </w:t>
      </w:r>
      <w:r>
        <w:rPr>
          <w:w w:val="96"/>
        </w:rPr>
        <w:t>early </w:t>
      </w:r>
      <w:r>
        <w:rPr>
          <w:w w:val="85"/>
        </w:rPr>
        <w:t>2016.</w:t>
      </w:r>
    </w:p>
    <w:p>
      <w:pPr>
        <w:pStyle w:val="BodyText"/>
        <w:rPr>
          <w:sz w:val="14"/>
        </w:rPr>
      </w:pPr>
    </w:p>
    <w:p>
      <w:pPr>
        <w:pStyle w:val="BodyText"/>
        <w:spacing w:line="249" w:lineRule="auto"/>
        <w:ind w:left="200" w:right="255"/>
      </w:pPr>
      <w:r>
        <w:rPr/>
        <w:t>Two staff ‘cultural intelligence’ training sessions were conducted in April and </w:t>
      </w:r>
      <w:r>
        <w:rPr>
          <w:w w:val="98"/>
        </w:rPr>
        <w:t>September </w:t>
      </w:r>
      <w:r>
        <w:rPr>
          <w:w w:val="84"/>
        </w:rPr>
        <w:t>2015, </w:t>
      </w:r>
      <w:r>
        <w:rPr>
          <w:w w:val="97"/>
        </w:rPr>
        <w:t>and </w:t>
      </w:r>
      <w:r>
        <w:rPr>
          <w:w w:val="97"/>
        </w:rPr>
        <w:t>the </w:t>
      </w:r>
      <w:r>
        <w:rPr>
          <w:w w:val="95"/>
        </w:rPr>
        <w:t>majority </w:t>
      </w:r>
      <w:r>
        <w:rPr>
          <w:w w:val="99"/>
        </w:rPr>
        <w:t>of </w:t>
      </w:r>
      <w:r>
        <w:rPr>
          <w:w w:val="98"/>
        </w:rPr>
        <w:t>SSS </w:t>
      </w:r>
      <w:r>
        <w:rPr>
          <w:w w:val="97"/>
        </w:rPr>
        <w:t>staff </w:t>
      </w:r>
      <w:r>
        <w:rPr/>
        <w:t>participated. Cultural competence champions have been driving the recommendations</w:t>
      </w:r>
    </w:p>
    <w:p>
      <w:pPr>
        <w:pStyle w:val="BodyText"/>
        <w:spacing w:line="249" w:lineRule="auto"/>
        <w:ind w:left="200" w:right="339"/>
      </w:pPr>
      <w:r>
        <w:rPr>
          <w:w w:val="98"/>
        </w:rPr>
        <w:t>from </w:t>
      </w:r>
      <w:r>
        <w:rPr>
          <w:w w:val="97"/>
        </w:rPr>
        <w:t>the </w:t>
      </w:r>
      <w:r>
        <w:rPr>
          <w:w w:val="90"/>
        </w:rPr>
        <w:t>2014 </w:t>
      </w:r>
      <w:r>
        <w:rPr>
          <w:w w:val="98"/>
        </w:rPr>
        <w:t>SSS </w:t>
      </w:r>
      <w:r>
        <w:rPr>
          <w:w w:val="98"/>
        </w:rPr>
        <w:t>audit </w:t>
      </w:r>
      <w:r>
        <w:rPr>
          <w:w w:val="101"/>
        </w:rPr>
        <w:t>to </w:t>
      </w:r>
      <w:r>
        <w:rPr>
          <w:w w:val="99"/>
        </w:rPr>
        <w:t>promote </w:t>
      </w:r>
      <w:r>
        <w:rPr>
          <w:w w:val="97"/>
        </w:rPr>
        <w:t>culturally </w:t>
      </w:r>
      <w:r>
        <w:rPr/>
        <w:t>responsive service delivery. Champions have</w:t>
      </w:r>
    </w:p>
    <w:p>
      <w:pPr>
        <w:spacing w:after="0" w:line="249" w:lineRule="auto"/>
        <w:sectPr>
          <w:type w:val="continuous"/>
          <w:pgSz w:w="11910" w:h="16840"/>
          <w:pgMar w:top="1580" w:bottom="280" w:left="580" w:right="580"/>
          <w:cols w:num="3" w:equalWidth="0">
            <w:col w:w="3506" w:space="40"/>
            <w:col w:w="3420" w:space="40"/>
            <w:col w:w="3744"/>
          </w:cols>
        </w:sectPr>
      </w:pPr>
    </w:p>
    <w:p>
      <w:pPr>
        <w:pStyle w:val="BodyText"/>
        <w:spacing w:before="10"/>
        <w:rPr>
          <w:sz w:val="28"/>
        </w:rPr>
      </w:pPr>
    </w:p>
    <w:p>
      <w:pPr>
        <w:pStyle w:val="Heading2"/>
        <w:ind w:right="7977"/>
        <w:rPr>
          <w:b w:val="0"/>
        </w:rPr>
      </w:pPr>
      <w:r>
        <w:rPr>
          <w:b w:val="0"/>
        </w:rPr>
        <w:t>Student Recruitment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53"/>
          <w:footerReference w:type="default" r:id="rId54"/>
          <w:pgSz w:w="11910" w:h="16840"/>
          <w:pgMar w:footer="473" w:header="494" w:top="680" w:bottom="660" w:left="800" w:right="800"/>
          <w:pgNumType w:start="52"/>
        </w:sectPr>
      </w:pPr>
    </w:p>
    <w:p>
      <w:pPr>
        <w:pStyle w:val="BodyText"/>
        <w:spacing w:before="11"/>
        <w:rPr>
          <w:rFonts w:ascii="Chronicle Text G1"/>
          <w:b w:val="0"/>
        </w:rPr>
      </w:pPr>
    </w:p>
    <w:p>
      <w:pPr>
        <w:pStyle w:val="BodyText"/>
        <w:spacing w:line="249" w:lineRule="auto"/>
        <w:ind w:left="107" w:right="380"/>
        <w:jc w:val="both"/>
      </w:pPr>
      <w:r>
        <w:rPr/>
        <w:t>also</w:t>
      </w:r>
      <w:r>
        <w:rPr>
          <w:spacing w:val="-14"/>
        </w:rPr>
        <w:t> </w:t>
      </w:r>
      <w:r>
        <w:rPr/>
        <w:t>been</w:t>
      </w:r>
      <w:r>
        <w:rPr>
          <w:spacing w:val="-14"/>
        </w:rPr>
        <w:t> </w:t>
      </w:r>
      <w:r>
        <w:rPr/>
        <w:t>looking</w:t>
      </w:r>
      <w:r>
        <w:rPr>
          <w:spacing w:val="-14"/>
        </w:rPr>
        <w:t> </w:t>
      </w:r>
      <w:r>
        <w:rPr/>
        <w:t>at</w:t>
      </w:r>
      <w:r>
        <w:rPr>
          <w:spacing w:val="-14"/>
        </w:rPr>
        <w:t> </w:t>
      </w:r>
      <w:r>
        <w:rPr/>
        <w:t>how</w:t>
      </w:r>
      <w:r>
        <w:rPr>
          <w:spacing w:val="-14"/>
        </w:rPr>
        <w:t> </w:t>
      </w:r>
      <w:r>
        <w:rPr/>
        <w:t>SSS</w:t>
      </w:r>
      <w:r>
        <w:rPr>
          <w:spacing w:val="-14"/>
        </w:rPr>
        <w:t> </w:t>
      </w:r>
      <w:r>
        <w:rPr/>
        <w:t>spaces</w:t>
      </w:r>
      <w:r>
        <w:rPr>
          <w:spacing w:val="-14"/>
        </w:rPr>
        <w:t> </w:t>
      </w:r>
      <w:r>
        <w:rPr/>
        <w:t>can better</w:t>
      </w:r>
      <w:r>
        <w:rPr>
          <w:spacing w:val="-13"/>
        </w:rPr>
        <w:t> </w:t>
      </w:r>
      <w:r>
        <w:rPr/>
        <w:t>reflect</w:t>
      </w:r>
      <w:r>
        <w:rPr>
          <w:spacing w:val="-13"/>
        </w:rPr>
        <w:t> </w:t>
      </w:r>
      <w:r>
        <w:rPr/>
        <w:t>the</w:t>
      </w:r>
      <w:r>
        <w:rPr>
          <w:spacing w:val="-13"/>
        </w:rPr>
        <w:t> </w:t>
      </w:r>
      <w:r>
        <w:rPr/>
        <w:t>diversity</w:t>
      </w:r>
      <w:r>
        <w:rPr>
          <w:spacing w:val="-13"/>
        </w:rPr>
        <w:t> </w:t>
      </w:r>
      <w:r>
        <w:rPr/>
        <w:t>of</w:t>
      </w:r>
      <w:r>
        <w:rPr>
          <w:spacing w:val="-13"/>
        </w:rPr>
        <w:t> </w:t>
      </w:r>
      <w:r>
        <w:rPr/>
        <w:t>the</w:t>
      </w:r>
      <w:r>
        <w:rPr>
          <w:spacing w:val="-13"/>
        </w:rPr>
        <w:t> </w:t>
      </w:r>
      <w:r>
        <w:rPr/>
        <w:t>student population.</w:t>
      </w:r>
    </w:p>
    <w:p>
      <w:pPr>
        <w:pStyle w:val="BodyText"/>
        <w:rPr>
          <w:sz w:val="14"/>
        </w:rPr>
      </w:pPr>
    </w:p>
    <w:p>
      <w:pPr>
        <w:pStyle w:val="BodyText"/>
        <w:spacing w:line="249" w:lineRule="auto"/>
        <w:ind w:left="107" w:right="31"/>
      </w:pPr>
      <w:r>
        <w:rPr/>
        <w:t>Key cultural competency indicators are included in all position descriptions and evaluation surveys. Stronger collaborations are being developed with the Badanami Centre</w:t>
      </w:r>
      <w:r>
        <w:rPr>
          <w:spacing w:val="-19"/>
        </w:rPr>
        <w:t> </w:t>
      </w:r>
      <w:r>
        <w:rPr/>
        <w:t>for</w:t>
      </w:r>
      <w:r>
        <w:rPr>
          <w:spacing w:val="-19"/>
        </w:rPr>
        <w:t> </w:t>
      </w:r>
      <w:r>
        <w:rPr/>
        <w:t>Indigenous</w:t>
      </w:r>
      <w:r>
        <w:rPr>
          <w:spacing w:val="-19"/>
        </w:rPr>
        <w:t> </w:t>
      </w:r>
      <w:r>
        <w:rPr/>
        <w:t>Education</w:t>
      </w:r>
      <w:r>
        <w:rPr>
          <w:spacing w:val="-19"/>
        </w:rPr>
        <w:t> </w:t>
      </w:r>
      <w:r>
        <w:rPr/>
        <w:t>for</w:t>
      </w:r>
      <w:r>
        <w:rPr>
          <w:spacing w:val="-19"/>
        </w:rPr>
        <w:t> </w:t>
      </w:r>
      <w:r>
        <w:rPr/>
        <w:t>seamless service</w:t>
      </w:r>
      <w:r>
        <w:rPr>
          <w:spacing w:val="-14"/>
        </w:rPr>
        <w:t> </w:t>
      </w:r>
      <w:r>
        <w:rPr/>
        <w:t>delivery</w:t>
      </w:r>
      <w:r>
        <w:rPr>
          <w:spacing w:val="-14"/>
        </w:rPr>
        <w:t> </w:t>
      </w:r>
      <w:r>
        <w:rPr/>
        <w:t>to</w:t>
      </w:r>
      <w:r>
        <w:rPr>
          <w:spacing w:val="-14"/>
        </w:rPr>
        <w:t> </w:t>
      </w:r>
      <w:r>
        <w:rPr/>
        <w:t>students</w:t>
      </w:r>
      <w:r>
        <w:rPr>
          <w:spacing w:val="-14"/>
        </w:rPr>
        <w:t> </w:t>
      </w:r>
      <w:r>
        <w:rPr/>
        <w:t>and</w:t>
      </w:r>
      <w:r>
        <w:rPr>
          <w:spacing w:val="-14"/>
        </w:rPr>
        <w:t> </w:t>
      </w:r>
      <w:r>
        <w:rPr/>
        <w:t>for</w:t>
      </w:r>
      <w:r>
        <w:rPr>
          <w:spacing w:val="-14"/>
        </w:rPr>
        <w:t> </w:t>
      </w:r>
      <w:r>
        <w:rPr/>
        <w:t>enhanced cultural understandings. A language services policy</w:t>
      </w:r>
      <w:r>
        <w:rPr>
          <w:spacing w:val="-15"/>
        </w:rPr>
        <w:t> </w:t>
      </w:r>
      <w:r>
        <w:rPr/>
        <w:t>was</w:t>
      </w:r>
      <w:r>
        <w:rPr>
          <w:spacing w:val="-15"/>
        </w:rPr>
        <w:t> </w:t>
      </w:r>
      <w:r>
        <w:rPr/>
        <w:t>also</w:t>
      </w:r>
      <w:r>
        <w:rPr>
          <w:spacing w:val="-15"/>
        </w:rPr>
        <w:t> </w:t>
      </w:r>
      <w:r>
        <w:rPr/>
        <w:t>developed</w:t>
      </w:r>
      <w:r>
        <w:rPr>
          <w:spacing w:val="-15"/>
        </w:rPr>
        <w:t> </w:t>
      </w:r>
      <w:r>
        <w:rPr/>
        <w:t>for</w:t>
      </w:r>
      <w:r>
        <w:rPr>
          <w:spacing w:val="-15"/>
        </w:rPr>
        <w:t> </w:t>
      </w:r>
      <w:r>
        <w:rPr>
          <w:spacing w:val="2"/>
        </w:rPr>
        <w:t>SSS.</w:t>
      </w:r>
    </w:p>
    <w:p>
      <w:pPr>
        <w:pStyle w:val="BodyText"/>
        <w:rPr>
          <w:sz w:val="14"/>
        </w:rPr>
      </w:pPr>
    </w:p>
    <w:p>
      <w:pPr>
        <w:pStyle w:val="BodyText"/>
        <w:spacing w:line="249" w:lineRule="auto"/>
        <w:ind w:left="107" w:right="45"/>
      </w:pPr>
      <w:r>
        <w:rPr/>
        <w:t>Research into the help-seeking behaviour of students from a cross-cultural perspective </w:t>
      </w:r>
      <w:r>
        <w:rPr>
          <w:w w:val="96"/>
        </w:rPr>
        <w:t>was </w:t>
      </w:r>
      <w:r>
        <w:rPr>
          <w:w w:val="96"/>
        </w:rPr>
        <w:t>finalised </w:t>
      </w:r>
      <w:r>
        <w:rPr>
          <w:w w:val="95"/>
        </w:rPr>
        <w:t>in </w:t>
      </w:r>
      <w:r>
        <w:rPr>
          <w:w w:val="84"/>
        </w:rPr>
        <w:t>2015. </w:t>
      </w:r>
      <w:r>
        <w:rPr>
          <w:w w:val="94"/>
        </w:rPr>
        <w:t>This </w:t>
      </w:r>
      <w:r>
        <w:rPr>
          <w:w w:val="97"/>
        </w:rPr>
        <w:t>information </w:t>
      </w:r>
      <w:r>
        <w:rPr>
          <w:w w:val="97"/>
        </w:rPr>
        <w:t>will </w:t>
      </w:r>
      <w:r>
        <w:rPr>
          <w:w w:val="99"/>
        </w:rPr>
        <w:t>be </w:t>
      </w:r>
      <w:r>
        <w:rPr/>
        <w:t>triangulated with other available information to inform service planning and targeted interventions of at-risk groups of students.</w:t>
      </w:r>
    </w:p>
    <w:p>
      <w:pPr>
        <w:pStyle w:val="BodyText"/>
        <w:spacing w:before="6"/>
        <w:rPr>
          <w:sz w:val="14"/>
        </w:rPr>
      </w:pPr>
    </w:p>
    <w:p>
      <w:pPr>
        <w:pStyle w:val="Heading8"/>
        <w:ind w:left="119" w:right="-11"/>
      </w:pPr>
      <w:r>
        <w:rPr>
          <w:color w:val="636466"/>
          <w:w w:val="95"/>
        </w:rPr>
        <w:t>Resources and Online Developments</w:t>
      </w:r>
    </w:p>
    <w:p>
      <w:pPr>
        <w:pStyle w:val="BodyText"/>
        <w:spacing w:line="249" w:lineRule="auto" w:before="86"/>
        <w:ind w:left="107" w:right="138"/>
      </w:pPr>
      <w:r>
        <w:rPr/>
        <w:t>The</w:t>
      </w:r>
      <w:r>
        <w:rPr>
          <w:spacing w:val="-17"/>
        </w:rPr>
        <w:t> </w:t>
      </w:r>
      <w:r>
        <w:rPr/>
        <w:t>Study,</w:t>
      </w:r>
      <w:r>
        <w:rPr>
          <w:spacing w:val="-17"/>
        </w:rPr>
        <w:t> </w:t>
      </w:r>
      <w:r>
        <w:rPr/>
        <w:t>Money</w:t>
      </w:r>
      <w:r>
        <w:rPr>
          <w:spacing w:val="-17"/>
        </w:rPr>
        <w:t> </w:t>
      </w:r>
      <w:r>
        <w:rPr/>
        <w:t>&amp;</w:t>
      </w:r>
      <w:r>
        <w:rPr>
          <w:spacing w:val="-17"/>
        </w:rPr>
        <w:t> </w:t>
      </w:r>
      <w:r>
        <w:rPr/>
        <w:t>Life</w:t>
      </w:r>
      <w:r>
        <w:rPr>
          <w:spacing w:val="-17"/>
        </w:rPr>
        <w:t> </w:t>
      </w:r>
      <w:r>
        <w:rPr/>
        <w:t>Skills</w:t>
      </w:r>
      <w:r>
        <w:rPr>
          <w:spacing w:val="-17"/>
        </w:rPr>
        <w:t> </w:t>
      </w:r>
      <w:r>
        <w:rPr/>
        <w:t>vUWS</w:t>
      </w:r>
      <w:r>
        <w:rPr>
          <w:spacing w:val="-17"/>
        </w:rPr>
        <w:t> </w:t>
      </w:r>
      <w:r>
        <w:rPr/>
        <w:t>site</w:t>
      </w:r>
      <w:r>
        <w:rPr>
          <w:spacing w:val="-17"/>
        </w:rPr>
        <w:t> </w:t>
      </w:r>
      <w:r>
        <w:rPr/>
        <w:t>is being updated and a new ‘Perfectionism’ module is being developed to complement a</w:t>
      </w:r>
      <w:r>
        <w:rPr>
          <w:spacing w:val="-11"/>
        </w:rPr>
        <w:t> </w:t>
      </w:r>
      <w:r>
        <w:rPr/>
        <w:t>recently</w:t>
      </w:r>
      <w:r>
        <w:rPr>
          <w:spacing w:val="-11"/>
        </w:rPr>
        <w:t> </w:t>
      </w:r>
      <w:r>
        <w:rPr/>
        <w:t>developed</w:t>
      </w:r>
      <w:r>
        <w:rPr>
          <w:spacing w:val="-11"/>
        </w:rPr>
        <w:t> </w:t>
      </w:r>
      <w:r>
        <w:rPr/>
        <w:t>face-to-face</w:t>
      </w:r>
      <w:r>
        <w:rPr>
          <w:spacing w:val="-11"/>
        </w:rPr>
        <w:t> </w:t>
      </w:r>
      <w:r>
        <w:rPr/>
        <w:t>workshop program</w:t>
      </w:r>
      <w:r>
        <w:rPr>
          <w:spacing w:val="-16"/>
        </w:rPr>
        <w:t> </w:t>
      </w:r>
      <w:r>
        <w:rPr/>
        <w:t>on</w:t>
      </w:r>
      <w:r>
        <w:rPr>
          <w:spacing w:val="-16"/>
        </w:rPr>
        <w:t> </w:t>
      </w:r>
      <w:r>
        <w:rPr/>
        <w:t>this</w:t>
      </w:r>
      <w:r>
        <w:rPr>
          <w:spacing w:val="-16"/>
        </w:rPr>
        <w:t> </w:t>
      </w:r>
      <w:r>
        <w:rPr/>
        <w:t>topic.</w:t>
      </w:r>
    </w:p>
    <w:p>
      <w:pPr>
        <w:pStyle w:val="BodyText"/>
        <w:rPr>
          <w:sz w:val="14"/>
        </w:rPr>
      </w:pPr>
    </w:p>
    <w:p>
      <w:pPr>
        <w:pStyle w:val="BodyText"/>
        <w:spacing w:line="249" w:lineRule="auto"/>
        <w:ind w:left="107" w:right="-7"/>
      </w:pPr>
      <w:r>
        <w:rPr/>
        <w:t>Mature age students will have their own </w:t>
      </w:r>
      <w:r>
        <w:rPr>
          <w:spacing w:val="1"/>
          <w:w w:val="97"/>
        </w:rPr>
        <w:t>Returning</w:t>
      </w:r>
      <w:r>
        <w:rPr>
          <w:w w:val="97"/>
        </w:rPr>
        <w:t> </w:t>
      </w:r>
      <w:r>
        <w:rPr>
          <w:spacing w:val="-1"/>
          <w:w w:val="101"/>
        </w:rPr>
        <w:t>to</w:t>
      </w:r>
      <w:r>
        <w:rPr>
          <w:w w:val="101"/>
        </w:rPr>
        <w:t> </w:t>
      </w:r>
      <w:r>
        <w:rPr>
          <w:spacing w:val="1"/>
          <w:w w:val="97"/>
        </w:rPr>
        <w:t>Learning</w:t>
      </w:r>
      <w:r>
        <w:rPr>
          <w:w w:val="97"/>
        </w:rPr>
        <w:t> </w:t>
      </w:r>
      <w:r>
        <w:rPr>
          <w:spacing w:val="1"/>
          <w:w w:val="101"/>
        </w:rPr>
        <w:t>vUWS</w:t>
      </w:r>
      <w:r>
        <w:rPr>
          <w:w w:val="101"/>
        </w:rPr>
        <w:t> </w:t>
      </w:r>
      <w:r>
        <w:rPr>
          <w:spacing w:val="-1"/>
          <w:w w:val="97"/>
        </w:rPr>
        <w:t>site</w:t>
      </w:r>
      <w:r>
        <w:rPr>
          <w:w w:val="97"/>
        </w:rPr>
        <w:t> </w:t>
      </w:r>
      <w:r>
        <w:rPr>
          <w:w w:val="95"/>
        </w:rPr>
        <w:t>in </w:t>
      </w:r>
      <w:r>
        <w:rPr>
          <w:spacing w:val="2"/>
          <w:w w:val="85"/>
        </w:rPr>
        <w:t>2016,</w:t>
      </w:r>
      <w:r>
        <w:rPr>
          <w:w w:val="85"/>
        </w:rPr>
        <w:t> </w:t>
      </w:r>
      <w:r>
        <w:rPr>
          <w:w w:val="98"/>
        </w:rPr>
        <w:t>with </w:t>
      </w:r>
      <w:r>
        <w:rPr/>
        <w:t>interactive modules and resources designed specifically</w:t>
      </w:r>
      <w:r>
        <w:rPr>
          <w:spacing w:val="-18"/>
        </w:rPr>
        <w:t> </w:t>
      </w:r>
      <w:r>
        <w:rPr/>
        <w:t>for</w:t>
      </w:r>
      <w:r>
        <w:rPr>
          <w:spacing w:val="-18"/>
        </w:rPr>
        <w:t> </w:t>
      </w:r>
      <w:r>
        <w:rPr/>
        <w:t>their</w:t>
      </w:r>
      <w:r>
        <w:rPr>
          <w:spacing w:val="-18"/>
        </w:rPr>
        <w:t> </w:t>
      </w:r>
      <w:r>
        <w:rPr>
          <w:spacing w:val="2"/>
        </w:rPr>
        <w:t>needs.</w:t>
      </w:r>
      <w:r>
        <w:rPr>
          <w:spacing w:val="-18"/>
        </w:rPr>
        <w:t> </w:t>
      </w:r>
      <w:r>
        <w:rPr/>
        <w:t>This</w:t>
      </w:r>
      <w:r>
        <w:rPr>
          <w:spacing w:val="-18"/>
        </w:rPr>
        <w:t> </w:t>
      </w:r>
      <w:r>
        <w:rPr/>
        <w:t>complements the successful face-to-face Returning to Learning</w:t>
      </w:r>
      <w:r>
        <w:rPr>
          <w:spacing w:val="-18"/>
        </w:rPr>
        <w:t> </w:t>
      </w:r>
      <w:r>
        <w:rPr/>
        <w:t>(RTL)</w:t>
      </w:r>
      <w:r>
        <w:rPr>
          <w:spacing w:val="-18"/>
        </w:rPr>
        <w:t> </w:t>
      </w:r>
      <w:r>
        <w:rPr/>
        <w:t>and</w:t>
      </w:r>
      <w:r>
        <w:rPr>
          <w:spacing w:val="-18"/>
        </w:rPr>
        <w:t> </w:t>
      </w:r>
      <w:r>
        <w:rPr/>
        <w:t>Introduction</w:t>
      </w:r>
      <w:r>
        <w:rPr>
          <w:spacing w:val="-18"/>
        </w:rPr>
        <w:t> </w:t>
      </w:r>
      <w:r>
        <w:rPr/>
        <w:t>to</w:t>
      </w:r>
      <w:r>
        <w:rPr>
          <w:spacing w:val="-18"/>
        </w:rPr>
        <w:t> </w:t>
      </w:r>
      <w:r>
        <w:rPr/>
        <w:t>e-Learning (ITEL) programs that have been running for several years for commencing mature age students.</w:t>
      </w:r>
    </w:p>
    <w:p>
      <w:pPr>
        <w:pStyle w:val="BodyText"/>
        <w:rPr>
          <w:sz w:val="14"/>
        </w:rPr>
      </w:pPr>
    </w:p>
    <w:p>
      <w:pPr>
        <w:pStyle w:val="BodyText"/>
        <w:spacing w:line="249" w:lineRule="auto"/>
        <w:ind w:left="107" w:right="-7"/>
      </w:pPr>
      <w:r>
        <w:rPr>
          <w:w w:val="97"/>
        </w:rPr>
        <w:t>Since </w:t>
      </w:r>
      <w:r>
        <w:rPr>
          <w:w w:val="97"/>
        </w:rPr>
        <w:t>the </w:t>
      </w:r>
      <w:r>
        <w:rPr>
          <w:w w:val="97"/>
        </w:rPr>
        <w:t>beginning </w:t>
      </w:r>
      <w:r>
        <w:rPr>
          <w:w w:val="99"/>
        </w:rPr>
        <w:t>of </w:t>
      </w:r>
      <w:r>
        <w:rPr>
          <w:w w:val="84"/>
        </w:rPr>
        <w:t>2015, </w:t>
      </w:r>
      <w:r>
        <w:rPr>
          <w:w w:val="95"/>
        </w:rPr>
        <w:t>all </w:t>
      </w:r>
      <w:r>
        <w:rPr>
          <w:w w:val="99"/>
        </w:rPr>
        <w:t>direct </w:t>
      </w:r>
      <w:r>
        <w:rPr>
          <w:w w:val="97"/>
        </w:rPr>
        <w:t>services </w:t>
      </w:r>
      <w:r>
        <w:rPr/>
        <w:t>have offered Skype sessions for those students who study online or may be unable to get to campus, making services more flexible and accessible. Work is progressing on a Placement Integration Plan (PIP), which will set out workplace adjustments for students who have a placement requirement as part of their course. This will complement the Academic Integration Plan (AIP), which focuses on providing reasonable adjustments for lectures, tutorials and examinations.</w:t>
      </w:r>
    </w:p>
    <w:p>
      <w:pPr>
        <w:pStyle w:val="BodyText"/>
        <w:spacing w:line="249" w:lineRule="auto"/>
        <w:ind w:left="107" w:right="10"/>
      </w:pPr>
      <w:r>
        <w:rPr/>
        <w:t>The Student Disability Service continues to collaborate with each of the relevant Schools and host organisations to develop PIPs.</w:t>
      </w:r>
    </w:p>
    <w:p>
      <w:pPr>
        <w:pStyle w:val="BodyText"/>
        <w:rPr>
          <w:sz w:val="14"/>
        </w:rPr>
      </w:pPr>
    </w:p>
    <w:p>
      <w:pPr>
        <w:pStyle w:val="BodyText"/>
        <w:spacing w:line="249" w:lineRule="auto"/>
        <w:ind w:left="107" w:right="328"/>
      </w:pPr>
      <w:r>
        <w:rPr/>
        <w:t>In response to the introduction of online courses and recognising the opportunity</w:t>
      </w:r>
    </w:p>
    <w:p>
      <w:pPr>
        <w:pStyle w:val="BodyText"/>
        <w:spacing w:before="10"/>
      </w:pPr>
      <w:r>
        <w:rPr/>
        <w:br w:type="column"/>
      </w:r>
      <w:r>
        <w:rPr/>
      </w:r>
    </w:p>
    <w:p>
      <w:pPr>
        <w:pStyle w:val="BodyText"/>
        <w:spacing w:line="249" w:lineRule="auto"/>
        <w:ind w:left="107" w:right="-1"/>
      </w:pPr>
      <w:r>
        <w:rPr/>
        <w:t>for students with disabilities to become engaged in the online environment, the Student</w:t>
      </w:r>
      <w:r>
        <w:rPr>
          <w:spacing w:val="-15"/>
        </w:rPr>
        <w:t> </w:t>
      </w:r>
      <w:r>
        <w:rPr/>
        <w:t>Disability</w:t>
      </w:r>
      <w:r>
        <w:rPr>
          <w:spacing w:val="-15"/>
        </w:rPr>
        <w:t> </w:t>
      </w:r>
      <w:r>
        <w:rPr/>
        <w:t>Service</w:t>
      </w:r>
      <w:r>
        <w:rPr>
          <w:spacing w:val="-15"/>
        </w:rPr>
        <w:t> </w:t>
      </w:r>
      <w:r>
        <w:rPr/>
        <w:t>worked</w:t>
      </w:r>
      <w:r>
        <w:rPr>
          <w:spacing w:val="-15"/>
        </w:rPr>
        <w:t> </w:t>
      </w:r>
      <w:r>
        <w:rPr/>
        <w:t>extensively </w:t>
      </w:r>
      <w:r>
        <w:rPr>
          <w:spacing w:val="1"/>
          <w:w w:val="98"/>
        </w:rPr>
        <w:t>throughout</w:t>
      </w:r>
      <w:r>
        <w:rPr>
          <w:spacing w:val="-10"/>
          <w:w w:val="98"/>
        </w:rPr>
        <w:t> </w:t>
      </w:r>
      <w:r>
        <w:rPr>
          <w:spacing w:val="1"/>
          <w:w w:val="88"/>
        </w:rPr>
        <w:t>2015</w:t>
      </w:r>
      <w:r>
        <w:rPr>
          <w:spacing w:val="-5"/>
          <w:w w:val="88"/>
        </w:rPr>
        <w:t> </w:t>
      </w:r>
      <w:r>
        <w:rPr>
          <w:spacing w:val="1"/>
          <w:w w:val="98"/>
        </w:rPr>
        <w:t>on</w:t>
      </w:r>
      <w:r>
        <w:rPr>
          <w:spacing w:val="-10"/>
          <w:w w:val="98"/>
        </w:rPr>
        <w:t> </w:t>
      </w:r>
      <w:r>
        <w:rPr>
          <w:w w:val="98"/>
        </w:rPr>
        <w:t>developing</w:t>
      </w:r>
      <w:r>
        <w:rPr>
          <w:spacing w:val="-10"/>
          <w:w w:val="98"/>
        </w:rPr>
        <w:t> </w:t>
      </w:r>
      <w:r>
        <w:rPr>
          <w:w w:val="94"/>
        </w:rPr>
        <w:t>a</w:t>
      </w:r>
      <w:r>
        <w:rPr>
          <w:spacing w:val="-8"/>
          <w:w w:val="94"/>
        </w:rPr>
        <w:t> </w:t>
      </w:r>
      <w:r>
        <w:rPr>
          <w:w w:val="96"/>
        </w:rPr>
        <w:t>suite</w:t>
      </w:r>
      <w:r>
        <w:rPr>
          <w:spacing w:val="-9"/>
          <w:w w:val="96"/>
        </w:rPr>
        <w:t> </w:t>
      </w:r>
      <w:r>
        <w:rPr>
          <w:w w:val="99"/>
        </w:rPr>
        <w:t>of</w:t>
      </w:r>
    </w:p>
    <w:p>
      <w:pPr>
        <w:pStyle w:val="BodyText"/>
        <w:spacing w:line="249" w:lineRule="auto"/>
        <w:ind w:left="107" w:right="216"/>
      </w:pPr>
      <w:r>
        <w:rPr/>
        <w:t>self-help resources and training materials for learning facilitators. The next stage</w:t>
      </w:r>
    </w:p>
    <w:p>
      <w:pPr>
        <w:pStyle w:val="BodyText"/>
        <w:spacing w:line="249" w:lineRule="auto"/>
        <w:ind w:left="107" w:right="315"/>
      </w:pPr>
      <w:r>
        <w:rPr/>
        <w:t>in development is finalising the updated Disability Service webpage.</w:t>
      </w:r>
    </w:p>
    <w:p>
      <w:pPr>
        <w:pStyle w:val="BodyText"/>
        <w:rPr>
          <w:sz w:val="14"/>
        </w:rPr>
      </w:pPr>
    </w:p>
    <w:p>
      <w:pPr>
        <w:pStyle w:val="BodyText"/>
        <w:spacing w:line="249" w:lineRule="auto"/>
        <w:ind w:left="107" w:right="113"/>
      </w:pPr>
      <w:r>
        <w:rPr/>
        <w:t>Student Representation &amp; Participation (SR&amp;P) worked alongside uwsconnect in the rollout and incorporation of OrgSync, which is a cloud-based administration and communication system for student groups. </w:t>
      </w:r>
      <w:r>
        <w:rPr>
          <w:w w:val="97"/>
        </w:rPr>
        <w:t>During </w:t>
      </w:r>
      <w:r>
        <w:rPr>
          <w:w w:val="84"/>
        </w:rPr>
        <w:t>2015, </w:t>
      </w:r>
      <w:r>
        <w:rPr>
          <w:w w:val="98"/>
        </w:rPr>
        <w:t>student </w:t>
      </w:r>
      <w:r>
        <w:rPr>
          <w:w w:val="97"/>
        </w:rPr>
        <w:t>representatives </w:t>
      </w:r>
      <w:r>
        <w:rPr>
          <w:w w:val="97"/>
        </w:rPr>
        <w:t>were </w:t>
      </w:r>
      <w:r>
        <w:rPr/>
        <w:t>given online training in OrgSync, covering event and budget requests and the public communication of meeting agendas and minutes.</w:t>
      </w:r>
    </w:p>
    <w:p>
      <w:pPr>
        <w:pStyle w:val="BodyText"/>
        <w:spacing w:before="6"/>
        <w:rPr>
          <w:sz w:val="14"/>
        </w:rPr>
      </w:pPr>
    </w:p>
    <w:p>
      <w:pPr>
        <w:pStyle w:val="Heading8"/>
        <w:ind w:left="119" w:right="-1"/>
      </w:pPr>
      <w:r>
        <w:rPr>
          <w:color w:val="636466"/>
          <w:w w:val="95"/>
        </w:rPr>
        <w:t>Research and Evaluation</w:t>
      </w:r>
    </w:p>
    <w:p>
      <w:pPr>
        <w:pStyle w:val="BodyText"/>
        <w:spacing w:line="249" w:lineRule="auto" w:before="86"/>
        <w:ind w:left="107" w:right="12"/>
      </w:pPr>
      <w:r>
        <w:rPr>
          <w:spacing w:val="1"/>
          <w:w w:val="94"/>
        </w:rPr>
        <w:t>The</w:t>
      </w:r>
      <w:r>
        <w:rPr>
          <w:w w:val="94"/>
        </w:rPr>
        <w:t> </w:t>
      </w:r>
      <w:r>
        <w:rPr>
          <w:spacing w:val="1"/>
          <w:w w:val="96"/>
        </w:rPr>
        <w:t>results</w:t>
      </w:r>
      <w:r>
        <w:rPr>
          <w:w w:val="96"/>
        </w:rPr>
        <w:t> </w:t>
      </w:r>
      <w:r>
        <w:rPr>
          <w:w w:val="99"/>
        </w:rPr>
        <w:t>of </w:t>
      </w:r>
      <w:r>
        <w:rPr>
          <w:w w:val="97"/>
        </w:rPr>
        <w:t>the </w:t>
      </w:r>
      <w:r>
        <w:rPr>
          <w:spacing w:val="1"/>
          <w:w w:val="98"/>
        </w:rPr>
        <w:t>November</w:t>
      </w:r>
      <w:r>
        <w:rPr>
          <w:w w:val="98"/>
        </w:rPr>
        <w:t> </w:t>
      </w:r>
      <w:r>
        <w:rPr>
          <w:spacing w:val="1"/>
          <w:w w:val="90"/>
        </w:rPr>
        <w:t>2014</w:t>
      </w:r>
      <w:r>
        <w:rPr>
          <w:w w:val="90"/>
        </w:rPr>
        <w:t> </w:t>
      </w:r>
      <w:r>
        <w:rPr>
          <w:w w:val="98"/>
        </w:rPr>
        <w:t>Student </w:t>
      </w:r>
      <w:r>
        <w:rPr/>
        <w:t>Support Services Evaluation Outcomes </w:t>
      </w:r>
      <w:r>
        <w:rPr>
          <w:spacing w:val="2"/>
        </w:rPr>
        <w:t>Based </w:t>
      </w:r>
      <w:r>
        <w:rPr/>
        <w:t>Survey became available in the first </w:t>
      </w:r>
      <w:r>
        <w:rPr>
          <w:spacing w:val="1"/>
          <w:w w:val="96"/>
        </w:rPr>
        <w:t>half</w:t>
      </w:r>
      <w:r>
        <w:rPr>
          <w:w w:val="96"/>
        </w:rPr>
        <w:t> </w:t>
      </w:r>
      <w:r>
        <w:rPr>
          <w:w w:val="99"/>
        </w:rPr>
        <w:t>of </w:t>
      </w:r>
      <w:r>
        <w:rPr>
          <w:spacing w:val="1"/>
          <w:w w:val="84"/>
        </w:rPr>
        <w:t>2015.</w:t>
      </w:r>
      <w:r>
        <w:rPr>
          <w:w w:val="84"/>
        </w:rPr>
        <w:t> </w:t>
      </w:r>
      <w:r>
        <w:rPr>
          <w:spacing w:val="1"/>
          <w:w w:val="94"/>
        </w:rPr>
        <w:t>The</w:t>
      </w:r>
      <w:r>
        <w:rPr>
          <w:w w:val="94"/>
        </w:rPr>
        <w:t> </w:t>
      </w:r>
      <w:r>
        <w:rPr>
          <w:spacing w:val="1"/>
          <w:w w:val="96"/>
        </w:rPr>
        <w:t>results</w:t>
      </w:r>
      <w:r>
        <w:rPr>
          <w:w w:val="96"/>
        </w:rPr>
        <w:t> </w:t>
      </w:r>
      <w:r>
        <w:rPr>
          <w:w w:val="97"/>
        </w:rPr>
        <w:t>were </w:t>
      </w:r>
      <w:r>
        <w:rPr>
          <w:spacing w:val="1"/>
          <w:w w:val="96"/>
        </w:rPr>
        <w:t>analysed</w:t>
      </w:r>
      <w:r>
        <w:rPr>
          <w:w w:val="96"/>
        </w:rPr>
        <w:t> </w:t>
      </w:r>
      <w:r>
        <w:rPr>
          <w:spacing w:val="1"/>
          <w:w w:val="97"/>
        </w:rPr>
        <w:t>and</w:t>
      </w:r>
      <w:r>
        <w:rPr>
          <w:w w:val="97"/>
        </w:rPr>
        <w:t> </w:t>
      </w:r>
      <w:r>
        <w:rPr/>
        <w:t>triangulated with International Student Barometer results and individual SSS </w:t>
      </w:r>
      <w:r>
        <w:rPr>
          <w:w w:val="97"/>
        </w:rPr>
        <w:t>evaluation </w:t>
      </w:r>
      <w:r>
        <w:rPr>
          <w:spacing w:val="1"/>
          <w:w w:val="95"/>
        </w:rPr>
        <w:t>outcomes,</w:t>
      </w:r>
      <w:r>
        <w:rPr>
          <w:w w:val="95"/>
        </w:rPr>
        <w:t> </w:t>
      </w:r>
      <w:r>
        <w:rPr>
          <w:spacing w:val="1"/>
          <w:w w:val="94"/>
        </w:rPr>
        <w:t>as</w:t>
      </w:r>
      <w:r>
        <w:rPr>
          <w:w w:val="94"/>
        </w:rPr>
        <w:t> </w:t>
      </w:r>
      <w:r>
        <w:rPr>
          <w:w w:val="97"/>
        </w:rPr>
        <w:t>well </w:t>
      </w:r>
      <w:r>
        <w:rPr>
          <w:spacing w:val="1"/>
          <w:w w:val="94"/>
        </w:rPr>
        <w:t>as</w:t>
      </w:r>
      <w:r>
        <w:rPr>
          <w:w w:val="94"/>
        </w:rPr>
        <w:t> </w:t>
      </w:r>
      <w:r>
        <w:rPr>
          <w:w w:val="97"/>
        </w:rPr>
        <w:t>the </w:t>
      </w:r>
      <w:r>
        <w:rPr>
          <w:spacing w:val="1"/>
          <w:w w:val="88"/>
        </w:rPr>
        <w:t>2015</w:t>
      </w:r>
      <w:r>
        <w:rPr>
          <w:w w:val="88"/>
        </w:rPr>
        <w:t> </w:t>
      </w:r>
      <w:r>
        <w:rPr/>
        <w:t>Insync Benchmarking Survey. A draft report </w:t>
      </w:r>
      <w:r>
        <w:rPr>
          <w:w w:val="95"/>
        </w:rPr>
        <w:t>is</w:t>
      </w:r>
      <w:r>
        <w:rPr>
          <w:spacing w:val="-8"/>
          <w:w w:val="95"/>
        </w:rPr>
        <w:t> </w:t>
      </w:r>
      <w:r>
        <w:rPr>
          <w:spacing w:val="1"/>
          <w:w w:val="97"/>
        </w:rPr>
        <w:t>due</w:t>
      </w:r>
      <w:r>
        <w:rPr>
          <w:spacing w:val="-10"/>
          <w:w w:val="97"/>
        </w:rPr>
        <w:t> </w:t>
      </w:r>
      <w:r>
        <w:rPr>
          <w:spacing w:val="-1"/>
          <w:w w:val="101"/>
        </w:rPr>
        <w:t>to</w:t>
      </w:r>
      <w:r>
        <w:rPr>
          <w:spacing w:val="-11"/>
          <w:w w:val="101"/>
        </w:rPr>
        <w:t> </w:t>
      </w:r>
      <w:r>
        <w:rPr>
          <w:spacing w:val="1"/>
          <w:w w:val="99"/>
        </w:rPr>
        <w:t>be</w:t>
      </w:r>
      <w:r>
        <w:rPr>
          <w:spacing w:val="-10"/>
          <w:w w:val="99"/>
        </w:rPr>
        <w:t> </w:t>
      </w:r>
      <w:r>
        <w:rPr>
          <w:spacing w:val="1"/>
          <w:w w:val="96"/>
        </w:rPr>
        <w:t>finalised</w:t>
      </w:r>
      <w:r>
        <w:rPr>
          <w:spacing w:val="-9"/>
          <w:w w:val="96"/>
        </w:rPr>
        <w:t> </w:t>
      </w:r>
      <w:r>
        <w:rPr>
          <w:w w:val="95"/>
        </w:rPr>
        <w:t>in</w:t>
      </w:r>
      <w:r>
        <w:rPr>
          <w:spacing w:val="-9"/>
          <w:w w:val="95"/>
        </w:rPr>
        <w:t> </w:t>
      </w:r>
      <w:r>
        <w:rPr>
          <w:spacing w:val="1"/>
          <w:w w:val="96"/>
        </w:rPr>
        <w:t>early</w:t>
      </w:r>
      <w:r>
        <w:rPr>
          <w:spacing w:val="-9"/>
          <w:w w:val="96"/>
        </w:rPr>
        <w:t> </w:t>
      </w:r>
      <w:r>
        <w:rPr>
          <w:spacing w:val="2"/>
          <w:w w:val="85"/>
        </w:rPr>
        <w:t>2016,</w:t>
      </w:r>
      <w:r>
        <w:rPr>
          <w:spacing w:val="-4"/>
          <w:w w:val="85"/>
        </w:rPr>
        <w:t> </w:t>
      </w:r>
      <w:r>
        <w:rPr>
          <w:spacing w:val="1"/>
          <w:w w:val="97"/>
        </w:rPr>
        <w:t>and</w:t>
      </w:r>
      <w:r>
        <w:rPr>
          <w:spacing w:val="-9"/>
          <w:w w:val="97"/>
        </w:rPr>
        <w:t> </w:t>
      </w:r>
      <w:r>
        <w:rPr>
          <w:spacing w:val="1"/>
          <w:w w:val="96"/>
        </w:rPr>
        <w:t>results</w:t>
      </w:r>
      <w:r>
        <w:rPr>
          <w:w w:val="96"/>
        </w:rPr>
        <w:t> </w:t>
      </w:r>
      <w:r>
        <w:rPr>
          <w:w w:val="97"/>
        </w:rPr>
        <w:t>will </w:t>
      </w:r>
      <w:r>
        <w:rPr>
          <w:w w:val="97"/>
        </w:rPr>
        <w:t>inform </w:t>
      </w:r>
      <w:r>
        <w:rPr>
          <w:spacing w:val="1"/>
          <w:w w:val="90"/>
        </w:rPr>
        <w:t>2016</w:t>
      </w:r>
      <w:r>
        <w:rPr>
          <w:w w:val="90"/>
        </w:rPr>
        <w:t> </w:t>
      </w:r>
      <w:r>
        <w:rPr>
          <w:spacing w:val="1"/>
          <w:w w:val="97"/>
        </w:rPr>
        <w:t>and</w:t>
      </w:r>
      <w:r>
        <w:rPr>
          <w:w w:val="97"/>
        </w:rPr>
        <w:t> </w:t>
      </w:r>
      <w:r>
        <w:rPr>
          <w:w w:val="87"/>
        </w:rPr>
        <w:t>2017 </w:t>
      </w:r>
      <w:r>
        <w:rPr>
          <w:spacing w:val="2"/>
          <w:w w:val="98"/>
        </w:rPr>
        <w:t>SSS</w:t>
      </w:r>
      <w:r>
        <w:rPr>
          <w:w w:val="98"/>
        </w:rPr>
        <w:t> </w:t>
      </w:r>
      <w:r>
        <w:rPr>
          <w:w w:val="98"/>
        </w:rPr>
        <w:t>strategic </w:t>
      </w:r>
      <w:r>
        <w:rPr/>
        <w:t>planning.</w:t>
      </w:r>
    </w:p>
    <w:p>
      <w:pPr>
        <w:pStyle w:val="BodyText"/>
        <w:rPr>
          <w:sz w:val="14"/>
        </w:rPr>
      </w:pPr>
    </w:p>
    <w:p>
      <w:pPr>
        <w:pStyle w:val="BodyText"/>
        <w:spacing w:line="249" w:lineRule="auto"/>
        <w:ind w:left="107" w:right="-1"/>
      </w:pPr>
      <w:r>
        <w:rPr/>
        <w:t>Evaluation indicates that students overwhelmingly value the services provided and that the services have a positive impact on students’ learning and their lives. There are,</w:t>
      </w:r>
      <w:r>
        <w:rPr>
          <w:spacing w:val="-24"/>
        </w:rPr>
        <w:t> </w:t>
      </w:r>
      <w:r>
        <w:rPr/>
        <w:t>however,</w:t>
      </w:r>
      <w:r>
        <w:rPr>
          <w:spacing w:val="-24"/>
        </w:rPr>
        <w:t> </w:t>
      </w:r>
      <w:r>
        <w:rPr/>
        <w:t>a</w:t>
      </w:r>
      <w:r>
        <w:rPr>
          <w:spacing w:val="-24"/>
        </w:rPr>
        <w:t> </w:t>
      </w:r>
      <w:r>
        <w:rPr/>
        <w:t>number</w:t>
      </w:r>
      <w:r>
        <w:rPr>
          <w:spacing w:val="-24"/>
        </w:rPr>
        <w:t> </w:t>
      </w:r>
      <w:r>
        <w:rPr/>
        <w:t>of</w:t>
      </w:r>
      <w:r>
        <w:rPr>
          <w:spacing w:val="-24"/>
        </w:rPr>
        <w:t> </w:t>
      </w:r>
      <w:r>
        <w:rPr/>
        <w:t>areas</w:t>
      </w:r>
      <w:r>
        <w:rPr>
          <w:spacing w:val="-24"/>
        </w:rPr>
        <w:t> </w:t>
      </w:r>
      <w:r>
        <w:rPr/>
        <w:t>that</w:t>
      </w:r>
      <w:r>
        <w:rPr>
          <w:spacing w:val="-24"/>
        </w:rPr>
        <w:t> </w:t>
      </w:r>
      <w:r>
        <w:rPr/>
        <w:t>students have identified for additional development and improvement. These areas are being further investigated to inform service improvements</w:t>
      </w:r>
      <w:r>
        <w:rPr>
          <w:spacing w:val="-25"/>
        </w:rPr>
        <w:t> </w:t>
      </w:r>
      <w:r>
        <w:rPr/>
        <w:t>into</w:t>
      </w:r>
      <w:r>
        <w:rPr>
          <w:spacing w:val="-25"/>
        </w:rPr>
        <w:t> </w:t>
      </w:r>
      <w:r>
        <w:rPr/>
        <w:t>the</w:t>
      </w:r>
      <w:r>
        <w:rPr>
          <w:spacing w:val="-25"/>
        </w:rPr>
        <w:t> </w:t>
      </w:r>
      <w:r>
        <w:rPr/>
        <w:t>future.</w:t>
      </w:r>
    </w:p>
    <w:p>
      <w:pPr>
        <w:pStyle w:val="BodyText"/>
        <w:rPr>
          <w:sz w:val="14"/>
        </w:rPr>
      </w:pPr>
    </w:p>
    <w:p>
      <w:pPr>
        <w:pStyle w:val="BodyText"/>
        <w:spacing w:line="249" w:lineRule="auto"/>
        <w:ind w:left="107" w:right="36"/>
      </w:pPr>
      <w:r>
        <w:rPr/>
        <w:t>The PASS team has begun work on a longitudinal study on the contribution of PASS to students’ learning outcomes. As </w:t>
      </w:r>
      <w:r>
        <w:rPr>
          <w:spacing w:val="2"/>
        </w:rPr>
        <w:t>part </w:t>
      </w:r>
      <w:r>
        <w:rPr/>
        <w:t>of the study, 13 student focus groups were</w:t>
      </w:r>
      <w:r>
        <w:rPr>
          <w:spacing w:val="-16"/>
        </w:rPr>
        <w:t> </w:t>
      </w:r>
      <w:r>
        <w:rPr/>
        <w:t>conducted.</w:t>
      </w:r>
      <w:r>
        <w:rPr>
          <w:spacing w:val="-16"/>
        </w:rPr>
        <w:t> </w:t>
      </w:r>
      <w:r>
        <w:rPr/>
        <w:t>The</w:t>
      </w:r>
      <w:r>
        <w:rPr>
          <w:spacing w:val="-16"/>
        </w:rPr>
        <w:t> </w:t>
      </w:r>
      <w:r>
        <w:rPr/>
        <w:t>PASS</w:t>
      </w:r>
      <w:r>
        <w:rPr>
          <w:spacing w:val="-16"/>
        </w:rPr>
        <w:t> </w:t>
      </w:r>
      <w:r>
        <w:rPr/>
        <w:t>team</w:t>
      </w:r>
      <w:r>
        <w:rPr>
          <w:spacing w:val="-16"/>
        </w:rPr>
        <w:t> </w:t>
      </w:r>
      <w:r>
        <w:rPr/>
        <w:t>presented</w:t>
      </w:r>
      <w:r>
        <w:rPr>
          <w:spacing w:val="-16"/>
        </w:rPr>
        <w:t> </w:t>
      </w:r>
      <w:r>
        <w:rPr/>
        <w:t>a workshop on their impact-based evaluation at the Australasian PASS and Peer Learning </w:t>
      </w:r>
      <w:r>
        <w:rPr>
          <w:w w:val="97"/>
        </w:rPr>
        <w:t>Conference </w:t>
      </w:r>
      <w:r>
        <w:rPr>
          <w:w w:val="95"/>
        </w:rPr>
        <w:t>in </w:t>
      </w:r>
      <w:r>
        <w:rPr>
          <w:spacing w:val="1"/>
          <w:w w:val="98"/>
        </w:rPr>
        <w:t>September</w:t>
      </w:r>
      <w:r>
        <w:rPr>
          <w:spacing w:val="-12"/>
          <w:w w:val="98"/>
        </w:rPr>
        <w:t> </w:t>
      </w:r>
      <w:r>
        <w:rPr>
          <w:spacing w:val="1"/>
          <w:w w:val="84"/>
        </w:rPr>
        <w:t>2015.</w:t>
      </w:r>
    </w:p>
    <w:p>
      <w:pPr>
        <w:pStyle w:val="BodyText"/>
        <w:rPr>
          <w:sz w:val="14"/>
        </w:rPr>
      </w:pPr>
    </w:p>
    <w:p>
      <w:pPr>
        <w:pStyle w:val="BodyText"/>
        <w:spacing w:line="249" w:lineRule="auto"/>
        <w:ind w:left="107" w:right="155"/>
      </w:pPr>
      <w:r>
        <w:rPr/>
        <w:t>A number of staff members published journal articles on good practice initiatives and outcomes of collaborative research,</w:t>
      </w:r>
    </w:p>
    <w:p>
      <w:pPr>
        <w:pStyle w:val="BodyText"/>
        <w:spacing w:before="10"/>
      </w:pPr>
      <w:r>
        <w:rPr/>
        <w:br w:type="column"/>
      </w:r>
      <w:r>
        <w:rPr/>
      </w:r>
    </w:p>
    <w:p>
      <w:pPr>
        <w:pStyle w:val="BodyText"/>
        <w:ind w:left="107" w:right="112"/>
      </w:pPr>
      <w:r>
        <w:rPr/>
        <w:t>partnering with academic staff.</w:t>
      </w:r>
    </w:p>
    <w:p>
      <w:pPr>
        <w:pStyle w:val="BodyText"/>
        <w:spacing w:before="2"/>
        <w:rPr>
          <w:sz w:val="15"/>
        </w:rPr>
      </w:pPr>
    </w:p>
    <w:p>
      <w:pPr>
        <w:pStyle w:val="Heading8"/>
        <w:ind w:right="112" w:firstLine="12"/>
      </w:pPr>
      <w:r>
        <w:rPr>
          <w:color w:val="636466"/>
          <w:w w:val="95"/>
        </w:rPr>
        <w:t>Mental Health and Wellbeing (MHWB)</w:t>
      </w:r>
    </w:p>
    <w:p>
      <w:pPr>
        <w:pStyle w:val="BodyText"/>
        <w:spacing w:line="249" w:lineRule="auto" w:before="86"/>
        <w:ind w:left="107" w:right="232"/>
      </w:pPr>
      <w:r>
        <w:rPr/>
        <w:t>During October, a mental health month program was held on all major </w:t>
      </w:r>
      <w:r>
        <w:rPr>
          <w:spacing w:val="2"/>
        </w:rPr>
        <w:t>campuses, </w:t>
      </w:r>
      <w:r>
        <w:rPr/>
        <w:t>including</w:t>
      </w:r>
      <w:r>
        <w:rPr>
          <w:spacing w:val="-15"/>
        </w:rPr>
        <w:t> </w:t>
      </w:r>
      <w:r>
        <w:rPr/>
        <w:t>Werrington</w:t>
      </w:r>
      <w:r>
        <w:rPr>
          <w:spacing w:val="-15"/>
        </w:rPr>
        <w:t> </w:t>
      </w:r>
      <w:r>
        <w:rPr/>
        <w:t>South</w:t>
      </w:r>
      <w:r>
        <w:rPr>
          <w:spacing w:val="-15"/>
        </w:rPr>
        <w:t> </w:t>
      </w:r>
      <w:r>
        <w:rPr/>
        <w:t>and</w:t>
      </w:r>
      <w:r>
        <w:rPr>
          <w:spacing w:val="-15"/>
        </w:rPr>
        <w:t> </w:t>
      </w:r>
      <w:r>
        <w:rPr/>
        <w:t>North</w:t>
      </w:r>
      <w:r>
        <w:rPr>
          <w:spacing w:val="-15"/>
        </w:rPr>
        <w:t> </w:t>
      </w:r>
      <w:r>
        <w:rPr/>
        <w:t>sites, Parramatta </w:t>
      </w:r>
      <w:r>
        <w:rPr>
          <w:spacing w:val="2"/>
        </w:rPr>
        <w:t>CBD </w:t>
      </w:r>
      <w:r>
        <w:rPr/>
        <w:t>and Nirimba, to focus on promoting</w:t>
      </w:r>
      <w:r>
        <w:rPr>
          <w:spacing w:val="-14"/>
        </w:rPr>
        <w:t> </w:t>
      </w:r>
      <w:r>
        <w:rPr/>
        <w:t>positive</w:t>
      </w:r>
      <w:r>
        <w:rPr>
          <w:spacing w:val="-14"/>
        </w:rPr>
        <w:t> </w:t>
      </w:r>
      <w:r>
        <w:rPr/>
        <w:t>staff</w:t>
      </w:r>
      <w:r>
        <w:rPr>
          <w:spacing w:val="-14"/>
        </w:rPr>
        <w:t> </w:t>
      </w:r>
      <w:r>
        <w:rPr/>
        <w:t>and</w:t>
      </w:r>
      <w:r>
        <w:rPr>
          <w:spacing w:val="-14"/>
        </w:rPr>
        <w:t> </w:t>
      </w:r>
      <w:r>
        <w:rPr/>
        <w:t>student</w:t>
      </w:r>
      <w:r>
        <w:rPr>
          <w:spacing w:val="-14"/>
        </w:rPr>
        <w:t> </w:t>
      </w:r>
      <w:r>
        <w:rPr/>
        <w:t>mental health and wellbeing. The events received overwhelmingly</w:t>
      </w:r>
      <w:r>
        <w:rPr>
          <w:spacing w:val="-18"/>
        </w:rPr>
        <w:t> </w:t>
      </w:r>
      <w:r>
        <w:rPr/>
        <w:t>positive</w:t>
      </w:r>
      <w:r>
        <w:rPr>
          <w:spacing w:val="-18"/>
        </w:rPr>
        <w:t> </w:t>
      </w:r>
      <w:r>
        <w:rPr/>
        <w:t>feedback.</w:t>
      </w:r>
      <w:r>
        <w:rPr>
          <w:spacing w:val="-18"/>
        </w:rPr>
        <w:t> </w:t>
      </w:r>
      <w:r>
        <w:rPr/>
        <w:t>Resource packs were also sent to six medical clinical schools. Students from Health Sciences were involved in the organisation and implementation</w:t>
      </w:r>
      <w:r>
        <w:rPr>
          <w:spacing w:val="-19"/>
        </w:rPr>
        <w:t> </w:t>
      </w:r>
      <w:r>
        <w:rPr/>
        <w:t>of</w:t>
      </w:r>
      <w:r>
        <w:rPr>
          <w:spacing w:val="-19"/>
        </w:rPr>
        <w:t> </w:t>
      </w:r>
      <w:r>
        <w:rPr/>
        <w:t>the</w:t>
      </w:r>
      <w:r>
        <w:rPr>
          <w:spacing w:val="-19"/>
        </w:rPr>
        <w:t> </w:t>
      </w:r>
      <w:r>
        <w:rPr/>
        <w:t>program</w:t>
      </w:r>
      <w:r>
        <w:rPr>
          <w:spacing w:val="-19"/>
        </w:rPr>
        <w:t> </w:t>
      </w:r>
      <w:r>
        <w:rPr/>
        <w:t>events,</w:t>
      </w:r>
    </w:p>
    <w:p>
      <w:pPr>
        <w:pStyle w:val="BodyText"/>
        <w:spacing w:line="249" w:lineRule="auto"/>
        <w:ind w:left="107" w:right="118"/>
      </w:pPr>
      <w:r>
        <w:rPr/>
        <w:t>including RUOK day, as MHWB ambassadors. Students and staff members wrote and posted to family and friends 881 gratitude </w:t>
      </w:r>
      <w:r>
        <w:rPr>
          <w:w w:val="95"/>
        </w:rPr>
        <w:t>postcards. </w:t>
      </w:r>
      <w:r>
        <w:rPr>
          <w:w w:val="112"/>
        </w:rPr>
        <w:t>A </w:t>
      </w:r>
      <w:r>
        <w:rPr>
          <w:w w:val="99"/>
        </w:rPr>
        <w:t>total </w:t>
      </w:r>
      <w:r>
        <w:rPr>
          <w:w w:val="99"/>
        </w:rPr>
        <w:t>of </w:t>
      </w:r>
      <w:r>
        <w:rPr>
          <w:w w:val="86"/>
        </w:rPr>
        <w:t>130 </w:t>
      </w:r>
      <w:r>
        <w:rPr>
          <w:w w:val="98"/>
        </w:rPr>
        <w:t>postcards </w:t>
      </w:r>
      <w:r>
        <w:rPr>
          <w:w w:val="97"/>
        </w:rPr>
        <w:t>were</w:t>
      </w:r>
    </w:p>
    <w:p>
      <w:pPr>
        <w:pStyle w:val="BodyText"/>
        <w:spacing w:line="249" w:lineRule="auto"/>
        <w:ind w:left="107" w:right="24"/>
      </w:pPr>
      <w:r>
        <w:rPr/>
        <w:t>sent to 31 countries, 1,329 staff members and students engaged in the program and online promotions, and 484 people joined the Mental Health and Wellbeing Facebook group.</w:t>
      </w:r>
    </w:p>
    <w:p>
      <w:pPr>
        <w:pStyle w:val="BodyText"/>
        <w:rPr>
          <w:sz w:val="14"/>
        </w:rPr>
      </w:pPr>
    </w:p>
    <w:p>
      <w:pPr>
        <w:pStyle w:val="BodyText"/>
        <w:spacing w:line="249" w:lineRule="auto"/>
        <w:ind w:left="107" w:right="284"/>
      </w:pPr>
      <w:r>
        <w:rPr/>
        <w:t>Both mental health month events and RUOK</w:t>
      </w:r>
      <w:r>
        <w:rPr>
          <w:spacing w:val="-13"/>
        </w:rPr>
        <w:t> </w:t>
      </w:r>
      <w:r>
        <w:rPr/>
        <w:t>day</w:t>
      </w:r>
      <w:r>
        <w:rPr>
          <w:spacing w:val="-13"/>
        </w:rPr>
        <w:t> </w:t>
      </w:r>
      <w:r>
        <w:rPr/>
        <w:t>activities</w:t>
      </w:r>
      <w:r>
        <w:rPr>
          <w:spacing w:val="-13"/>
        </w:rPr>
        <w:t> </w:t>
      </w:r>
      <w:r>
        <w:rPr/>
        <w:t>were</w:t>
      </w:r>
      <w:r>
        <w:rPr>
          <w:spacing w:val="-13"/>
        </w:rPr>
        <w:t> </w:t>
      </w:r>
      <w:r>
        <w:rPr/>
        <w:t>coordinated</w:t>
      </w:r>
      <w:r>
        <w:rPr>
          <w:spacing w:val="-13"/>
        </w:rPr>
        <w:t> </w:t>
      </w:r>
      <w:r>
        <w:rPr/>
        <w:t>by</w:t>
      </w:r>
      <w:r>
        <w:rPr>
          <w:spacing w:val="-13"/>
        </w:rPr>
        <w:t> </w:t>
      </w:r>
      <w:r>
        <w:rPr/>
        <w:t>an SSAF-funded</w:t>
      </w:r>
      <w:r>
        <w:rPr>
          <w:spacing w:val="-15"/>
        </w:rPr>
        <w:t> </w:t>
      </w:r>
      <w:r>
        <w:rPr/>
        <w:t>initiative,</w:t>
      </w:r>
      <w:r>
        <w:rPr>
          <w:spacing w:val="-15"/>
        </w:rPr>
        <w:t> </w:t>
      </w:r>
      <w:r>
        <w:rPr/>
        <w:t>which</w:t>
      </w:r>
      <w:r>
        <w:rPr>
          <w:spacing w:val="-15"/>
        </w:rPr>
        <w:t> </w:t>
      </w:r>
      <w:r>
        <w:rPr/>
        <w:t>facilitated</w:t>
      </w:r>
      <w:r>
        <w:rPr>
          <w:spacing w:val="-15"/>
        </w:rPr>
        <w:t> </w:t>
      </w:r>
      <w:r>
        <w:rPr/>
        <w:t>the employment</w:t>
      </w:r>
      <w:r>
        <w:rPr>
          <w:spacing w:val="-16"/>
        </w:rPr>
        <w:t> </w:t>
      </w:r>
      <w:r>
        <w:rPr/>
        <w:t>of</w:t>
      </w:r>
      <w:r>
        <w:rPr>
          <w:spacing w:val="-16"/>
        </w:rPr>
        <w:t> </w:t>
      </w:r>
      <w:r>
        <w:rPr/>
        <w:t>a</w:t>
      </w:r>
      <w:r>
        <w:rPr>
          <w:spacing w:val="-16"/>
        </w:rPr>
        <w:t> </w:t>
      </w:r>
      <w:r>
        <w:rPr/>
        <w:t>Mental</w:t>
      </w:r>
      <w:r>
        <w:rPr>
          <w:spacing w:val="-16"/>
        </w:rPr>
        <w:t> </w:t>
      </w:r>
      <w:r>
        <w:rPr/>
        <w:t>Health</w:t>
      </w:r>
      <w:r>
        <w:rPr>
          <w:spacing w:val="-16"/>
        </w:rPr>
        <w:t> </w:t>
      </w:r>
      <w:r>
        <w:rPr/>
        <w:t>Promotions</w:t>
      </w:r>
    </w:p>
    <w:p>
      <w:pPr>
        <w:pStyle w:val="BodyText"/>
        <w:spacing w:line="249" w:lineRule="auto"/>
        <w:ind w:left="107" w:right="54"/>
      </w:pPr>
      <w:r>
        <w:rPr/>
        <w:t>Coordinator and administrative support. The people in these positions not only coordinated the above programs but also supported the Mental Health &amp; Wellbeing Strategy and mental health and wellbeing promotions across the University and the College.</w:t>
      </w:r>
    </w:p>
    <w:p>
      <w:pPr>
        <w:pStyle w:val="BodyText"/>
        <w:rPr>
          <w:sz w:val="14"/>
        </w:rPr>
      </w:pPr>
    </w:p>
    <w:p>
      <w:pPr>
        <w:pStyle w:val="BodyText"/>
        <w:spacing w:line="249" w:lineRule="auto"/>
        <w:ind w:left="107" w:right="246"/>
      </w:pPr>
      <w:r>
        <w:rPr/>
        <w:t>The Get Healthy Information &amp; Coaching Service promotional campaign continued and a nutrition project was developed out of the Mental Health &amp; Wellbeing Strategy in partnership with NSW Population Health, and Western Sydney and Blue Mountains Local Health Districts. There was extensive</w:t>
      </w:r>
    </w:p>
    <w:p>
      <w:pPr>
        <w:pStyle w:val="BodyText"/>
        <w:spacing w:line="249" w:lineRule="auto"/>
        <w:ind w:left="107" w:right="42"/>
      </w:pPr>
      <w:r>
        <w:rPr/>
        <w:t>development of partnerships with professional staff, academic staff and research teams.</w:t>
      </w:r>
    </w:p>
    <w:p>
      <w:pPr>
        <w:pStyle w:val="BodyText"/>
        <w:rPr>
          <w:sz w:val="14"/>
        </w:rPr>
      </w:pPr>
    </w:p>
    <w:p>
      <w:pPr>
        <w:pStyle w:val="BodyText"/>
        <w:spacing w:line="249" w:lineRule="auto"/>
        <w:ind w:left="107" w:right="316"/>
      </w:pPr>
      <w:r>
        <w:rPr/>
        <w:t>Counselling</w:t>
      </w:r>
      <w:r>
        <w:rPr>
          <w:spacing w:val="-29"/>
        </w:rPr>
        <w:t> </w:t>
      </w:r>
      <w:r>
        <w:rPr/>
        <w:t>staff</w:t>
      </w:r>
      <w:r>
        <w:rPr>
          <w:spacing w:val="-29"/>
        </w:rPr>
        <w:t> </w:t>
      </w:r>
      <w:r>
        <w:rPr/>
        <w:t>facilitated</w:t>
      </w:r>
      <w:r>
        <w:rPr>
          <w:spacing w:val="-29"/>
        </w:rPr>
        <w:t> </w:t>
      </w:r>
      <w:r>
        <w:rPr>
          <w:w w:val="95"/>
        </w:rPr>
        <w:t>11</w:t>
      </w:r>
      <w:r>
        <w:rPr>
          <w:spacing w:val="-26"/>
          <w:w w:val="95"/>
        </w:rPr>
        <w:t> </w:t>
      </w:r>
      <w:r>
        <w:rPr/>
        <w:t>mental</w:t>
      </w:r>
      <w:r>
        <w:rPr>
          <w:spacing w:val="-29"/>
        </w:rPr>
        <w:t> </w:t>
      </w:r>
      <w:r>
        <w:rPr/>
        <w:t>health first aid training sessions. These included four student groups (two from the School of</w:t>
      </w:r>
      <w:r>
        <w:rPr>
          <w:spacing w:val="-11"/>
        </w:rPr>
        <w:t> </w:t>
      </w:r>
      <w:r>
        <w:rPr/>
        <w:t>Education</w:t>
      </w:r>
      <w:r>
        <w:rPr>
          <w:spacing w:val="-11"/>
        </w:rPr>
        <w:t> </w:t>
      </w:r>
      <w:r>
        <w:rPr/>
        <w:t>and</w:t>
      </w:r>
      <w:r>
        <w:rPr>
          <w:spacing w:val="-11"/>
        </w:rPr>
        <w:t> </w:t>
      </w:r>
      <w:r>
        <w:rPr/>
        <w:t>two</w:t>
      </w:r>
      <w:r>
        <w:rPr>
          <w:spacing w:val="-11"/>
        </w:rPr>
        <w:t> </w:t>
      </w:r>
      <w:r>
        <w:rPr/>
        <w:t>from</w:t>
      </w:r>
      <w:r>
        <w:rPr>
          <w:spacing w:val="-11"/>
        </w:rPr>
        <w:t> </w:t>
      </w:r>
      <w:r>
        <w:rPr/>
        <w:t>the</w:t>
      </w:r>
      <w:r>
        <w:rPr>
          <w:spacing w:val="-11"/>
        </w:rPr>
        <w:t> </w:t>
      </w:r>
      <w:r>
        <w:rPr/>
        <w:t>School</w:t>
      </w:r>
    </w:p>
    <w:p>
      <w:pPr>
        <w:pStyle w:val="BodyText"/>
        <w:spacing w:line="249" w:lineRule="auto"/>
        <w:ind w:left="107" w:right="296"/>
      </w:pPr>
      <w:r>
        <w:rPr>
          <w:w w:val="99"/>
        </w:rPr>
        <w:t>of </w:t>
      </w:r>
      <w:r>
        <w:rPr>
          <w:w w:val="97"/>
        </w:rPr>
        <w:t>Nursing </w:t>
      </w:r>
      <w:r>
        <w:rPr>
          <w:w w:val="97"/>
        </w:rPr>
        <w:t>and </w:t>
      </w:r>
      <w:r>
        <w:rPr>
          <w:w w:val="95"/>
        </w:rPr>
        <w:t>Midwifery), </w:t>
      </w:r>
      <w:r>
        <w:rPr>
          <w:w w:val="98"/>
        </w:rPr>
        <w:t>involving </w:t>
      </w:r>
      <w:r>
        <w:rPr>
          <w:w w:val="86"/>
        </w:rPr>
        <w:t>120 </w:t>
      </w:r>
      <w:r>
        <w:rPr/>
        <w:t>students. Five staff training sessions were </w:t>
      </w:r>
      <w:r>
        <w:rPr>
          <w:w w:val="96"/>
        </w:rPr>
        <w:t>conducted, </w:t>
      </w:r>
      <w:r>
        <w:rPr>
          <w:w w:val="98"/>
        </w:rPr>
        <w:t>with </w:t>
      </w:r>
      <w:r>
        <w:rPr>
          <w:w w:val="86"/>
        </w:rPr>
        <w:t>130 </w:t>
      </w:r>
      <w:r>
        <w:rPr>
          <w:w w:val="97"/>
        </w:rPr>
        <w:t>staff </w:t>
      </w:r>
      <w:r>
        <w:rPr>
          <w:w w:val="97"/>
        </w:rPr>
        <w:t>members </w:t>
      </w:r>
      <w:r>
        <w:rPr>
          <w:w w:val="93"/>
        </w:rPr>
        <w:t>trained. </w:t>
      </w:r>
      <w:r>
        <w:rPr/>
        <w:t>An external program for 15 participants was offered through the Cerebral Palsy</w:t>
      </w:r>
    </w:p>
    <w:p>
      <w:pPr>
        <w:pStyle w:val="BodyText"/>
        <w:spacing w:line="192" w:lineRule="exact"/>
        <w:ind w:left="107" w:right="26"/>
      </w:pPr>
      <w:r>
        <w:rPr/>
        <w:t>Association, as well as a program for Campus</w:t>
      </w:r>
    </w:p>
    <w:p>
      <w:pPr>
        <w:spacing w:after="0" w:line="192" w:lineRule="exact"/>
        <w:sectPr>
          <w:type w:val="continuous"/>
          <w:pgSz w:w="11910" w:h="16840"/>
          <w:pgMar w:top="1580" w:bottom="280" w:left="800" w:right="800"/>
          <w:cols w:num="3" w:equalWidth="0">
            <w:col w:w="3307" w:space="132"/>
            <w:col w:w="3259" w:space="181"/>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74"/>
      </w:pPr>
      <w:r>
        <w:rPr/>
        <w:t>Living Villages (CLV) residential assistants, with 22 participants. Agreements to provide the program to the Academy and College academic staff, and to provide ongoing support for CLV were established.</w:t>
      </w:r>
    </w:p>
    <w:p>
      <w:pPr>
        <w:pStyle w:val="BodyText"/>
        <w:rPr>
          <w:sz w:val="14"/>
        </w:rPr>
      </w:pPr>
    </w:p>
    <w:p>
      <w:pPr>
        <w:pStyle w:val="BodyText"/>
        <w:spacing w:line="249" w:lineRule="auto"/>
        <w:ind w:left="107" w:right="47"/>
      </w:pPr>
      <w:r>
        <w:rPr/>
        <w:t>A new Mental Health and Wellbeing Policy was approved for the University after extensive consultation with internal and external stakeholders. The Mental Health &amp; Wellbeing Strategy was evaluated and data is</w:t>
      </w:r>
      <w:r>
        <w:rPr>
          <w:spacing w:val="-14"/>
        </w:rPr>
        <w:t> </w:t>
      </w:r>
      <w:r>
        <w:rPr/>
        <w:t>being</w:t>
      </w:r>
      <w:r>
        <w:rPr>
          <w:spacing w:val="-14"/>
        </w:rPr>
        <w:t> </w:t>
      </w:r>
      <w:r>
        <w:rPr/>
        <w:t>collated</w:t>
      </w:r>
      <w:r>
        <w:rPr>
          <w:spacing w:val="-14"/>
        </w:rPr>
        <w:t> </w:t>
      </w:r>
      <w:r>
        <w:rPr/>
        <w:t>from</w:t>
      </w:r>
      <w:r>
        <w:rPr>
          <w:spacing w:val="-14"/>
        </w:rPr>
        <w:t> </w:t>
      </w:r>
      <w:r>
        <w:rPr/>
        <w:t>student</w:t>
      </w:r>
      <w:r>
        <w:rPr>
          <w:spacing w:val="-14"/>
        </w:rPr>
        <w:t> </w:t>
      </w:r>
      <w:r>
        <w:rPr/>
        <w:t>and</w:t>
      </w:r>
      <w:r>
        <w:rPr>
          <w:spacing w:val="-14"/>
        </w:rPr>
        <w:t> </w:t>
      </w:r>
      <w:r>
        <w:rPr/>
        <w:t>staff</w:t>
      </w:r>
      <w:r>
        <w:rPr>
          <w:spacing w:val="-14"/>
        </w:rPr>
        <w:t> </w:t>
      </w:r>
      <w:r>
        <w:rPr/>
        <w:t>focus groups and surveys. The Strategy will be </w:t>
      </w:r>
      <w:r>
        <w:rPr>
          <w:w w:val="97"/>
        </w:rPr>
        <w:t>reviewed </w:t>
      </w:r>
      <w:r>
        <w:rPr>
          <w:w w:val="95"/>
        </w:rPr>
        <w:t>in </w:t>
      </w:r>
      <w:r>
        <w:rPr>
          <w:spacing w:val="2"/>
          <w:w w:val="85"/>
        </w:rPr>
        <w:t>2016,</w:t>
      </w:r>
      <w:r>
        <w:rPr>
          <w:w w:val="85"/>
        </w:rPr>
        <w:t> </w:t>
      </w:r>
      <w:r>
        <w:rPr>
          <w:spacing w:val="1"/>
          <w:w w:val="98"/>
        </w:rPr>
        <w:t>based</w:t>
      </w:r>
      <w:r>
        <w:rPr>
          <w:w w:val="98"/>
        </w:rPr>
        <w:t> </w:t>
      </w:r>
      <w:r>
        <w:rPr>
          <w:spacing w:val="1"/>
          <w:w w:val="98"/>
        </w:rPr>
        <w:t>on</w:t>
      </w:r>
      <w:r>
        <w:rPr>
          <w:w w:val="98"/>
        </w:rPr>
        <w:t> </w:t>
      </w:r>
      <w:r>
        <w:rPr>
          <w:w w:val="97"/>
        </w:rPr>
        <w:t>this</w:t>
      </w:r>
      <w:r>
        <w:rPr>
          <w:spacing w:val="-34"/>
          <w:w w:val="97"/>
        </w:rPr>
        <w:t> </w:t>
      </w:r>
      <w:r>
        <w:rPr>
          <w:spacing w:val="1"/>
          <w:w w:val="94"/>
        </w:rPr>
        <w:t>evaluation.</w:t>
      </w:r>
    </w:p>
    <w:p>
      <w:pPr>
        <w:pStyle w:val="BodyText"/>
        <w:spacing w:line="249" w:lineRule="auto"/>
        <w:ind w:left="107" w:right="-13"/>
      </w:pPr>
      <w:r>
        <w:rPr/>
        <w:t>The current Memorandum of Understanding with</w:t>
      </w:r>
      <w:r>
        <w:rPr>
          <w:spacing w:val="-16"/>
        </w:rPr>
        <w:t> </w:t>
      </w:r>
      <w:r>
        <w:rPr/>
        <w:t>NSW</w:t>
      </w:r>
      <w:r>
        <w:rPr>
          <w:spacing w:val="-16"/>
        </w:rPr>
        <w:t> </w:t>
      </w:r>
      <w:r>
        <w:rPr/>
        <w:t>Population</w:t>
      </w:r>
      <w:r>
        <w:rPr>
          <w:spacing w:val="-16"/>
        </w:rPr>
        <w:t> </w:t>
      </w:r>
      <w:r>
        <w:rPr/>
        <w:t>Health,</w:t>
      </w:r>
      <w:r>
        <w:rPr>
          <w:spacing w:val="-16"/>
        </w:rPr>
        <w:t> </w:t>
      </w:r>
      <w:r>
        <w:rPr/>
        <w:t>Western</w:t>
      </w:r>
      <w:r>
        <w:rPr>
          <w:spacing w:val="-16"/>
        </w:rPr>
        <w:t> </w:t>
      </w:r>
      <w:r>
        <w:rPr/>
        <w:t>Sydney and</w:t>
      </w:r>
      <w:r>
        <w:rPr>
          <w:spacing w:val="-14"/>
        </w:rPr>
        <w:t> </w:t>
      </w:r>
      <w:r>
        <w:rPr/>
        <w:t>Blue</w:t>
      </w:r>
      <w:r>
        <w:rPr>
          <w:spacing w:val="-14"/>
        </w:rPr>
        <w:t> </w:t>
      </w:r>
      <w:r>
        <w:rPr/>
        <w:t>Mountains</w:t>
      </w:r>
      <w:r>
        <w:rPr>
          <w:spacing w:val="-14"/>
        </w:rPr>
        <w:t> </w:t>
      </w:r>
      <w:r>
        <w:rPr/>
        <w:t>Local</w:t>
      </w:r>
      <w:r>
        <w:rPr>
          <w:spacing w:val="-14"/>
        </w:rPr>
        <w:t> </w:t>
      </w:r>
      <w:r>
        <w:rPr/>
        <w:t>Health</w:t>
      </w:r>
      <w:r>
        <w:rPr>
          <w:spacing w:val="-14"/>
        </w:rPr>
        <w:t> </w:t>
      </w:r>
      <w:r>
        <w:rPr/>
        <w:t>Districts</w:t>
      </w:r>
      <w:r>
        <w:rPr>
          <w:spacing w:val="-14"/>
        </w:rPr>
        <w:t> </w:t>
      </w:r>
      <w:r>
        <w:rPr/>
        <w:t>will </w:t>
      </w:r>
      <w:r>
        <w:rPr>
          <w:spacing w:val="1"/>
          <w:w w:val="96"/>
        </w:rPr>
        <w:t>also</w:t>
      </w:r>
      <w:r>
        <w:rPr>
          <w:w w:val="96"/>
        </w:rPr>
        <w:t> </w:t>
      </w:r>
      <w:r>
        <w:rPr>
          <w:spacing w:val="1"/>
          <w:w w:val="99"/>
        </w:rPr>
        <w:t>be</w:t>
      </w:r>
      <w:r>
        <w:rPr>
          <w:w w:val="99"/>
        </w:rPr>
        <w:t> </w:t>
      </w:r>
      <w:r>
        <w:rPr>
          <w:w w:val="97"/>
        </w:rPr>
        <w:t>reviewed </w:t>
      </w:r>
      <w:r>
        <w:rPr>
          <w:w w:val="95"/>
        </w:rPr>
        <w:t>in</w:t>
      </w:r>
      <w:r>
        <w:rPr>
          <w:spacing w:val="-29"/>
          <w:w w:val="95"/>
        </w:rPr>
        <w:t> </w:t>
      </w:r>
      <w:r>
        <w:rPr>
          <w:spacing w:val="2"/>
          <w:w w:val="85"/>
        </w:rPr>
        <w:t>2016.</w:t>
      </w:r>
    </w:p>
    <w:p>
      <w:pPr>
        <w:pStyle w:val="BodyText"/>
        <w:spacing w:before="6"/>
        <w:rPr>
          <w:sz w:val="14"/>
        </w:rPr>
      </w:pPr>
    </w:p>
    <w:p>
      <w:pPr>
        <w:pStyle w:val="Heading8"/>
        <w:ind w:left="119" w:right="187"/>
      </w:pPr>
      <w:r>
        <w:rPr>
          <w:color w:val="636466"/>
          <w:w w:val="95"/>
        </w:rPr>
        <w:t>Financial Assistance</w:t>
      </w:r>
    </w:p>
    <w:p>
      <w:pPr>
        <w:pStyle w:val="BodyText"/>
        <w:spacing w:line="249" w:lineRule="auto" w:before="86"/>
        <w:ind w:left="107" w:right="144"/>
      </w:pPr>
      <w:r>
        <w:rPr/>
        <w:t>There was a 37 per cent increase in the number of textbook vouchers provided to </w:t>
      </w:r>
      <w:r>
        <w:rPr>
          <w:w w:val="97"/>
        </w:rPr>
        <w:t>students </w:t>
      </w:r>
      <w:r>
        <w:rPr>
          <w:w w:val="95"/>
        </w:rPr>
        <w:t>in </w:t>
      </w:r>
      <w:r>
        <w:rPr>
          <w:w w:val="88"/>
        </w:rPr>
        <w:t>2015 </w:t>
      </w:r>
      <w:r>
        <w:rPr>
          <w:w w:val="90"/>
        </w:rPr>
        <w:t>(2,323 </w:t>
      </w:r>
      <w:r>
        <w:rPr>
          <w:w w:val="95"/>
        </w:rPr>
        <w:t>in </w:t>
      </w:r>
      <w:r>
        <w:rPr>
          <w:w w:val="88"/>
        </w:rPr>
        <w:t>2015 </w:t>
      </w:r>
      <w:r>
        <w:rPr>
          <w:w w:val="99"/>
        </w:rPr>
        <w:t>compared </w:t>
      </w:r>
      <w:r>
        <w:rPr>
          <w:w w:val="101"/>
        </w:rPr>
        <w:t>to</w:t>
      </w:r>
    </w:p>
    <w:p>
      <w:pPr>
        <w:pStyle w:val="BodyText"/>
        <w:spacing w:line="249" w:lineRule="auto"/>
        <w:ind w:left="107" w:right="20"/>
      </w:pPr>
      <w:r>
        <w:rPr>
          <w:spacing w:val="1"/>
          <w:w w:val="84"/>
        </w:rPr>
        <w:t>1,693</w:t>
      </w:r>
      <w:r>
        <w:rPr>
          <w:w w:val="84"/>
        </w:rPr>
        <w:t> </w:t>
      </w:r>
      <w:r>
        <w:rPr>
          <w:w w:val="95"/>
        </w:rPr>
        <w:t>in </w:t>
      </w:r>
      <w:r>
        <w:rPr>
          <w:w w:val="87"/>
        </w:rPr>
        <w:t>2014). </w:t>
      </w:r>
      <w:r>
        <w:rPr>
          <w:spacing w:val="1"/>
          <w:w w:val="97"/>
        </w:rPr>
        <w:t>While</w:t>
      </w:r>
      <w:r>
        <w:rPr>
          <w:w w:val="97"/>
        </w:rPr>
        <w:t> </w:t>
      </w:r>
      <w:r>
        <w:rPr>
          <w:spacing w:val="1"/>
          <w:w w:val="102"/>
        </w:rPr>
        <w:t>94</w:t>
      </w:r>
      <w:r>
        <w:rPr>
          <w:w w:val="102"/>
        </w:rPr>
        <w:t> </w:t>
      </w:r>
      <w:r>
        <w:rPr>
          <w:spacing w:val="1"/>
          <w:w w:val="97"/>
        </w:rPr>
        <w:t>students</w:t>
      </w:r>
      <w:r>
        <w:rPr>
          <w:w w:val="97"/>
        </w:rPr>
        <w:t> </w:t>
      </w:r>
      <w:r>
        <w:rPr>
          <w:spacing w:val="1"/>
          <w:w w:val="98"/>
        </w:rPr>
        <w:t>benefited</w:t>
      </w:r>
      <w:r>
        <w:rPr>
          <w:w w:val="98"/>
        </w:rPr>
        <w:t> </w:t>
      </w:r>
      <w:r>
        <w:rPr>
          <w:spacing w:val="1"/>
          <w:w w:val="98"/>
        </w:rPr>
        <w:t>from</w:t>
      </w:r>
      <w:r>
        <w:rPr>
          <w:w w:val="98"/>
        </w:rPr>
        <w:t> </w:t>
      </w:r>
      <w:r>
        <w:rPr>
          <w:spacing w:val="1"/>
          <w:w w:val="98"/>
        </w:rPr>
        <w:t>student</w:t>
      </w:r>
      <w:r>
        <w:rPr>
          <w:w w:val="98"/>
        </w:rPr>
        <w:t> </w:t>
      </w:r>
      <w:r>
        <w:rPr>
          <w:spacing w:val="1"/>
          <w:w w:val="97"/>
        </w:rPr>
        <w:t>grants</w:t>
      </w:r>
      <w:r>
        <w:rPr>
          <w:w w:val="97"/>
        </w:rPr>
        <w:t> </w:t>
      </w:r>
      <w:r>
        <w:rPr>
          <w:w w:val="95"/>
        </w:rPr>
        <w:t>in </w:t>
      </w:r>
      <w:r>
        <w:rPr>
          <w:spacing w:val="1"/>
          <w:w w:val="88"/>
        </w:rPr>
        <w:t>2015</w:t>
      </w:r>
      <w:r>
        <w:rPr>
          <w:w w:val="88"/>
        </w:rPr>
        <w:t> </w:t>
      </w:r>
      <w:r>
        <w:rPr>
          <w:spacing w:val="2"/>
          <w:w w:val="98"/>
        </w:rPr>
        <w:t>($35,000</w:t>
      </w:r>
      <w:r>
        <w:rPr>
          <w:w w:val="98"/>
        </w:rPr>
        <w:t> </w:t>
      </w:r>
      <w:r>
        <w:rPr>
          <w:w w:val="95"/>
        </w:rPr>
        <w:t>in </w:t>
      </w:r>
      <w:r>
        <w:rPr/>
        <w:t>funding</w:t>
      </w:r>
      <w:r>
        <w:rPr>
          <w:spacing w:val="-18"/>
        </w:rPr>
        <w:t> </w:t>
      </w:r>
      <w:r>
        <w:rPr/>
        <w:t>was</w:t>
      </w:r>
      <w:r>
        <w:rPr>
          <w:spacing w:val="-18"/>
        </w:rPr>
        <w:t> </w:t>
      </w:r>
      <w:r>
        <w:rPr/>
        <w:t>distributed),</w:t>
      </w:r>
      <w:r>
        <w:rPr>
          <w:spacing w:val="-18"/>
        </w:rPr>
        <w:t> </w:t>
      </w:r>
      <w:r>
        <w:rPr/>
        <w:t>another</w:t>
      </w:r>
      <w:r>
        <w:rPr>
          <w:spacing w:val="-18"/>
        </w:rPr>
        <w:t> </w:t>
      </w:r>
      <w:r>
        <w:rPr/>
        <w:t>29</w:t>
      </w:r>
      <w:r>
        <w:rPr>
          <w:spacing w:val="-18"/>
        </w:rPr>
        <w:t> </w:t>
      </w:r>
      <w:r>
        <w:rPr/>
        <w:t>students received</w:t>
      </w:r>
      <w:r>
        <w:rPr>
          <w:spacing w:val="-15"/>
        </w:rPr>
        <w:t> </w:t>
      </w:r>
      <w:r>
        <w:rPr/>
        <w:t>multiple</w:t>
      </w:r>
      <w:r>
        <w:rPr>
          <w:spacing w:val="-15"/>
        </w:rPr>
        <w:t> </w:t>
      </w:r>
      <w:r>
        <w:rPr/>
        <w:t>textbook</w:t>
      </w:r>
      <w:r>
        <w:rPr>
          <w:spacing w:val="-15"/>
        </w:rPr>
        <w:t> </w:t>
      </w:r>
      <w:r>
        <w:rPr/>
        <w:t>vouchers</w:t>
      </w:r>
      <w:r>
        <w:rPr>
          <w:spacing w:val="-15"/>
        </w:rPr>
        <w:t> </w:t>
      </w:r>
      <w:r>
        <w:rPr/>
        <w:t>in</w:t>
      </w:r>
      <w:r>
        <w:rPr>
          <w:spacing w:val="-15"/>
        </w:rPr>
        <w:t> </w:t>
      </w:r>
      <w:r>
        <w:rPr/>
        <w:t>lieu</w:t>
      </w:r>
      <w:r>
        <w:rPr>
          <w:spacing w:val="-15"/>
        </w:rPr>
        <w:t> </w:t>
      </w:r>
      <w:r>
        <w:rPr/>
        <w:t>of a grant. More than </w:t>
      </w:r>
      <w:r>
        <w:rPr>
          <w:spacing w:val="3"/>
        </w:rPr>
        <w:t>2,300 </w:t>
      </w:r>
      <w:r>
        <w:rPr/>
        <w:t>textbook vouchers (totalling </w:t>
      </w:r>
      <w:r>
        <w:rPr>
          <w:spacing w:val="2"/>
        </w:rPr>
        <w:t>$464,000) </w:t>
      </w:r>
      <w:r>
        <w:rPr/>
        <w:t>were provided to </w:t>
      </w:r>
      <w:r>
        <w:rPr>
          <w:spacing w:val="1"/>
          <w:w w:val="97"/>
        </w:rPr>
        <w:t>students</w:t>
      </w:r>
      <w:r>
        <w:rPr>
          <w:w w:val="97"/>
        </w:rPr>
        <w:t> </w:t>
      </w:r>
      <w:r>
        <w:rPr>
          <w:w w:val="95"/>
        </w:rPr>
        <w:t>in </w:t>
      </w:r>
      <w:r>
        <w:rPr>
          <w:spacing w:val="1"/>
          <w:w w:val="84"/>
        </w:rPr>
        <w:t>2015.</w:t>
      </w:r>
      <w:r>
        <w:rPr>
          <w:w w:val="84"/>
        </w:rPr>
        <w:t> </w:t>
      </w:r>
      <w:r>
        <w:rPr>
          <w:spacing w:val="1"/>
          <w:w w:val="93"/>
        </w:rPr>
        <w:t>Overall,</w:t>
      </w:r>
      <w:r>
        <w:rPr>
          <w:w w:val="93"/>
        </w:rPr>
        <w:t> </w:t>
      </w:r>
      <w:r>
        <w:rPr>
          <w:spacing w:val="1"/>
          <w:w w:val="97"/>
        </w:rPr>
        <w:t>almost</w:t>
      </w:r>
      <w:r>
        <w:rPr>
          <w:w w:val="97"/>
        </w:rPr>
        <w:t> </w:t>
      </w:r>
      <w:r>
        <w:rPr>
          <w:spacing w:val="2"/>
          <w:w w:val="102"/>
        </w:rPr>
        <w:t>$500,000</w:t>
      </w:r>
      <w:r>
        <w:rPr>
          <w:w w:val="102"/>
        </w:rPr>
        <w:t> </w:t>
      </w:r>
      <w:r>
        <w:rPr/>
        <w:t>was provided to assist students with their study-related </w:t>
      </w:r>
      <w:r>
        <w:rPr>
          <w:spacing w:val="2"/>
        </w:rPr>
        <w:t>costs, </w:t>
      </w:r>
      <w:r>
        <w:rPr/>
        <w:t>which is an 18 per cent </w:t>
      </w:r>
      <w:r>
        <w:rPr>
          <w:spacing w:val="1"/>
          <w:w w:val="96"/>
        </w:rPr>
        <w:t>increase</w:t>
      </w:r>
      <w:r>
        <w:rPr>
          <w:spacing w:val="-6"/>
          <w:w w:val="96"/>
        </w:rPr>
        <w:t> </w:t>
      </w:r>
      <w:r>
        <w:rPr>
          <w:spacing w:val="1"/>
          <w:w w:val="98"/>
        </w:rPr>
        <w:t>on</w:t>
      </w:r>
      <w:r>
        <w:rPr>
          <w:spacing w:val="-7"/>
          <w:w w:val="98"/>
        </w:rPr>
        <w:t> </w:t>
      </w:r>
      <w:r>
        <w:rPr>
          <w:w w:val="97"/>
        </w:rPr>
        <w:t>the</w:t>
      </w:r>
      <w:r>
        <w:rPr>
          <w:spacing w:val="-7"/>
          <w:w w:val="97"/>
        </w:rPr>
        <w:t> </w:t>
      </w:r>
      <w:r>
        <w:rPr>
          <w:spacing w:val="1"/>
          <w:w w:val="96"/>
        </w:rPr>
        <w:t>assistance</w:t>
      </w:r>
      <w:r>
        <w:rPr>
          <w:spacing w:val="-6"/>
          <w:w w:val="96"/>
        </w:rPr>
        <w:t> </w:t>
      </w:r>
      <w:r>
        <w:rPr>
          <w:w w:val="99"/>
        </w:rPr>
        <w:t>provided</w:t>
      </w:r>
      <w:r>
        <w:rPr>
          <w:spacing w:val="-8"/>
          <w:w w:val="99"/>
        </w:rPr>
        <w:t> </w:t>
      </w:r>
      <w:r>
        <w:rPr>
          <w:w w:val="95"/>
        </w:rPr>
        <w:t>in</w:t>
      </w:r>
      <w:r>
        <w:rPr>
          <w:spacing w:val="-6"/>
          <w:w w:val="95"/>
        </w:rPr>
        <w:t> </w:t>
      </w:r>
      <w:r>
        <w:rPr>
          <w:spacing w:val="1"/>
          <w:w w:val="86"/>
        </w:rPr>
        <w:t>2014.</w:t>
      </w:r>
    </w:p>
    <w:p>
      <w:pPr>
        <w:pStyle w:val="BodyText"/>
        <w:spacing w:before="6"/>
        <w:rPr>
          <w:sz w:val="14"/>
        </w:rPr>
      </w:pPr>
    </w:p>
    <w:p>
      <w:pPr>
        <w:pStyle w:val="Heading8"/>
        <w:ind w:left="112" w:right="187"/>
      </w:pPr>
      <w:r>
        <w:rPr>
          <w:color w:val="636466"/>
          <w:w w:val="95"/>
        </w:rPr>
        <w:t>Orientation and Transition</w:t>
      </w:r>
    </w:p>
    <w:p>
      <w:pPr>
        <w:pStyle w:val="BodyText"/>
        <w:spacing w:line="247" w:lineRule="auto" w:before="85"/>
        <w:ind w:left="107" w:right="-13"/>
      </w:pPr>
      <w:r>
        <w:rPr/>
        <w:t>The </w:t>
      </w:r>
      <w:r>
        <w:rPr>
          <w:rFonts w:ascii="Century Gothic" w:hAnsi="Century Gothic"/>
          <w:i/>
        </w:rPr>
        <w:t>Getting Started @ Western Sydney </w:t>
      </w:r>
      <w:r>
        <w:rPr>
          <w:rFonts w:ascii="Century Gothic" w:hAnsi="Century Gothic"/>
          <w:i/>
        </w:rPr>
        <w:t>University </w:t>
      </w:r>
      <w:r>
        <w:rPr/>
        <w:t>website was launched in January </w:t>
      </w:r>
      <w:r>
        <w:rPr>
          <w:w w:val="84"/>
        </w:rPr>
        <w:t>2015. </w:t>
      </w:r>
      <w:r>
        <w:rPr>
          <w:spacing w:val="-1"/>
          <w:w w:val="94"/>
        </w:rPr>
        <w:t>This</w:t>
      </w:r>
      <w:r>
        <w:rPr>
          <w:w w:val="94"/>
        </w:rPr>
        <w:t> </w:t>
      </w:r>
      <w:r>
        <w:rPr>
          <w:spacing w:val="-2"/>
          <w:w w:val="98"/>
        </w:rPr>
        <w:t>website</w:t>
      </w:r>
      <w:r>
        <w:rPr>
          <w:w w:val="98"/>
        </w:rPr>
        <w:t> </w:t>
      </w:r>
      <w:r>
        <w:rPr>
          <w:spacing w:val="-1"/>
          <w:w w:val="98"/>
        </w:rPr>
        <w:t>provides</w:t>
      </w:r>
      <w:r>
        <w:rPr>
          <w:w w:val="98"/>
        </w:rPr>
        <w:t> </w:t>
      </w:r>
      <w:r>
        <w:rPr>
          <w:spacing w:val="-1"/>
          <w:w w:val="97"/>
        </w:rPr>
        <w:t>information</w:t>
      </w:r>
      <w:r>
        <w:rPr>
          <w:w w:val="97"/>
        </w:rPr>
        <w:t> </w:t>
      </w:r>
      <w:r>
        <w:rPr>
          <w:w w:val="97"/>
        </w:rPr>
        <w:t>and </w:t>
      </w:r>
      <w:r>
        <w:rPr/>
        <w:t>resources on all ‘the firsts’ at University – for students,</w:t>
      </w:r>
      <w:r>
        <w:rPr>
          <w:spacing w:val="-29"/>
        </w:rPr>
        <w:t> </w:t>
      </w:r>
      <w:r>
        <w:rPr/>
        <w:t>parents,</w:t>
      </w:r>
      <w:r>
        <w:rPr>
          <w:spacing w:val="-29"/>
        </w:rPr>
        <w:t> </w:t>
      </w:r>
      <w:r>
        <w:rPr/>
        <w:t>carers</w:t>
      </w:r>
      <w:r>
        <w:rPr>
          <w:spacing w:val="-29"/>
        </w:rPr>
        <w:t> </w:t>
      </w:r>
      <w:r>
        <w:rPr/>
        <w:t>and</w:t>
      </w:r>
      <w:r>
        <w:rPr>
          <w:spacing w:val="-29"/>
        </w:rPr>
        <w:t> </w:t>
      </w:r>
      <w:r>
        <w:rPr/>
        <w:t>partners,</w:t>
      </w:r>
      <w:r>
        <w:rPr>
          <w:spacing w:val="-29"/>
        </w:rPr>
        <w:t> </w:t>
      </w:r>
      <w:r>
        <w:rPr/>
        <w:t>as</w:t>
      </w:r>
      <w:r>
        <w:rPr>
          <w:spacing w:val="-29"/>
        </w:rPr>
        <w:t> </w:t>
      </w:r>
      <w:r>
        <w:rPr/>
        <w:t>well as staff. The site received positive feedback </w:t>
      </w:r>
      <w:r>
        <w:rPr>
          <w:spacing w:val="-1"/>
          <w:w w:val="98"/>
        </w:rPr>
        <w:t>from</w:t>
      </w:r>
      <w:r>
        <w:rPr>
          <w:spacing w:val="-12"/>
          <w:w w:val="98"/>
        </w:rPr>
        <w:t> </w:t>
      </w:r>
      <w:r>
        <w:rPr>
          <w:w w:val="97"/>
        </w:rPr>
        <w:t>students</w:t>
      </w:r>
      <w:r>
        <w:rPr>
          <w:spacing w:val="-12"/>
          <w:w w:val="97"/>
        </w:rPr>
        <w:t> </w:t>
      </w:r>
      <w:r>
        <w:rPr>
          <w:w w:val="97"/>
        </w:rPr>
        <w:t>and</w:t>
      </w:r>
      <w:r>
        <w:rPr>
          <w:spacing w:val="-12"/>
          <w:w w:val="97"/>
        </w:rPr>
        <w:t> </w:t>
      </w:r>
      <w:r>
        <w:rPr>
          <w:spacing w:val="-1"/>
          <w:w w:val="92"/>
        </w:rPr>
        <w:t>staff,</w:t>
      </w:r>
      <w:r>
        <w:rPr>
          <w:spacing w:val="-9"/>
          <w:w w:val="92"/>
        </w:rPr>
        <w:t> </w:t>
      </w:r>
      <w:r>
        <w:rPr>
          <w:spacing w:val="-1"/>
          <w:w w:val="98"/>
        </w:rPr>
        <w:t>with</w:t>
      </w:r>
      <w:r>
        <w:rPr>
          <w:spacing w:val="-12"/>
          <w:w w:val="98"/>
        </w:rPr>
        <w:t> </w:t>
      </w:r>
      <w:r>
        <w:rPr>
          <w:spacing w:val="-1"/>
          <w:w w:val="97"/>
        </w:rPr>
        <w:t>more</w:t>
      </w:r>
      <w:r>
        <w:rPr>
          <w:spacing w:val="-12"/>
          <w:w w:val="97"/>
        </w:rPr>
        <w:t> </w:t>
      </w:r>
      <w:r>
        <w:rPr>
          <w:spacing w:val="-1"/>
          <w:w w:val="97"/>
        </w:rPr>
        <w:t>than</w:t>
      </w:r>
      <w:r>
        <w:rPr>
          <w:spacing w:val="-11"/>
          <w:w w:val="97"/>
        </w:rPr>
        <w:t> </w:t>
      </w:r>
      <w:r>
        <w:rPr>
          <w:spacing w:val="1"/>
          <w:w w:val="94"/>
        </w:rPr>
        <w:t>10,000</w:t>
      </w:r>
      <w:r>
        <w:rPr>
          <w:w w:val="94"/>
        </w:rPr>
        <w:t> </w:t>
      </w:r>
      <w:r>
        <w:rPr/>
        <w:t>hits</w:t>
      </w:r>
      <w:r>
        <w:rPr>
          <w:spacing w:val="-22"/>
        </w:rPr>
        <w:t> </w:t>
      </w:r>
      <w:r>
        <w:rPr/>
        <w:t>recorded</w:t>
      </w:r>
      <w:r>
        <w:rPr>
          <w:spacing w:val="-22"/>
        </w:rPr>
        <w:t> </w:t>
      </w:r>
      <w:r>
        <w:rPr/>
        <w:t>in</w:t>
      </w:r>
      <w:r>
        <w:rPr>
          <w:spacing w:val="-22"/>
        </w:rPr>
        <w:t> </w:t>
      </w:r>
      <w:r>
        <w:rPr/>
        <w:t>the</w:t>
      </w:r>
      <w:r>
        <w:rPr>
          <w:spacing w:val="-22"/>
        </w:rPr>
        <w:t> </w:t>
      </w:r>
      <w:r>
        <w:rPr/>
        <w:t>first</w:t>
      </w:r>
      <w:r>
        <w:rPr>
          <w:spacing w:val="-22"/>
        </w:rPr>
        <w:t> </w:t>
      </w:r>
      <w:r>
        <w:rPr/>
        <w:t>two</w:t>
      </w:r>
      <w:r>
        <w:rPr>
          <w:spacing w:val="-22"/>
        </w:rPr>
        <w:t> </w:t>
      </w:r>
      <w:r>
        <w:rPr/>
        <w:t>weeks</w:t>
      </w:r>
      <w:r>
        <w:rPr>
          <w:spacing w:val="-22"/>
        </w:rPr>
        <w:t> </w:t>
      </w:r>
      <w:r>
        <w:rPr/>
        <w:t>after</w:t>
      </w:r>
      <w:r>
        <w:rPr>
          <w:spacing w:val="-22"/>
        </w:rPr>
        <w:t> </w:t>
      </w:r>
      <w:r>
        <w:rPr/>
        <w:t>going live.</w:t>
      </w:r>
      <w:r>
        <w:rPr>
          <w:spacing w:val="-31"/>
        </w:rPr>
        <w:t> </w:t>
      </w:r>
      <w:r>
        <w:rPr/>
        <w:t>In</w:t>
      </w:r>
      <w:r>
        <w:rPr>
          <w:spacing w:val="-31"/>
        </w:rPr>
        <w:t> </w:t>
      </w:r>
      <w:r>
        <w:rPr/>
        <w:t>the</w:t>
      </w:r>
      <w:r>
        <w:rPr>
          <w:spacing w:val="-31"/>
        </w:rPr>
        <w:t> </w:t>
      </w:r>
      <w:r>
        <w:rPr/>
        <w:t>spring</w:t>
      </w:r>
      <w:r>
        <w:rPr>
          <w:spacing w:val="-31"/>
        </w:rPr>
        <w:t> </w:t>
      </w:r>
      <w:r>
        <w:rPr/>
        <w:t>session,</w:t>
      </w:r>
      <w:r>
        <w:rPr>
          <w:spacing w:val="-31"/>
        </w:rPr>
        <w:t> </w:t>
      </w:r>
      <w:r>
        <w:rPr/>
        <w:t>the</w:t>
      </w:r>
      <w:r>
        <w:rPr>
          <w:spacing w:val="-31"/>
        </w:rPr>
        <w:t> </w:t>
      </w:r>
      <w:r>
        <w:rPr/>
        <w:t>site</w:t>
      </w:r>
      <w:r>
        <w:rPr>
          <w:spacing w:val="-31"/>
        </w:rPr>
        <w:t> </w:t>
      </w:r>
      <w:r>
        <w:rPr/>
        <w:t>incorporated a newly developed self-assessment tool for students,</w:t>
      </w:r>
      <w:r>
        <w:rPr>
          <w:spacing w:val="-35"/>
        </w:rPr>
        <w:t> </w:t>
      </w:r>
      <w:r>
        <w:rPr/>
        <w:t>which</w:t>
      </w:r>
      <w:r>
        <w:rPr>
          <w:spacing w:val="-35"/>
        </w:rPr>
        <w:t> </w:t>
      </w:r>
      <w:r>
        <w:rPr/>
        <w:t>gauges</w:t>
      </w:r>
      <w:r>
        <w:rPr>
          <w:spacing w:val="-35"/>
        </w:rPr>
        <w:t> </w:t>
      </w:r>
      <w:r>
        <w:rPr/>
        <w:t>their</w:t>
      </w:r>
      <w:r>
        <w:rPr>
          <w:spacing w:val="-35"/>
        </w:rPr>
        <w:t> </w:t>
      </w:r>
      <w:r>
        <w:rPr/>
        <w:t>preparedness</w:t>
      </w:r>
    </w:p>
    <w:p>
      <w:pPr>
        <w:pStyle w:val="BodyText"/>
        <w:spacing w:line="249" w:lineRule="auto" w:before="1"/>
        <w:ind w:left="107" w:right="94"/>
      </w:pPr>
      <w:r>
        <w:rPr/>
        <w:t>for</w:t>
      </w:r>
      <w:r>
        <w:rPr>
          <w:spacing w:val="-29"/>
        </w:rPr>
        <w:t> </w:t>
      </w:r>
      <w:r>
        <w:rPr/>
        <w:t>university</w:t>
      </w:r>
      <w:r>
        <w:rPr>
          <w:spacing w:val="-29"/>
        </w:rPr>
        <w:t> </w:t>
      </w:r>
      <w:r>
        <w:rPr/>
        <w:t>study.</w:t>
      </w:r>
      <w:r>
        <w:rPr>
          <w:spacing w:val="-29"/>
        </w:rPr>
        <w:t> </w:t>
      </w:r>
      <w:r>
        <w:rPr/>
        <w:t>The</w:t>
      </w:r>
      <w:r>
        <w:rPr>
          <w:spacing w:val="-29"/>
        </w:rPr>
        <w:t> </w:t>
      </w:r>
      <w:r>
        <w:rPr/>
        <w:t>tool</w:t>
      </w:r>
      <w:r>
        <w:rPr>
          <w:spacing w:val="-29"/>
        </w:rPr>
        <w:t> </w:t>
      </w:r>
      <w:r>
        <w:rPr/>
        <w:t>covers</w:t>
      </w:r>
      <w:r>
        <w:rPr>
          <w:spacing w:val="-29"/>
        </w:rPr>
        <w:t> </w:t>
      </w:r>
      <w:r>
        <w:rPr/>
        <w:t>academic study, technology skills and tools, time </w:t>
      </w:r>
      <w:r>
        <w:rPr>
          <w:w w:val="95"/>
        </w:rPr>
        <w:t>management and personal</w:t>
      </w:r>
      <w:r>
        <w:rPr>
          <w:spacing w:val="8"/>
          <w:w w:val="95"/>
        </w:rPr>
        <w:t> </w:t>
      </w:r>
      <w:r>
        <w:rPr>
          <w:w w:val="95"/>
        </w:rPr>
        <w:t>readiness.</w:t>
      </w:r>
    </w:p>
    <w:p>
      <w:pPr>
        <w:pStyle w:val="BodyText"/>
        <w:rPr>
          <w:sz w:val="14"/>
        </w:rPr>
      </w:pPr>
    </w:p>
    <w:p>
      <w:pPr>
        <w:pStyle w:val="BodyText"/>
        <w:spacing w:line="249" w:lineRule="auto"/>
        <w:ind w:left="107" w:right="19"/>
      </w:pPr>
      <w:r>
        <w:rPr/>
        <w:t>The Transition Success (TS) program continued to support commencing students </w:t>
      </w:r>
      <w:r>
        <w:rPr>
          <w:spacing w:val="1"/>
          <w:w w:val="98"/>
        </w:rPr>
        <w:t>throughout</w:t>
      </w:r>
      <w:r>
        <w:rPr>
          <w:w w:val="98"/>
        </w:rPr>
        <w:t> </w:t>
      </w:r>
      <w:r>
        <w:rPr>
          <w:spacing w:val="1"/>
          <w:w w:val="84"/>
        </w:rPr>
        <w:t>2015.</w:t>
      </w:r>
      <w:r>
        <w:rPr>
          <w:w w:val="84"/>
        </w:rPr>
        <w:t> </w:t>
      </w:r>
      <w:r>
        <w:rPr>
          <w:spacing w:val="1"/>
          <w:w w:val="102"/>
        </w:rPr>
        <w:t>About</w:t>
      </w:r>
      <w:r>
        <w:rPr>
          <w:w w:val="102"/>
        </w:rPr>
        <w:t> </w:t>
      </w:r>
      <w:r>
        <w:rPr>
          <w:spacing w:val="3"/>
          <w:w w:val="88"/>
        </w:rPr>
        <w:t>21,500</w:t>
      </w:r>
      <w:r>
        <w:rPr>
          <w:w w:val="88"/>
        </w:rPr>
        <w:t> </w:t>
      </w:r>
      <w:r>
        <w:rPr>
          <w:spacing w:val="1"/>
          <w:w w:val="99"/>
        </w:rPr>
        <w:t>outbound</w:t>
      </w:r>
      <w:r>
        <w:rPr>
          <w:spacing w:val="-25"/>
          <w:w w:val="99"/>
        </w:rPr>
        <w:t> </w:t>
      </w:r>
      <w:r>
        <w:rPr>
          <w:w w:val="95"/>
        </w:rPr>
        <w:t>TS </w:t>
      </w:r>
      <w:r>
        <w:rPr/>
        <w:t>phone</w:t>
      </w:r>
      <w:r>
        <w:rPr>
          <w:spacing w:val="-21"/>
        </w:rPr>
        <w:t> </w:t>
      </w:r>
      <w:r>
        <w:rPr/>
        <w:t>calls</w:t>
      </w:r>
      <w:r>
        <w:rPr>
          <w:spacing w:val="-21"/>
        </w:rPr>
        <w:t> </w:t>
      </w:r>
      <w:r>
        <w:rPr/>
        <w:t>were</w:t>
      </w:r>
      <w:r>
        <w:rPr>
          <w:spacing w:val="-21"/>
        </w:rPr>
        <w:t> </w:t>
      </w:r>
      <w:r>
        <w:rPr/>
        <w:t>made</w:t>
      </w:r>
      <w:r>
        <w:rPr>
          <w:spacing w:val="-21"/>
        </w:rPr>
        <w:t> </w:t>
      </w:r>
      <w:r>
        <w:rPr/>
        <w:t>prior</w:t>
      </w:r>
      <w:r>
        <w:rPr>
          <w:spacing w:val="-21"/>
        </w:rPr>
        <w:t> </w:t>
      </w:r>
      <w:r>
        <w:rPr/>
        <w:t>to</w:t>
      </w:r>
      <w:r>
        <w:rPr>
          <w:spacing w:val="-21"/>
        </w:rPr>
        <w:t> </w:t>
      </w:r>
      <w:r>
        <w:rPr/>
        <w:t>the</w:t>
      </w:r>
      <w:r>
        <w:rPr>
          <w:spacing w:val="-21"/>
        </w:rPr>
        <w:t> </w:t>
      </w:r>
      <w:r>
        <w:rPr>
          <w:spacing w:val="2"/>
        </w:rPr>
        <w:t>31</w:t>
      </w:r>
      <w:r>
        <w:rPr>
          <w:spacing w:val="-21"/>
        </w:rPr>
        <w:t> </w:t>
      </w:r>
      <w:r>
        <w:rPr/>
        <w:t>March</w:t>
      </w:r>
    </w:p>
    <w:p>
      <w:pPr>
        <w:pStyle w:val="BodyText"/>
        <w:spacing w:before="2"/>
        <w:rPr>
          <w:sz w:val="20"/>
        </w:rPr>
      </w:pPr>
      <w:r>
        <w:rPr/>
        <w:br w:type="column"/>
      </w:r>
      <w:r>
        <w:rPr>
          <w:sz w:val="20"/>
        </w:rPr>
      </w:r>
    </w:p>
    <w:p>
      <w:pPr>
        <w:pStyle w:val="BodyText"/>
        <w:spacing w:line="249" w:lineRule="auto" w:before="1"/>
        <w:ind w:left="107" w:right="9"/>
      </w:pPr>
      <w:r>
        <w:rPr>
          <w:spacing w:val="1"/>
          <w:w w:val="88"/>
        </w:rPr>
        <w:t>2015</w:t>
      </w:r>
      <w:r>
        <w:rPr>
          <w:w w:val="88"/>
        </w:rPr>
        <w:t> </w:t>
      </w:r>
      <w:r>
        <w:rPr>
          <w:spacing w:val="1"/>
          <w:w w:val="96"/>
        </w:rPr>
        <w:t>census</w:t>
      </w:r>
      <w:r>
        <w:rPr>
          <w:w w:val="96"/>
        </w:rPr>
        <w:t> </w:t>
      </w:r>
      <w:r>
        <w:rPr>
          <w:w w:val="92"/>
        </w:rPr>
        <w:t>date, </w:t>
      </w:r>
      <w:r>
        <w:rPr>
          <w:spacing w:val="1"/>
          <w:w w:val="97"/>
        </w:rPr>
        <w:t>and</w:t>
      </w:r>
      <w:r>
        <w:rPr>
          <w:w w:val="97"/>
        </w:rPr>
        <w:t> </w:t>
      </w:r>
      <w:r>
        <w:rPr>
          <w:w w:val="98"/>
        </w:rPr>
        <w:t>achieved </w:t>
      </w:r>
      <w:r>
        <w:rPr>
          <w:spacing w:val="1"/>
          <w:w w:val="95"/>
        </w:rPr>
        <w:t>an</w:t>
      </w:r>
      <w:r>
        <w:rPr>
          <w:w w:val="95"/>
        </w:rPr>
        <w:t> </w:t>
      </w:r>
      <w:r>
        <w:rPr>
          <w:spacing w:val="2"/>
          <w:w w:val="104"/>
        </w:rPr>
        <w:t>80</w:t>
      </w:r>
      <w:r>
        <w:rPr>
          <w:w w:val="104"/>
        </w:rPr>
        <w:t> </w:t>
      </w:r>
      <w:r>
        <w:rPr>
          <w:spacing w:val="1"/>
          <w:w w:val="97"/>
        </w:rPr>
        <w:t>per</w:t>
      </w:r>
      <w:r>
        <w:rPr>
          <w:w w:val="97"/>
        </w:rPr>
        <w:t> </w:t>
      </w:r>
      <w:r>
        <w:rPr/>
        <w:t>cent</w:t>
      </w:r>
      <w:r>
        <w:rPr>
          <w:spacing w:val="-17"/>
        </w:rPr>
        <w:t> </w:t>
      </w:r>
      <w:r>
        <w:rPr/>
        <w:t>successful</w:t>
      </w:r>
      <w:r>
        <w:rPr>
          <w:spacing w:val="-17"/>
        </w:rPr>
        <w:t> </w:t>
      </w:r>
      <w:r>
        <w:rPr/>
        <w:t>contact</w:t>
      </w:r>
      <w:r>
        <w:rPr>
          <w:spacing w:val="-17"/>
        </w:rPr>
        <w:t> </w:t>
      </w:r>
      <w:r>
        <w:rPr/>
        <w:t>rate.</w:t>
      </w:r>
      <w:r>
        <w:rPr>
          <w:spacing w:val="-17"/>
        </w:rPr>
        <w:t> </w:t>
      </w:r>
      <w:r>
        <w:rPr/>
        <w:t>This</w:t>
      </w:r>
      <w:r>
        <w:rPr>
          <w:spacing w:val="-17"/>
        </w:rPr>
        <w:t> </w:t>
      </w:r>
      <w:r>
        <w:rPr/>
        <w:t>was</w:t>
      </w:r>
      <w:r>
        <w:rPr>
          <w:spacing w:val="-17"/>
        </w:rPr>
        <w:t> </w:t>
      </w:r>
      <w:r>
        <w:rPr/>
        <w:t>close</w:t>
      </w:r>
      <w:r>
        <w:rPr>
          <w:spacing w:val="-17"/>
        </w:rPr>
        <w:t> </w:t>
      </w:r>
      <w:r>
        <w:rPr/>
        <w:t>to </w:t>
      </w:r>
      <w:r>
        <w:rPr>
          <w:w w:val="94"/>
        </w:rPr>
        <w:t>a </w:t>
      </w:r>
      <w:r>
        <w:rPr>
          <w:spacing w:val="2"/>
          <w:w w:val="82"/>
        </w:rPr>
        <w:t>10</w:t>
      </w:r>
      <w:r>
        <w:rPr>
          <w:w w:val="82"/>
        </w:rPr>
        <w:t> </w:t>
      </w:r>
      <w:r>
        <w:rPr>
          <w:spacing w:val="1"/>
          <w:w w:val="97"/>
        </w:rPr>
        <w:t>per</w:t>
      </w:r>
      <w:r>
        <w:rPr>
          <w:w w:val="97"/>
        </w:rPr>
        <w:t> </w:t>
      </w:r>
      <w:r>
        <w:rPr>
          <w:w w:val="99"/>
        </w:rPr>
        <w:t>cent </w:t>
      </w:r>
      <w:r>
        <w:rPr>
          <w:spacing w:val="1"/>
          <w:w w:val="96"/>
        </w:rPr>
        <w:t>increase</w:t>
      </w:r>
      <w:r>
        <w:rPr>
          <w:w w:val="96"/>
        </w:rPr>
        <w:t> </w:t>
      </w:r>
      <w:r>
        <w:rPr>
          <w:w w:val="95"/>
        </w:rPr>
        <w:t>in </w:t>
      </w:r>
      <w:r>
        <w:rPr>
          <w:spacing w:val="1"/>
          <w:w w:val="97"/>
        </w:rPr>
        <w:t>successful</w:t>
      </w:r>
      <w:r>
        <w:rPr>
          <w:w w:val="97"/>
        </w:rPr>
        <w:t> </w:t>
      </w:r>
      <w:r>
        <w:rPr>
          <w:spacing w:val="1"/>
          <w:w w:val="99"/>
        </w:rPr>
        <w:t>contacts</w:t>
      </w:r>
      <w:r>
        <w:rPr>
          <w:w w:val="99"/>
        </w:rPr>
        <w:t> </w:t>
      </w:r>
      <w:r>
        <w:rPr>
          <w:spacing w:val="1"/>
          <w:w w:val="98"/>
        </w:rPr>
        <w:t>from</w:t>
      </w:r>
      <w:r>
        <w:rPr>
          <w:w w:val="98"/>
        </w:rPr>
        <w:t> </w:t>
      </w:r>
      <w:r>
        <w:rPr>
          <w:spacing w:val="1"/>
          <w:w w:val="86"/>
        </w:rPr>
        <w:t>2014.</w:t>
      </w:r>
      <w:r>
        <w:rPr>
          <w:w w:val="86"/>
        </w:rPr>
        <w:t> </w:t>
      </w:r>
      <w:r>
        <w:rPr>
          <w:spacing w:val="1"/>
          <w:w w:val="94"/>
        </w:rPr>
        <w:t>The</w:t>
      </w:r>
      <w:r>
        <w:rPr>
          <w:w w:val="94"/>
        </w:rPr>
        <w:t> </w:t>
      </w:r>
      <w:r>
        <w:rPr>
          <w:spacing w:val="1"/>
          <w:w w:val="100"/>
        </w:rPr>
        <w:t>contact</w:t>
      </w:r>
      <w:r>
        <w:rPr>
          <w:w w:val="100"/>
        </w:rPr>
        <w:t> </w:t>
      </w:r>
      <w:r>
        <w:rPr>
          <w:w w:val="97"/>
        </w:rPr>
        <w:t>rate </w:t>
      </w:r>
      <w:r>
        <w:rPr>
          <w:w w:val="98"/>
        </w:rPr>
        <w:t>for </w:t>
      </w:r>
      <w:r>
        <w:rPr>
          <w:w w:val="97"/>
        </w:rPr>
        <w:t>the </w:t>
      </w:r>
      <w:r>
        <w:rPr>
          <w:spacing w:val="1"/>
          <w:w w:val="97"/>
        </w:rPr>
        <w:t>spring</w:t>
      </w:r>
      <w:r>
        <w:rPr>
          <w:w w:val="97"/>
        </w:rPr>
        <w:t> </w:t>
      </w:r>
      <w:r>
        <w:rPr/>
        <w:t>session was 75 per cent, with 933 students contacted. Given the industry standard for cold calling is between 23 and 40 per cent, this is a remarkable achievement. Of the </w:t>
      </w:r>
      <w:r>
        <w:rPr>
          <w:spacing w:val="1"/>
          <w:w w:val="97"/>
        </w:rPr>
        <w:t>students</w:t>
      </w:r>
      <w:r>
        <w:rPr>
          <w:w w:val="97"/>
        </w:rPr>
        <w:t> </w:t>
      </w:r>
      <w:r>
        <w:rPr>
          <w:spacing w:val="1"/>
          <w:w w:val="97"/>
        </w:rPr>
        <w:t>successfully</w:t>
      </w:r>
      <w:r>
        <w:rPr>
          <w:w w:val="97"/>
        </w:rPr>
        <w:t> </w:t>
      </w:r>
      <w:r>
        <w:rPr>
          <w:spacing w:val="1"/>
          <w:w w:val="99"/>
        </w:rPr>
        <w:t>contacted</w:t>
      </w:r>
      <w:r>
        <w:rPr>
          <w:w w:val="99"/>
        </w:rPr>
        <w:t> </w:t>
      </w:r>
      <w:r>
        <w:rPr>
          <w:w w:val="95"/>
        </w:rPr>
        <w:t>in </w:t>
      </w:r>
      <w:r>
        <w:rPr>
          <w:spacing w:val="1"/>
          <w:w w:val="84"/>
        </w:rPr>
        <w:t>2015,</w:t>
      </w:r>
      <w:r>
        <w:rPr>
          <w:w w:val="84"/>
        </w:rPr>
        <w:t> </w:t>
      </w:r>
      <w:r>
        <w:rPr>
          <w:spacing w:val="1"/>
          <w:w w:val="90"/>
        </w:rPr>
        <w:t>79.8</w:t>
      </w:r>
      <w:r>
        <w:rPr>
          <w:w w:val="90"/>
        </w:rPr>
        <w:t> </w:t>
      </w:r>
      <w:r>
        <w:rPr/>
        <w:t>per cent have successfully progressed, which is </w:t>
      </w:r>
      <w:r>
        <w:rPr>
          <w:spacing w:val="3"/>
        </w:rPr>
        <w:t>4.2 </w:t>
      </w:r>
      <w:r>
        <w:rPr/>
        <w:t>per cent higher than the commencing cohort who could not be contacted and </w:t>
      </w:r>
      <w:r>
        <w:rPr>
          <w:spacing w:val="3"/>
        </w:rPr>
        <w:t>1.5 </w:t>
      </w:r>
      <w:r>
        <w:rPr/>
        <w:t>per cent higher than the wider University commencing undergraduate population. This </w:t>
      </w:r>
      <w:r>
        <w:rPr>
          <w:w w:val="98"/>
        </w:rPr>
        <w:t>trend </w:t>
      </w:r>
      <w:r>
        <w:rPr>
          <w:w w:val="96"/>
        </w:rPr>
        <w:t>was </w:t>
      </w:r>
      <w:r>
        <w:rPr>
          <w:spacing w:val="1"/>
          <w:w w:val="96"/>
        </w:rPr>
        <w:t>also</w:t>
      </w:r>
      <w:r>
        <w:rPr>
          <w:w w:val="96"/>
        </w:rPr>
        <w:t> </w:t>
      </w:r>
      <w:r>
        <w:rPr>
          <w:spacing w:val="1"/>
          <w:w w:val="98"/>
        </w:rPr>
        <w:t>reflected</w:t>
      </w:r>
      <w:r>
        <w:rPr>
          <w:w w:val="98"/>
        </w:rPr>
        <w:t> </w:t>
      </w:r>
      <w:r>
        <w:rPr>
          <w:w w:val="95"/>
        </w:rPr>
        <w:t>in </w:t>
      </w:r>
      <w:r>
        <w:rPr>
          <w:w w:val="97"/>
        </w:rPr>
        <w:t>the </w:t>
      </w:r>
      <w:r>
        <w:rPr>
          <w:spacing w:val="1"/>
          <w:w w:val="97"/>
        </w:rPr>
        <w:t>autumn</w:t>
      </w:r>
      <w:r>
        <w:rPr>
          <w:w w:val="97"/>
        </w:rPr>
        <w:t> </w:t>
      </w:r>
      <w:r>
        <w:rPr>
          <w:spacing w:val="1"/>
          <w:w w:val="88"/>
        </w:rPr>
        <w:t>2015</w:t>
      </w:r>
      <w:r>
        <w:rPr>
          <w:w w:val="88"/>
        </w:rPr>
        <w:t> </w:t>
      </w:r>
      <w:r>
        <w:rPr/>
        <w:t>indicative</w:t>
      </w:r>
      <w:r>
        <w:rPr>
          <w:spacing w:val="-20"/>
        </w:rPr>
        <w:t> </w:t>
      </w:r>
      <w:r>
        <w:rPr/>
        <w:t>provisional</w:t>
      </w:r>
      <w:r>
        <w:rPr>
          <w:spacing w:val="-20"/>
        </w:rPr>
        <w:t> </w:t>
      </w:r>
      <w:r>
        <w:rPr/>
        <w:t>progress</w:t>
      </w:r>
      <w:r>
        <w:rPr>
          <w:spacing w:val="-20"/>
        </w:rPr>
        <w:t> </w:t>
      </w:r>
      <w:r>
        <w:rPr/>
        <w:t>rate</w:t>
      </w:r>
      <w:r>
        <w:rPr>
          <w:spacing w:val="-20"/>
        </w:rPr>
        <w:t> </w:t>
      </w:r>
      <w:r>
        <w:rPr/>
        <w:t>of</w:t>
      </w:r>
      <w:r>
        <w:rPr>
          <w:spacing w:val="-20"/>
        </w:rPr>
        <w:t> </w:t>
      </w:r>
      <w:r>
        <w:rPr>
          <w:spacing w:val="3"/>
        </w:rPr>
        <w:t>85.5</w:t>
      </w:r>
      <w:r>
        <w:rPr>
          <w:spacing w:val="-20"/>
        </w:rPr>
        <w:t> </w:t>
      </w:r>
      <w:r>
        <w:rPr/>
        <w:t>per</w:t>
      </w:r>
    </w:p>
    <w:p>
      <w:pPr>
        <w:pStyle w:val="BodyText"/>
        <w:spacing w:line="249" w:lineRule="auto"/>
        <w:ind w:left="107" w:right="1"/>
        <w:jc w:val="both"/>
      </w:pPr>
      <w:r>
        <w:rPr/>
        <w:t>cent</w:t>
      </w:r>
      <w:r>
        <w:rPr>
          <w:spacing w:val="-13"/>
        </w:rPr>
        <w:t> </w:t>
      </w:r>
      <w:r>
        <w:rPr/>
        <w:t>for</w:t>
      </w:r>
      <w:r>
        <w:rPr>
          <w:spacing w:val="-13"/>
        </w:rPr>
        <w:t> </w:t>
      </w:r>
      <w:r>
        <w:rPr/>
        <w:t>students</w:t>
      </w:r>
      <w:r>
        <w:rPr>
          <w:spacing w:val="-13"/>
        </w:rPr>
        <w:t> </w:t>
      </w:r>
      <w:r>
        <w:rPr/>
        <w:t>successfully</w:t>
      </w:r>
      <w:r>
        <w:rPr>
          <w:spacing w:val="-13"/>
        </w:rPr>
        <w:t> </w:t>
      </w:r>
      <w:r>
        <w:rPr/>
        <w:t>contacted</w:t>
      </w:r>
      <w:r>
        <w:rPr>
          <w:spacing w:val="-13"/>
        </w:rPr>
        <w:t> </w:t>
      </w:r>
      <w:r>
        <w:rPr/>
        <w:t>(Data source:</w:t>
      </w:r>
      <w:r>
        <w:rPr>
          <w:spacing w:val="-25"/>
        </w:rPr>
        <w:t> </w:t>
      </w:r>
      <w:r>
        <w:rPr/>
        <w:t>Office</w:t>
      </w:r>
      <w:r>
        <w:rPr>
          <w:spacing w:val="-25"/>
        </w:rPr>
        <w:t> </w:t>
      </w:r>
      <w:r>
        <w:rPr/>
        <w:t>of</w:t>
      </w:r>
      <w:r>
        <w:rPr>
          <w:spacing w:val="-25"/>
        </w:rPr>
        <w:t> </w:t>
      </w:r>
      <w:r>
        <w:rPr/>
        <w:t>Strategy</w:t>
      </w:r>
      <w:r>
        <w:rPr>
          <w:spacing w:val="-25"/>
        </w:rPr>
        <w:t> </w:t>
      </w:r>
      <w:r>
        <w:rPr/>
        <w:t>and</w:t>
      </w:r>
      <w:r>
        <w:rPr>
          <w:spacing w:val="-25"/>
        </w:rPr>
        <w:t> </w:t>
      </w:r>
      <w:r>
        <w:rPr/>
        <w:t>Engagement,</w:t>
      </w:r>
      <w:r>
        <w:rPr>
          <w:spacing w:val="-25"/>
        </w:rPr>
        <w:t> </w:t>
      </w:r>
      <w:r>
        <w:rPr/>
        <w:t>21 </w:t>
      </w:r>
      <w:r>
        <w:rPr>
          <w:spacing w:val="1"/>
          <w:w w:val="98"/>
        </w:rPr>
        <w:t>September</w:t>
      </w:r>
      <w:r>
        <w:rPr>
          <w:spacing w:val="-3"/>
          <w:w w:val="98"/>
        </w:rPr>
        <w:t> </w:t>
      </w:r>
      <w:r>
        <w:rPr>
          <w:w w:val="86"/>
        </w:rPr>
        <w:t>2015.)</w:t>
      </w:r>
    </w:p>
    <w:p>
      <w:pPr>
        <w:pStyle w:val="BodyText"/>
        <w:rPr>
          <w:sz w:val="14"/>
        </w:rPr>
      </w:pPr>
    </w:p>
    <w:p>
      <w:pPr>
        <w:pStyle w:val="BodyText"/>
        <w:spacing w:line="249" w:lineRule="auto"/>
        <w:ind w:left="107" w:right="-3"/>
      </w:pPr>
      <w:r>
        <w:rPr/>
        <w:t>Of those contacted, </w:t>
      </w:r>
      <w:r>
        <w:rPr>
          <w:spacing w:val="3"/>
        </w:rPr>
        <w:t>1,558 </w:t>
      </w:r>
      <w:r>
        <w:rPr/>
        <w:t>students were selected at random to participate in a survey to gauge the interaction and efficacy of the </w:t>
      </w:r>
      <w:r>
        <w:rPr>
          <w:spacing w:val="2"/>
        </w:rPr>
        <w:t>TS@UWS </w:t>
      </w:r>
      <w:r>
        <w:rPr/>
        <w:t>contact in the first few weeks of session. Thirty-nine per cent of students participated</w:t>
      </w:r>
      <w:r>
        <w:rPr>
          <w:spacing w:val="-18"/>
        </w:rPr>
        <w:t> </w:t>
      </w:r>
      <w:r>
        <w:rPr/>
        <w:t>in</w:t>
      </w:r>
      <w:r>
        <w:rPr>
          <w:spacing w:val="-18"/>
        </w:rPr>
        <w:t> </w:t>
      </w:r>
      <w:r>
        <w:rPr/>
        <w:t>the</w:t>
      </w:r>
      <w:r>
        <w:rPr>
          <w:spacing w:val="-18"/>
        </w:rPr>
        <w:t> </w:t>
      </w:r>
      <w:r>
        <w:rPr/>
        <w:t>survey.</w:t>
      </w:r>
      <w:r>
        <w:rPr>
          <w:spacing w:val="-18"/>
        </w:rPr>
        <w:t> </w:t>
      </w:r>
      <w:r>
        <w:rPr/>
        <w:t>Of</w:t>
      </w:r>
      <w:r>
        <w:rPr>
          <w:spacing w:val="-18"/>
        </w:rPr>
        <w:t> </w:t>
      </w:r>
      <w:r>
        <w:rPr/>
        <w:t>those</w:t>
      </w:r>
      <w:r>
        <w:rPr>
          <w:spacing w:val="-18"/>
        </w:rPr>
        <w:t> </w:t>
      </w:r>
      <w:r>
        <w:rPr/>
        <w:t>contacted,</w:t>
      </w:r>
    </w:p>
    <w:p>
      <w:pPr>
        <w:pStyle w:val="BodyText"/>
        <w:spacing w:line="249" w:lineRule="auto"/>
        <w:ind w:left="107" w:right="105"/>
      </w:pPr>
      <w:r>
        <w:rPr>
          <w:spacing w:val="3"/>
        </w:rPr>
        <w:t>94.2</w:t>
      </w:r>
      <w:r>
        <w:rPr>
          <w:spacing w:val="-14"/>
        </w:rPr>
        <w:t> </w:t>
      </w:r>
      <w:r>
        <w:rPr/>
        <w:t>per</w:t>
      </w:r>
      <w:r>
        <w:rPr>
          <w:spacing w:val="-14"/>
        </w:rPr>
        <w:t> </w:t>
      </w:r>
      <w:r>
        <w:rPr/>
        <w:t>cent</w:t>
      </w:r>
      <w:r>
        <w:rPr>
          <w:spacing w:val="-14"/>
        </w:rPr>
        <w:t> </w:t>
      </w:r>
      <w:r>
        <w:rPr/>
        <w:t>thought</w:t>
      </w:r>
      <w:r>
        <w:rPr>
          <w:spacing w:val="-14"/>
        </w:rPr>
        <w:t> </w:t>
      </w:r>
      <w:r>
        <w:rPr/>
        <w:t>it</w:t>
      </w:r>
      <w:r>
        <w:rPr>
          <w:spacing w:val="-14"/>
        </w:rPr>
        <w:t> </w:t>
      </w:r>
      <w:r>
        <w:rPr/>
        <w:t>was</w:t>
      </w:r>
      <w:r>
        <w:rPr>
          <w:spacing w:val="-14"/>
        </w:rPr>
        <w:t> </w:t>
      </w:r>
      <w:r>
        <w:rPr/>
        <w:t>important</w:t>
      </w:r>
      <w:r>
        <w:rPr>
          <w:spacing w:val="-14"/>
        </w:rPr>
        <w:t> </w:t>
      </w:r>
      <w:r>
        <w:rPr/>
        <w:t>that the University made contact with first-year students to offer assistance in the first few of</w:t>
      </w:r>
      <w:r>
        <w:rPr>
          <w:spacing w:val="-18"/>
        </w:rPr>
        <w:t> </w:t>
      </w:r>
      <w:r>
        <w:rPr/>
        <w:t>weeks</w:t>
      </w:r>
      <w:r>
        <w:rPr>
          <w:spacing w:val="-18"/>
        </w:rPr>
        <w:t> </w:t>
      </w:r>
      <w:r>
        <w:rPr/>
        <w:t>of</w:t>
      </w:r>
      <w:r>
        <w:rPr>
          <w:spacing w:val="-18"/>
        </w:rPr>
        <w:t> </w:t>
      </w:r>
      <w:r>
        <w:rPr/>
        <w:t>session.</w:t>
      </w:r>
      <w:r>
        <w:rPr>
          <w:spacing w:val="-18"/>
        </w:rPr>
        <w:t> </w:t>
      </w:r>
      <w:r>
        <w:rPr/>
        <w:t>In</w:t>
      </w:r>
      <w:r>
        <w:rPr>
          <w:spacing w:val="-18"/>
        </w:rPr>
        <w:t> </w:t>
      </w:r>
      <w:r>
        <w:rPr/>
        <w:t>addition,</w:t>
      </w:r>
      <w:r>
        <w:rPr>
          <w:spacing w:val="-18"/>
        </w:rPr>
        <w:t> </w:t>
      </w:r>
      <w:r>
        <w:rPr>
          <w:spacing w:val="2"/>
        </w:rPr>
        <w:t>86</w:t>
      </w:r>
      <w:r>
        <w:rPr>
          <w:spacing w:val="-18"/>
        </w:rPr>
        <w:t> </w:t>
      </w:r>
      <w:r>
        <w:rPr/>
        <w:t>per</w:t>
      </w:r>
      <w:r>
        <w:rPr>
          <w:spacing w:val="-18"/>
        </w:rPr>
        <w:t> </w:t>
      </w:r>
      <w:r>
        <w:rPr/>
        <w:t>cent of the students who responded thought it was important that a fellow student made this</w:t>
      </w:r>
      <w:r>
        <w:rPr>
          <w:spacing w:val="-16"/>
        </w:rPr>
        <w:t> </w:t>
      </w:r>
      <w:r>
        <w:rPr/>
        <w:t>contact.</w:t>
      </w:r>
      <w:r>
        <w:rPr>
          <w:spacing w:val="-16"/>
        </w:rPr>
        <w:t> </w:t>
      </w:r>
      <w:r>
        <w:rPr/>
        <w:t>Of</w:t>
      </w:r>
      <w:r>
        <w:rPr>
          <w:spacing w:val="-16"/>
        </w:rPr>
        <w:t> </w:t>
      </w:r>
      <w:r>
        <w:rPr/>
        <w:t>the</w:t>
      </w:r>
      <w:r>
        <w:rPr>
          <w:spacing w:val="-16"/>
        </w:rPr>
        <w:t> </w:t>
      </w:r>
      <w:r>
        <w:rPr/>
        <w:t>respondents,</w:t>
      </w:r>
      <w:r>
        <w:rPr>
          <w:spacing w:val="-16"/>
        </w:rPr>
        <w:t> </w:t>
      </w:r>
      <w:r>
        <w:rPr/>
        <w:t>65</w:t>
      </w:r>
      <w:r>
        <w:rPr>
          <w:spacing w:val="-16"/>
        </w:rPr>
        <w:t> </w:t>
      </w:r>
      <w:r>
        <w:rPr/>
        <w:t>per</w:t>
      </w:r>
      <w:r>
        <w:rPr>
          <w:spacing w:val="-16"/>
        </w:rPr>
        <w:t> </w:t>
      </w:r>
      <w:r>
        <w:rPr/>
        <w:t>cent agreed</w:t>
      </w:r>
      <w:r>
        <w:rPr>
          <w:spacing w:val="-18"/>
        </w:rPr>
        <w:t> </w:t>
      </w:r>
      <w:r>
        <w:rPr/>
        <w:t>that</w:t>
      </w:r>
      <w:r>
        <w:rPr>
          <w:spacing w:val="-18"/>
        </w:rPr>
        <w:t> </w:t>
      </w:r>
      <w:r>
        <w:rPr/>
        <w:t>their</w:t>
      </w:r>
      <w:r>
        <w:rPr>
          <w:spacing w:val="-18"/>
        </w:rPr>
        <w:t> </w:t>
      </w:r>
      <w:r>
        <w:rPr/>
        <w:t>interaction</w:t>
      </w:r>
      <w:r>
        <w:rPr>
          <w:spacing w:val="-18"/>
        </w:rPr>
        <w:t> </w:t>
      </w:r>
      <w:r>
        <w:rPr/>
        <w:t>with</w:t>
      </w:r>
      <w:r>
        <w:rPr>
          <w:spacing w:val="-18"/>
        </w:rPr>
        <w:t> </w:t>
      </w:r>
      <w:r>
        <w:rPr/>
        <w:t>the</w:t>
      </w:r>
      <w:r>
        <w:rPr>
          <w:spacing w:val="-18"/>
        </w:rPr>
        <w:t> </w:t>
      </w:r>
      <w:r>
        <w:rPr/>
        <w:t>TS@</w:t>
      </w:r>
    </w:p>
    <w:p>
      <w:pPr>
        <w:pStyle w:val="BodyText"/>
        <w:spacing w:line="249" w:lineRule="auto"/>
        <w:ind w:left="107" w:right="-3"/>
      </w:pPr>
      <w:r>
        <w:rPr/>
        <w:t>UWS</w:t>
      </w:r>
      <w:r>
        <w:rPr>
          <w:spacing w:val="-15"/>
        </w:rPr>
        <w:t> </w:t>
      </w:r>
      <w:r>
        <w:rPr/>
        <w:t>team</w:t>
      </w:r>
      <w:r>
        <w:rPr>
          <w:spacing w:val="-15"/>
        </w:rPr>
        <w:t> </w:t>
      </w:r>
      <w:r>
        <w:rPr/>
        <w:t>made</w:t>
      </w:r>
      <w:r>
        <w:rPr>
          <w:spacing w:val="-15"/>
        </w:rPr>
        <w:t> </w:t>
      </w:r>
      <w:r>
        <w:rPr/>
        <w:t>a</w:t>
      </w:r>
      <w:r>
        <w:rPr>
          <w:spacing w:val="-15"/>
        </w:rPr>
        <w:t> </w:t>
      </w:r>
      <w:r>
        <w:rPr/>
        <w:t>positive</w:t>
      </w:r>
      <w:r>
        <w:rPr>
          <w:spacing w:val="-15"/>
        </w:rPr>
        <w:t> </w:t>
      </w:r>
      <w:r>
        <w:rPr/>
        <w:t>difference</w:t>
      </w:r>
      <w:r>
        <w:rPr>
          <w:spacing w:val="-15"/>
        </w:rPr>
        <w:t> </w:t>
      </w:r>
      <w:r>
        <w:rPr/>
        <w:t>to</w:t>
      </w:r>
      <w:r>
        <w:rPr>
          <w:spacing w:val="-15"/>
        </w:rPr>
        <w:t> </w:t>
      </w:r>
      <w:r>
        <w:rPr/>
        <w:t>them and</w:t>
      </w:r>
      <w:r>
        <w:rPr>
          <w:spacing w:val="-23"/>
        </w:rPr>
        <w:t> </w:t>
      </w:r>
      <w:r>
        <w:rPr/>
        <w:t>their</w:t>
      </w:r>
      <w:r>
        <w:rPr>
          <w:spacing w:val="-23"/>
        </w:rPr>
        <w:t> </w:t>
      </w:r>
      <w:r>
        <w:rPr/>
        <w:t>studies.</w:t>
      </w:r>
    </w:p>
    <w:p>
      <w:pPr>
        <w:pStyle w:val="BodyText"/>
        <w:rPr>
          <w:sz w:val="14"/>
        </w:rPr>
      </w:pPr>
    </w:p>
    <w:p>
      <w:pPr>
        <w:pStyle w:val="BodyText"/>
        <w:spacing w:line="249" w:lineRule="auto"/>
        <w:ind w:left="107"/>
        <w:jc w:val="both"/>
      </w:pPr>
      <w:r>
        <w:rPr/>
        <w:t>In</w:t>
      </w:r>
      <w:r>
        <w:rPr>
          <w:spacing w:val="-20"/>
        </w:rPr>
        <w:t> </w:t>
      </w:r>
      <w:r>
        <w:rPr/>
        <w:t>the</w:t>
      </w:r>
      <w:r>
        <w:rPr>
          <w:spacing w:val="-20"/>
        </w:rPr>
        <w:t> </w:t>
      </w:r>
      <w:r>
        <w:rPr/>
        <w:t>autumn</w:t>
      </w:r>
      <w:r>
        <w:rPr>
          <w:spacing w:val="-20"/>
        </w:rPr>
        <w:t> </w:t>
      </w:r>
      <w:r>
        <w:rPr/>
        <w:t>session,</w:t>
      </w:r>
      <w:r>
        <w:rPr>
          <w:spacing w:val="-20"/>
        </w:rPr>
        <w:t> </w:t>
      </w:r>
      <w:r>
        <w:rPr/>
        <w:t>the</w:t>
      </w:r>
      <w:r>
        <w:rPr>
          <w:spacing w:val="-20"/>
        </w:rPr>
        <w:t> </w:t>
      </w:r>
      <w:r>
        <w:rPr/>
        <w:t>TS</w:t>
      </w:r>
      <w:r>
        <w:rPr>
          <w:spacing w:val="-20"/>
        </w:rPr>
        <w:t> </w:t>
      </w:r>
      <w:r>
        <w:rPr/>
        <w:t>team</w:t>
      </w:r>
      <w:r>
        <w:rPr>
          <w:spacing w:val="-20"/>
        </w:rPr>
        <w:t> </w:t>
      </w:r>
      <w:r>
        <w:rPr/>
        <w:t>conducted various</w:t>
      </w:r>
      <w:r>
        <w:rPr>
          <w:spacing w:val="-19"/>
        </w:rPr>
        <w:t> </w:t>
      </w:r>
      <w:r>
        <w:rPr/>
        <w:t>at-risk</w:t>
      </w:r>
      <w:r>
        <w:rPr>
          <w:spacing w:val="-19"/>
        </w:rPr>
        <w:t> </w:t>
      </w:r>
      <w:r>
        <w:rPr/>
        <w:t>student</w:t>
      </w:r>
      <w:r>
        <w:rPr>
          <w:spacing w:val="-19"/>
        </w:rPr>
        <w:t> </w:t>
      </w:r>
      <w:r>
        <w:rPr/>
        <w:t>intervention</w:t>
      </w:r>
      <w:r>
        <w:rPr>
          <w:spacing w:val="-19"/>
        </w:rPr>
        <w:t> </w:t>
      </w:r>
      <w:r>
        <w:rPr/>
        <w:t>campaigns in</w:t>
      </w:r>
      <w:r>
        <w:rPr>
          <w:spacing w:val="-16"/>
        </w:rPr>
        <w:t> </w:t>
      </w:r>
      <w:r>
        <w:rPr/>
        <w:t>partnership</w:t>
      </w:r>
      <w:r>
        <w:rPr>
          <w:spacing w:val="-16"/>
        </w:rPr>
        <w:t> </w:t>
      </w:r>
      <w:r>
        <w:rPr/>
        <w:t>with</w:t>
      </w:r>
      <w:r>
        <w:rPr>
          <w:spacing w:val="-16"/>
        </w:rPr>
        <w:t> </w:t>
      </w:r>
      <w:r>
        <w:rPr/>
        <w:t>six</w:t>
      </w:r>
      <w:r>
        <w:rPr>
          <w:spacing w:val="-16"/>
        </w:rPr>
        <w:t> </w:t>
      </w:r>
      <w:r>
        <w:rPr/>
        <w:t>of</w:t>
      </w:r>
      <w:r>
        <w:rPr>
          <w:spacing w:val="-16"/>
        </w:rPr>
        <w:t> </w:t>
      </w:r>
      <w:r>
        <w:rPr/>
        <w:t>the</w:t>
      </w:r>
      <w:r>
        <w:rPr>
          <w:spacing w:val="-16"/>
        </w:rPr>
        <w:t> </w:t>
      </w:r>
      <w:r>
        <w:rPr/>
        <w:t>nine</w:t>
      </w:r>
      <w:r>
        <w:rPr>
          <w:spacing w:val="-16"/>
        </w:rPr>
        <w:t> </w:t>
      </w:r>
      <w:r>
        <w:rPr/>
        <w:t>Schools</w:t>
      </w:r>
    </w:p>
    <w:p>
      <w:pPr>
        <w:pStyle w:val="BodyText"/>
        <w:spacing w:line="249" w:lineRule="auto"/>
        <w:ind w:left="107" w:right="142"/>
      </w:pPr>
      <w:r>
        <w:rPr/>
        <w:t>at the University. Customised scripts were developed to cater for individual Schools and,</w:t>
      </w:r>
      <w:r>
        <w:rPr>
          <w:spacing w:val="-19"/>
        </w:rPr>
        <w:t> </w:t>
      </w:r>
      <w:r>
        <w:rPr/>
        <w:t>with</w:t>
      </w:r>
      <w:r>
        <w:rPr>
          <w:spacing w:val="-19"/>
        </w:rPr>
        <w:t> </w:t>
      </w:r>
      <w:r>
        <w:rPr/>
        <w:t>the</w:t>
      </w:r>
      <w:r>
        <w:rPr>
          <w:spacing w:val="-19"/>
        </w:rPr>
        <w:t> </w:t>
      </w:r>
      <w:r>
        <w:rPr/>
        <w:t>assistance</w:t>
      </w:r>
      <w:r>
        <w:rPr>
          <w:spacing w:val="-19"/>
        </w:rPr>
        <w:t> </w:t>
      </w:r>
      <w:r>
        <w:rPr/>
        <w:t>of</w:t>
      </w:r>
      <w:r>
        <w:rPr>
          <w:spacing w:val="-19"/>
        </w:rPr>
        <w:t> </w:t>
      </w:r>
      <w:r>
        <w:rPr/>
        <w:t>the</w:t>
      </w:r>
      <w:r>
        <w:rPr>
          <w:spacing w:val="-19"/>
        </w:rPr>
        <w:t> </w:t>
      </w:r>
      <w:r>
        <w:rPr/>
        <w:t>survey</w:t>
      </w:r>
      <w:r>
        <w:rPr>
          <w:spacing w:val="-19"/>
        </w:rPr>
        <w:t> </w:t>
      </w:r>
      <w:r>
        <w:rPr/>
        <w:t>team, the TS team tailored each campaign to the School’s business </w:t>
      </w:r>
      <w:r>
        <w:rPr>
          <w:spacing w:val="2"/>
        </w:rPr>
        <w:t>needs. </w:t>
      </w:r>
      <w:r>
        <w:rPr/>
        <w:t>The results have been</w:t>
      </w:r>
      <w:r>
        <w:rPr>
          <w:spacing w:val="-15"/>
        </w:rPr>
        <w:t> </w:t>
      </w:r>
      <w:r>
        <w:rPr/>
        <w:t>very</w:t>
      </w:r>
      <w:r>
        <w:rPr>
          <w:spacing w:val="-15"/>
        </w:rPr>
        <w:t> </w:t>
      </w:r>
      <w:r>
        <w:rPr/>
        <w:t>positive.</w:t>
      </w:r>
      <w:r>
        <w:rPr>
          <w:spacing w:val="-15"/>
        </w:rPr>
        <w:t> </w:t>
      </w:r>
      <w:r>
        <w:rPr/>
        <w:t>Analysis</w:t>
      </w:r>
      <w:r>
        <w:rPr>
          <w:spacing w:val="-15"/>
        </w:rPr>
        <w:t> </w:t>
      </w:r>
      <w:r>
        <w:rPr/>
        <w:t>of</w:t>
      </w:r>
      <w:r>
        <w:rPr>
          <w:spacing w:val="-15"/>
        </w:rPr>
        <w:t> </w:t>
      </w:r>
      <w:r>
        <w:rPr/>
        <w:t>data</w:t>
      </w:r>
      <w:r>
        <w:rPr>
          <w:spacing w:val="-15"/>
        </w:rPr>
        <w:t> </w:t>
      </w:r>
      <w:r>
        <w:rPr/>
        <w:t>from</w:t>
      </w:r>
      <w:r>
        <w:rPr>
          <w:spacing w:val="-15"/>
        </w:rPr>
        <w:t> </w:t>
      </w:r>
      <w:r>
        <w:rPr/>
        <w:t>the School of Business at-risk campaign, which has been underway for three years, shows that</w:t>
      </w:r>
      <w:r>
        <w:rPr>
          <w:spacing w:val="-15"/>
        </w:rPr>
        <w:t> </w:t>
      </w:r>
      <w:r>
        <w:rPr/>
        <w:t>students</w:t>
      </w:r>
      <w:r>
        <w:rPr>
          <w:spacing w:val="-15"/>
        </w:rPr>
        <w:t> </w:t>
      </w:r>
      <w:r>
        <w:rPr/>
        <w:t>who</w:t>
      </w:r>
      <w:r>
        <w:rPr>
          <w:spacing w:val="-15"/>
        </w:rPr>
        <w:t> </w:t>
      </w:r>
      <w:r>
        <w:rPr/>
        <w:t>were</w:t>
      </w:r>
      <w:r>
        <w:rPr>
          <w:spacing w:val="-15"/>
        </w:rPr>
        <w:t> </w:t>
      </w:r>
      <w:r>
        <w:rPr/>
        <w:t>contacted</w:t>
      </w:r>
      <w:r>
        <w:rPr>
          <w:spacing w:val="-15"/>
        </w:rPr>
        <w:t> </w:t>
      </w:r>
      <w:r>
        <w:rPr/>
        <w:t>were</w:t>
      </w:r>
    </w:p>
    <w:p>
      <w:pPr>
        <w:pStyle w:val="BodyText"/>
        <w:spacing w:line="249" w:lineRule="auto"/>
        <w:ind w:left="107" w:right="8"/>
      </w:pPr>
      <w:r>
        <w:rPr/>
        <w:t>significantly</w:t>
      </w:r>
      <w:r>
        <w:rPr>
          <w:spacing w:val="-15"/>
        </w:rPr>
        <w:t> </w:t>
      </w:r>
      <w:r>
        <w:rPr/>
        <w:t>more</w:t>
      </w:r>
      <w:r>
        <w:rPr>
          <w:spacing w:val="-15"/>
        </w:rPr>
        <w:t> </w:t>
      </w:r>
      <w:r>
        <w:rPr/>
        <w:t>likely</w:t>
      </w:r>
      <w:r>
        <w:rPr>
          <w:spacing w:val="-15"/>
        </w:rPr>
        <w:t> </w:t>
      </w:r>
      <w:r>
        <w:rPr/>
        <w:t>than</w:t>
      </w:r>
      <w:r>
        <w:rPr>
          <w:spacing w:val="-15"/>
        </w:rPr>
        <w:t> </w:t>
      </w:r>
      <w:r>
        <w:rPr/>
        <w:t>expected</w:t>
      </w:r>
      <w:r>
        <w:rPr>
          <w:spacing w:val="-15"/>
        </w:rPr>
        <w:t> </w:t>
      </w:r>
      <w:r>
        <w:rPr/>
        <w:t>to</w:t>
      </w:r>
      <w:r>
        <w:rPr>
          <w:spacing w:val="-15"/>
        </w:rPr>
        <w:t> </w:t>
      </w:r>
      <w:r>
        <w:rPr/>
        <w:t>pass (p&lt;.05),</w:t>
      </w:r>
      <w:r>
        <w:rPr>
          <w:spacing w:val="-22"/>
        </w:rPr>
        <w:t> </w:t>
      </w:r>
      <w:r>
        <w:rPr/>
        <w:t>with</w:t>
      </w:r>
      <w:r>
        <w:rPr>
          <w:spacing w:val="-22"/>
        </w:rPr>
        <w:t> </w:t>
      </w:r>
      <w:r>
        <w:rPr/>
        <w:t>students’</w:t>
      </w:r>
      <w:r>
        <w:rPr>
          <w:spacing w:val="-22"/>
        </w:rPr>
        <w:t> </w:t>
      </w:r>
      <w:r>
        <w:rPr/>
        <w:t>performance</w:t>
      </w:r>
      <w:r>
        <w:rPr>
          <w:spacing w:val="-22"/>
        </w:rPr>
        <w:t> </w:t>
      </w:r>
      <w:r>
        <w:rPr/>
        <w:t>across</w:t>
      </w:r>
      <w:r>
        <w:rPr>
          <w:spacing w:val="-22"/>
        </w:rPr>
        <w:t> </w:t>
      </w:r>
      <w:r>
        <w:rPr/>
        <w:t>all units</w:t>
      </w:r>
      <w:r>
        <w:rPr>
          <w:spacing w:val="-21"/>
        </w:rPr>
        <w:t> </w:t>
      </w:r>
      <w:r>
        <w:rPr/>
        <w:t>similarly</w:t>
      </w:r>
      <w:r>
        <w:rPr>
          <w:spacing w:val="-21"/>
        </w:rPr>
        <w:t> </w:t>
      </w:r>
      <w:r>
        <w:rPr/>
        <w:t>showing</w:t>
      </w:r>
      <w:r>
        <w:rPr>
          <w:spacing w:val="-21"/>
        </w:rPr>
        <w:t> </w:t>
      </w:r>
      <w:r>
        <w:rPr/>
        <w:t>a</w:t>
      </w:r>
      <w:r>
        <w:rPr>
          <w:spacing w:val="-21"/>
        </w:rPr>
        <w:t> </w:t>
      </w:r>
      <w:r>
        <w:rPr/>
        <w:t>significant</w:t>
      </w:r>
      <w:r>
        <w:rPr>
          <w:spacing w:val="-21"/>
        </w:rPr>
        <w:t> </w:t>
      </w:r>
      <w:r>
        <w:rPr/>
        <w:t>difference. Independent sample t-tests show differences in</w:t>
      </w:r>
      <w:r>
        <w:rPr>
          <w:spacing w:val="-16"/>
        </w:rPr>
        <w:t> </w:t>
      </w:r>
      <w:r>
        <w:rPr/>
        <w:t>average</w:t>
      </w:r>
      <w:r>
        <w:rPr>
          <w:spacing w:val="-16"/>
        </w:rPr>
        <w:t> </w:t>
      </w:r>
      <w:r>
        <w:rPr/>
        <w:t>marks</w:t>
      </w:r>
      <w:r>
        <w:rPr>
          <w:spacing w:val="-16"/>
        </w:rPr>
        <w:t> </w:t>
      </w:r>
      <w:r>
        <w:rPr/>
        <w:t>between</w:t>
      </w:r>
      <w:r>
        <w:rPr>
          <w:spacing w:val="-16"/>
        </w:rPr>
        <w:t> </w:t>
      </w:r>
      <w:r>
        <w:rPr/>
        <w:t>the</w:t>
      </w:r>
      <w:r>
        <w:rPr>
          <w:spacing w:val="-16"/>
        </w:rPr>
        <w:t> </w:t>
      </w:r>
      <w:r>
        <w:rPr/>
        <w:t>contact</w:t>
      </w:r>
      <w:r>
        <w:rPr>
          <w:spacing w:val="-16"/>
        </w:rPr>
        <w:t> </w:t>
      </w:r>
      <w:r>
        <w:rPr/>
        <w:t>and</w:t>
      </w:r>
    </w:p>
    <w:p>
      <w:pPr>
        <w:pStyle w:val="BodyText"/>
        <w:spacing w:line="192" w:lineRule="exact"/>
        <w:ind w:left="107" w:right="-3"/>
      </w:pPr>
      <w:r>
        <w:rPr/>
        <w:t>no-contact</w:t>
      </w:r>
      <w:r>
        <w:rPr>
          <w:spacing w:val="-13"/>
        </w:rPr>
        <w:t> </w:t>
      </w:r>
      <w:r>
        <w:rPr/>
        <w:t>group</w:t>
      </w:r>
      <w:r>
        <w:rPr>
          <w:spacing w:val="-13"/>
        </w:rPr>
        <w:t> </w:t>
      </w:r>
      <w:r>
        <w:rPr/>
        <w:t>of</w:t>
      </w:r>
      <w:r>
        <w:rPr>
          <w:spacing w:val="-13"/>
        </w:rPr>
        <w:t> </w:t>
      </w:r>
      <w:r>
        <w:rPr/>
        <w:t>students</w:t>
      </w:r>
      <w:r>
        <w:rPr>
          <w:spacing w:val="-13"/>
        </w:rPr>
        <w:t> </w:t>
      </w:r>
      <w:r>
        <w:rPr/>
        <w:t>are</w:t>
      </w:r>
      <w:r>
        <w:rPr>
          <w:spacing w:val="-13"/>
        </w:rPr>
        <w:t> </w:t>
      </w:r>
      <w:r>
        <w:rPr/>
        <w:t>significant</w:t>
      </w:r>
      <w:r>
        <w:rPr>
          <w:spacing w:val="-13"/>
        </w:rPr>
        <w:t> </w:t>
      </w:r>
      <w:r>
        <w:rPr/>
        <w:t>in</w:t>
      </w:r>
    </w:p>
    <w:p>
      <w:pPr>
        <w:pStyle w:val="BodyText"/>
        <w:spacing w:before="2"/>
        <w:rPr>
          <w:sz w:val="20"/>
        </w:rPr>
      </w:pPr>
      <w:r>
        <w:rPr/>
        <w:br w:type="column"/>
      </w:r>
      <w:r>
        <w:rPr>
          <w:sz w:val="20"/>
        </w:rPr>
      </w:r>
    </w:p>
    <w:p>
      <w:pPr>
        <w:pStyle w:val="BodyText"/>
        <w:spacing w:line="249" w:lineRule="auto" w:before="1"/>
        <w:ind w:left="107" w:right="121"/>
      </w:pPr>
      <w:r>
        <w:rPr>
          <w:spacing w:val="2"/>
          <w:w w:val="94"/>
        </w:rPr>
        <w:t>a</w:t>
      </w:r>
      <w:r>
        <w:rPr>
          <w:w w:val="95"/>
        </w:rPr>
        <w:t>ll</w:t>
      </w:r>
      <w:r>
        <w:rPr>
          <w:spacing w:val="-12"/>
        </w:rPr>
        <w:t> </w:t>
      </w:r>
      <w:r>
        <w:rPr>
          <w:spacing w:val="1"/>
          <w:w w:val="95"/>
        </w:rPr>
        <w:t>un</w:t>
      </w:r>
      <w:r>
        <w:rPr>
          <w:w w:val="95"/>
        </w:rPr>
        <w:t>i</w:t>
      </w:r>
      <w:r>
        <w:rPr>
          <w:spacing w:val="4"/>
          <w:w w:val="102"/>
        </w:rPr>
        <w:t>t</w:t>
      </w:r>
      <w:r>
        <w:rPr>
          <w:w w:val="95"/>
        </w:rPr>
        <w:t>s</w:t>
      </w:r>
      <w:r>
        <w:rPr>
          <w:spacing w:val="-12"/>
        </w:rPr>
        <w:t> </w:t>
      </w:r>
      <w:r>
        <w:rPr>
          <w:spacing w:val="1"/>
          <w:w w:val="96"/>
        </w:rPr>
        <w:t>(</w:t>
      </w:r>
      <w:r>
        <w:rPr>
          <w:spacing w:val="3"/>
          <w:w w:val="102"/>
        </w:rPr>
        <w:t>p</w:t>
      </w:r>
      <w:r>
        <w:rPr>
          <w:w w:val="73"/>
        </w:rPr>
        <w:t>&lt;</w:t>
      </w:r>
      <w:r>
        <w:rPr>
          <w:spacing w:val="2"/>
          <w:w w:val="68"/>
        </w:rPr>
        <w:t>.</w:t>
      </w:r>
      <w:r>
        <w:rPr>
          <w:spacing w:val="1"/>
          <w:w w:val="111"/>
        </w:rPr>
        <w:t>0</w:t>
      </w:r>
      <w:r>
        <w:rPr>
          <w:spacing w:val="1"/>
          <w:w w:val="54"/>
        </w:rPr>
        <w:t>1</w:t>
      </w:r>
      <w:r>
        <w:rPr>
          <w:spacing w:val="-1"/>
          <w:w w:val="96"/>
        </w:rPr>
        <w:t>)</w:t>
      </w:r>
      <w:r>
        <w:rPr>
          <w:w w:val="68"/>
        </w:rPr>
        <w:t>,</w:t>
      </w:r>
      <w:r>
        <w:rPr>
          <w:spacing w:val="-12"/>
        </w:rPr>
        <w:t> </w:t>
      </w:r>
      <w:r>
        <w:rPr>
          <w:w w:val="101"/>
        </w:rPr>
        <w:t>w</w:t>
      </w:r>
      <w:r>
        <w:rPr>
          <w:w w:val="95"/>
        </w:rPr>
        <w:t>i</w:t>
      </w:r>
      <w:r>
        <w:rPr>
          <w:w w:val="102"/>
        </w:rPr>
        <w:t>t</w:t>
      </w:r>
      <w:r>
        <w:rPr>
          <w:w w:val="95"/>
        </w:rPr>
        <w:t>h</w:t>
      </w:r>
      <w:r>
        <w:rPr>
          <w:spacing w:val="-12"/>
        </w:rPr>
        <w:t> </w:t>
      </w:r>
      <w:r>
        <w:rPr>
          <w:spacing w:val="2"/>
          <w:w w:val="94"/>
        </w:rPr>
        <w:t>a</w:t>
      </w:r>
      <w:r>
        <w:rPr>
          <w:w w:val="95"/>
        </w:rPr>
        <w:t>n</w:t>
      </w:r>
      <w:r>
        <w:rPr>
          <w:spacing w:val="-12"/>
        </w:rPr>
        <w:t> </w:t>
      </w:r>
      <w:r>
        <w:rPr>
          <w:spacing w:val="-1"/>
          <w:w w:val="94"/>
        </w:rPr>
        <w:t>a</w:t>
      </w:r>
      <w:r>
        <w:rPr>
          <w:spacing w:val="-1"/>
          <w:w w:val="101"/>
        </w:rPr>
        <w:t>v</w:t>
      </w:r>
      <w:r>
        <w:rPr>
          <w:spacing w:val="2"/>
          <w:w w:val="95"/>
        </w:rPr>
        <w:t>e</w:t>
      </w:r>
      <w:r>
        <w:rPr>
          <w:spacing w:val="2"/>
          <w:w w:val="95"/>
        </w:rPr>
        <w:t>r</w:t>
      </w:r>
      <w:r>
        <w:rPr>
          <w:spacing w:val="2"/>
          <w:w w:val="94"/>
        </w:rPr>
        <w:t>a</w:t>
      </w:r>
      <w:r>
        <w:rPr>
          <w:spacing w:val="2"/>
          <w:w w:val="102"/>
        </w:rPr>
        <w:t>g</w:t>
      </w:r>
      <w:r>
        <w:rPr>
          <w:w w:val="95"/>
        </w:rPr>
        <w:t>e</w:t>
      </w:r>
      <w:r>
        <w:rPr>
          <w:spacing w:val="-12"/>
        </w:rPr>
        <w:t> </w:t>
      </w:r>
      <w:r>
        <w:rPr>
          <w:spacing w:val="1"/>
          <w:w w:val="102"/>
        </w:rPr>
        <w:t>d</w:t>
      </w:r>
      <w:r>
        <w:rPr>
          <w:spacing w:val="1"/>
          <w:w w:val="95"/>
        </w:rPr>
        <w:t>i</w:t>
      </w:r>
      <w:r>
        <w:rPr>
          <w:w w:val="98"/>
        </w:rPr>
        <w:t>f</w:t>
      </w:r>
      <w:r>
        <w:rPr>
          <w:spacing w:val="1"/>
          <w:w w:val="98"/>
        </w:rPr>
        <w:t>f</w:t>
      </w:r>
      <w:r>
        <w:rPr>
          <w:spacing w:val="2"/>
          <w:w w:val="95"/>
        </w:rPr>
        <w:t>e</w:t>
      </w:r>
      <w:r>
        <w:rPr>
          <w:spacing w:val="-1"/>
          <w:w w:val="95"/>
        </w:rPr>
        <w:t>r</w:t>
      </w:r>
      <w:r>
        <w:rPr>
          <w:spacing w:val="2"/>
          <w:w w:val="95"/>
        </w:rPr>
        <w:t>e</w:t>
      </w:r>
      <w:r>
        <w:rPr>
          <w:spacing w:val="2"/>
          <w:w w:val="95"/>
        </w:rPr>
        <w:t>n</w:t>
      </w:r>
      <w:r>
        <w:rPr>
          <w:w w:val="102"/>
        </w:rPr>
        <w:t>c</w:t>
      </w:r>
      <w:r>
        <w:rPr>
          <w:w w:val="95"/>
        </w:rPr>
        <w:t>e</w:t>
      </w:r>
      <w:r>
        <w:rPr>
          <w:spacing w:val="-12"/>
        </w:rPr>
        <w:t> </w:t>
      </w:r>
      <w:r>
        <w:rPr>
          <w:w w:val="100"/>
        </w:rPr>
        <w:t>o</w:t>
      </w:r>
      <w:r>
        <w:rPr>
          <w:w w:val="98"/>
        </w:rPr>
        <w:t>f </w:t>
      </w:r>
      <w:r>
        <w:rPr>
          <w:spacing w:val="2"/>
          <w:w w:val="54"/>
        </w:rPr>
        <w:t>1</w:t>
      </w:r>
      <w:r>
        <w:rPr>
          <w:w w:val="103"/>
        </w:rPr>
        <w:t>4</w:t>
      </w:r>
      <w:r>
        <w:rPr>
          <w:spacing w:val="-12"/>
        </w:rPr>
        <w:t> </w:t>
      </w:r>
      <w:r>
        <w:rPr>
          <w:spacing w:val="2"/>
          <w:w w:val="98"/>
        </w:rPr>
        <w:t>m</w:t>
      </w:r>
      <w:r>
        <w:rPr>
          <w:spacing w:val="2"/>
          <w:w w:val="94"/>
        </w:rPr>
        <w:t>a</w:t>
      </w:r>
      <w:r>
        <w:rPr>
          <w:spacing w:val="2"/>
          <w:w w:val="95"/>
        </w:rPr>
        <w:t>r</w:t>
      </w:r>
      <w:r>
        <w:rPr>
          <w:spacing w:val="3"/>
          <w:w w:val="96"/>
        </w:rPr>
        <w:t>k</w:t>
      </w:r>
      <w:r>
        <w:rPr>
          <w:w w:val="95"/>
        </w:rPr>
        <w:t>s</w:t>
      </w:r>
      <w:r>
        <w:rPr>
          <w:spacing w:val="-12"/>
        </w:rPr>
        <w:t> </w:t>
      </w:r>
      <w:r>
        <w:rPr>
          <w:spacing w:val="-6"/>
          <w:w w:val="96"/>
        </w:rPr>
        <w:t>(</w:t>
      </w:r>
      <w:r>
        <w:rPr>
          <w:spacing w:val="2"/>
          <w:w w:val="99"/>
        </w:rPr>
        <w:t>G</w:t>
      </w:r>
      <w:r>
        <w:rPr>
          <w:spacing w:val="2"/>
          <w:w w:val="94"/>
        </w:rPr>
        <w:t>a</w:t>
      </w:r>
      <w:r>
        <w:rPr>
          <w:spacing w:val="1"/>
          <w:w w:val="95"/>
        </w:rPr>
        <w:t>r</w:t>
      </w:r>
      <w:r>
        <w:rPr>
          <w:w w:val="95"/>
        </w:rPr>
        <w:t>l</w:t>
      </w:r>
      <w:r>
        <w:rPr>
          <w:spacing w:val="1"/>
          <w:w w:val="95"/>
        </w:rPr>
        <w:t>i</w:t>
      </w:r>
      <w:r>
        <w:rPr>
          <w:spacing w:val="4"/>
          <w:w w:val="95"/>
        </w:rPr>
        <w:t>n</w:t>
      </w:r>
      <w:r>
        <w:rPr>
          <w:w w:val="68"/>
        </w:rPr>
        <w:t>,</w:t>
      </w:r>
      <w:r>
        <w:rPr>
          <w:spacing w:val="-12"/>
        </w:rPr>
        <w:t> </w:t>
      </w:r>
      <w:r>
        <w:rPr>
          <w:w w:val="105"/>
        </w:rPr>
        <w:t>F</w:t>
      </w:r>
      <w:r>
        <w:rPr>
          <w:spacing w:val="-12"/>
        </w:rPr>
        <w:t> </w:t>
      </w:r>
      <w:r>
        <w:rPr>
          <w:spacing w:val="2"/>
          <w:w w:val="94"/>
        </w:rPr>
        <w:t>a</w:t>
      </w:r>
      <w:r>
        <w:rPr>
          <w:spacing w:val="2"/>
          <w:w w:val="95"/>
        </w:rPr>
        <w:t>n</w:t>
      </w:r>
      <w:r>
        <w:rPr>
          <w:w w:val="102"/>
        </w:rPr>
        <w:t>d</w:t>
      </w:r>
      <w:r>
        <w:rPr>
          <w:spacing w:val="-12"/>
        </w:rPr>
        <w:t> </w:t>
      </w:r>
      <w:r>
        <w:rPr>
          <w:spacing w:val="2"/>
          <w:w w:val="105"/>
        </w:rPr>
        <w:t>W</w:t>
      </w:r>
      <w:r>
        <w:rPr>
          <w:w w:val="95"/>
        </w:rPr>
        <w:t>i</w:t>
      </w:r>
      <w:r>
        <w:rPr>
          <w:spacing w:val="1"/>
          <w:w w:val="95"/>
        </w:rPr>
        <w:t>l</w:t>
      </w:r>
      <w:r>
        <w:rPr>
          <w:spacing w:val="-1"/>
          <w:w w:val="96"/>
        </w:rPr>
        <w:t>k</w:t>
      </w:r>
      <w:r>
        <w:rPr>
          <w:spacing w:val="3"/>
          <w:w w:val="95"/>
        </w:rPr>
        <w:t>e</w:t>
      </w:r>
      <w:r>
        <w:rPr>
          <w:spacing w:val="4"/>
          <w:w w:val="95"/>
        </w:rPr>
        <w:t>s</w:t>
      </w:r>
      <w:r>
        <w:rPr>
          <w:w w:val="68"/>
        </w:rPr>
        <w:t>,</w:t>
      </w:r>
      <w:r>
        <w:rPr>
          <w:spacing w:val="-12"/>
        </w:rPr>
        <w:t> </w:t>
      </w:r>
      <w:r>
        <w:rPr>
          <w:spacing w:val="4"/>
          <w:w w:val="103"/>
        </w:rPr>
        <w:t>L</w:t>
      </w:r>
      <w:r>
        <w:rPr>
          <w:w w:val="68"/>
        </w:rPr>
        <w:t>,</w:t>
      </w:r>
      <w:r>
        <w:rPr>
          <w:spacing w:val="-12"/>
        </w:rPr>
        <w:t> </w:t>
      </w:r>
      <w:r>
        <w:rPr>
          <w:spacing w:val="2"/>
          <w:w w:val="93"/>
        </w:rPr>
        <w:t>2</w:t>
      </w:r>
      <w:r>
        <w:rPr>
          <w:spacing w:val="1"/>
          <w:w w:val="111"/>
        </w:rPr>
        <w:t>0</w:t>
      </w:r>
      <w:r>
        <w:rPr>
          <w:spacing w:val="2"/>
          <w:w w:val="54"/>
        </w:rPr>
        <w:t>1</w:t>
      </w:r>
      <w:r>
        <w:rPr>
          <w:spacing w:val="-2"/>
          <w:w w:val="103"/>
        </w:rPr>
        <w:t>4</w:t>
      </w:r>
      <w:r>
        <w:rPr>
          <w:w w:val="96"/>
        </w:rPr>
        <w:t>)</w:t>
      </w:r>
      <w:r>
        <w:rPr>
          <w:w w:val="68"/>
        </w:rPr>
        <w:t>.</w:t>
      </w:r>
    </w:p>
    <w:p>
      <w:pPr>
        <w:pStyle w:val="BodyText"/>
        <w:rPr>
          <w:sz w:val="14"/>
        </w:rPr>
      </w:pPr>
    </w:p>
    <w:p>
      <w:pPr>
        <w:pStyle w:val="BodyText"/>
        <w:spacing w:line="249" w:lineRule="auto"/>
        <w:ind w:left="107" w:right="289"/>
      </w:pPr>
      <w:r>
        <w:rPr>
          <w:w w:val="80"/>
        </w:rPr>
        <w:t>In </w:t>
      </w:r>
      <w:r>
        <w:rPr>
          <w:w w:val="97"/>
        </w:rPr>
        <w:t>autumn </w:t>
      </w:r>
      <w:r>
        <w:rPr>
          <w:w w:val="84"/>
        </w:rPr>
        <w:t>2015, </w:t>
      </w:r>
      <w:r>
        <w:rPr>
          <w:w w:val="102"/>
        </w:rPr>
        <w:t>930 </w:t>
      </w:r>
      <w:r>
        <w:rPr>
          <w:w w:val="98"/>
        </w:rPr>
        <w:t>commencing </w:t>
      </w:r>
      <w:r>
        <w:rPr>
          <w:w w:val="97"/>
        </w:rPr>
        <w:t>students </w:t>
      </w:r>
      <w:r>
        <w:rPr>
          <w:w w:val="97"/>
        </w:rPr>
        <w:t>and </w:t>
      </w:r>
      <w:r>
        <w:rPr>
          <w:w w:val="86"/>
        </w:rPr>
        <w:t>120 </w:t>
      </w:r>
      <w:r>
        <w:rPr>
          <w:w w:val="98"/>
        </w:rPr>
        <w:t>student </w:t>
      </w:r>
      <w:r>
        <w:rPr>
          <w:w w:val="97"/>
        </w:rPr>
        <w:t>mentors </w:t>
      </w:r>
      <w:r>
        <w:rPr>
          <w:w w:val="98"/>
        </w:rPr>
        <w:t>participated </w:t>
      </w:r>
      <w:r>
        <w:rPr>
          <w:w w:val="95"/>
        </w:rPr>
        <w:t>in </w:t>
      </w:r>
      <w:r>
        <w:rPr>
          <w:w w:val="97"/>
        </w:rPr>
        <w:t>the </w:t>
      </w:r>
      <w:r>
        <w:rPr/>
        <w:t>Mentoring and Transition Equals Success (MATES) program, which was a 39.25 per </w:t>
      </w:r>
      <w:r>
        <w:rPr>
          <w:w w:val="99"/>
        </w:rPr>
        <w:t>cent </w:t>
      </w:r>
      <w:r>
        <w:rPr>
          <w:w w:val="96"/>
        </w:rPr>
        <w:t>increase </w:t>
      </w:r>
      <w:r>
        <w:rPr>
          <w:w w:val="98"/>
        </w:rPr>
        <w:t>from </w:t>
      </w:r>
      <w:r>
        <w:rPr>
          <w:w w:val="97"/>
        </w:rPr>
        <w:t>autumn </w:t>
      </w:r>
      <w:r>
        <w:rPr>
          <w:w w:val="90"/>
        </w:rPr>
        <w:t>2014 </w:t>
      </w:r>
      <w:r>
        <w:rPr>
          <w:w w:val="95"/>
        </w:rPr>
        <w:t>in </w:t>
      </w:r>
      <w:r>
        <w:rPr>
          <w:w w:val="97"/>
        </w:rPr>
        <w:t>overall </w:t>
      </w:r>
      <w:r>
        <w:rPr/>
        <w:t>participation numbers and a 41 per cent increase in new student participation numbers.</w:t>
      </w:r>
    </w:p>
    <w:p>
      <w:pPr>
        <w:pStyle w:val="BodyText"/>
        <w:rPr>
          <w:sz w:val="14"/>
        </w:rPr>
      </w:pPr>
    </w:p>
    <w:p>
      <w:pPr>
        <w:pStyle w:val="BodyText"/>
        <w:spacing w:line="249" w:lineRule="auto"/>
        <w:ind w:left="107" w:right="84"/>
      </w:pPr>
      <w:r>
        <w:rPr/>
        <w:t>In all, 340 commencing students joined a mentor group in vUWS and became mentees.</w:t>
      </w:r>
    </w:p>
    <w:p>
      <w:pPr>
        <w:pStyle w:val="BodyText"/>
        <w:spacing w:line="249" w:lineRule="auto"/>
        <w:ind w:left="107" w:right="245"/>
      </w:pPr>
      <w:r>
        <w:rPr/>
        <w:t>This</w:t>
      </w:r>
      <w:r>
        <w:rPr>
          <w:spacing w:val="-21"/>
        </w:rPr>
        <w:t> </w:t>
      </w:r>
      <w:r>
        <w:rPr/>
        <w:t>is</w:t>
      </w:r>
      <w:r>
        <w:rPr>
          <w:spacing w:val="-21"/>
        </w:rPr>
        <w:t> </w:t>
      </w:r>
      <w:r>
        <w:rPr/>
        <w:t>a</w:t>
      </w:r>
      <w:r>
        <w:rPr>
          <w:spacing w:val="-21"/>
        </w:rPr>
        <w:t> </w:t>
      </w:r>
      <w:r>
        <w:rPr/>
        <w:t>21</w:t>
      </w:r>
      <w:r>
        <w:rPr>
          <w:spacing w:val="-21"/>
        </w:rPr>
        <w:t> </w:t>
      </w:r>
      <w:r>
        <w:rPr/>
        <w:t>per</w:t>
      </w:r>
      <w:r>
        <w:rPr>
          <w:spacing w:val="-21"/>
        </w:rPr>
        <w:t> </w:t>
      </w:r>
      <w:r>
        <w:rPr/>
        <w:t>cent</w:t>
      </w:r>
      <w:r>
        <w:rPr>
          <w:spacing w:val="-21"/>
        </w:rPr>
        <w:t> </w:t>
      </w:r>
      <w:r>
        <w:rPr/>
        <w:t>increase</w:t>
      </w:r>
      <w:r>
        <w:rPr>
          <w:spacing w:val="-21"/>
        </w:rPr>
        <w:t> </w:t>
      </w:r>
      <w:r>
        <w:rPr/>
        <w:t>in</w:t>
      </w:r>
      <w:r>
        <w:rPr>
          <w:spacing w:val="-21"/>
        </w:rPr>
        <w:t> </w:t>
      </w:r>
      <w:r>
        <w:rPr/>
        <w:t>students</w:t>
      </w:r>
      <w:r>
        <w:rPr>
          <w:spacing w:val="-14"/>
        </w:rPr>
        <w:t> </w:t>
      </w:r>
      <w:r>
        <w:rPr/>
        <w:t>who </w:t>
      </w:r>
      <w:r>
        <w:rPr>
          <w:w w:val="97"/>
        </w:rPr>
        <w:t>were </w:t>
      </w:r>
      <w:r>
        <w:rPr>
          <w:spacing w:val="1"/>
          <w:w w:val="99"/>
        </w:rPr>
        <w:t>connected</w:t>
      </w:r>
      <w:r>
        <w:rPr>
          <w:w w:val="99"/>
        </w:rPr>
        <w:t> </w:t>
      </w:r>
      <w:r>
        <w:rPr>
          <w:w w:val="98"/>
        </w:rPr>
        <w:t>with </w:t>
      </w:r>
      <w:r>
        <w:rPr>
          <w:w w:val="94"/>
        </w:rPr>
        <w:t>a </w:t>
      </w:r>
      <w:r>
        <w:rPr>
          <w:w w:val="98"/>
        </w:rPr>
        <w:t>mentor </w:t>
      </w:r>
      <w:r>
        <w:rPr>
          <w:w w:val="95"/>
        </w:rPr>
        <w:t>in </w:t>
      </w:r>
      <w:r>
        <w:rPr>
          <w:spacing w:val="1"/>
          <w:w w:val="88"/>
        </w:rPr>
        <w:t>2015</w:t>
      </w:r>
      <w:r>
        <w:rPr>
          <w:w w:val="88"/>
        </w:rPr>
        <w:t> </w:t>
      </w:r>
      <w:r>
        <w:rPr>
          <w:spacing w:val="1"/>
          <w:w w:val="99"/>
        </w:rPr>
        <w:t>compared</w:t>
      </w:r>
      <w:r>
        <w:rPr>
          <w:w w:val="99"/>
        </w:rPr>
        <w:t> </w:t>
      </w:r>
      <w:r>
        <w:rPr>
          <w:spacing w:val="-1"/>
          <w:w w:val="101"/>
        </w:rPr>
        <w:t>to</w:t>
      </w:r>
      <w:r>
        <w:rPr>
          <w:w w:val="101"/>
        </w:rPr>
        <w:t> </w:t>
      </w:r>
      <w:r>
        <w:rPr>
          <w:spacing w:val="1"/>
          <w:w w:val="97"/>
        </w:rPr>
        <w:t>autumn</w:t>
      </w:r>
      <w:r>
        <w:rPr>
          <w:w w:val="97"/>
        </w:rPr>
        <w:t> </w:t>
      </w:r>
      <w:r>
        <w:rPr>
          <w:spacing w:val="1"/>
          <w:w w:val="86"/>
        </w:rPr>
        <w:t>2014.</w:t>
      </w:r>
      <w:r>
        <w:rPr>
          <w:w w:val="86"/>
        </w:rPr>
        <w:t> </w:t>
      </w:r>
      <w:r>
        <w:rPr>
          <w:spacing w:val="1"/>
          <w:w w:val="80"/>
        </w:rPr>
        <w:t>In</w:t>
      </w:r>
      <w:r>
        <w:rPr>
          <w:w w:val="80"/>
        </w:rPr>
        <w:t> </w:t>
      </w:r>
      <w:r>
        <w:rPr>
          <w:spacing w:val="1"/>
          <w:w w:val="97"/>
        </w:rPr>
        <w:t>spring</w:t>
      </w:r>
      <w:r>
        <w:rPr>
          <w:spacing w:val="-23"/>
          <w:w w:val="97"/>
        </w:rPr>
        <w:t> </w:t>
      </w:r>
      <w:r>
        <w:rPr>
          <w:spacing w:val="1"/>
          <w:w w:val="84"/>
        </w:rPr>
        <w:t>2015,</w:t>
      </w:r>
    </w:p>
    <w:p>
      <w:pPr>
        <w:pStyle w:val="BodyText"/>
        <w:spacing w:line="249" w:lineRule="auto"/>
        <w:ind w:left="107" w:right="121"/>
      </w:pPr>
      <w:r>
        <w:rPr/>
        <w:t>MATES supported </w:t>
      </w:r>
      <w:r>
        <w:rPr>
          <w:spacing w:val="2"/>
        </w:rPr>
        <w:t>264 </w:t>
      </w:r>
      <w:r>
        <w:rPr/>
        <w:t>new students as they transitioned</w:t>
      </w:r>
      <w:r>
        <w:rPr>
          <w:spacing w:val="-19"/>
        </w:rPr>
        <w:t> </w:t>
      </w:r>
      <w:r>
        <w:rPr/>
        <w:t>to</w:t>
      </w:r>
      <w:r>
        <w:rPr>
          <w:spacing w:val="-19"/>
        </w:rPr>
        <w:t> </w:t>
      </w:r>
      <w:r>
        <w:rPr/>
        <w:t>the</w:t>
      </w:r>
      <w:r>
        <w:rPr>
          <w:spacing w:val="-19"/>
        </w:rPr>
        <w:t> </w:t>
      </w:r>
      <w:r>
        <w:rPr/>
        <w:t>University,</w:t>
      </w:r>
      <w:r>
        <w:rPr>
          <w:spacing w:val="-19"/>
        </w:rPr>
        <w:t> </w:t>
      </w:r>
      <w:r>
        <w:rPr/>
        <w:t>which</w:t>
      </w:r>
      <w:r>
        <w:rPr>
          <w:spacing w:val="-19"/>
        </w:rPr>
        <w:t> </w:t>
      </w:r>
      <w:r>
        <w:rPr/>
        <w:t>is</w:t>
      </w:r>
      <w:r>
        <w:rPr>
          <w:spacing w:val="-19"/>
        </w:rPr>
        <w:t> </w:t>
      </w:r>
      <w:r>
        <w:rPr/>
        <w:t>slightly </w:t>
      </w:r>
      <w:r>
        <w:rPr>
          <w:w w:val="97"/>
        </w:rPr>
        <w:t>lower</w:t>
      </w:r>
      <w:r>
        <w:rPr>
          <w:spacing w:val="-9"/>
          <w:w w:val="97"/>
        </w:rPr>
        <w:t> </w:t>
      </w:r>
      <w:r>
        <w:rPr>
          <w:spacing w:val="1"/>
          <w:w w:val="97"/>
        </w:rPr>
        <w:t>than</w:t>
      </w:r>
      <w:r>
        <w:rPr>
          <w:spacing w:val="-8"/>
          <w:w w:val="97"/>
        </w:rPr>
        <w:t> </w:t>
      </w:r>
      <w:r>
        <w:rPr>
          <w:w w:val="97"/>
        </w:rPr>
        <w:t>the</w:t>
      </w:r>
      <w:r>
        <w:rPr>
          <w:spacing w:val="-9"/>
          <w:w w:val="97"/>
        </w:rPr>
        <w:t> </w:t>
      </w:r>
      <w:r>
        <w:rPr>
          <w:spacing w:val="2"/>
          <w:w w:val="105"/>
        </w:rPr>
        <w:t>300</w:t>
      </w:r>
      <w:r>
        <w:rPr>
          <w:spacing w:val="-12"/>
          <w:w w:val="105"/>
        </w:rPr>
        <w:t> </w:t>
      </w:r>
      <w:r>
        <w:rPr>
          <w:spacing w:val="1"/>
          <w:w w:val="96"/>
        </w:rPr>
        <w:t>assisted</w:t>
      </w:r>
      <w:r>
        <w:rPr>
          <w:spacing w:val="-8"/>
          <w:w w:val="96"/>
        </w:rPr>
        <w:t> </w:t>
      </w:r>
      <w:r>
        <w:rPr>
          <w:w w:val="95"/>
        </w:rPr>
        <w:t>in</w:t>
      </w:r>
      <w:r>
        <w:rPr>
          <w:spacing w:val="-7"/>
          <w:w w:val="95"/>
        </w:rPr>
        <w:t> </w:t>
      </w:r>
      <w:r>
        <w:rPr>
          <w:spacing w:val="1"/>
          <w:w w:val="97"/>
        </w:rPr>
        <w:t>spring</w:t>
      </w:r>
      <w:r>
        <w:rPr>
          <w:spacing w:val="-8"/>
          <w:w w:val="97"/>
        </w:rPr>
        <w:t> </w:t>
      </w:r>
      <w:r>
        <w:rPr>
          <w:spacing w:val="1"/>
          <w:w w:val="86"/>
        </w:rPr>
        <w:t>2014.</w:t>
      </w:r>
    </w:p>
    <w:p>
      <w:pPr>
        <w:pStyle w:val="BodyText"/>
        <w:spacing w:line="249" w:lineRule="auto"/>
        <w:ind w:left="107" w:right="168"/>
      </w:pPr>
      <w:r>
        <w:rPr/>
        <w:t>Statistical</w:t>
      </w:r>
      <w:r>
        <w:rPr>
          <w:spacing w:val="-18"/>
        </w:rPr>
        <w:t> </w:t>
      </w:r>
      <w:r>
        <w:rPr/>
        <w:t>analysis</w:t>
      </w:r>
      <w:r>
        <w:rPr>
          <w:spacing w:val="-18"/>
        </w:rPr>
        <w:t> </w:t>
      </w:r>
      <w:r>
        <w:rPr/>
        <w:t>showed</w:t>
      </w:r>
      <w:r>
        <w:rPr>
          <w:spacing w:val="-18"/>
        </w:rPr>
        <w:t> </w:t>
      </w:r>
      <w:r>
        <w:rPr/>
        <w:t>that</w:t>
      </w:r>
      <w:r>
        <w:rPr>
          <w:spacing w:val="-18"/>
        </w:rPr>
        <w:t> </w:t>
      </w:r>
      <w:r>
        <w:rPr/>
        <w:t>the</w:t>
      </w:r>
      <w:r>
        <w:rPr>
          <w:spacing w:val="-18"/>
        </w:rPr>
        <w:t> </w:t>
      </w:r>
      <w:r>
        <w:rPr/>
        <w:t>difference between commencing student participant pre- and post-intervention confidence levels was</w:t>
      </w:r>
      <w:r>
        <w:rPr>
          <w:spacing w:val="-23"/>
        </w:rPr>
        <w:t> </w:t>
      </w:r>
      <w:r>
        <w:rPr/>
        <w:t>statistically</w:t>
      </w:r>
      <w:r>
        <w:rPr>
          <w:spacing w:val="-23"/>
        </w:rPr>
        <w:t> </w:t>
      </w:r>
      <w:r>
        <w:rPr/>
        <w:t>significant.</w:t>
      </w:r>
    </w:p>
    <w:p>
      <w:pPr>
        <w:pStyle w:val="BodyText"/>
        <w:spacing w:before="6"/>
        <w:rPr>
          <w:sz w:val="14"/>
        </w:rPr>
      </w:pPr>
    </w:p>
    <w:p>
      <w:pPr>
        <w:pStyle w:val="Heading8"/>
        <w:ind w:left="117" w:right="287"/>
      </w:pPr>
      <w:r>
        <w:rPr>
          <w:color w:val="636466"/>
          <w:w w:val="95"/>
        </w:rPr>
        <w:t>Student Volunteering and Employment</w:t>
      </w:r>
    </w:p>
    <w:p>
      <w:pPr>
        <w:pStyle w:val="BodyText"/>
        <w:spacing w:line="249" w:lineRule="auto" w:before="86"/>
        <w:ind w:left="107" w:right="410"/>
      </w:pPr>
      <w:r>
        <w:rPr/>
        <w:t>All students involved as either volunteers or employees with SSS programs and activities are offered the opportunity for</w:t>
      </w:r>
    </w:p>
    <w:p>
      <w:pPr>
        <w:pStyle w:val="BodyText"/>
        <w:spacing w:line="249" w:lineRule="auto"/>
        <w:ind w:left="107" w:right="162"/>
      </w:pPr>
      <w:r>
        <w:rPr>
          <w:w w:val="97"/>
        </w:rPr>
        <w:t>professional </w:t>
      </w:r>
      <w:r>
        <w:rPr>
          <w:w w:val="96"/>
        </w:rPr>
        <w:t>development. </w:t>
      </w:r>
      <w:r>
        <w:rPr>
          <w:w w:val="80"/>
        </w:rPr>
        <w:t>In </w:t>
      </w:r>
      <w:r>
        <w:rPr>
          <w:w w:val="84"/>
        </w:rPr>
        <w:t>2015, </w:t>
      </w:r>
      <w:r>
        <w:rPr>
          <w:w w:val="97"/>
        </w:rPr>
        <w:t>the </w:t>
      </w:r>
      <w:r>
        <w:rPr>
          <w:w w:val="103"/>
        </w:rPr>
        <w:t>LEAD </w:t>
      </w:r>
      <w:r>
        <w:rPr/>
        <w:t>(Lead, Engage, Aspire, Develop) cross- service program was piloted to develop and empower student volunteers and employees across the University. The project comprised two professional student conferences, a</w:t>
      </w:r>
    </w:p>
    <w:p>
      <w:pPr>
        <w:pStyle w:val="BodyText"/>
        <w:spacing w:line="249" w:lineRule="auto"/>
        <w:ind w:left="107" w:right="168"/>
      </w:pPr>
      <w:r>
        <w:rPr/>
        <w:t>two-day retreat and the scoping of online learning modules. Seventy student leaders attended the first conference: Leadership and</w:t>
      </w:r>
      <w:r>
        <w:rPr>
          <w:spacing w:val="-20"/>
        </w:rPr>
        <w:t> </w:t>
      </w:r>
      <w:r>
        <w:rPr/>
        <w:t>Communication.</w:t>
      </w:r>
      <w:r>
        <w:rPr>
          <w:spacing w:val="-20"/>
        </w:rPr>
        <w:t> </w:t>
      </w:r>
      <w:r>
        <w:rPr/>
        <w:t>The</w:t>
      </w:r>
      <w:r>
        <w:rPr>
          <w:spacing w:val="-20"/>
        </w:rPr>
        <w:t> </w:t>
      </w:r>
      <w:r>
        <w:rPr/>
        <w:t>retreat</w:t>
      </w:r>
      <w:r>
        <w:rPr>
          <w:spacing w:val="-20"/>
        </w:rPr>
        <w:t> </w:t>
      </w:r>
      <w:r>
        <w:rPr/>
        <w:t>was</w:t>
      </w:r>
      <w:r>
        <w:rPr>
          <w:spacing w:val="-20"/>
        </w:rPr>
        <w:t> </w:t>
      </w:r>
      <w:r>
        <w:rPr/>
        <w:t>themed Teamwork</w:t>
      </w:r>
      <w:r>
        <w:rPr>
          <w:spacing w:val="-22"/>
        </w:rPr>
        <w:t> </w:t>
      </w:r>
      <w:r>
        <w:rPr/>
        <w:t>and</w:t>
      </w:r>
      <w:r>
        <w:rPr>
          <w:spacing w:val="-22"/>
        </w:rPr>
        <w:t> </w:t>
      </w:r>
      <w:r>
        <w:rPr/>
        <w:t>Collaboration</w:t>
      </w:r>
      <w:r>
        <w:rPr>
          <w:spacing w:val="-22"/>
        </w:rPr>
        <w:t> </w:t>
      </w:r>
      <w:r>
        <w:rPr/>
        <w:t>and</w:t>
      </w:r>
      <w:r>
        <w:rPr>
          <w:spacing w:val="-22"/>
        </w:rPr>
        <w:t> </w:t>
      </w:r>
      <w:r>
        <w:rPr/>
        <w:t>18</w:t>
      </w:r>
      <w:r>
        <w:rPr>
          <w:spacing w:val="-22"/>
        </w:rPr>
        <w:t> </w:t>
      </w:r>
      <w:r>
        <w:rPr/>
        <w:t>students attended. </w:t>
      </w:r>
      <w:r>
        <w:rPr>
          <w:spacing w:val="2"/>
        </w:rPr>
        <w:t>Fifty-one </w:t>
      </w:r>
      <w:r>
        <w:rPr/>
        <w:t>students attended the final conference: Employability Skills. This conference involved close collaboration with alumni</w:t>
      </w:r>
      <w:r>
        <w:rPr>
          <w:spacing w:val="-16"/>
        </w:rPr>
        <w:t> </w:t>
      </w:r>
      <w:r>
        <w:rPr/>
        <w:t>to</w:t>
      </w:r>
      <w:r>
        <w:rPr>
          <w:spacing w:val="-16"/>
        </w:rPr>
        <w:t> </w:t>
      </w:r>
      <w:r>
        <w:rPr/>
        <w:t>offer</w:t>
      </w:r>
      <w:r>
        <w:rPr>
          <w:spacing w:val="-16"/>
        </w:rPr>
        <w:t> </w:t>
      </w:r>
      <w:r>
        <w:rPr/>
        <w:t>students</w:t>
      </w:r>
      <w:r>
        <w:rPr>
          <w:spacing w:val="-16"/>
        </w:rPr>
        <w:t> </w:t>
      </w:r>
      <w:r>
        <w:rPr/>
        <w:t>a</w:t>
      </w:r>
      <w:r>
        <w:rPr>
          <w:spacing w:val="-16"/>
        </w:rPr>
        <w:t> </w:t>
      </w:r>
      <w:r>
        <w:rPr/>
        <w:t>unique</w:t>
      </w:r>
      <w:r>
        <w:rPr>
          <w:spacing w:val="-16"/>
        </w:rPr>
        <w:t> </w:t>
      </w:r>
      <w:r>
        <w:rPr/>
        <w:t>perspective on</w:t>
      </w:r>
      <w:r>
        <w:rPr>
          <w:spacing w:val="-21"/>
        </w:rPr>
        <w:t> </w:t>
      </w:r>
      <w:r>
        <w:rPr/>
        <w:t>post-study</w:t>
      </w:r>
      <w:r>
        <w:rPr>
          <w:spacing w:val="-21"/>
        </w:rPr>
        <w:t> </w:t>
      </w:r>
      <w:r>
        <w:rPr/>
        <w:t>pathways.</w:t>
      </w:r>
    </w:p>
    <w:p>
      <w:pPr>
        <w:pStyle w:val="BodyText"/>
        <w:rPr>
          <w:sz w:val="14"/>
        </w:rPr>
      </w:pPr>
    </w:p>
    <w:p>
      <w:pPr>
        <w:pStyle w:val="BodyText"/>
        <w:spacing w:line="249" w:lineRule="auto"/>
        <w:ind w:left="107" w:right="256"/>
      </w:pPr>
      <w:r>
        <w:rPr>
          <w:w w:val="80"/>
        </w:rPr>
        <w:t>In </w:t>
      </w:r>
      <w:r>
        <w:rPr>
          <w:w w:val="84"/>
        </w:rPr>
        <w:t>2015, </w:t>
      </w:r>
      <w:r>
        <w:rPr>
          <w:spacing w:val="1"/>
          <w:w w:val="98"/>
        </w:rPr>
        <w:t>SSS</w:t>
      </w:r>
      <w:r>
        <w:rPr>
          <w:w w:val="98"/>
        </w:rPr>
        <w:t> </w:t>
      </w:r>
      <w:r>
        <w:rPr>
          <w:w w:val="98"/>
        </w:rPr>
        <w:t>engaged </w:t>
      </w:r>
      <w:r>
        <w:rPr>
          <w:spacing w:val="-1"/>
          <w:w w:val="98"/>
        </w:rPr>
        <w:t>with</w:t>
      </w:r>
      <w:r>
        <w:rPr>
          <w:w w:val="98"/>
        </w:rPr>
        <w:t> </w:t>
      </w:r>
      <w:r>
        <w:rPr>
          <w:spacing w:val="-1"/>
          <w:w w:val="97"/>
        </w:rPr>
        <w:t>more</w:t>
      </w:r>
      <w:r>
        <w:rPr>
          <w:w w:val="97"/>
        </w:rPr>
        <w:t> </w:t>
      </w:r>
      <w:r>
        <w:rPr>
          <w:spacing w:val="-1"/>
          <w:w w:val="97"/>
        </w:rPr>
        <w:t>than</w:t>
      </w:r>
      <w:r>
        <w:rPr>
          <w:w w:val="97"/>
        </w:rPr>
        <w:t> </w:t>
      </w:r>
      <w:r>
        <w:rPr>
          <w:w w:val="100"/>
        </w:rPr>
        <w:t>350 </w:t>
      </w:r>
      <w:r>
        <w:rPr/>
        <w:t>students</w:t>
      </w:r>
      <w:r>
        <w:rPr>
          <w:spacing w:val="-27"/>
        </w:rPr>
        <w:t> </w:t>
      </w:r>
      <w:r>
        <w:rPr/>
        <w:t>in</w:t>
      </w:r>
      <w:r>
        <w:rPr>
          <w:spacing w:val="-27"/>
        </w:rPr>
        <w:t> </w:t>
      </w:r>
      <w:r>
        <w:rPr/>
        <w:t>either</w:t>
      </w:r>
      <w:r>
        <w:rPr>
          <w:spacing w:val="-27"/>
        </w:rPr>
        <w:t> </w:t>
      </w:r>
      <w:r>
        <w:rPr/>
        <w:t>a</w:t>
      </w:r>
      <w:r>
        <w:rPr>
          <w:spacing w:val="-27"/>
        </w:rPr>
        <w:t> </w:t>
      </w:r>
      <w:r>
        <w:rPr/>
        <w:t>volunteer</w:t>
      </w:r>
      <w:r>
        <w:rPr>
          <w:spacing w:val="-27"/>
        </w:rPr>
        <w:t> </w:t>
      </w:r>
      <w:r>
        <w:rPr/>
        <w:t>or</w:t>
      </w:r>
      <w:r>
        <w:rPr>
          <w:spacing w:val="-27"/>
        </w:rPr>
        <w:t> </w:t>
      </w:r>
      <w:r>
        <w:rPr/>
        <w:t>employment capacity. Students were involved in various roles, such as ‘Ask Us’ assistants through orientation</w:t>
      </w:r>
      <w:r>
        <w:rPr>
          <w:spacing w:val="-39"/>
        </w:rPr>
        <w:t> </w:t>
      </w:r>
      <w:r>
        <w:rPr>
          <w:spacing w:val="2"/>
        </w:rPr>
        <w:t>(71</w:t>
      </w:r>
      <w:r>
        <w:rPr>
          <w:spacing w:val="-39"/>
        </w:rPr>
        <w:t> </w:t>
      </w:r>
      <w:r>
        <w:rPr/>
        <w:t>students),</w:t>
      </w:r>
      <w:r>
        <w:rPr>
          <w:spacing w:val="-39"/>
        </w:rPr>
        <w:t> </w:t>
      </w:r>
      <w:r>
        <w:rPr/>
        <w:t>Transition</w:t>
      </w:r>
      <w:r>
        <w:rPr>
          <w:spacing w:val="-39"/>
        </w:rPr>
        <w:t> </w:t>
      </w:r>
      <w:r>
        <w:rPr/>
        <w:t>Success contact assistants (64 students) and PASS facilitators and mentors (154 students). A total</w:t>
      </w:r>
      <w:r>
        <w:rPr>
          <w:spacing w:val="-37"/>
        </w:rPr>
        <w:t> </w:t>
      </w:r>
      <w:r>
        <w:rPr/>
        <w:t>of</w:t>
      </w:r>
      <w:r>
        <w:rPr>
          <w:spacing w:val="-37"/>
        </w:rPr>
        <w:t> </w:t>
      </w:r>
      <w:r>
        <w:rPr/>
        <w:t>116</w:t>
      </w:r>
      <w:r>
        <w:rPr>
          <w:spacing w:val="-37"/>
        </w:rPr>
        <w:t> </w:t>
      </w:r>
      <w:r>
        <w:rPr/>
        <w:t>educational</w:t>
      </w:r>
      <w:r>
        <w:rPr>
          <w:spacing w:val="-37"/>
        </w:rPr>
        <w:t> </w:t>
      </w:r>
      <w:r>
        <w:rPr/>
        <w:t>support</w:t>
      </w:r>
      <w:r>
        <w:rPr>
          <w:spacing w:val="-37"/>
        </w:rPr>
        <w:t> </w:t>
      </w:r>
      <w:r>
        <w:rPr/>
        <w:t>service</w:t>
      </w:r>
      <w:r>
        <w:rPr>
          <w:spacing w:val="-37"/>
        </w:rPr>
        <w:t> </w:t>
      </w:r>
      <w:r>
        <w:rPr/>
        <w:t>staff</w:t>
      </w:r>
    </w:p>
    <w:p>
      <w:pPr>
        <w:spacing w:after="0" w:line="249" w:lineRule="auto"/>
        <w:sectPr>
          <w:type w:val="continuous"/>
          <w:pgSz w:w="11910" w:h="16840"/>
          <w:pgMar w:top="1580" w:bottom="280" w:left="800" w:right="800"/>
          <w:cols w:num="3" w:equalWidth="0">
            <w:col w:w="3295" w:space="144"/>
            <w:col w:w="3317" w:space="122"/>
            <w:col w:w="3432"/>
          </w:cols>
        </w:sectPr>
      </w:pPr>
    </w:p>
    <w:p>
      <w:pPr>
        <w:pStyle w:val="BodyText"/>
        <w:spacing w:before="10"/>
        <w:rPr>
          <w:sz w:val="28"/>
        </w:rPr>
      </w:pPr>
    </w:p>
    <w:p>
      <w:pPr>
        <w:pStyle w:val="Heading2"/>
        <w:ind w:right="7977"/>
        <w:rPr>
          <w:b w:val="0"/>
        </w:rPr>
      </w:pPr>
      <w:r>
        <w:rPr>
          <w:b w:val="0"/>
        </w:rPr>
        <w:t>Student Recruitment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9" w:lineRule="auto"/>
        <w:ind w:left="107" w:right="247"/>
      </w:pPr>
      <w:r>
        <w:rPr/>
        <w:t>members</w:t>
      </w:r>
      <w:r>
        <w:rPr>
          <w:spacing w:val="-25"/>
        </w:rPr>
        <w:t> </w:t>
      </w:r>
      <w:r>
        <w:rPr/>
        <w:t>were</w:t>
      </w:r>
      <w:r>
        <w:rPr>
          <w:spacing w:val="-25"/>
        </w:rPr>
        <w:t> </w:t>
      </w:r>
      <w:r>
        <w:rPr/>
        <w:t>employed,</w:t>
      </w:r>
      <w:r>
        <w:rPr>
          <w:spacing w:val="-25"/>
        </w:rPr>
        <w:t> </w:t>
      </w:r>
      <w:r>
        <w:rPr/>
        <w:t>of</w:t>
      </w:r>
      <w:r>
        <w:rPr>
          <w:spacing w:val="-25"/>
        </w:rPr>
        <w:t> </w:t>
      </w:r>
      <w:r>
        <w:rPr/>
        <w:t>which</w:t>
      </w:r>
      <w:r>
        <w:rPr>
          <w:spacing w:val="-25"/>
        </w:rPr>
        <w:t> </w:t>
      </w:r>
      <w:r>
        <w:rPr/>
        <w:t>46</w:t>
      </w:r>
      <w:r>
        <w:rPr>
          <w:spacing w:val="-25"/>
        </w:rPr>
        <w:t> </w:t>
      </w:r>
      <w:r>
        <w:rPr/>
        <w:t>were students. Students are also employed as student representation and participation casual</w:t>
      </w:r>
      <w:r>
        <w:rPr>
          <w:spacing w:val="-26"/>
        </w:rPr>
        <w:t> </w:t>
      </w:r>
      <w:r>
        <w:rPr/>
        <w:t>assistants,</w:t>
      </w:r>
      <w:r>
        <w:rPr>
          <w:spacing w:val="-26"/>
        </w:rPr>
        <w:t> </w:t>
      </w:r>
      <w:r>
        <w:rPr/>
        <w:t>all</w:t>
      </w:r>
      <w:r>
        <w:rPr>
          <w:spacing w:val="-26"/>
        </w:rPr>
        <w:t> </w:t>
      </w:r>
      <w:r>
        <w:rPr/>
        <w:t>of</w:t>
      </w:r>
      <w:r>
        <w:rPr>
          <w:spacing w:val="-26"/>
        </w:rPr>
        <w:t> </w:t>
      </w:r>
      <w:r>
        <w:rPr/>
        <w:t>whom</w:t>
      </w:r>
      <w:r>
        <w:rPr>
          <w:spacing w:val="-26"/>
        </w:rPr>
        <w:t> </w:t>
      </w:r>
      <w:r>
        <w:rPr/>
        <w:t>were</w:t>
      </w:r>
      <w:r>
        <w:rPr>
          <w:spacing w:val="-26"/>
        </w:rPr>
        <w:t> </w:t>
      </w:r>
      <w:r>
        <w:rPr/>
        <w:t>offered the</w:t>
      </w:r>
      <w:r>
        <w:rPr>
          <w:spacing w:val="-18"/>
        </w:rPr>
        <w:t> </w:t>
      </w:r>
      <w:r>
        <w:rPr/>
        <w:t>opportunity</w:t>
      </w:r>
      <w:r>
        <w:rPr>
          <w:spacing w:val="-18"/>
        </w:rPr>
        <w:t> </w:t>
      </w:r>
      <w:r>
        <w:rPr/>
        <w:t>of</w:t>
      </w:r>
      <w:r>
        <w:rPr>
          <w:spacing w:val="-18"/>
        </w:rPr>
        <w:t> </w:t>
      </w:r>
      <w:r>
        <w:rPr/>
        <w:t>taking</w:t>
      </w:r>
      <w:r>
        <w:rPr>
          <w:spacing w:val="-18"/>
        </w:rPr>
        <w:t> </w:t>
      </w:r>
      <w:r>
        <w:rPr/>
        <w:t>part</w:t>
      </w:r>
      <w:r>
        <w:rPr>
          <w:spacing w:val="-18"/>
        </w:rPr>
        <w:t> </w:t>
      </w:r>
      <w:r>
        <w:rPr/>
        <w:t>in</w:t>
      </w:r>
      <w:r>
        <w:rPr>
          <w:spacing w:val="-18"/>
        </w:rPr>
        <w:t> </w:t>
      </w:r>
      <w:r>
        <w:rPr/>
        <w:t>the</w:t>
      </w:r>
      <w:r>
        <w:rPr>
          <w:spacing w:val="-18"/>
        </w:rPr>
        <w:t> </w:t>
      </w:r>
      <w:r>
        <w:rPr/>
        <w:t>LEAD</w:t>
      </w:r>
    </w:p>
    <w:p>
      <w:pPr>
        <w:pStyle w:val="BodyText"/>
        <w:spacing w:line="249" w:lineRule="auto"/>
        <w:ind w:left="107"/>
      </w:pPr>
      <w:r>
        <w:rPr>
          <w:w w:val="94"/>
        </w:rPr>
        <w:t>program.</w:t>
      </w:r>
      <w:r>
        <w:rPr>
          <w:spacing w:val="-11"/>
          <w:w w:val="94"/>
        </w:rPr>
        <w:t> </w:t>
      </w:r>
      <w:r>
        <w:rPr>
          <w:spacing w:val="1"/>
          <w:w w:val="103"/>
        </w:rPr>
        <w:t>LEAD</w:t>
      </w:r>
      <w:r>
        <w:rPr>
          <w:spacing w:val="-15"/>
          <w:w w:val="103"/>
        </w:rPr>
        <w:t> </w:t>
      </w:r>
      <w:r>
        <w:rPr>
          <w:spacing w:val="-1"/>
          <w:w w:val="97"/>
        </w:rPr>
        <w:t>will</w:t>
      </w:r>
      <w:r>
        <w:rPr>
          <w:spacing w:val="-12"/>
          <w:w w:val="97"/>
        </w:rPr>
        <w:t> </w:t>
      </w:r>
      <w:r>
        <w:rPr>
          <w:w w:val="99"/>
        </w:rPr>
        <w:t>be</w:t>
      </w:r>
      <w:r>
        <w:rPr>
          <w:spacing w:val="-13"/>
          <w:w w:val="99"/>
        </w:rPr>
        <w:t> </w:t>
      </w:r>
      <w:r>
        <w:rPr>
          <w:w w:val="99"/>
        </w:rPr>
        <w:t>supported</w:t>
      </w:r>
      <w:r>
        <w:rPr>
          <w:spacing w:val="-13"/>
          <w:w w:val="99"/>
        </w:rPr>
        <w:t> </w:t>
      </w:r>
      <w:r>
        <w:rPr>
          <w:spacing w:val="-1"/>
          <w:w w:val="96"/>
        </w:rPr>
        <w:t>again</w:t>
      </w:r>
      <w:r>
        <w:rPr>
          <w:spacing w:val="-11"/>
          <w:w w:val="96"/>
        </w:rPr>
        <w:t> </w:t>
      </w:r>
      <w:r>
        <w:rPr>
          <w:spacing w:val="-1"/>
          <w:w w:val="95"/>
        </w:rPr>
        <w:t>in</w:t>
      </w:r>
      <w:r>
        <w:rPr>
          <w:spacing w:val="-11"/>
          <w:w w:val="95"/>
        </w:rPr>
        <w:t> </w:t>
      </w:r>
      <w:r>
        <w:rPr>
          <w:w w:val="90"/>
        </w:rPr>
        <w:t>2016 </w:t>
      </w:r>
      <w:r>
        <w:rPr/>
        <w:t>(through SSAF funding) and the opportunity to attend will be opened up to students volunteering</w:t>
      </w:r>
      <w:r>
        <w:rPr>
          <w:spacing w:val="-31"/>
        </w:rPr>
        <w:t> </w:t>
      </w:r>
      <w:r>
        <w:rPr/>
        <w:t>and</w:t>
      </w:r>
      <w:r>
        <w:rPr>
          <w:spacing w:val="-31"/>
        </w:rPr>
        <w:t> </w:t>
      </w:r>
      <w:r>
        <w:rPr/>
        <w:t>employed</w:t>
      </w:r>
      <w:r>
        <w:rPr>
          <w:spacing w:val="-31"/>
        </w:rPr>
        <w:t> </w:t>
      </w:r>
      <w:r>
        <w:rPr/>
        <w:t>outside</w:t>
      </w:r>
      <w:r>
        <w:rPr>
          <w:spacing w:val="-31"/>
        </w:rPr>
        <w:t> </w:t>
      </w:r>
      <w:r>
        <w:rPr/>
        <w:t>SSS.</w:t>
      </w:r>
    </w:p>
    <w:p>
      <w:pPr>
        <w:pStyle w:val="BodyText"/>
        <w:rPr>
          <w:sz w:val="14"/>
        </w:rPr>
      </w:pPr>
    </w:p>
    <w:p>
      <w:pPr>
        <w:pStyle w:val="BodyText"/>
        <w:spacing w:line="249" w:lineRule="auto"/>
        <w:ind w:left="107" w:right="1"/>
      </w:pPr>
      <w:r>
        <w:rPr>
          <w:w w:val="80"/>
        </w:rPr>
        <w:t>In </w:t>
      </w:r>
      <w:r>
        <w:rPr>
          <w:w w:val="84"/>
        </w:rPr>
        <w:t>2015, </w:t>
      </w:r>
      <w:r>
        <w:rPr>
          <w:w w:val="97"/>
        </w:rPr>
        <w:t>the </w:t>
      </w:r>
      <w:r>
        <w:rPr>
          <w:w w:val="98"/>
        </w:rPr>
        <w:t>Student </w:t>
      </w:r>
      <w:r>
        <w:rPr>
          <w:w w:val="97"/>
        </w:rPr>
        <w:t>Welfare </w:t>
      </w:r>
      <w:r>
        <w:rPr>
          <w:w w:val="97"/>
        </w:rPr>
        <w:t>Service </w:t>
      </w:r>
      <w:r>
        <w:rPr>
          <w:w w:val="98"/>
        </w:rPr>
        <w:t>once </w:t>
      </w:r>
      <w:r>
        <w:rPr/>
        <w:t>again used students from the School of Business to act as tax help volunteers to complete tax returns for students. Four student volunteers gained valuable skills and experience in their field of study, assisting</w:t>
      </w:r>
    </w:p>
    <w:p>
      <w:pPr>
        <w:pStyle w:val="BodyText"/>
        <w:spacing w:line="249" w:lineRule="auto"/>
        <w:ind w:left="107"/>
      </w:pPr>
      <w:r>
        <w:rPr/>
        <w:t>57 students to complete their tax returns in </w:t>
      </w:r>
      <w:r>
        <w:rPr>
          <w:w w:val="84"/>
        </w:rPr>
        <w:t>2015, </w:t>
      </w:r>
      <w:r>
        <w:rPr>
          <w:w w:val="98"/>
        </w:rPr>
        <w:t>which </w:t>
      </w:r>
      <w:r>
        <w:rPr>
          <w:w w:val="95"/>
        </w:rPr>
        <w:t>is </w:t>
      </w:r>
      <w:r>
        <w:rPr>
          <w:w w:val="94"/>
        </w:rPr>
        <w:t>a </w:t>
      </w:r>
      <w:r>
        <w:rPr>
          <w:w w:val="97"/>
        </w:rPr>
        <w:t>slight </w:t>
      </w:r>
      <w:r>
        <w:rPr>
          <w:w w:val="96"/>
        </w:rPr>
        <w:t>increase </w:t>
      </w:r>
      <w:r>
        <w:rPr>
          <w:w w:val="98"/>
        </w:rPr>
        <w:t>from </w:t>
      </w:r>
      <w:r>
        <w:rPr>
          <w:w w:val="97"/>
        </w:rPr>
        <w:t>those </w:t>
      </w:r>
      <w:r>
        <w:rPr>
          <w:w w:val="96"/>
        </w:rPr>
        <w:t>assisted </w:t>
      </w:r>
      <w:r>
        <w:rPr>
          <w:w w:val="95"/>
        </w:rPr>
        <w:t>in </w:t>
      </w:r>
      <w:r>
        <w:rPr>
          <w:w w:val="86"/>
        </w:rPr>
        <w:t>2014.</w:t>
      </w:r>
    </w:p>
    <w:p>
      <w:pPr>
        <w:pStyle w:val="BodyText"/>
        <w:spacing w:before="6"/>
        <w:rPr>
          <w:sz w:val="14"/>
        </w:rPr>
      </w:pPr>
    </w:p>
    <w:p>
      <w:pPr>
        <w:pStyle w:val="Heading8"/>
        <w:ind w:left="117"/>
      </w:pPr>
      <w:r>
        <w:rPr>
          <w:color w:val="636466"/>
          <w:w w:val="95"/>
        </w:rPr>
        <w:t>Student Representation &amp; Participation</w:t>
      </w:r>
    </w:p>
    <w:p>
      <w:pPr>
        <w:pStyle w:val="BodyText"/>
        <w:spacing w:line="247" w:lineRule="auto" w:before="86"/>
        <w:ind w:left="107" w:right="152"/>
      </w:pPr>
      <w:r>
        <w:rPr/>
        <w:t>Staff within Student Representation &amp; Participation (SR&amp;P) supported the student </w:t>
      </w:r>
      <w:r>
        <w:rPr>
          <w:w w:val="97"/>
        </w:rPr>
        <w:t>newspaper </w:t>
      </w:r>
      <w:r>
        <w:rPr>
          <w:rFonts w:ascii="Century Gothic"/>
          <w:i/>
          <w:spacing w:val="-1"/>
          <w:w w:val="93"/>
        </w:rPr>
        <w:t>CrUWSible</w:t>
      </w:r>
      <w:r>
        <w:rPr>
          <w:rFonts w:ascii="Century Gothic"/>
          <w:i/>
          <w:w w:val="93"/>
        </w:rPr>
        <w:t> </w:t>
      </w:r>
      <w:r>
        <w:rPr>
          <w:spacing w:val="-1"/>
          <w:w w:val="98"/>
        </w:rPr>
        <w:t>throughout</w:t>
      </w:r>
      <w:r>
        <w:rPr>
          <w:w w:val="98"/>
        </w:rPr>
        <w:t> </w:t>
      </w:r>
      <w:r>
        <w:rPr>
          <w:w w:val="84"/>
        </w:rPr>
        <w:t>2015, </w:t>
      </w:r>
      <w:r>
        <w:rPr/>
        <w:t>which continued to grow in both student </w:t>
      </w:r>
      <w:r>
        <w:rPr>
          <w:w w:val="95"/>
        </w:rPr>
        <w:t>contributions</w:t>
      </w:r>
      <w:r>
        <w:rPr>
          <w:spacing w:val="-12"/>
          <w:w w:val="95"/>
        </w:rPr>
        <w:t> </w:t>
      </w:r>
      <w:r>
        <w:rPr>
          <w:w w:val="95"/>
        </w:rPr>
        <w:t>and</w:t>
      </w:r>
      <w:r>
        <w:rPr>
          <w:spacing w:val="-12"/>
          <w:w w:val="95"/>
        </w:rPr>
        <w:t> </w:t>
      </w:r>
      <w:r>
        <w:rPr>
          <w:w w:val="95"/>
        </w:rPr>
        <w:t>in</w:t>
      </w:r>
      <w:r>
        <w:rPr>
          <w:spacing w:val="-12"/>
          <w:w w:val="95"/>
        </w:rPr>
        <w:t> </w:t>
      </w:r>
      <w:r>
        <w:rPr>
          <w:w w:val="95"/>
        </w:rPr>
        <w:t>readership.</w:t>
      </w:r>
      <w:r>
        <w:rPr>
          <w:spacing w:val="-12"/>
          <w:w w:val="95"/>
        </w:rPr>
        <w:t> </w:t>
      </w:r>
      <w:r>
        <w:rPr>
          <w:rFonts w:ascii="Century Gothic"/>
          <w:i/>
          <w:w w:val="95"/>
        </w:rPr>
        <w:t>CrUWSible</w:t>
      </w:r>
      <w:r>
        <w:rPr>
          <w:rFonts w:ascii="Century Gothic"/>
          <w:i/>
          <w:spacing w:val="-7"/>
          <w:w w:val="95"/>
        </w:rPr>
        <w:t> </w:t>
      </w:r>
      <w:r>
        <w:rPr>
          <w:w w:val="95"/>
        </w:rPr>
        <w:t>is </w:t>
      </w:r>
      <w:r>
        <w:rPr/>
        <w:t>available</w:t>
      </w:r>
      <w:r>
        <w:rPr>
          <w:spacing w:val="-28"/>
        </w:rPr>
        <w:t> </w:t>
      </w:r>
      <w:r>
        <w:rPr/>
        <w:t>in</w:t>
      </w:r>
      <w:r>
        <w:rPr>
          <w:spacing w:val="-28"/>
        </w:rPr>
        <w:t> </w:t>
      </w:r>
      <w:r>
        <w:rPr/>
        <w:t>print</w:t>
      </w:r>
      <w:r>
        <w:rPr>
          <w:spacing w:val="-28"/>
        </w:rPr>
        <w:t> </w:t>
      </w:r>
      <w:r>
        <w:rPr/>
        <w:t>and</w:t>
      </w:r>
      <w:r>
        <w:rPr>
          <w:spacing w:val="-28"/>
        </w:rPr>
        <w:t> </w:t>
      </w:r>
      <w:r>
        <w:rPr/>
        <w:t>online,</w:t>
      </w:r>
      <w:r>
        <w:rPr>
          <w:spacing w:val="-28"/>
        </w:rPr>
        <w:t> </w:t>
      </w:r>
      <w:r>
        <w:rPr/>
        <w:t>and</w:t>
      </w:r>
      <w:r>
        <w:rPr>
          <w:spacing w:val="-28"/>
        </w:rPr>
        <w:t> </w:t>
      </w:r>
      <w:r>
        <w:rPr/>
        <w:t>is</w:t>
      </w:r>
      <w:r>
        <w:rPr>
          <w:spacing w:val="-28"/>
        </w:rPr>
        <w:t> </w:t>
      </w:r>
      <w:r>
        <w:rPr/>
        <w:t>a</w:t>
      </w:r>
      <w:r>
        <w:rPr>
          <w:spacing w:val="-28"/>
        </w:rPr>
        <w:t> </w:t>
      </w:r>
      <w:r>
        <w:rPr/>
        <w:t>student- driven initiative. Elected student editors provide editorial control and assist staff members with facilitation and day-to-day tasks.</w:t>
      </w:r>
    </w:p>
    <w:p>
      <w:pPr>
        <w:pStyle w:val="BodyText"/>
        <w:spacing w:before="2"/>
        <w:rPr>
          <w:sz w:val="14"/>
        </w:rPr>
      </w:pPr>
    </w:p>
    <w:p>
      <w:pPr>
        <w:pStyle w:val="BodyText"/>
        <w:spacing w:line="249" w:lineRule="auto"/>
        <w:ind w:left="107"/>
      </w:pPr>
      <w:r>
        <w:rPr/>
        <w:t>SR&amp;P staff provided support to the student campus councils in coordinating campus events and activities. They also coordinated Diversity Fest events across all </w:t>
      </w:r>
      <w:r>
        <w:rPr>
          <w:spacing w:val="2"/>
        </w:rPr>
        <w:t>campuses, </w:t>
      </w:r>
      <w:r>
        <w:rPr/>
        <w:t>involving external organisations as well as students</w:t>
      </w:r>
      <w:r>
        <w:rPr>
          <w:spacing w:val="-19"/>
        </w:rPr>
        <w:t> </w:t>
      </w:r>
      <w:r>
        <w:rPr/>
        <w:t>and</w:t>
      </w:r>
      <w:r>
        <w:rPr>
          <w:spacing w:val="-19"/>
        </w:rPr>
        <w:t> </w:t>
      </w:r>
      <w:r>
        <w:rPr/>
        <w:t>professional</w:t>
      </w:r>
      <w:r>
        <w:rPr>
          <w:spacing w:val="-19"/>
        </w:rPr>
        <w:t> </w:t>
      </w:r>
      <w:r>
        <w:rPr/>
        <w:t>and</w:t>
      </w:r>
      <w:r>
        <w:rPr>
          <w:spacing w:val="-19"/>
        </w:rPr>
        <w:t> </w:t>
      </w:r>
      <w:r>
        <w:rPr/>
        <w:t>academic</w:t>
      </w:r>
      <w:r>
        <w:rPr>
          <w:spacing w:val="-19"/>
        </w:rPr>
        <w:t> </w:t>
      </w:r>
      <w:r>
        <w:rPr/>
        <w:t>staff.</w:t>
      </w:r>
    </w:p>
    <w:p>
      <w:pPr>
        <w:pStyle w:val="BodyText"/>
        <w:rPr>
          <w:sz w:val="14"/>
        </w:rPr>
      </w:pPr>
    </w:p>
    <w:p>
      <w:pPr>
        <w:pStyle w:val="BodyText"/>
        <w:spacing w:line="249" w:lineRule="auto"/>
        <w:ind w:left="107" w:right="-18"/>
      </w:pPr>
      <w:r>
        <w:rPr/>
        <w:t>SR&amp;P supported about 50 elected student representatives</w:t>
      </w:r>
      <w:r>
        <w:rPr>
          <w:spacing w:val="-19"/>
        </w:rPr>
        <w:t> </w:t>
      </w:r>
      <w:r>
        <w:rPr/>
        <w:t>across</w:t>
      </w:r>
      <w:r>
        <w:rPr>
          <w:spacing w:val="-19"/>
        </w:rPr>
        <w:t> </w:t>
      </w:r>
      <w:r>
        <w:rPr/>
        <w:t>all</w:t>
      </w:r>
      <w:r>
        <w:rPr>
          <w:spacing w:val="-19"/>
        </w:rPr>
        <w:t> </w:t>
      </w:r>
      <w:r>
        <w:rPr/>
        <w:t>University</w:t>
      </w:r>
      <w:r>
        <w:rPr>
          <w:spacing w:val="-19"/>
        </w:rPr>
        <w:t> </w:t>
      </w:r>
      <w:r>
        <w:rPr/>
        <w:t>campuses in 2015. Support included providing induction and ongoing training, governance support, peer mentoring and providing resources on each campus for representatives to fulfil their roles, as well as attending and supporting meetings. </w:t>
      </w:r>
      <w:r>
        <w:rPr>
          <w:spacing w:val="-4"/>
        </w:rPr>
        <w:t>Two </w:t>
      </w:r>
      <w:r>
        <w:rPr/>
        <w:t>rounds of student elections </w:t>
      </w:r>
      <w:r>
        <w:rPr>
          <w:w w:val="97"/>
        </w:rPr>
        <w:t>were </w:t>
      </w:r>
      <w:r>
        <w:rPr>
          <w:spacing w:val="1"/>
          <w:w w:val="97"/>
        </w:rPr>
        <w:t>held</w:t>
      </w:r>
      <w:r>
        <w:rPr>
          <w:w w:val="97"/>
        </w:rPr>
        <w:t> </w:t>
      </w:r>
      <w:r>
        <w:rPr>
          <w:w w:val="95"/>
        </w:rPr>
        <w:t>in </w:t>
      </w:r>
      <w:r>
        <w:rPr>
          <w:spacing w:val="1"/>
          <w:w w:val="88"/>
        </w:rPr>
        <w:t>2015</w:t>
      </w:r>
      <w:r>
        <w:rPr>
          <w:w w:val="88"/>
        </w:rPr>
        <w:t> </w:t>
      </w:r>
      <w:r>
        <w:rPr>
          <w:spacing w:val="-5"/>
          <w:w w:val="95"/>
        </w:rPr>
        <w:t>(a</w:t>
      </w:r>
      <w:r>
        <w:rPr>
          <w:w w:val="95"/>
        </w:rPr>
        <w:t> </w:t>
      </w:r>
      <w:r>
        <w:rPr>
          <w:spacing w:val="1"/>
          <w:w w:val="99"/>
        </w:rPr>
        <w:t>by-election</w:t>
      </w:r>
      <w:r>
        <w:rPr>
          <w:w w:val="99"/>
        </w:rPr>
        <w:t> </w:t>
      </w:r>
      <w:r>
        <w:rPr>
          <w:w w:val="95"/>
        </w:rPr>
        <w:t>in </w:t>
      </w:r>
      <w:r>
        <w:rPr>
          <w:spacing w:val="1"/>
          <w:w w:val="100"/>
        </w:rPr>
        <w:t>April</w:t>
      </w:r>
      <w:r>
        <w:rPr>
          <w:w w:val="100"/>
        </w:rPr>
        <w:t> </w:t>
      </w:r>
      <w:r>
        <w:rPr>
          <w:spacing w:val="1"/>
          <w:w w:val="97"/>
        </w:rPr>
        <w:t>and</w:t>
      </w:r>
      <w:r>
        <w:rPr>
          <w:w w:val="97"/>
        </w:rPr>
        <w:t> </w:t>
      </w:r>
      <w:r>
        <w:rPr>
          <w:w w:val="97"/>
        </w:rPr>
        <w:t>the </w:t>
      </w:r>
      <w:r>
        <w:rPr>
          <w:spacing w:val="1"/>
          <w:w w:val="98"/>
        </w:rPr>
        <w:t>election</w:t>
      </w:r>
      <w:r>
        <w:rPr>
          <w:w w:val="98"/>
        </w:rPr>
        <w:t> </w:t>
      </w:r>
      <w:r>
        <w:rPr>
          <w:w w:val="99"/>
        </w:rPr>
        <w:t>of </w:t>
      </w:r>
      <w:r>
        <w:rPr>
          <w:spacing w:val="1"/>
          <w:w w:val="90"/>
        </w:rPr>
        <w:t>2016</w:t>
      </w:r>
      <w:r>
        <w:rPr>
          <w:w w:val="90"/>
        </w:rPr>
        <w:t> </w:t>
      </w:r>
      <w:r>
        <w:rPr>
          <w:spacing w:val="1"/>
          <w:w w:val="98"/>
        </w:rPr>
        <w:t>student</w:t>
      </w:r>
      <w:r>
        <w:rPr>
          <w:spacing w:val="-29"/>
          <w:w w:val="98"/>
        </w:rPr>
        <w:t> </w:t>
      </w:r>
      <w:r>
        <w:rPr>
          <w:w w:val="97"/>
        </w:rPr>
        <w:t>representatives</w:t>
      </w:r>
    </w:p>
    <w:p>
      <w:pPr>
        <w:pStyle w:val="BodyText"/>
        <w:spacing w:line="192" w:lineRule="exact"/>
        <w:ind w:left="107"/>
      </w:pPr>
      <w:r>
        <w:rPr/>
        <w:t>in October).</w:t>
      </w:r>
    </w:p>
    <w:p>
      <w:pPr>
        <w:pStyle w:val="BodyText"/>
        <w:spacing w:before="2"/>
        <w:rPr>
          <w:sz w:val="15"/>
        </w:rPr>
      </w:pPr>
    </w:p>
    <w:p>
      <w:pPr>
        <w:pStyle w:val="Heading8"/>
        <w:ind w:firstLine="9"/>
      </w:pPr>
      <w:r>
        <w:rPr>
          <w:color w:val="636466"/>
          <w:w w:val="95"/>
        </w:rPr>
        <w:t>Student Services and Amenities Fee</w:t>
      </w:r>
    </w:p>
    <w:p>
      <w:pPr>
        <w:pStyle w:val="BodyText"/>
        <w:spacing w:line="249" w:lineRule="auto" w:before="86"/>
        <w:ind w:left="107" w:right="435"/>
      </w:pPr>
      <w:r>
        <w:rPr/>
        <w:t>As in previous years, SSS continued to manage the allocation, distribution and</w:t>
      </w:r>
    </w:p>
    <w:p>
      <w:pPr>
        <w:pStyle w:val="BodyText"/>
        <w:spacing w:before="10"/>
      </w:pPr>
      <w:r>
        <w:rPr/>
        <w:br w:type="column"/>
      </w:r>
      <w:r>
        <w:rPr/>
      </w:r>
    </w:p>
    <w:p>
      <w:pPr>
        <w:pStyle w:val="BodyText"/>
        <w:spacing w:line="249" w:lineRule="auto"/>
        <w:ind w:left="120" w:right="-18"/>
      </w:pPr>
      <w:r>
        <w:rPr/>
        <w:t>reporting</w:t>
      </w:r>
      <w:r>
        <w:rPr>
          <w:spacing w:val="-13"/>
        </w:rPr>
        <w:t> </w:t>
      </w:r>
      <w:r>
        <w:rPr/>
        <w:t>of</w:t>
      </w:r>
      <w:r>
        <w:rPr>
          <w:spacing w:val="-13"/>
        </w:rPr>
        <w:t> </w:t>
      </w:r>
      <w:r>
        <w:rPr/>
        <w:t>SSAF</w:t>
      </w:r>
      <w:r>
        <w:rPr>
          <w:spacing w:val="-13"/>
        </w:rPr>
        <w:t> </w:t>
      </w:r>
      <w:r>
        <w:rPr/>
        <w:t>new</w:t>
      </w:r>
      <w:r>
        <w:rPr>
          <w:spacing w:val="-13"/>
        </w:rPr>
        <w:t> </w:t>
      </w:r>
      <w:r>
        <w:rPr/>
        <w:t>and</w:t>
      </w:r>
      <w:r>
        <w:rPr>
          <w:spacing w:val="-13"/>
        </w:rPr>
        <w:t> </w:t>
      </w:r>
      <w:r>
        <w:rPr/>
        <w:t>enhanced</w:t>
      </w:r>
      <w:r>
        <w:rPr>
          <w:spacing w:val="-13"/>
        </w:rPr>
        <w:t> </w:t>
      </w:r>
      <w:r>
        <w:rPr/>
        <w:t>initiative </w:t>
      </w:r>
      <w:r>
        <w:rPr>
          <w:spacing w:val="2"/>
          <w:w w:val="92"/>
        </w:rPr>
        <w:t>funds.</w:t>
      </w:r>
      <w:r>
        <w:rPr>
          <w:w w:val="92"/>
        </w:rPr>
        <w:t> </w:t>
      </w:r>
      <w:r>
        <w:rPr>
          <w:spacing w:val="1"/>
          <w:w w:val="94"/>
        </w:rPr>
        <w:t>The</w:t>
      </w:r>
      <w:r>
        <w:rPr>
          <w:w w:val="94"/>
        </w:rPr>
        <w:t> </w:t>
      </w:r>
      <w:r>
        <w:rPr>
          <w:spacing w:val="1"/>
          <w:w w:val="98"/>
        </w:rPr>
        <w:t>proposal</w:t>
      </w:r>
      <w:r>
        <w:rPr>
          <w:w w:val="98"/>
        </w:rPr>
        <w:t> </w:t>
      </w:r>
      <w:r>
        <w:rPr>
          <w:spacing w:val="1"/>
          <w:w w:val="98"/>
        </w:rPr>
        <w:t>process</w:t>
      </w:r>
      <w:r>
        <w:rPr>
          <w:w w:val="98"/>
        </w:rPr>
        <w:t> </w:t>
      </w:r>
      <w:r>
        <w:rPr>
          <w:w w:val="98"/>
        </w:rPr>
        <w:t>for </w:t>
      </w:r>
      <w:r>
        <w:rPr>
          <w:spacing w:val="1"/>
          <w:w w:val="88"/>
        </w:rPr>
        <w:t>2015</w:t>
      </w:r>
      <w:r>
        <w:rPr>
          <w:w w:val="88"/>
        </w:rPr>
        <w:t> </w:t>
      </w:r>
      <w:r>
        <w:rPr>
          <w:spacing w:val="1"/>
          <w:w w:val="103"/>
        </w:rPr>
        <w:t>SSAF</w:t>
      </w:r>
      <w:r>
        <w:rPr>
          <w:w w:val="103"/>
        </w:rPr>
        <w:t> </w:t>
      </w:r>
      <w:r>
        <w:rPr>
          <w:spacing w:val="1"/>
          <w:w w:val="97"/>
        </w:rPr>
        <w:t>funds</w:t>
      </w:r>
      <w:r>
        <w:rPr>
          <w:w w:val="97"/>
        </w:rPr>
        <w:t> </w:t>
      </w:r>
      <w:r>
        <w:rPr>
          <w:w w:val="96"/>
        </w:rPr>
        <w:t>was </w:t>
      </w:r>
      <w:r>
        <w:rPr>
          <w:spacing w:val="1"/>
          <w:w w:val="99"/>
        </w:rPr>
        <w:t>conducted</w:t>
      </w:r>
      <w:r>
        <w:rPr>
          <w:w w:val="99"/>
        </w:rPr>
        <w:t> </w:t>
      </w:r>
      <w:r>
        <w:rPr>
          <w:w w:val="95"/>
        </w:rPr>
        <w:t>in </w:t>
      </w:r>
      <w:r>
        <w:rPr>
          <w:spacing w:val="1"/>
          <w:w w:val="100"/>
        </w:rPr>
        <w:t>October</w:t>
      </w:r>
      <w:r>
        <w:rPr>
          <w:w w:val="100"/>
        </w:rPr>
        <w:t> </w:t>
      </w:r>
      <w:r>
        <w:rPr>
          <w:spacing w:val="1"/>
          <w:w w:val="90"/>
        </w:rPr>
        <w:t>2014</w:t>
      </w:r>
      <w:r>
        <w:rPr>
          <w:w w:val="90"/>
        </w:rPr>
        <w:t> </w:t>
      </w:r>
      <w:r>
        <w:rPr>
          <w:spacing w:val="-1"/>
          <w:w w:val="101"/>
        </w:rPr>
        <w:t>to</w:t>
      </w:r>
      <w:r>
        <w:rPr>
          <w:w w:val="101"/>
        </w:rPr>
        <w:t> </w:t>
      </w:r>
      <w:r>
        <w:rPr>
          <w:w w:val="95"/>
        </w:rPr>
        <w:t>ensure </w:t>
      </w:r>
      <w:r>
        <w:rPr>
          <w:spacing w:val="1"/>
          <w:w w:val="96"/>
        </w:rPr>
        <w:t>early</w:t>
      </w:r>
      <w:r>
        <w:rPr>
          <w:w w:val="96"/>
        </w:rPr>
        <w:t> </w:t>
      </w:r>
      <w:r>
        <w:rPr>
          <w:spacing w:val="1"/>
          <w:w w:val="98"/>
        </w:rPr>
        <w:t>distribution</w:t>
      </w:r>
      <w:r>
        <w:rPr>
          <w:w w:val="98"/>
        </w:rPr>
        <w:t> </w:t>
      </w:r>
      <w:r>
        <w:rPr>
          <w:w w:val="99"/>
        </w:rPr>
        <w:t>of</w:t>
      </w:r>
      <w:r>
        <w:rPr>
          <w:spacing w:val="-32"/>
          <w:w w:val="99"/>
        </w:rPr>
        <w:t> </w:t>
      </w:r>
      <w:r>
        <w:rPr>
          <w:spacing w:val="1"/>
          <w:w w:val="88"/>
        </w:rPr>
        <w:t>2015</w:t>
      </w:r>
      <w:r>
        <w:rPr>
          <w:w w:val="88"/>
        </w:rPr>
        <w:t> </w:t>
      </w:r>
      <w:r>
        <w:rPr>
          <w:spacing w:val="2"/>
          <w:w w:val="92"/>
        </w:rPr>
        <w:t>funds.</w:t>
      </w:r>
    </w:p>
    <w:p>
      <w:pPr>
        <w:pStyle w:val="BodyText"/>
        <w:spacing w:line="247" w:lineRule="auto"/>
        <w:ind w:left="120" w:right="-18"/>
      </w:pPr>
      <w:r>
        <w:rPr/>
        <w:t>Consultation with students (including SSAF roadshows, which were held on all campuses including Nirimba and Lithgow), development of communication strategies and refinement of processes were all coordinated through SSS. Information on initiatives funded via SSAF can be found at the </w:t>
      </w:r>
      <w:r>
        <w:rPr>
          <w:rFonts w:ascii="Century Gothic"/>
          <w:i/>
        </w:rPr>
        <w:t>Have your say on </w:t>
      </w:r>
      <w:r>
        <w:rPr>
          <w:rFonts w:ascii="Century Gothic"/>
          <w:i/>
          <w:w w:val="95"/>
        </w:rPr>
        <w:t>SSAF funding priorities </w:t>
      </w:r>
      <w:r>
        <w:rPr>
          <w:w w:val="95"/>
        </w:rPr>
        <w:t>webpage.</w:t>
      </w:r>
    </w:p>
    <w:p>
      <w:pPr>
        <w:pStyle w:val="BodyText"/>
        <w:spacing w:before="6"/>
        <w:rPr>
          <w:sz w:val="14"/>
        </w:rPr>
      </w:pPr>
    </w:p>
    <w:p>
      <w:pPr>
        <w:pStyle w:val="Heading8"/>
        <w:ind w:left="125" w:right="-18"/>
      </w:pPr>
      <w:r>
        <w:rPr>
          <w:color w:val="636466"/>
        </w:rPr>
        <w:t>Chaplaincy</w:t>
      </w:r>
    </w:p>
    <w:p>
      <w:pPr>
        <w:pStyle w:val="BodyText"/>
        <w:spacing w:line="249" w:lineRule="auto" w:before="86"/>
        <w:ind w:left="120" w:right="145"/>
      </w:pPr>
      <w:r>
        <w:rPr>
          <w:spacing w:val="-1"/>
          <w:w w:val="80"/>
        </w:rPr>
        <w:t>In</w:t>
      </w:r>
      <w:r>
        <w:rPr>
          <w:w w:val="80"/>
        </w:rPr>
        <w:t> </w:t>
      </w:r>
      <w:r>
        <w:rPr>
          <w:spacing w:val="-2"/>
          <w:w w:val="98"/>
        </w:rPr>
        <w:t>September</w:t>
      </w:r>
      <w:r>
        <w:rPr>
          <w:w w:val="98"/>
        </w:rPr>
        <w:t> </w:t>
      </w:r>
      <w:r>
        <w:rPr>
          <w:spacing w:val="-1"/>
          <w:w w:val="84"/>
        </w:rPr>
        <w:t>2015,</w:t>
      </w:r>
      <w:r>
        <w:rPr>
          <w:w w:val="84"/>
        </w:rPr>
        <w:t> </w:t>
      </w:r>
      <w:r>
        <w:rPr>
          <w:spacing w:val="-2"/>
          <w:w w:val="97"/>
        </w:rPr>
        <w:t>interviews</w:t>
      </w:r>
      <w:r>
        <w:rPr>
          <w:w w:val="97"/>
        </w:rPr>
        <w:t> </w:t>
      </w:r>
      <w:r>
        <w:rPr>
          <w:spacing w:val="-3"/>
          <w:w w:val="97"/>
        </w:rPr>
        <w:t>were</w:t>
      </w:r>
      <w:r>
        <w:rPr>
          <w:w w:val="97"/>
        </w:rPr>
        <w:t> </w:t>
      </w:r>
      <w:r>
        <w:rPr>
          <w:spacing w:val="-2"/>
          <w:w w:val="97"/>
        </w:rPr>
        <w:t>held</w:t>
      </w:r>
      <w:r>
        <w:rPr>
          <w:w w:val="97"/>
        </w:rPr>
        <w:t> </w:t>
      </w:r>
      <w:r>
        <w:rPr>
          <w:spacing w:val="-3"/>
          <w:w w:val="101"/>
        </w:rPr>
        <w:t>to</w:t>
      </w:r>
      <w:r>
        <w:rPr>
          <w:w w:val="101"/>
        </w:rPr>
        <w:t> </w:t>
      </w:r>
      <w:r>
        <w:rPr/>
        <w:t>appoint</w:t>
      </w:r>
      <w:r>
        <w:rPr>
          <w:spacing w:val="-29"/>
        </w:rPr>
        <w:t> </w:t>
      </w:r>
      <w:r>
        <w:rPr/>
        <w:t>two</w:t>
      </w:r>
      <w:r>
        <w:rPr>
          <w:spacing w:val="-29"/>
        </w:rPr>
        <w:t> </w:t>
      </w:r>
      <w:r>
        <w:rPr>
          <w:spacing w:val="-3"/>
        </w:rPr>
        <w:t>limited-term</w:t>
      </w:r>
      <w:r>
        <w:rPr>
          <w:spacing w:val="-29"/>
        </w:rPr>
        <w:t> </w:t>
      </w:r>
      <w:r>
        <w:rPr/>
        <w:t>chaplain</w:t>
      </w:r>
      <w:r>
        <w:rPr>
          <w:spacing w:val="-29"/>
        </w:rPr>
        <w:t> </w:t>
      </w:r>
      <w:r>
        <w:rPr>
          <w:spacing w:val="-3"/>
        </w:rPr>
        <w:t>coordinator </w:t>
      </w:r>
      <w:r>
        <w:rPr/>
        <w:t>positions.</w:t>
      </w:r>
      <w:r>
        <w:rPr>
          <w:spacing w:val="-32"/>
        </w:rPr>
        <w:t> </w:t>
      </w:r>
      <w:r>
        <w:rPr/>
        <w:t>These</w:t>
      </w:r>
      <w:r>
        <w:rPr>
          <w:spacing w:val="-32"/>
        </w:rPr>
        <w:t> </w:t>
      </w:r>
      <w:r>
        <w:rPr/>
        <w:t>positions</w:t>
      </w:r>
      <w:r>
        <w:rPr>
          <w:spacing w:val="-32"/>
        </w:rPr>
        <w:t> </w:t>
      </w:r>
      <w:r>
        <w:rPr>
          <w:spacing w:val="-3"/>
        </w:rPr>
        <w:t>have</w:t>
      </w:r>
      <w:r>
        <w:rPr>
          <w:spacing w:val="-32"/>
        </w:rPr>
        <w:t> </w:t>
      </w:r>
      <w:r>
        <w:rPr/>
        <w:t>been</w:t>
      </w:r>
      <w:r>
        <w:rPr>
          <w:spacing w:val="-32"/>
        </w:rPr>
        <w:t> </w:t>
      </w:r>
      <w:r>
        <w:rPr>
          <w:spacing w:val="-3"/>
        </w:rPr>
        <w:t>created to</w:t>
      </w:r>
      <w:r>
        <w:rPr>
          <w:spacing w:val="-36"/>
        </w:rPr>
        <w:t> </w:t>
      </w:r>
      <w:r>
        <w:rPr/>
        <w:t>more</w:t>
      </w:r>
      <w:r>
        <w:rPr>
          <w:spacing w:val="-36"/>
        </w:rPr>
        <w:t> </w:t>
      </w:r>
      <w:r>
        <w:rPr/>
        <w:t>fully</w:t>
      </w:r>
      <w:r>
        <w:rPr>
          <w:spacing w:val="-36"/>
        </w:rPr>
        <w:t> </w:t>
      </w:r>
      <w:r>
        <w:rPr/>
        <w:t>explore</w:t>
      </w:r>
      <w:r>
        <w:rPr>
          <w:spacing w:val="-36"/>
        </w:rPr>
        <w:t> </w:t>
      </w:r>
      <w:r>
        <w:rPr/>
        <w:t>and</w:t>
      </w:r>
      <w:r>
        <w:rPr>
          <w:spacing w:val="-36"/>
        </w:rPr>
        <w:t> </w:t>
      </w:r>
      <w:r>
        <w:rPr/>
        <w:t>implement</w:t>
      </w:r>
      <w:r>
        <w:rPr>
          <w:spacing w:val="-36"/>
        </w:rPr>
        <w:t> </w:t>
      </w:r>
      <w:r>
        <w:rPr/>
        <w:t>identified opportunities </w:t>
      </w:r>
      <w:r>
        <w:rPr>
          <w:spacing w:val="-3"/>
        </w:rPr>
        <w:t>to develop </w:t>
      </w:r>
      <w:r>
        <w:rPr/>
        <w:t>a truly interfaith chaplaincy service. The results of the work undertaken</w:t>
      </w:r>
      <w:r>
        <w:rPr>
          <w:spacing w:val="-27"/>
        </w:rPr>
        <w:t> </w:t>
      </w:r>
      <w:r>
        <w:rPr>
          <w:spacing w:val="-3"/>
        </w:rPr>
        <w:t>by</w:t>
      </w:r>
      <w:r>
        <w:rPr>
          <w:spacing w:val="-27"/>
        </w:rPr>
        <w:t> </w:t>
      </w:r>
      <w:r>
        <w:rPr/>
        <w:t>the</w:t>
      </w:r>
      <w:r>
        <w:rPr>
          <w:spacing w:val="-27"/>
        </w:rPr>
        <w:t> </w:t>
      </w:r>
      <w:r>
        <w:rPr/>
        <w:t>chaplain</w:t>
      </w:r>
      <w:r>
        <w:rPr>
          <w:spacing w:val="-27"/>
        </w:rPr>
        <w:t> </w:t>
      </w:r>
      <w:r>
        <w:rPr>
          <w:spacing w:val="-3"/>
        </w:rPr>
        <w:t>coordinators</w:t>
      </w:r>
      <w:r>
        <w:rPr>
          <w:spacing w:val="-27"/>
        </w:rPr>
        <w:t> </w:t>
      </w:r>
      <w:r>
        <w:rPr>
          <w:spacing w:val="-3"/>
        </w:rPr>
        <w:t>will </w:t>
      </w:r>
      <w:r>
        <w:rPr/>
        <w:t>be</w:t>
      </w:r>
      <w:r>
        <w:rPr>
          <w:spacing w:val="-26"/>
        </w:rPr>
        <w:t> </w:t>
      </w:r>
      <w:r>
        <w:rPr>
          <w:spacing w:val="-3"/>
        </w:rPr>
        <w:t>evaluated</w:t>
      </w:r>
      <w:r>
        <w:rPr>
          <w:spacing w:val="-26"/>
        </w:rPr>
        <w:t> </w:t>
      </w:r>
      <w:r>
        <w:rPr/>
        <w:t>and</w:t>
      </w:r>
      <w:r>
        <w:rPr>
          <w:spacing w:val="-26"/>
        </w:rPr>
        <w:t> </w:t>
      </w:r>
      <w:r>
        <w:rPr>
          <w:spacing w:val="-3"/>
        </w:rPr>
        <w:t>reviewed</w:t>
      </w:r>
      <w:r>
        <w:rPr>
          <w:spacing w:val="-26"/>
        </w:rPr>
        <w:t> </w:t>
      </w:r>
      <w:r>
        <w:rPr>
          <w:spacing w:val="-3"/>
        </w:rPr>
        <w:t>towards</w:t>
      </w:r>
      <w:r>
        <w:rPr>
          <w:spacing w:val="-26"/>
        </w:rPr>
        <w:t> </w:t>
      </w:r>
      <w:r>
        <w:rPr/>
        <w:t>the</w:t>
      </w:r>
      <w:r>
        <w:rPr>
          <w:spacing w:val="-26"/>
        </w:rPr>
        <w:t> </w:t>
      </w:r>
      <w:r>
        <w:rPr/>
        <w:t>end</w:t>
      </w:r>
      <w:r>
        <w:rPr>
          <w:spacing w:val="-26"/>
        </w:rPr>
        <w:t> </w:t>
      </w:r>
      <w:r>
        <w:rPr/>
        <w:t>of </w:t>
      </w:r>
      <w:r>
        <w:rPr>
          <w:spacing w:val="-1"/>
          <w:w w:val="85"/>
        </w:rPr>
        <w:t>2016.</w:t>
      </w:r>
    </w:p>
    <w:p>
      <w:pPr>
        <w:pStyle w:val="BodyText"/>
      </w:pPr>
    </w:p>
    <w:p>
      <w:pPr>
        <w:spacing w:line="260" w:lineRule="exact" w:before="101"/>
        <w:ind w:left="107" w:right="145" w:firstLine="18"/>
        <w:jc w:val="left"/>
        <w:rPr>
          <w:rFonts w:ascii="Gotham Narrow Bold"/>
          <w:b/>
          <w:sz w:val="24"/>
        </w:rPr>
      </w:pPr>
      <w:r>
        <w:rPr>
          <w:rFonts w:ascii="Gotham Narrow Bold"/>
          <w:b/>
          <w:w w:val="95"/>
          <w:sz w:val="24"/>
        </w:rPr>
        <w:t>STUDENT RECRUITMENT YEAR IN REVIEW</w:t>
      </w:r>
    </w:p>
    <w:p>
      <w:pPr>
        <w:pStyle w:val="BodyText"/>
        <w:spacing w:before="6"/>
        <w:rPr>
          <w:rFonts w:ascii="Gotham Narrow Bold"/>
          <w:b/>
          <w:sz w:val="25"/>
        </w:rPr>
      </w:pPr>
    </w:p>
    <w:p>
      <w:pPr>
        <w:pStyle w:val="Heading8"/>
        <w:ind w:left="120" w:right="-18"/>
      </w:pPr>
      <w:r>
        <w:rPr/>
        <w:t>INITIATIVES</w:t>
      </w:r>
    </w:p>
    <w:p>
      <w:pPr>
        <w:pStyle w:val="BodyText"/>
        <w:spacing w:line="249" w:lineRule="auto" w:before="86"/>
        <w:ind w:left="120" w:right="-18"/>
      </w:pPr>
      <w:r>
        <w:rPr/>
        <w:t>The</w:t>
      </w:r>
      <w:r>
        <w:rPr>
          <w:spacing w:val="-15"/>
        </w:rPr>
        <w:t> </w:t>
      </w:r>
      <w:r>
        <w:rPr/>
        <w:t>Student</w:t>
      </w:r>
      <w:r>
        <w:rPr>
          <w:spacing w:val="-15"/>
        </w:rPr>
        <w:t> </w:t>
      </w:r>
      <w:r>
        <w:rPr/>
        <w:t>Recruitment</w:t>
      </w:r>
      <w:r>
        <w:rPr>
          <w:spacing w:val="-15"/>
        </w:rPr>
        <w:t> </w:t>
      </w:r>
      <w:r>
        <w:rPr/>
        <w:t>Unit</w:t>
      </w:r>
      <w:r>
        <w:rPr>
          <w:spacing w:val="-15"/>
        </w:rPr>
        <w:t> </w:t>
      </w:r>
      <w:r>
        <w:rPr/>
        <w:t>(SRU)</w:t>
      </w:r>
      <w:r>
        <w:rPr>
          <w:spacing w:val="-15"/>
        </w:rPr>
        <w:t> </w:t>
      </w:r>
      <w:r>
        <w:rPr/>
        <w:t>played</w:t>
      </w:r>
      <w:r>
        <w:rPr>
          <w:spacing w:val="-15"/>
        </w:rPr>
        <w:t> </w:t>
      </w:r>
      <w:r>
        <w:rPr/>
        <w:t>a </w:t>
      </w:r>
      <w:r>
        <w:rPr>
          <w:spacing w:val="1"/>
          <w:w w:val="93"/>
        </w:rPr>
        <w:t>major</w:t>
      </w:r>
      <w:r>
        <w:rPr>
          <w:spacing w:val="-5"/>
          <w:w w:val="93"/>
        </w:rPr>
        <w:t> </w:t>
      </w:r>
      <w:r>
        <w:rPr>
          <w:w w:val="97"/>
        </w:rPr>
        <w:t>role</w:t>
      </w:r>
      <w:r>
        <w:rPr>
          <w:spacing w:val="-7"/>
          <w:w w:val="97"/>
        </w:rPr>
        <w:t> </w:t>
      </w:r>
      <w:r>
        <w:rPr>
          <w:w w:val="95"/>
        </w:rPr>
        <w:t>in</w:t>
      </w:r>
      <w:r>
        <w:rPr>
          <w:spacing w:val="-6"/>
          <w:w w:val="95"/>
        </w:rPr>
        <w:t> </w:t>
      </w:r>
      <w:r>
        <w:rPr>
          <w:spacing w:val="1"/>
          <w:w w:val="97"/>
        </w:rPr>
        <w:t>rebranding</w:t>
      </w:r>
      <w:r>
        <w:rPr>
          <w:spacing w:val="-7"/>
          <w:w w:val="97"/>
        </w:rPr>
        <w:t> </w:t>
      </w:r>
      <w:r>
        <w:rPr>
          <w:w w:val="97"/>
        </w:rPr>
        <w:t>the</w:t>
      </w:r>
      <w:r>
        <w:rPr>
          <w:spacing w:val="-7"/>
          <w:w w:val="97"/>
        </w:rPr>
        <w:t> </w:t>
      </w:r>
      <w:r>
        <w:rPr>
          <w:spacing w:val="1"/>
          <w:w w:val="97"/>
        </w:rPr>
        <w:t>University</w:t>
      </w:r>
      <w:r>
        <w:rPr>
          <w:spacing w:val="-7"/>
          <w:w w:val="97"/>
        </w:rPr>
        <w:t> </w:t>
      </w:r>
      <w:r>
        <w:rPr>
          <w:w w:val="95"/>
        </w:rPr>
        <w:t>in</w:t>
      </w:r>
      <w:r>
        <w:rPr>
          <w:spacing w:val="-6"/>
          <w:w w:val="95"/>
        </w:rPr>
        <w:t> </w:t>
      </w:r>
      <w:r>
        <w:rPr>
          <w:spacing w:val="1"/>
          <w:w w:val="84"/>
        </w:rPr>
        <w:t>2015.</w:t>
      </w:r>
      <w:r>
        <w:rPr>
          <w:w w:val="84"/>
        </w:rPr>
        <w:t> </w:t>
      </w:r>
      <w:r>
        <w:rPr/>
        <w:t>This</w:t>
      </w:r>
      <w:r>
        <w:rPr>
          <w:spacing w:val="-16"/>
        </w:rPr>
        <w:t> </w:t>
      </w:r>
      <w:r>
        <w:rPr/>
        <w:t>included</w:t>
      </w:r>
      <w:r>
        <w:rPr>
          <w:spacing w:val="-16"/>
        </w:rPr>
        <w:t> </w:t>
      </w:r>
      <w:r>
        <w:rPr/>
        <w:t>delivering</w:t>
      </w:r>
      <w:r>
        <w:rPr>
          <w:spacing w:val="-16"/>
        </w:rPr>
        <w:t> </w:t>
      </w:r>
      <w:r>
        <w:rPr/>
        <w:t>one</w:t>
      </w:r>
      <w:r>
        <w:rPr>
          <w:spacing w:val="-16"/>
        </w:rPr>
        <w:t> </w:t>
      </w:r>
      <w:r>
        <w:rPr/>
        <w:t>of</w:t>
      </w:r>
      <w:r>
        <w:rPr>
          <w:spacing w:val="-16"/>
        </w:rPr>
        <w:t> </w:t>
      </w:r>
      <w:r>
        <w:rPr/>
        <w:t>the</w:t>
      </w:r>
      <w:r>
        <w:rPr>
          <w:spacing w:val="-16"/>
        </w:rPr>
        <w:t> </w:t>
      </w:r>
      <w:r>
        <w:rPr/>
        <w:t>University’s most successful Open Days, which was a vehicle</w:t>
      </w:r>
      <w:r>
        <w:rPr>
          <w:spacing w:val="-19"/>
        </w:rPr>
        <w:t> </w:t>
      </w:r>
      <w:r>
        <w:rPr/>
        <w:t>to</w:t>
      </w:r>
      <w:r>
        <w:rPr>
          <w:spacing w:val="-19"/>
        </w:rPr>
        <w:t> </w:t>
      </w:r>
      <w:r>
        <w:rPr/>
        <w:t>launch</w:t>
      </w:r>
      <w:r>
        <w:rPr>
          <w:spacing w:val="-19"/>
        </w:rPr>
        <w:t> </w:t>
      </w:r>
      <w:r>
        <w:rPr/>
        <w:t>the</w:t>
      </w:r>
      <w:r>
        <w:rPr>
          <w:spacing w:val="-19"/>
        </w:rPr>
        <w:t> </w:t>
      </w:r>
      <w:r>
        <w:rPr/>
        <w:t>University’s</w:t>
      </w:r>
      <w:r>
        <w:rPr>
          <w:spacing w:val="-19"/>
        </w:rPr>
        <w:t> </w:t>
      </w:r>
      <w:r>
        <w:rPr/>
        <w:t>new</w:t>
      </w:r>
      <w:r>
        <w:rPr>
          <w:spacing w:val="-19"/>
        </w:rPr>
        <w:t> </w:t>
      </w:r>
      <w:r>
        <w:rPr/>
        <w:t>brand.</w:t>
      </w:r>
    </w:p>
    <w:p>
      <w:pPr>
        <w:pStyle w:val="BodyText"/>
        <w:rPr>
          <w:sz w:val="14"/>
        </w:rPr>
      </w:pPr>
    </w:p>
    <w:p>
      <w:pPr>
        <w:pStyle w:val="BodyText"/>
        <w:spacing w:line="249" w:lineRule="auto"/>
        <w:ind w:left="120" w:right="58"/>
      </w:pPr>
      <w:r>
        <w:rPr/>
        <w:t>The</w:t>
      </w:r>
      <w:r>
        <w:rPr>
          <w:spacing w:val="-16"/>
        </w:rPr>
        <w:t> </w:t>
      </w:r>
      <w:r>
        <w:rPr/>
        <w:t>SRU</w:t>
      </w:r>
      <w:r>
        <w:rPr>
          <w:spacing w:val="-16"/>
        </w:rPr>
        <w:t> </w:t>
      </w:r>
      <w:r>
        <w:rPr/>
        <w:t>worked</w:t>
      </w:r>
      <w:r>
        <w:rPr>
          <w:spacing w:val="-16"/>
        </w:rPr>
        <w:t> </w:t>
      </w:r>
      <w:r>
        <w:rPr/>
        <w:t>with</w:t>
      </w:r>
      <w:r>
        <w:rPr>
          <w:spacing w:val="-16"/>
        </w:rPr>
        <w:t> </w:t>
      </w:r>
      <w:r>
        <w:rPr/>
        <w:t>the</w:t>
      </w:r>
      <w:r>
        <w:rPr>
          <w:spacing w:val="-16"/>
        </w:rPr>
        <w:t> </w:t>
      </w:r>
      <w:r>
        <w:rPr/>
        <w:t>Office</w:t>
      </w:r>
      <w:r>
        <w:rPr>
          <w:spacing w:val="-16"/>
        </w:rPr>
        <w:t> </w:t>
      </w:r>
      <w:r>
        <w:rPr/>
        <w:t>of</w:t>
      </w:r>
      <w:r>
        <w:rPr>
          <w:spacing w:val="-16"/>
        </w:rPr>
        <w:t> </w:t>
      </w:r>
      <w:r>
        <w:rPr/>
        <w:t>Marketing and Communication and a team of external design partners to create, rebrand and publish</w:t>
      </w:r>
      <w:r>
        <w:rPr>
          <w:spacing w:val="-16"/>
        </w:rPr>
        <w:t> </w:t>
      </w:r>
      <w:r>
        <w:rPr/>
        <w:t>all</w:t>
      </w:r>
      <w:r>
        <w:rPr>
          <w:spacing w:val="-16"/>
        </w:rPr>
        <w:t> </w:t>
      </w:r>
      <w:r>
        <w:rPr/>
        <w:t>marketing</w:t>
      </w:r>
      <w:r>
        <w:rPr>
          <w:spacing w:val="-16"/>
        </w:rPr>
        <w:t> </w:t>
      </w:r>
      <w:r>
        <w:rPr/>
        <w:t>collateral</w:t>
      </w:r>
      <w:r>
        <w:rPr>
          <w:spacing w:val="-16"/>
        </w:rPr>
        <w:t> </w:t>
      </w:r>
      <w:r>
        <w:rPr/>
        <w:t>for</w:t>
      </w:r>
      <w:r>
        <w:rPr>
          <w:spacing w:val="-16"/>
        </w:rPr>
        <w:t> </w:t>
      </w:r>
      <w:r>
        <w:rPr/>
        <w:t>Open</w:t>
      </w:r>
      <w:r>
        <w:rPr>
          <w:spacing w:val="-16"/>
        </w:rPr>
        <w:t> </w:t>
      </w:r>
      <w:r>
        <w:rPr/>
        <w:t>Day in</w:t>
      </w:r>
      <w:r>
        <w:rPr>
          <w:spacing w:val="-14"/>
        </w:rPr>
        <w:t> </w:t>
      </w:r>
      <w:r>
        <w:rPr/>
        <w:t>August,</w:t>
      </w:r>
      <w:r>
        <w:rPr>
          <w:spacing w:val="-14"/>
        </w:rPr>
        <w:t> </w:t>
      </w:r>
      <w:r>
        <w:rPr/>
        <w:t>bringing</w:t>
      </w:r>
      <w:r>
        <w:rPr>
          <w:spacing w:val="-14"/>
        </w:rPr>
        <w:t> </w:t>
      </w:r>
      <w:r>
        <w:rPr/>
        <w:t>the</w:t>
      </w:r>
      <w:r>
        <w:rPr>
          <w:spacing w:val="-14"/>
        </w:rPr>
        <w:t> </w:t>
      </w:r>
      <w:r>
        <w:rPr/>
        <w:t>new</w:t>
      </w:r>
      <w:r>
        <w:rPr>
          <w:spacing w:val="-14"/>
        </w:rPr>
        <w:t> </w:t>
      </w:r>
      <w:r>
        <w:rPr/>
        <w:t>brand</w:t>
      </w:r>
      <w:r>
        <w:rPr>
          <w:spacing w:val="-14"/>
        </w:rPr>
        <w:t> </w:t>
      </w:r>
      <w:r>
        <w:rPr/>
        <w:t>to</w:t>
      </w:r>
      <w:r>
        <w:rPr>
          <w:spacing w:val="-14"/>
        </w:rPr>
        <w:t> </w:t>
      </w:r>
      <w:r>
        <w:rPr/>
        <w:t>life</w:t>
      </w:r>
      <w:r>
        <w:rPr>
          <w:spacing w:val="-14"/>
        </w:rPr>
        <w:t> </w:t>
      </w:r>
      <w:r>
        <w:rPr/>
        <w:t>for more</w:t>
      </w:r>
      <w:r>
        <w:rPr>
          <w:spacing w:val="-21"/>
        </w:rPr>
        <w:t> </w:t>
      </w:r>
      <w:r>
        <w:rPr/>
        <w:t>than</w:t>
      </w:r>
      <w:r>
        <w:rPr>
          <w:spacing w:val="-21"/>
        </w:rPr>
        <w:t> </w:t>
      </w:r>
      <w:r>
        <w:rPr>
          <w:spacing w:val="3"/>
        </w:rPr>
        <w:t>6,500</w:t>
      </w:r>
      <w:r>
        <w:rPr>
          <w:spacing w:val="-21"/>
        </w:rPr>
        <w:t> </w:t>
      </w:r>
      <w:r>
        <w:rPr/>
        <w:t>visitors.</w:t>
      </w:r>
    </w:p>
    <w:p>
      <w:pPr>
        <w:pStyle w:val="BodyText"/>
        <w:rPr>
          <w:sz w:val="14"/>
        </w:rPr>
      </w:pPr>
    </w:p>
    <w:p>
      <w:pPr>
        <w:pStyle w:val="BodyText"/>
        <w:spacing w:line="247" w:lineRule="auto"/>
        <w:ind w:left="120" w:right="26"/>
      </w:pPr>
      <w:r>
        <w:rPr/>
        <w:t>This included rebranding 55 printed publications from across the University and the former </w:t>
      </w:r>
      <w:r>
        <w:rPr>
          <w:rFonts w:ascii="Calibri" w:hAnsi="Calibri"/>
        </w:rPr>
        <w:t>UWS</w:t>
      </w:r>
      <w:r>
        <w:rPr/>
        <w:t>College. It also involved developing</w:t>
      </w:r>
      <w:r>
        <w:rPr>
          <w:spacing w:val="-19"/>
        </w:rPr>
        <w:t> </w:t>
      </w:r>
      <w:r>
        <w:rPr/>
        <w:t>event</w:t>
      </w:r>
      <w:r>
        <w:rPr>
          <w:spacing w:val="-19"/>
        </w:rPr>
        <w:t> </w:t>
      </w:r>
      <w:r>
        <w:rPr/>
        <w:t>signage,</w:t>
      </w:r>
      <w:r>
        <w:rPr>
          <w:spacing w:val="-19"/>
        </w:rPr>
        <w:t> </w:t>
      </w:r>
      <w:r>
        <w:rPr/>
        <w:t>rebranding</w:t>
      </w:r>
      <w:r>
        <w:rPr>
          <w:spacing w:val="-19"/>
        </w:rPr>
        <w:t> </w:t>
      </w:r>
      <w:r>
        <w:rPr/>
        <w:t>content on</w:t>
      </w:r>
      <w:r>
        <w:rPr>
          <w:spacing w:val="-15"/>
        </w:rPr>
        <w:t> </w:t>
      </w:r>
      <w:r>
        <w:rPr/>
        <w:t>the</w:t>
      </w:r>
      <w:r>
        <w:rPr>
          <w:spacing w:val="-15"/>
        </w:rPr>
        <w:t> </w:t>
      </w:r>
      <w:r>
        <w:rPr/>
        <w:t>‘Future</w:t>
      </w:r>
      <w:r>
        <w:rPr>
          <w:spacing w:val="-15"/>
        </w:rPr>
        <w:t> </w:t>
      </w:r>
      <w:r>
        <w:rPr/>
        <w:t>Students’</w:t>
      </w:r>
      <w:r>
        <w:rPr>
          <w:spacing w:val="-15"/>
        </w:rPr>
        <w:t> </w:t>
      </w:r>
      <w:r>
        <w:rPr/>
        <w:t>pages</w:t>
      </w:r>
      <w:r>
        <w:rPr>
          <w:spacing w:val="-15"/>
        </w:rPr>
        <w:t> </w:t>
      </w:r>
      <w:r>
        <w:rPr/>
        <w:t>on</w:t>
      </w:r>
      <w:r>
        <w:rPr>
          <w:spacing w:val="-15"/>
        </w:rPr>
        <w:t> </w:t>
      </w:r>
      <w:r>
        <w:rPr/>
        <w:t>the</w:t>
      </w:r>
      <w:r>
        <w:rPr>
          <w:spacing w:val="-15"/>
        </w:rPr>
        <w:t> </w:t>
      </w:r>
      <w:r>
        <w:rPr/>
        <w:t>website and being involved in the wider marketing plan</w:t>
      </w:r>
      <w:r>
        <w:rPr>
          <w:spacing w:val="-22"/>
        </w:rPr>
        <w:t> </w:t>
      </w:r>
      <w:r>
        <w:rPr/>
        <w:t>for</w:t>
      </w:r>
      <w:r>
        <w:rPr>
          <w:spacing w:val="-22"/>
        </w:rPr>
        <w:t> </w:t>
      </w:r>
      <w:r>
        <w:rPr/>
        <w:t>the</w:t>
      </w:r>
      <w:r>
        <w:rPr>
          <w:spacing w:val="-22"/>
        </w:rPr>
        <w:t> </w:t>
      </w:r>
      <w:r>
        <w:rPr/>
        <w:t>launch.</w:t>
      </w:r>
    </w:p>
    <w:p>
      <w:pPr>
        <w:pStyle w:val="BodyText"/>
        <w:spacing w:before="9"/>
        <w:rPr>
          <w:sz w:val="21"/>
        </w:rPr>
      </w:pPr>
    </w:p>
    <w:p>
      <w:pPr>
        <w:pStyle w:val="Heading8"/>
        <w:ind w:left="120" w:right="-18"/>
      </w:pPr>
      <w:r>
        <w:rPr>
          <w:w w:val="95"/>
        </w:rPr>
        <w:t>WESTERN ONLINE</w:t>
      </w:r>
    </w:p>
    <w:p>
      <w:pPr>
        <w:pStyle w:val="BodyText"/>
        <w:spacing w:line="249" w:lineRule="auto" w:before="86"/>
        <w:ind w:left="120" w:right="168"/>
      </w:pPr>
      <w:r>
        <w:rPr/>
        <w:t>The</w:t>
      </w:r>
      <w:r>
        <w:rPr>
          <w:spacing w:val="-22"/>
        </w:rPr>
        <w:t> </w:t>
      </w:r>
      <w:r>
        <w:rPr/>
        <w:t>online</w:t>
      </w:r>
      <w:r>
        <w:rPr>
          <w:spacing w:val="-22"/>
        </w:rPr>
        <w:t> </w:t>
      </w:r>
      <w:r>
        <w:rPr/>
        <w:t>course</w:t>
      </w:r>
      <w:r>
        <w:rPr>
          <w:spacing w:val="-22"/>
        </w:rPr>
        <w:t> </w:t>
      </w:r>
      <w:r>
        <w:rPr/>
        <w:t>program,</w:t>
      </w:r>
      <w:r>
        <w:rPr>
          <w:spacing w:val="-22"/>
        </w:rPr>
        <w:t> </w:t>
      </w:r>
      <w:r>
        <w:rPr/>
        <w:t>Western</w:t>
      </w:r>
      <w:r>
        <w:rPr>
          <w:spacing w:val="-22"/>
        </w:rPr>
        <w:t> </w:t>
      </w:r>
      <w:r>
        <w:rPr/>
        <w:t>Online, </w:t>
      </w:r>
      <w:r>
        <w:rPr>
          <w:spacing w:val="-3"/>
        </w:rPr>
        <w:t>(at  </w:t>
      </w:r>
      <w:r>
        <w:rPr>
          <w:rFonts w:ascii="Calibri"/>
        </w:rPr>
        <w:t>westernsydney.edu.au/online</w:t>
      </w:r>
      <w:r>
        <w:rPr/>
        <w:t>) </w:t>
      </w:r>
      <w:r>
        <w:rPr>
          <w:spacing w:val="35"/>
        </w:rPr>
        <w:t> </w:t>
      </w:r>
      <w:r>
        <w:rPr/>
        <w:t>shows</w:t>
      </w:r>
    </w:p>
    <w:p>
      <w:pPr>
        <w:pStyle w:val="BodyText"/>
        <w:spacing w:before="10"/>
      </w:pPr>
      <w:r>
        <w:rPr/>
        <w:br w:type="column"/>
      </w:r>
      <w:r>
        <w:rPr/>
      </w:r>
    </w:p>
    <w:p>
      <w:pPr>
        <w:pStyle w:val="BodyText"/>
        <w:spacing w:line="249" w:lineRule="auto"/>
        <w:ind w:left="107" w:right="34"/>
      </w:pPr>
      <w:r>
        <w:rPr/>
        <w:t>the University’s commitment to offering prospective students flexible learning options.</w:t>
      </w:r>
    </w:p>
    <w:p>
      <w:pPr>
        <w:pStyle w:val="BodyText"/>
        <w:rPr>
          <w:sz w:val="14"/>
        </w:rPr>
      </w:pPr>
    </w:p>
    <w:p>
      <w:pPr>
        <w:pStyle w:val="BodyText"/>
        <w:spacing w:line="249" w:lineRule="auto"/>
        <w:ind w:left="107" w:right="145"/>
      </w:pPr>
      <w:r>
        <w:rPr/>
        <w:t>The SRU develops the strategic positioning, marketing plan (including advertising), ongoing competitor review and marketing operational aspects (website and call centre) for Western Online.</w:t>
      </w:r>
    </w:p>
    <w:p>
      <w:pPr>
        <w:pStyle w:val="BodyText"/>
        <w:rPr>
          <w:sz w:val="14"/>
        </w:rPr>
      </w:pPr>
    </w:p>
    <w:p>
      <w:pPr>
        <w:pStyle w:val="BodyText"/>
        <w:spacing w:line="247" w:lineRule="auto"/>
        <w:ind w:left="107" w:right="37"/>
      </w:pPr>
      <w:r>
        <w:rPr/>
        <w:t>Western Online, previously known as </w:t>
      </w:r>
      <w:r>
        <w:rPr>
          <w:rFonts w:ascii="Century Gothic"/>
          <w:i/>
          <w:w w:val="90"/>
        </w:rPr>
        <w:t>UWSOnline</w:t>
      </w:r>
      <w:r>
        <w:rPr>
          <w:w w:val="90"/>
        </w:rPr>
        <w:t>, </w:t>
      </w:r>
      <w:r>
        <w:rPr>
          <w:w w:val="96"/>
        </w:rPr>
        <w:t>was </w:t>
      </w:r>
      <w:r>
        <w:rPr>
          <w:w w:val="97"/>
        </w:rPr>
        <w:t>launched </w:t>
      </w:r>
      <w:r>
        <w:rPr>
          <w:w w:val="91"/>
        </w:rPr>
        <w:t>mid-2014. </w:t>
      </w:r>
      <w:r>
        <w:rPr>
          <w:w w:val="102"/>
        </w:rPr>
        <w:t>About </w:t>
      </w:r>
      <w:r>
        <w:rPr>
          <w:w w:val="102"/>
        </w:rPr>
        <w:t>30 </w:t>
      </w:r>
      <w:r>
        <w:rPr/>
        <w:t>online courses are on offer, including bachelor degrees, graduate certificates, graduate diplomas and masters programs, across a range of disciplines.</w:t>
      </w:r>
    </w:p>
    <w:p>
      <w:pPr>
        <w:pStyle w:val="BodyText"/>
        <w:spacing w:before="2"/>
        <w:rPr>
          <w:sz w:val="14"/>
        </w:rPr>
      </w:pPr>
    </w:p>
    <w:p>
      <w:pPr>
        <w:pStyle w:val="BodyText"/>
        <w:spacing w:line="249" w:lineRule="auto"/>
        <w:ind w:left="107" w:right="400"/>
        <w:jc w:val="both"/>
      </w:pPr>
      <w:r>
        <w:rPr/>
        <w:t>The</w:t>
      </w:r>
      <w:r>
        <w:rPr>
          <w:spacing w:val="-17"/>
        </w:rPr>
        <w:t> </w:t>
      </w:r>
      <w:r>
        <w:rPr/>
        <w:t>SRU</w:t>
      </w:r>
      <w:r>
        <w:rPr>
          <w:spacing w:val="-17"/>
        </w:rPr>
        <w:t> </w:t>
      </w:r>
      <w:r>
        <w:rPr/>
        <w:t>is</w:t>
      </w:r>
      <w:r>
        <w:rPr>
          <w:spacing w:val="-17"/>
        </w:rPr>
        <w:t> </w:t>
      </w:r>
      <w:r>
        <w:rPr/>
        <w:t>steadily</w:t>
      </w:r>
      <w:r>
        <w:rPr>
          <w:spacing w:val="-17"/>
        </w:rPr>
        <w:t> </w:t>
      </w:r>
      <w:r>
        <w:rPr/>
        <w:t>increasing</w:t>
      </w:r>
      <w:r>
        <w:rPr>
          <w:spacing w:val="-17"/>
        </w:rPr>
        <w:t> </w:t>
      </w:r>
      <w:r>
        <w:rPr/>
        <w:t>the</w:t>
      </w:r>
      <w:r>
        <w:rPr>
          <w:spacing w:val="-17"/>
        </w:rPr>
        <w:t> </w:t>
      </w:r>
      <w:r>
        <w:rPr/>
        <w:t>visibility of</w:t>
      </w:r>
      <w:r>
        <w:rPr>
          <w:spacing w:val="-14"/>
        </w:rPr>
        <w:t> </w:t>
      </w:r>
      <w:r>
        <w:rPr/>
        <w:t>Western</w:t>
      </w:r>
      <w:r>
        <w:rPr>
          <w:spacing w:val="-14"/>
        </w:rPr>
        <w:t> </w:t>
      </w:r>
      <w:r>
        <w:rPr/>
        <w:t>Online</w:t>
      </w:r>
      <w:r>
        <w:rPr>
          <w:spacing w:val="-14"/>
        </w:rPr>
        <w:t> </w:t>
      </w:r>
      <w:r>
        <w:rPr/>
        <w:t>with</w:t>
      </w:r>
      <w:r>
        <w:rPr>
          <w:spacing w:val="-14"/>
        </w:rPr>
        <w:t> </w:t>
      </w:r>
      <w:r>
        <w:rPr/>
        <w:t>follow-up</w:t>
      </w:r>
      <w:r>
        <w:rPr>
          <w:spacing w:val="-14"/>
        </w:rPr>
        <w:t> </w:t>
      </w:r>
      <w:r>
        <w:rPr/>
        <w:t>calls</w:t>
      </w:r>
      <w:r>
        <w:rPr>
          <w:spacing w:val="-14"/>
        </w:rPr>
        <w:t> </w:t>
      </w:r>
      <w:r>
        <w:rPr/>
        <w:t>and emails</w:t>
      </w:r>
      <w:r>
        <w:rPr>
          <w:spacing w:val="-16"/>
        </w:rPr>
        <w:t> </w:t>
      </w:r>
      <w:r>
        <w:rPr/>
        <w:t>to</w:t>
      </w:r>
      <w:r>
        <w:rPr>
          <w:spacing w:val="-16"/>
        </w:rPr>
        <w:t> </w:t>
      </w:r>
      <w:r>
        <w:rPr/>
        <w:t>prospective</w:t>
      </w:r>
      <w:r>
        <w:rPr>
          <w:spacing w:val="-16"/>
        </w:rPr>
        <w:t> </w:t>
      </w:r>
      <w:r>
        <w:rPr/>
        <w:t>students</w:t>
      </w:r>
      <w:r>
        <w:rPr>
          <w:spacing w:val="-16"/>
        </w:rPr>
        <w:t> </w:t>
      </w:r>
      <w:r>
        <w:rPr/>
        <w:t>who</w:t>
      </w:r>
      <w:r>
        <w:rPr>
          <w:spacing w:val="-16"/>
        </w:rPr>
        <w:t> </w:t>
      </w:r>
      <w:r>
        <w:rPr/>
        <w:t>have</w:t>
      </w:r>
    </w:p>
    <w:p>
      <w:pPr>
        <w:pStyle w:val="BodyText"/>
        <w:spacing w:line="249" w:lineRule="auto"/>
        <w:ind w:left="107" w:right="121"/>
      </w:pPr>
      <w:r>
        <w:rPr/>
        <w:t>registered</w:t>
      </w:r>
      <w:r>
        <w:rPr>
          <w:spacing w:val="-21"/>
        </w:rPr>
        <w:t> </w:t>
      </w:r>
      <w:r>
        <w:rPr/>
        <w:t>their</w:t>
      </w:r>
      <w:r>
        <w:rPr>
          <w:spacing w:val="-21"/>
        </w:rPr>
        <w:t> </w:t>
      </w:r>
      <w:r>
        <w:rPr/>
        <w:t>interest</w:t>
      </w:r>
      <w:r>
        <w:rPr>
          <w:spacing w:val="-21"/>
        </w:rPr>
        <w:t> </w:t>
      </w:r>
      <w:r>
        <w:rPr/>
        <w:t>in</w:t>
      </w:r>
      <w:r>
        <w:rPr>
          <w:spacing w:val="-21"/>
        </w:rPr>
        <w:t> </w:t>
      </w:r>
      <w:r>
        <w:rPr/>
        <w:t>online</w:t>
      </w:r>
      <w:r>
        <w:rPr>
          <w:spacing w:val="-21"/>
        </w:rPr>
        <w:t> </w:t>
      </w:r>
      <w:r>
        <w:rPr/>
        <w:t>courses.</w:t>
      </w:r>
      <w:r>
        <w:rPr>
          <w:spacing w:val="-21"/>
        </w:rPr>
        <w:t> </w:t>
      </w:r>
      <w:r>
        <w:rPr/>
        <w:t>The dedicated sales agent in the Contact Service Centre (CSC) focuses on moving prospects through</w:t>
      </w:r>
      <w:r>
        <w:rPr>
          <w:spacing w:val="-20"/>
        </w:rPr>
        <w:t> </w:t>
      </w:r>
      <w:r>
        <w:rPr/>
        <w:t>application</w:t>
      </w:r>
      <w:r>
        <w:rPr>
          <w:spacing w:val="-20"/>
        </w:rPr>
        <w:t> </w:t>
      </w:r>
      <w:r>
        <w:rPr/>
        <w:t>to</w:t>
      </w:r>
      <w:r>
        <w:rPr>
          <w:spacing w:val="-20"/>
        </w:rPr>
        <w:t> </w:t>
      </w:r>
      <w:r>
        <w:rPr/>
        <w:t>enrolment.</w:t>
      </w:r>
    </w:p>
    <w:p>
      <w:pPr>
        <w:pStyle w:val="BodyText"/>
        <w:rPr>
          <w:sz w:val="14"/>
        </w:rPr>
      </w:pPr>
    </w:p>
    <w:p>
      <w:pPr>
        <w:pStyle w:val="BodyText"/>
        <w:spacing w:line="249" w:lineRule="auto"/>
        <w:ind w:left="107" w:right="484"/>
      </w:pPr>
      <w:r>
        <w:rPr/>
        <w:t>Western Online offers the potential for an</w:t>
      </w:r>
      <w:r>
        <w:rPr>
          <w:spacing w:val="-18"/>
        </w:rPr>
        <w:t> </w:t>
      </w:r>
      <w:r>
        <w:rPr/>
        <w:t>exciting</w:t>
      </w:r>
      <w:r>
        <w:rPr>
          <w:spacing w:val="-18"/>
        </w:rPr>
        <w:t> </w:t>
      </w:r>
      <w:r>
        <w:rPr/>
        <w:t>year</w:t>
      </w:r>
      <w:r>
        <w:rPr>
          <w:spacing w:val="-18"/>
        </w:rPr>
        <w:t> </w:t>
      </w:r>
      <w:r>
        <w:rPr/>
        <w:t>for</w:t>
      </w:r>
      <w:r>
        <w:rPr>
          <w:spacing w:val="-18"/>
        </w:rPr>
        <w:t> </w:t>
      </w:r>
      <w:r>
        <w:rPr/>
        <w:t>online</w:t>
      </w:r>
      <w:r>
        <w:rPr>
          <w:spacing w:val="-18"/>
        </w:rPr>
        <w:t> </w:t>
      </w:r>
      <w:r>
        <w:rPr/>
        <w:t>learning</w:t>
      </w:r>
      <w:r>
        <w:rPr>
          <w:spacing w:val="-18"/>
        </w:rPr>
        <w:t> </w:t>
      </w:r>
      <w:r>
        <w:rPr/>
        <w:t>at</w:t>
      </w:r>
      <w:r>
        <w:rPr>
          <w:spacing w:val="-18"/>
        </w:rPr>
        <w:t> </w:t>
      </w:r>
      <w:r>
        <w:rPr/>
        <w:t>the </w:t>
      </w:r>
      <w:r>
        <w:rPr>
          <w:spacing w:val="1"/>
          <w:w w:val="97"/>
        </w:rPr>
        <w:t>University</w:t>
      </w:r>
      <w:r>
        <w:rPr>
          <w:w w:val="97"/>
        </w:rPr>
        <w:t> </w:t>
      </w:r>
      <w:r>
        <w:rPr>
          <w:w w:val="95"/>
        </w:rPr>
        <w:t>in</w:t>
      </w:r>
      <w:r>
        <w:rPr>
          <w:spacing w:val="-10"/>
          <w:w w:val="95"/>
        </w:rPr>
        <w:t> </w:t>
      </w:r>
      <w:r>
        <w:rPr>
          <w:spacing w:val="2"/>
          <w:w w:val="85"/>
        </w:rPr>
        <w:t>2016.</w:t>
      </w:r>
    </w:p>
    <w:p>
      <w:pPr>
        <w:pStyle w:val="BodyText"/>
        <w:spacing w:before="7"/>
        <w:rPr>
          <w:sz w:val="21"/>
        </w:rPr>
      </w:pPr>
    </w:p>
    <w:p>
      <w:pPr>
        <w:pStyle w:val="Heading8"/>
        <w:ind w:right="287"/>
      </w:pPr>
      <w:r>
        <w:rPr>
          <w:w w:val="95"/>
        </w:rPr>
        <w:t>PROJECT CUBE</w:t>
      </w:r>
    </w:p>
    <w:p>
      <w:pPr>
        <w:pStyle w:val="BodyText"/>
        <w:spacing w:line="249" w:lineRule="auto" w:before="86"/>
        <w:ind w:left="107" w:right="91"/>
      </w:pPr>
      <w:r>
        <w:rPr/>
        <w:t>As part of the University rebrand, the student portal MyC3 became Western Central, which was the first component rolled out as part of the CUBE project.</w:t>
      </w:r>
    </w:p>
    <w:p>
      <w:pPr>
        <w:pStyle w:val="BodyText"/>
        <w:rPr>
          <w:sz w:val="14"/>
        </w:rPr>
      </w:pPr>
    </w:p>
    <w:p>
      <w:pPr>
        <w:pStyle w:val="BodyText"/>
        <w:spacing w:line="249" w:lineRule="auto"/>
        <w:ind w:left="107" w:right="445"/>
      </w:pPr>
      <w:r>
        <w:rPr/>
        <w:t>Central is available in Apple’s ‘App Store’ for iPads and via HTML5 at </w:t>
      </w:r>
      <w:r>
        <w:rPr>
          <w:rFonts w:ascii="Calibri" w:hAnsi="Calibri"/>
        </w:rPr>
        <w:t>westernsydney.edu.au/central</w:t>
      </w:r>
      <w:r>
        <w:rPr/>
        <w:t>.  It  has a</w:t>
      </w:r>
    </w:p>
    <w:p>
      <w:pPr>
        <w:pStyle w:val="BodyText"/>
        <w:spacing w:line="182" w:lineRule="exact"/>
        <w:ind w:left="107" w:right="34"/>
      </w:pPr>
      <w:r>
        <w:rPr/>
        <w:t>number of bespoke features, including a task</w:t>
      </w:r>
    </w:p>
    <w:p>
      <w:pPr>
        <w:pStyle w:val="BodyText"/>
        <w:spacing w:line="249" w:lineRule="auto" w:before="7"/>
        <w:ind w:left="107" w:right="287"/>
      </w:pPr>
      <w:r>
        <w:rPr/>
        <w:t>manager,</w:t>
      </w:r>
      <w:r>
        <w:rPr>
          <w:spacing w:val="-21"/>
        </w:rPr>
        <w:t> </w:t>
      </w:r>
      <w:r>
        <w:rPr/>
        <w:t>workbooks</w:t>
      </w:r>
      <w:r>
        <w:rPr>
          <w:spacing w:val="-21"/>
        </w:rPr>
        <w:t> </w:t>
      </w:r>
      <w:r>
        <w:rPr/>
        <w:t>and</w:t>
      </w:r>
      <w:r>
        <w:rPr>
          <w:spacing w:val="-21"/>
        </w:rPr>
        <w:t> </w:t>
      </w:r>
      <w:r>
        <w:rPr/>
        <w:t>targeted</w:t>
      </w:r>
      <w:r>
        <w:rPr>
          <w:spacing w:val="-21"/>
        </w:rPr>
        <w:t> </w:t>
      </w:r>
      <w:r>
        <w:rPr/>
        <w:t>news,</w:t>
      </w:r>
      <w:r>
        <w:rPr>
          <w:spacing w:val="-21"/>
        </w:rPr>
        <w:t> </w:t>
      </w:r>
      <w:r>
        <w:rPr/>
        <w:t>as well as University notifications and access to</w:t>
      </w:r>
      <w:r>
        <w:rPr>
          <w:spacing w:val="-15"/>
        </w:rPr>
        <w:t> </w:t>
      </w:r>
      <w:r>
        <w:rPr/>
        <w:t>relevant</w:t>
      </w:r>
      <w:r>
        <w:rPr>
          <w:spacing w:val="-15"/>
        </w:rPr>
        <w:t> </w:t>
      </w:r>
      <w:r>
        <w:rPr/>
        <w:t>student</w:t>
      </w:r>
      <w:r>
        <w:rPr>
          <w:spacing w:val="-15"/>
        </w:rPr>
        <w:t> </w:t>
      </w:r>
      <w:r>
        <w:rPr/>
        <w:t>portals</w:t>
      </w:r>
      <w:r>
        <w:rPr>
          <w:spacing w:val="-15"/>
        </w:rPr>
        <w:t> </w:t>
      </w:r>
      <w:r>
        <w:rPr/>
        <w:t>and</w:t>
      </w:r>
      <w:r>
        <w:rPr>
          <w:spacing w:val="-15"/>
        </w:rPr>
        <w:t> </w:t>
      </w:r>
      <w:r>
        <w:rPr/>
        <w:t>systems</w:t>
      </w:r>
      <w:r>
        <w:rPr>
          <w:spacing w:val="-15"/>
        </w:rPr>
        <w:t> </w:t>
      </w:r>
      <w:r>
        <w:rPr/>
        <w:t>(for example,</w:t>
      </w:r>
      <w:r>
        <w:rPr>
          <w:spacing w:val="-23"/>
        </w:rPr>
        <w:t> </w:t>
      </w:r>
      <w:r>
        <w:rPr/>
        <w:t>the</w:t>
      </w:r>
      <w:r>
        <w:rPr>
          <w:spacing w:val="-23"/>
        </w:rPr>
        <w:t> </w:t>
      </w:r>
      <w:r>
        <w:rPr/>
        <w:t>academic</w:t>
      </w:r>
      <w:r>
        <w:rPr>
          <w:spacing w:val="-23"/>
        </w:rPr>
        <w:t> </w:t>
      </w:r>
      <w:r>
        <w:rPr>
          <w:spacing w:val="2"/>
        </w:rPr>
        <w:t>portal,</w:t>
      </w:r>
      <w:r>
        <w:rPr>
          <w:spacing w:val="-23"/>
        </w:rPr>
        <w:t> </w:t>
      </w:r>
      <w:r>
        <w:rPr/>
        <w:t>vUWS).</w:t>
      </w:r>
    </w:p>
    <w:p>
      <w:pPr>
        <w:pStyle w:val="BodyText"/>
        <w:rPr>
          <w:sz w:val="14"/>
        </w:rPr>
      </w:pPr>
    </w:p>
    <w:p>
      <w:pPr>
        <w:pStyle w:val="BodyText"/>
        <w:spacing w:line="247" w:lineRule="auto"/>
        <w:ind w:left="107" w:right="258"/>
      </w:pPr>
      <w:r>
        <w:rPr>
          <w:rFonts w:ascii="Calibri"/>
        </w:rPr>
        <w:t>Western Pathways </w:t>
      </w:r>
      <w:r>
        <w:rPr/>
        <w:t>(formerly Pango) was </w:t>
      </w:r>
      <w:r>
        <w:rPr>
          <w:spacing w:val="1"/>
          <w:w w:val="97"/>
        </w:rPr>
        <w:t>rolled</w:t>
      </w:r>
      <w:r>
        <w:rPr>
          <w:spacing w:val="-10"/>
          <w:w w:val="97"/>
        </w:rPr>
        <w:t> </w:t>
      </w:r>
      <w:r>
        <w:rPr>
          <w:spacing w:val="1"/>
          <w:w w:val="99"/>
        </w:rPr>
        <w:t>out</w:t>
      </w:r>
      <w:r>
        <w:rPr>
          <w:spacing w:val="-11"/>
          <w:w w:val="99"/>
        </w:rPr>
        <w:t> </w:t>
      </w:r>
      <w:r>
        <w:rPr>
          <w:w w:val="95"/>
        </w:rPr>
        <w:t>in</w:t>
      </w:r>
      <w:r>
        <w:rPr>
          <w:spacing w:val="-9"/>
          <w:w w:val="95"/>
        </w:rPr>
        <w:t> </w:t>
      </w:r>
      <w:r>
        <w:rPr>
          <w:spacing w:val="2"/>
          <w:w w:val="98"/>
        </w:rPr>
        <w:t>January</w:t>
      </w:r>
      <w:r>
        <w:rPr>
          <w:spacing w:val="-10"/>
          <w:w w:val="98"/>
        </w:rPr>
        <w:t> </w:t>
      </w:r>
      <w:r>
        <w:rPr>
          <w:spacing w:val="1"/>
          <w:w w:val="90"/>
        </w:rPr>
        <w:t>2016</w:t>
      </w:r>
      <w:r>
        <w:rPr>
          <w:spacing w:val="-6"/>
          <w:w w:val="90"/>
        </w:rPr>
        <w:t> </w:t>
      </w:r>
      <w:r>
        <w:rPr>
          <w:spacing w:val="1"/>
          <w:w w:val="97"/>
        </w:rPr>
        <w:t>and</w:t>
      </w:r>
      <w:r>
        <w:rPr>
          <w:spacing w:val="-10"/>
          <w:w w:val="97"/>
        </w:rPr>
        <w:t> </w:t>
      </w:r>
      <w:r>
        <w:rPr>
          <w:w w:val="95"/>
        </w:rPr>
        <w:t>is</w:t>
      </w:r>
      <w:r>
        <w:rPr>
          <w:spacing w:val="-9"/>
          <w:w w:val="95"/>
        </w:rPr>
        <w:t> </w:t>
      </w:r>
      <w:r>
        <w:rPr>
          <w:w w:val="97"/>
        </w:rPr>
        <w:t>the</w:t>
      </w:r>
      <w:r>
        <w:rPr>
          <w:spacing w:val="-10"/>
          <w:w w:val="97"/>
        </w:rPr>
        <w:t> </w:t>
      </w:r>
      <w:r>
        <w:rPr>
          <w:spacing w:val="1"/>
          <w:w w:val="98"/>
        </w:rPr>
        <w:t>second</w:t>
      </w:r>
      <w:r>
        <w:rPr>
          <w:w w:val="98"/>
        </w:rPr>
        <w:t> </w:t>
      </w:r>
      <w:r>
        <w:rPr/>
        <w:t>component of the </w:t>
      </w:r>
      <w:r>
        <w:rPr>
          <w:spacing w:val="2"/>
        </w:rPr>
        <w:t>CUBE </w:t>
      </w:r>
      <w:r>
        <w:rPr/>
        <w:t>project. Pathways is a </w:t>
      </w:r>
      <w:r>
        <w:rPr>
          <w:spacing w:val="2"/>
        </w:rPr>
        <w:t>portal (HTML5) </w:t>
      </w:r>
      <w:r>
        <w:rPr/>
        <w:t>with resources across the academic curriculum, including articles, blogs,</w:t>
      </w:r>
      <w:r>
        <w:rPr>
          <w:spacing w:val="-16"/>
        </w:rPr>
        <w:t> </w:t>
      </w:r>
      <w:r>
        <w:rPr/>
        <w:t>videos</w:t>
      </w:r>
      <w:r>
        <w:rPr>
          <w:spacing w:val="-16"/>
        </w:rPr>
        <w:t> </w:t>
      </w:r>
      <w:r>
        <w:rPr/>
        <w:t>and</w:t>
      </w:r>
      <w:r>
        <w:rPr>
          <w:spacing w:val="-16"/>
        </w:rPr>
        <w:t> </w:t>
      </w:r>
      <w:r>
        <w:rPr/>
        <w:t>infographics,</w:t>
      </w:r>
      <w:r>
        <w:rPr>
          <w:spacing w:val="-16"/>
        </w:rPr>
        <w:t> </w:t>
      </w:r>
      <w:r>
        <w:rPr/>
        <w:t>and</w:t>
      </w:r>
      <w:r>
        <w:rPr>
          <w:spacing w:val="-16"/>
        </w:rPr>
        <w:t> </w:t>
      </w:r>
      <w:r>
        <w:rPr/>
        <w:t>is</w:t>
      </w:r>
      <w:r>
        <w:rPr>
          <w:spacing w:val="-16"/>
        </w:rPr>
        <w:t> </w:t>
      </w:r>
      <w:r>
        <w:rPr/>
        <w:t>aimed at</w:t>
      </w:r>
      <w:r>
        <w:rPr>
          <w:spacing w:val="-15"/>
        </w:rPr>
        <w:t> </w:t>
      </w:r>
      <w:r>
        <w:rPr/>
        <w:t>high</w:t>
      </w:r>
      <w:r>
        <w:rPr>
          <w:spacing w:val="-15"/>
        </w:rPr>
        <w:t> </w:t>
      </w:r>
      <w:r>
        <w:rPr/>
        <w:t>school</w:t>
      </w:r>
      <w:r>
        <w:rPr>
          <w:spacing w:val="-15"/>
        </w:rPr>
        <w:t> </w:t>
      </w:r>
      <w:r>
        <w:rPr/>
        <w:t>students</w:t>
      </w:r>
      <w:r>
        <w:rPr>
          <w:spacing w:val="-15"/>
        </w:rPr>
        <w:t> </w:t>
      </w:r>
      <w:r>
        <w:rPr/>
        <w:t>who</w:t>
      </w:r>
      <w:r>
        <w:rPr>
          <w:spacing w:val="-15"/>
        </w:rPr>
        <w:t> </w:t>
      </w:r>
      <w:r>
        <w:rPr/>
        <w:t>are</w:t>
      </w:r>
      <w:r>
        <w:rPr>
          <w:spacing w:val="-15"/>
        </w:rPr>
        <w:t> </w:t>
      </w:r>
      <w:r>
        <w:rPr/>
        <w:t>considering</w:t>
      </w:r>
    </w:p>
    <w:p>
      <w:pPr>
        <w:pStyle w:val="BodyText"/>
        <w:spacing w:line="249" w:lineRule="auto" w:before="1"/>
        <w:ind w:left="107" w:right="34"/>
      </w:pPr>
      <w:r>
        <w:rPr/>
        <w:t>the</w:t>
      </w:r>
      <w:r>
        <w:rPr>
          <w:spacing w:val="-20"/>
        </w:rPr>
        <w:t> </w:t>
      </w:r>
      <w:r>
        <w:rPr/>
        <w:t>University.</w:t>
      </w:r>
      <w:r>
        <w:rPr>
          <w:spacing w:val="-20"/>
        </w:rPr>
        <w:t> </w:t>
      </w:r>
      <w:r>
        <w:rPr/>
        <w:t>It</w:t>
      </w:r>
      <w:r>
        <w:rPr>
          <w:spacing w:val="-20"/>
        </w:rPr>
        <w:t> </w:t>
      </w:r>
      <w:r>
        <w:rPr/>
        <w:t>offers</w:t>
      </w:r>
      <w:r>
        <w:rPr>
          <w:spacing w:val="-20"/>
        </w:rPr>
        <w:t> </w:t>
      </w:r>
      <w:r>
        <w:rPr/>
        <w:t>online</w:t>
      </w:r>
      <w:r>
        <w:rPr>
          <w:spacing w:val="-20"/>
        </w:rPr>
        <w:t> </w:t>
      </w:r>
      <w:r>
        <w:rPr/>
        <w:t>tutoring,</w:t>
      </w:r>
      <w:r>
        <w:rPr>
          <w:spacing w:val="-20"/>
        </w:rPr>
        <w:t> </w:t>
      </w:r>
      <w:r>
        <w:rPr/>
        <w:t>timely blogs</w:t>
      </w:r>
      <w:r>
        <w:rPr>
          <w:spacing w:val="-19"/>
        </w:rPr>
        <w:t> </w:t>
      </w:r>
      <w:r>
        <w:rPr/>
        <w:t>and</w:t>
      </w:r>
      <w:r>
        <w:rPr>
          <w:spacing w:val="-19"/>
        </w:rPr>
        <w:t> </w:t>
      </w:r>
      <w:r>
        <w:rPr/>
        <w:t>‘lifehacks’.</w:t>
      </w:r>
      <w:r>
        <w:rPr>
          <w:spacing w:val="-19"/>
        </w:rPr>
        <w:t> </w:t>
      </w:r>
      <w:r>
        <w:rPr/>
        <w:t>It</w:t>
      </w:r>
      <w:r>
        <w:rPr>
          <w:spacing w:val="-19"/>
        </w:rPr>
        <w:t> </w:t>
      </w:r>
      <w:r>
        <w:rPr/>
        <w:t>is</w:t>
      </w:r>
      <w:r>
        <w:rPr>
          <w:spacing w:val="-19"/>
        </w:rPr>
        <w:t> </w:t>
      </w:r>
      <w:r>
        <w:rPr/>
        <w:t>on</w:t>
      </w:r>
      <w:r>
        <w:rPr>
          <w:spacing w:val="-19"/>
        </w:rPr>
        <w:t> </w:t>
      </w:r>
      <w:r>
        <w:rPr/>
        <w:t>the</w:t>
      </w:r>
      <w:r>
        <w:rPr>
          <w:spacing w:val="-19"/>
        </w:rPr>
        <w:t> </w:t>
      </w:r>
      <w:r>
        <w:rPr/>
        <w:t>same</w:t>
      </w:r>
      <w:r>
        <w:rPr>
          <w:spacing w:val="-19"/>
        </w:rPr>
        <w:t> </w:t>
      </w:r>
      <w:r>
        <w:rPr/>
        <w:t>platform as</w:t>
      </w:r>
      <w:r>
        <w:rPr>
          <w:spacing w:val="-26"/>
        </w:rPr>
        <w:t> </w:t>
      </w:r>
      <w:r>
        <w:rPr/>
        <w:t>Western</w:t>
      </w:r>
      <w:r>
        <w:rPr>
          <w:spacing w:val="-26"/>
        </w:rPr>
        <w:t> </w:t>
      </w:r>
      <w:r>
        <w:rPr/>
        <w:t>Central.</w:t>
      </w:r>
    </w:p>
    <w:p>
      <w:pPr>
        <w:pStyle w:val="BodyText"/>
        <w:rPr>
          <w:sz w:val="14"/>
        </w:rPr>
      </w:pPr>
    </w:p>
    <w:p>
      <w:pPr>
        <w:pStyle w:val="BodyText"/>
        <w:ind w:left="107" w:right="287"/>
      </w:pPr>
      <w:r>
        <w:rPr>
          <w:rFonts w:ascii="Calibri"/>
          <w:w w:val="105"/>
        </w:rPr>
        <w:t>Career/Course Mapping </w:t>
      </w:r>
      <w:r>
        <w:rPr>
          <w:w w:val="105"/>
        </w:rPr>
        <w:t>aims to enrich</w:t>
      </w:r>
    </w:p>
    <w:p>
      <w:pPr>
        <w:spacing w:after="0"/>
        <w:sectPr>
          <w:type w:val="continuous"/>
          <w:pgSz w:w="11910" w:h="16840"/>
          <w:pgMar w:top="1580" w:bottom="280" w:left="800" w:right="800"/>
          <w:cols w:num="3" w:equalWidth="0">
            <w:col w:w="3320" w:space="106"/>
            <w:col w:w="3329" w:space="123"/>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4"/>
      </w:pPr>
      <w:r>
        <w:rPr/>
        <w:t>Western</w:t>
      </w:r>
      <w:r>
        <w:rPr>
          <w:spacing w:val="-24"/>
        </w:rPr>
        <w:t> </w:t>
      </w:r>
      <w:r>
        <w:rPr/>
        <w:t>Central</w:t>
      </w:r>
      <w:r>
        <w:rPr>
          <w:spacing w:val="-24"/>
        </w:rPr>
        <w:t> </w:t>
      </w:r>
      <w:r>
        <w:rPr/>
        <w:t>and</w:t>
      </w:r>
      <w:r>
        <w:rPr>
          <w:spacing w:val="-24"/>
        </w:rPr>
        <w:t> </w:t>
      </w:r>
      <w:r>
        <w:rPr/>
        <w:t>future</w:t>
      </w:r>
      <w:r>
        <w:rPr>
          <w:spacing w:val="-24"/>
        </w:rPr>
        <w:t> </w:t>
      </w:r>
      <w:r>
        <w:rPr/>
        <w:t>Pathways</w:t>
      </w:r>
      <w:r>
        <w:rPr>
          <w:spacing w:val="-24"/>
        </w:rPr>
        <w:t> </w:t>
      </w:r>
      <w:r>
        <w:rPr/>
        <w:t>content. It gives prospective and current students career and University course data to build a detailed pathway from aspiration to personal interests, study goals and finally their ideal profession. Career/Course Mapping is also being developed on the Western Central </w:t>
      </w:r>
      <w:r>
        <w:rPr>
          <w:w w:val="98"/>
        </w:rPr>
        <w:t>platform</w:t>
      </w:r>
      <w:r>
        <w:rPr>
          <w:spacing w:val="-11"/>
          <w:w w:val="98"/>
        </w:rPr>
        <w:t> </w:t>
      </w:r>
      <w:r>
        <w:rPr>
          <w:spacing w:val="1"/>
          <w:w w:val="97"/>
        </w:rPr>
        <w:t>and</w:t>
      </w:r>
      <w:r>
        <w:rPr>
          <w:spacing w:val="-10"/>
          <w:w w:val="97"/>
        </w:rPr>
        <w:t> </w:t>
      </w:r>
      <w:r>
        <w:rPr>
          <w:w w:val="95"/>
        </w:rPr>
        <w:t>is</w:t>
      </w:r>
      <w:r>
        <w:rPr>
          <w:spacing w:val="-9"/>
          <w:w w:val="95"/>
        </w:rPr>
        <w:t> </w:t>
      </w:r>
      <w:r>
        <w:rPr>
          <w:w w:val="97"/>
        </w:rPr>
        <w:t>due</w:t>
      </w:r>
      <w:r>
        <w:rPr>
          <w:spacing w:val="-10"/>
          <w:w w:val="97"/>
        </w:rPr>
        <w:t> </w:t>
      </w:r>
      <w:r>
        <w:rPr>
          <w:spacing w:val="-2"/>
          <w:w w:val="101"/>
        </w:rPr>
        <w:t>to</w:t>
      </w:r>
      <w:r>
        <w:rPr>
          <w:spacing w:val="-12"/>
          <w:w w:val="101"/>
        </w:rPr>
        <w:t> </w:t>
      </w:r>
      <w:r>
        <w:rPr>
          <w:w w:val="99"/>
        </w:rPr>
        <w:t>be</w:t>
      </w:r>
      <w:r>
        <w:rPr>
          <w:spacing w:val="-11"/>
          <w:w w:val="99"/>
        </w:rPr>
        <w:t> </w:t>
      </w:r>
      <w:r>
        <w:rPr>
          <w:w w:val="96"/>
        </w:rPr>
        <w:t>available</w:t>
      </w:r>
      <w:r>
        <w:rPr>
          <w:spacing w:val="-10"/>
          <w:w w:val="96"/>
        </w:rPr>
        <w:t> </w:t>
      </w:r>
      <w:r>
        <w:rPr>
          <w:w w:val="95"/>
        </w:rPr>
        <w:t>in</w:t>
      </w:r>
      <w:r>
        <w:rPr>
          <w:spacing w:val="-9"/>
          <w:w w:val="95"/>
        </w:rPr>
        <w:t> </w:t>
      </w:r>
      <w:r>
        <w:rPr>
          <w:w w:val="91"/>
        </w:rPr>
        <w:t>mid-2016.</w:t>
      </w:r>
    </w:p>
    <w:p>
      <w:pPr>
        <w:pStyle w:val="BodyText"/>
        <w:spacing w:before="7"/>
        <w:rPr>
          <w:sz w:val="21"/>
        </w:rPr>
      </w:pPr>
    </w:p>
    <w:p>
      <w:pPr>
        <w:pStyle w:val="Heading8"/>
        <w:spacing w:line="249" w:lineRule="auto"/>
        <w:ind w:right="17"/>
      </w:pPr>
      <w:r>
        <w:rPr>
          <w:w w:val="95"/>
        </w:rPr>
        <w:t>SCHOLARSHIPS AND STUDENT </w:t>
      </w:r>
      <w:r>
        <w:rPr/>
        <w:t>ADVANCEMENT</w:t>
      </w:r>
    </w:p>
    <w:p>
      <w:pPr>
        <w:pStyle w:val="BodyText"/>
        <w:spacing w:line="249" w:lineRule="auto" w:before="79"/>
        <w:ind w:left="107" w:right="13"/>
      </w:pPr>
      <w:r>
        <w:rPr>
          <w:spacing w:val="1"/>
          <w:w w:val="80"/>
        </w:rPr>
        <w:t>In</w:t>
      </w:r>
      <w:r>
        <w:rPr>
          <w:w w:val="80"/>
        </w:rPr>
        <w:t> </w:t>
      </w:r>
      <w:r>
        <w:rPr>
          <w:spacing w:val="1"/>
          <w:w w:val="84"/>
        </w:rPr>
        <w:t>2015,</w:t>
      </w:r>
      <w:r>
        <w:rPr>
          <w:w w:val="84"/>
        </w:rPr>
        <w:t> </w:t>
      </w:r>
      <w:r>
        <w:rPr>
          <w:w w:val="97"/>
        </w:rPr>
        <w:t>the </w:t>
      </w:r>
      <w:r>
        <w:rPr>
          <w:spacing w:val="1"/>
          <w:w w:val="97"/>
        </w:rPr>
        <w:t>University</w:t>
      </w:r>
      <w:r>
        <w:rPr>
          <w:w w:val="97"/>
        </w:rPr>
        <w:t> </w:t>
      </w:r>
      <w:r>
        <w:rPr>
          <w:w w:val="98"/>
        </w:rPr>
        <w:t>offered </w:t>
      </w:r>
      <w:r>
        <w:rPr>
          <w:w w:val="97"/>
        </w:rPr>
        <w:t>more </w:t>
      </w:r>
      <w:r>
        <w:rPr>
          <w:spacing w:val="1"/>
          <w:w w:val="97"/>
        </w:rPr>
        <w:t>than</w:t>
      </w:r>
      <w:r>
        <w:rPr>
          <w:w w:val="97"/>
        </w:rPr>
        <w:t> </w:t>
      </w:r>
      <w:r>
        <w:rPr>
          <w:spacing w:val="1"/>
          <w:w w:val="100"/>
        </w:rPr>
        <w:t>350</w:t>
      </w:r>
      <w:r>
        <w:rPr>
          <w:w w:val="100"/>
        </w:rPr>
        <w:t> </w:t>
      </w:r>
      <w:r>
        <w:rPr/>
        <w:t>University-funded scholarships to current students, school leavers and mature age students from the Western Sydney region. The</w:t>
      </w:r>
      <w:r>
        <w:rPr>
          <w:spacing w:val="-17"/>
        </w:rPr>
        <w:t> </w:t>
      </w:r>
      <w:r>
        <w:rPr/>
        <w:t>scholarship</w:t>
      </w:r>
      <w:r>
        <w:rPr>
          <w:spacing w:val="-17"/>
        </w:rPr>
        <w:t> </w:t>
      </w:r>
      <w:r>
        <w:rPr/>
        <w:t>program</w:t>
      </w:r>
      <w:r>
        <w:rPr>
          <w:spacing w:val="-17"/>
        </w:rPr>
        <w:t> </w:t>
      </w:r>
      <w:r>
        <w:rPr/>
        <w:t>recognises</w:t>
      </w:r>
      <w:r>
        <w:rPr>
          <w:spacing w:val="-17"/>
        </w:rPr>
        <w:t> </w:t>
      </w:r>
      <w:r>
        <w:rPr/>
        <w:t>a</w:t>
      </w:r>
      <w:r>
        <w:rPr>
          <w:spacing w:val="-17"/>
        </w:rPr>
        <w:t> </w:t>
      </w:r>
      <w:r>
        <w:rPr/>
        <w:t>number of categories including academic, leadership, community</w:t>
      </w:r>
      <w:r>
        <w:rPr>
          <w:spacing w:val="-20"/>
        </w:rPr>
        <w:t> </w:t>
      </w:r>
      <w:r>
        <w:rPr/>
        <w:t>involvement</w:t>
      </w:r>
      <w:r>
        <w:rPr>
          <w:spacing w:val="-20"/>
        </w:rPr>
        <w:t> </w:t>
      </w:r>
      <w:r>
        <w:rPr/>
        <w:t>and</w:t>
      </w:r>
      <w:r>
        <w:rPr>
          <w:spacing w:val="-20"/>
        </w:rPr>
        <w:t> </w:t>
      </w:r>
      <w:r>
        <w:rPr/>
        <w:t>disadvantage.</w:t>
      </w:r>
    </w:p>
    <w:p>
      <w:pPr>
        <w:pStyle w:val="BodyText"/>
        <w:rPr>
          <w:sz w:val="14"/>
        </w:rPr>
      </w:pPr>
    </w:p>
    <w:p>
      <w:pPr>
        <w:pStyle w:val="BodyText"/>
        <w:spacing w:line="249" w:lineRule="auto"/>
        <w:ind w:left="107" w:right="223"/>
      </w:pPr>
      <w:r>
        <w:rPr/>
        <w:t>The</w:t>
      </w:r>
      <w:r>
        <w:rPr>
          <w:spacing w:val="-18"/>
        </w:rPr>
        <w:t> </w:t>
      </w:r>
      <w:r>
        <w:rPr/>
        <w:t>scholarships</w:t>
      </w:r>
      <w:r>
        <w:rPr>
          <w:spacing w:val="-18"/>
        </w:rPr>
        <w:t> </w:t>
      </w:r>
      <w:r>
        <w:rPr/>
        <w:t>reward</w:t>
      </w:r>
      <w:r>
        <w:rPr>
          <w:spacing w:val="-18"/>
        </w:rPr>
        <w:t> </w:t>
      </w:r>
      <w:r>
        <w:rPr/>
        <w:t>students</w:t>
      </w:r>
      <w:r>
        <w:rPr>
          <w:spacing w:val="-18"/>
        </w:rPr>
        <w:t> </w:t>
      </w:r>
      <w:r>
        <w:rPr/>
        <w:t>in</w:t>
      </w:r>
      <w:r>
        <w:rPr>
          <w:spacing w:val="-18"/>
        </w:rPr>
        <w:t> </w:t>
      </w:r>
      <w:r>
        <w:rPr/>
        <w:t>areas of</w:t>
      </w:r>
      <w:r>
        <w:rPr>
          <w:spacing w:val="-16"/>
        </w:rPr>
        <w:t> </w:t>
      </w:r>
      <w:r>
        <w:rPr/>
        <w:t>excellence,</w:t>
      </w:r>
      <w:r>
        <w:rPr>
          <w:spacing w:val="-16"/>
        </w:rPr>
        <w:t> </w:t>
      </w:r>
      <w:r>
        <w:rPr/>
        <w:t>giving</w:t>
      </w:r>
      <w:r>
        <w:rPr>
          <w:spacing w:val="-16"/>
        </w:rPr>
        <w:t> </w:t>
      </w:r>
      <w:r>
        <w:rPr/>
        <w:t>opportunities</w:t>
      </w:r>
      <w:r>
        <w:rPr>
          <w:spacing w:val="-16"/>
        </w:rPr>
        <w:t> </w:t>
      </w:r>
      <w:r>
        <w:rPr/>
        <w:t>to</w:t>
      </w:r>
      <w:r>
        <w:rPr>
          <w:spacing w:val="-16"/>
        </w:rPr>
        <w:t> </w:t>
      </w:r>
      <w:r>
        <w:rPr/>
        <w:t>those who</w:t>
      </w:r>
      <w:r>
        <w:rPr>
          <w:spacing w:val="-13"/>
        </w:rPr>
        <w:t> </w:t>
      </w:r>
      <w:r>
        <w:rPr/>
        <w:t>may</w:t>
      </w:r>
      <w:r>
        <w:rPr>
          <w:spacing w:val="-13"/>
        </w:rPr>
        <w:t> </w:t>
      </w:r>
      <w:r>
        <w:rPr/>
        <w:t>not</w:t>
      </w:r>
      <w:r>
        <w:rPr>
          <w:spacing w:val="-13"/>
        </w:rPr>
        <w:t> </w:t>
      </w:r>
      <w:r>
        <w:rPr/>
        <w:t>otherwise</w:t>
      </w:r>
      <w:r>
        <w:rPr>
          <w:spacing w:val="-13"/>
        </w:rPr>
        <w:t> </w:t>
      </w:r>
      <w:r>
        <w:rPr/>
        <w:t>be</w:t>
      </w:r>
      <w:r>
        <w:rPr>
          <w:spacing w:val="-13"/>
        </w:rPr>
        <w:t> </w:t>
      </w:r>
      <w:r>
        <w:rPr/>
        <w:t>able</w:t>
      </w:r>
      <w:r>
        <w:rPr>
          <w:spacing w:val="-13"/>
        </w:rPr>
        <w:t> </w:t>
      </w:r>
      <w:r>
        <w:rPr/>
        <w:t>to</w:t>
      </w:r>
      <w:r>
        <w:rPr>
          <w:spacing w:val="-13"/>
        </w:rPr>
        <w:t> </w:t>
      </w:r>
      <w:r>
        <w:rPr/>
        <w:t>study</w:t>
      </w:r>
      <w:r>
        <w:rPr>
          <w:spacing w:val="-13"/>
        </w:rPr>
        <w:t> </w:t>
      </w:r>
      <w:r>
        <w:rPr/>
        <w:t>at</w:t>
      </w:r>
    </w:p>
    <w:p>
      <w:pPr>
        <w:pStyle w:val="BodyText"/>
        <w:spacing w:line="249" w:lineRule="auto"/>
        <w:ind w:left="107" w:right="61"/>
      </w:pPr>
      <w:r>
        <w:rPr/>
        <w:t>university. Generous community donors also continue to enrich the scholarship program.</w:t>
      </w:r>
    </w:p>
    <w:p>
      <w:pPr>
        <w:pStyle w:val="BodyText"/>
        <w:rPr>
          <w:sz w:val="14"/>
        </w:rPr>
      </w:pPr>
    </w:p>
    <w:p>
      <w:pPr>
        <w:pStyle w:val="BodyText"/>
        <w:spacing w:line="249" w:lineRule="auto"/>
        <w:ind w:left="107" w:right="-4"/>
      </w:pPr>
      <w:r>
        <w:rPr/>
        <w:t>The Scholarships and Student Advancement team continues to build strong relationships with a number of high schools in the region, offering</w:t>
      </w:r>
      <w:r>
        <w:rPr>
          <w:spacing w:val="-17"/>
        </w:rPr>
        <w:t> </w:t>
      </w:r>
      <w:r>
        <w:rPr/>
        <w:t>master</w:t>
      </w:r>
      <w:r>
        <w:rPr>
          <w:spacing w:val="-17"/>
        </w:rPr>
        <w:t> </w:t>
      </w:r>
      <w:r>
        <w:rPr/>
        <w:t>classes</w:t>
      </w:r>
      <w:r>
        <w:rPr>
          <w:spacing w:val="-17"/>
        </w:rPr>
        <w:t> </w:t>
      </w:r>
      <w:r>
        <w:rPr/>
        <w:t>for</w:t>
      </w:r>
      <w:r>
        <w:rPr>
          <w:spacing w:val="-17"/>
        </w:rPr>
        <w:t> </w:t>
      </w:r>
      <w:r>
        <w:rPr/>
        <w:t>students,</w:t>
      </w:r>
      <w:r>
        <w:rPr>
          <w:spacing w:val="-17"/>
        </w:rPr>
        <w:t> </w:t>
      </w:r>
      <w:r>
        <w:rPr/>
        <w:t>providing information about available scholarships and the</w:t>
      </w:r>
      <w:r>
        <w:rPr>
          <w:spacing w:val="-17"/>
        </w:rPr>
        <w:t> </w:t>
      </w:r>
      <w:r>
        <w:rPr/>
        <w:t>University</w:t>
      </w:r>
      <w:r>
        <w:rPr>
          <w:spacing w:val="-17"/>
        </w:rPr>
        <w:t> </w:t>
      </w:r>
      <w:r>
        <w:rPr/>
        <w:t>application</w:t>
      </w:r>
      <w:r>
        <w:rPr>
          <w:spacing w:val="-17"/>
        </w:rPr>
        <w:t> </w:t>
      </w:r>
      <w:r>
        <w:rPr/>
        <w:t>process.</w:t>
      </w:r>
    </w:p>
    <w:p>
      <w:pPr>
        <w:pStyle w:val="BodyText"/>
        <w:rPr>
          <w:sz w:val="14"/>
        </w:rPr>
      </w:pPr>
    </w:p>
    <w:p>
      <w:pPr>
        <w:pStyle w:val="BodyText"/>
        <w:spacing w:line="249" w:lineRule="auto"/>
        <w:ind w:left="107" w:right="278"/>
      </w:pPr>
      <w:r>
        <w:rPr/>
        <w:t>This year, eight students received the Vice-Chancellor’s Leadership Scholarship, the highest number awarded since the scholarship’s inception. These students</w:t>
      </w:r>
    </w:p>
    <w:p>
      <w:pPr>
        <w:pStyle w:val="BodyText"/>
        <w:spacing w:line="249" w:lineRule="auto"/>
        <w:ind w:left="107" w:right="223"/>
      </w:pPr>
      <w:r>
        <w:rPr/>
        <w:t>all showed strong academic achievement and a commitment to leadership and their community.</w:t>
      </w:r>
    </w:p>
    <w:p>
      <w:pPr>
        <w:pStyle w:val="BodyText"/>
        <w:spacing w:before="7"/>
        <w:rPr>
          <w:sz w:val="21"/>
        </w:rPr>
      </w:pPr>
    </w:p>
    <w:p>
      <w:pPr>
        <w:pStyle w:val="Heading8"/>
        <w:ind w:right="17"/>
      </w:pPr>
      <w:r>
        <w:rPr>
          <w:w w:val="95"/>
        </w:rPr>
        <w:t>CONTACT SERVICES</w:t>
      </w:r>
    </w:p>
    <w:p>
      <w:pPr>
        <w:pStyle w:val="BodyText"/>
        <w:spacing w:line="249" w:lineRule="auto" w:before="86"/>
        <w:ind w:left="107" w:right="95"/>
      </w:pPr>
      <w:r>
        <w:rPr>
          <w:w w:val="80"/>
        </w:rPr>
        <w:t>In </w:t>
      </w:r>
      <w:r>
        <w:rPr>
          <w:w w:val="84"/>
        </w:rPr>
        <w:t>2015, </w:t>
      </w:r>
      <w:r>
        <w:rPr>
          <w:w w:val="97"/>
        </w:rPr>
        <w:t>the </w:t>
      </w:r>
      <w:r>
        <w:rPr>
          <w:w w:val="97"/>
        </w:rPr>
        <w:t>University’s </w:t>
      </w:r>
      <w:r>
        <w:rPr>
          <w:w w:val="100"/>
        </w:rPr>
        <w:t>Contact </w:t>
      </w:r>
      <w:r>
        <w:rPr>
          <w:w w:val="97"/>
        </w:rPr>
        <w:t>Service </w:t>
      </w:r>
      <w:r>
        <w:rPr>
          <w:w w:val="97"/>
        </w:rPr>
        <w:t>Centre </w:t>
      </w:r>
      <w:r>
        <w:rPr>
          <w:w w:val="99"/>
        </w:rPr>
        <w:t>(CSC) </w:t>
      </w:r>
      <w:r>
        <w:rPr>
          <w:w w:val="97"/>
        </w:rPr>
        <w:t>answered </w:t>
      </w:r>
      <w:r>
        <w:rPr>
          <w:w w:val="97"/>
        </w:rPr>
        <w:t>more </w:t>
      </w:r>
      <w:r>
        <w:rPr>
          <w:w w:val="97"/>
        </w:rPr>
        <w:t>than </w:t>
      </w:r>
      <w:r>
        <w:rPr>
          <w:w w:val="91"/>
        </w:rPr>
        <w:t>172,000 </w:t>
      </w:r>
      <w:r>
        <w:rPr/>
        <w:t>phone calls, responded to over 84,000 </w:t>
      </w:r>
      <w:r>
        <w:rPr>
          <w:w w:val="92"/>
        </w:rPr>
        <w:t>emails, </w:t>
      </w:r>
      <w:r>
        <w:rPr>
          <w:w w:val="98"/>
        </w:rPr>
        <w:t>processed </w:t>
      </w:r>
      <w:r>
        <w:rPr>
          <w:w w:val="88"/>
        </w:rPr>
        <w:t>21,500 </w:t>
      </w:r>
      <w:r>
        <w:rPr>
          <w:w w:val="99"/>
        </w:rPr>
        <w:t>web </w:t>
      </w:r>
      <w:r>
        <w:rPr>
          <w:w w:val="96"/>
        </w:rPr>
        <w:t>enquiries </w:t>
      </w:r>
      <w:r>
        <w:rPr>
          <w:w w:val="97"/>
        </w:rPr>
        <w:t>and </w:t>
      </w:r>
      <w:r>
        <w:rPr>
          <w:w w:val="99"/>
        </w:rPr>
        <w:t>posted </w:t>
      </w:r>
      <w:r>
        <w:rPr>
          <w:w w:val="97"/>
        </w:rPr>
        <w:t>more </w:t>
      </w:r>
      <w:r>
        <w:rPr>
          <w:w w:val="97"/>
        </w:rPr>
        <w:t>than </w:t>
      </w:r>
      <w:r>
        <w:rPr>
          <w:w w:val="91"/>
        </w:rPr>
        <w:t>13,000 </w:t>
      </w:r>
      <w:r>
        <w:rPr>
          <w:w w:val="97"/>
        </w:rPr>
        <w:t>course </w:t>
      </w:r>
      <w:r>
        <w:rPr>
          <w:w w:val="97"/>
        </w:rPr>
        <w:t>information </w:t>
      </w:r>
      <w:r>
        <w:rPr/>
        <w:t>packages.</w:t>
      </w:r>
    </w:p>
    <w:p>
      <w:pPr>
        <w:pStyle w:val="BodyText"/>
        <w:rPr>
          <w:sz w:val="14"/>
        </w:rPr>
      </w:pPr>
    </w:p>
    <w:p>
      <w:pPr>
        <w:pStyle w:val="BodyText"/>
        <w:spacing w:line="249" w:lineRule="auto"/>
        <w:ind w:left="107" w:right="17"/>
      </w:pPr>
      <w:r>
        <w:rPr/>
        <w:t>Performance monitoring company Customer Service Benchmarking Australia (CSBA) assesses the University every quarter, comparing it with other tertiary institutions </w:t>
      </w:r>
      <w:r>
        <w:rPr>
          <w:w w:val="97"/>
        </w:rPr>
        <w:t>and </w:t>
      </w:r>
      <w:r>
        <w:rPr>
          <w:w w:val="97"/>
        </w:rPr>
        <w:t>call </w:t>
      </w:r>
      <w:r>
        <w:rPr>
          <w:w w:val="97"/>
        </w:rPr>
        <w:t>centres </w:t>
      </w:r>
      <w:r>
        <w:rPr>
          <w:w w:val="95"/>
        </w:rPr>
        <w:t>in </w:t>
      </w:r>
      <w:r>
        <w:rPr>
          <w:w w:val="98"/>
        </w:rPr>
        <w:t>up </w:t>
      </w:r>
      <w:r>
        <w:rPr>
          <w:w w:val="101"/>
        </w:rPr>
        <w:t>to </w:t>
      </w:r>
      <w:r>
        <w:rPr>
          <w:w w:val="87"/>
        </w:rPr>
        <w:t>180 </w:t>
      </w:r>
      <w:r>
        <w:rPr>
          <w:w w:val="96"/>
        </w:rPr>
        <w:t>large </w:t>
      </w:r>
      <w:r>
        <w:rPr>
          <w:w w:val="97"/>
        </w:rPr>
        <w:t>Australian</w:t>
      </w:r>
    </w:p>
    <w:p>
      <w:pPr>
        <w:pStyle w:val="BodyText"/>
        <w:spacing w:before="2"/>
        <w:rPr>
          <w:sz w:val="20"/>
        </w:rPr>
      </w:pPr>
      <w:r>
        <w:rPr/>
        <w:br w:type="column"/>
      </w:r>
      <w:r>
        <w:rPr>
          <w:sz w:val="20"/>
        </w:rPr>
      </w:r>
    </w:p>
    <w:p>
      <w:pPr>
        <w:pStyle w:val="BodyText"/>
        <w:spacing w:line="249" w:lineRule="auto"/>
        <w:ind w:left="107" w:right="89"/>
      </w:pPr>
      <w:r>
        <w:rPr/>
        <w:t>businesses</w:t>
      </w:r>
      <w:r>
        <w:rPr>
          <w:spacing w:val="-20"/>
        </w:rPr>
        <w:t> </w:t>
      </w:r>
      <w:r>
        <w:rPr/>
        <w:t>across</w:t>
      </w:r>
      <w:r>
        <w:rPr>
          <w:spacing w:val="-20"/>
        </w:rPr>
        <w:t> </w:t>
      </w:r>
      <w:r>
        <w:rPr/>
        <w:t>different</w:t>
      </w:r>
      <w:r>
        <w:rPr>
          <w:spacing w:val="-20"/>
        </w:rPr>
        <w:t> </w:t>
      </w:r>
      <w:r>
        <w:rPr/>
        <w:t>sectors,</w:t>
      </w:r>
      <w:r>
        <w:rPr>
          <w:spacing w:val="-20"/>
        </w:rPr>
        <w:t> </w:t>
      </w:r>
      <w:r>
        <w:rPr/>
        <w:t>including banking, airlines, telecommunications and utilities. A ‘mystery shopping’ method is used to contact up to 33 tertiary education organisations</w:t>
      </w:r>
      <w:r>
        <w:rPr>
          <w:spacing w:val="-32"/>
        </w:rPr>
        <w:t> </w:t>
      </w:r>
      <w:r>
        <w:rPr/>
        <w:t>each</w:t>
      </w:r>
      <w:r>
        <w:rPr>
          <w:spacing w:val="-32"/>
        </w:rPr>
        <w:t> </w:t>
      </w:r>
      <w:r>
        <w:rPr/>
        <w:t>quarter.</w:t>
      </w:r>
    </w:p>
    <w:p>
      <w:pPr>
        <w:pStyle w:val="BodyText"/>
        <w:rPr>
          <w:sz w:val="14"/>
        </w:rPr>
      </w:pPr>
    </w:p>
    <w:p>
      <w:pPr>
        <w:pStyle w:val="BodyText"/>
        <w:spacing w:line="249" w:lineRule="auto"/>
        <w:ind w:left="107" w:right="-14"/>
      </w:pPr>
      <w:r>
        <w:rPr>
          <w:spacing w:val="1"/>
          <w:w w:val="80"/>
        </w:rPr>
        <w:t>In</w:t>
      </w:r>
      <w:r>
        <w:rPr>
          <w:w w:val="80"/>
        </w:rPr>
        <w:t> </w:t>
      </w:r>
      <w:r>
        <w:rPr>
          <w:spacing w:val="1"/>
          <w:w w:val="84"/>
        </w:rPr>
        <w:t>2015,</w:t>
      </w:r>
      <w:r>
        <w:rPr>
          <w:w w:val="84"/>
        </w:rPr>
        <w:t> </w:t>
      </w:r>
      <w:r>
        <w:rPr>
          <w:w w:val="97"/>
        </w:rPr>
        <w:t>the </w:t>
      </w:r>
      <w:r>
        <w:rPr>
          <w:spacing w:val="2"/>
          <w:w w:val="100"/>
        </w:rPr>
        <w:t>CSC</w:t>
      </w:r>
      <w:r>
        <w:rPr>
          <w:w w:val="100"/>
        </w:rPr>
        <w:t> </w:t>
      </w:r>
      <w:r>
        <w:rPr>
          <w:w w:val="98"/>
        </w:rPr>
        <w:t>consistently </w:t>
      </w:r>
      <w:r>
        <w:rPr>
          <w:w w:val="98"/>
        </w:rPr>
        <w:t>received </w:t>
      </w:r>
      <w:r>
        <w:rPr>
          <w:spacing w:val="1"/>
          <w:w w:val="96"/>
        </w:rPr>
        <w:t>results</w:t>
      </w:r>
      <w:r>
        <w:rPr>
          <w:w w:val="96"/>
        </w:rPr>
        <w:t> </w:t>
      </w:r>
      <w:r>
        <w:rPr/>
        <w:t>above</w:t>
      </w:r>
      <w:r>
        <w:rPr>
          <w:spacing w:val="-23"/>
        </w:rPr>
        <w:t> </w:t>
      </w:r>
      <w:r>
        <w:rPr/>
        <w:t>the</w:t>
      </w:r>
      <w:r>
        <w:rPr>
          <w:spacing w:val="-23"/>
        </w:rPr>
        <w:t> </w:t>
      </w:r>
      <w:r>
        <w:rPr/>
        <w:t>sector</w:t>
      </w:r>
      <w:r>
        <w:rPr>
          <w:spacing w:val="-23"/>
        </w:rPr>
        <w:t> </w:t>
      </w:r>
      <w:r>
        <w:rPr/>
        <w:t>average.</w:t>
      </w:r>
      <w:r>
        <w:rPr>
          <w:spacing w:val="-23"/>
        </w:rPr>
        <w:t> </w:t>
      </w:r>
      <w:r>
        <w:rPr/>
        <w:t>In</w:t>
      </w:r>
      <w:r>
        <w:rPr>
          <w:spacing w:val="-23"/>
        </w:rPr>
        <w:t> </w:t>
      </w:r>
      <w:r>
        <w:rPr/>
        <w:t>three</w:t>
      </w:r>
      <w:r>
        <w:rPr>
          <w:spacing w:val="-23"/>
        </w:rPr>
        <w:t> </w:t>
      </w:r>
      <w:r>
        <w:rPr/>
        <w:t>quarters,</w:t>
      </w:r>
      <w:r>
        <w:rPr>
          <w:spacing w:val="-23"/>
        </w:rPr>
        <w:t> </w:t>
      </w:r>
      <w:r>
        <w:rPr/>
        <w:t>all communication and enquiry resolution skills were</w:t>
      </w:r>
      <w:r>
        <w:rPr>
          <w:spacing w:val="-16"/>
        </w:rPr>
        <w:t> </w:t>
      </w:r>
      <w:r>
        <w:rPr/>
        <w:t>rated</w:t>
      </w:r>
      <w:r>
        <w:rPr>
          <w:spacing w:val="-16"/>
        </w:rPr>
        <w:t> </w:t>
      </w:r>
      <w:r>
        <w:rPr/>
        <w:t>at</w:t>
      </w:r>
      <w:r>
        <w:rPr>
          <w:spacing w:val="-16"/>
        </w:rPr>
        <w:t> </w:t>
      </w:r>
      <w:r>
        <w:rPr>
          <w:spacing w:val="2"/>
        </w:rPr>
        <w:t>96</w:t>
      </w:r>
      <w:r>
        <w:rPr>
          <w:spacing w:val="-16"/>
        </w:rPr>
        <w:t> </w:t>
      </w:r>
      <w:r>
        <w:rPr/>
        <w:t>per</w:t>
      </w:r>
      <w:r>
        <w:rPr>
          <w:spacing w:val="-16"/>
        </w:rPr>
        <w:t> </w:t>
      </w:r>
      <w:r>
        <w:rPr/>
        <w:t>cent</w:t>
      </w:r>
      <w:r>
        <w:rPr>
          <w:spacing w:val="-16"/>
        </w:rPr>
        <w:t> </w:t>
      </w:r>
      <w:r>
        <w:rPr/>
        <w:t>and</w:t>
      </w:r>
      <w:r>
        <w:rPr>
          <w:spacing w:val="-16"/>
        </w:rPr>
        <w:t> </w:t>
      </w:r>
      <w:r>
        <w:rPr/>
        <w:t>above.</w:t>
      </w:r>
      <w:r>
        <w:rPr>
          <w:spacing w:val="-16"/>
        </w:rPr>
        <w:t> </w:t>
      </w:r>
      <w:r>
        <w:rPr/>
        <w:t>The</w:t>
      </w:r>
      <w:r>
        <w:rPr>
          <w:spacing w:val="-16"/>
        </w:rPr>
        <w:t> </w:t>
      </w:r>
      <w:r>
        <w:rPr>
          <w:spacing w:val="2"/>
        </w:rPr>
        <w:t>CSC </w:t>
      </w:r>
      <w:r>
        <w:rPr/>
        <w:t>consistently ranks as the number one tertiary call</w:t>
      </w:r>
      <w:r>
        <w:rPr>
          <w:spacing w:val="-16"/>
        </w:rPr>
        <w:t> </w:t>
      </w:r>
      <w:r>
        <w:rPr/>
        <w:t>centre</w:t>
      </w:r>
      <w:r>
        <w:rPr>
          <w:spacing w:val="-16"/>
        </w:rPr>
        <w:t> </w:t>
      </w:r>
      <w:r>
        <w:rPr/>
        <w:t>in</w:t>
      </w:r>
      <w:r>
        <w:rPr>
          <w:spacing w:val="-16"/>
        </w:rPr>
        <w:t> </w:t>
      </w:r>
      <w:r>
        <w:rPr/>
        <w:t>NSW,</w:t>
      </w:r>
      <w:r>
        <w:rPr>
          <w:spacing w:val="-16"/>
        </w:rPr>
        <w:t> </w:t>
      </w:r>
      <w:r>
        <w:rPr/>
        <w:t>as</w:t>
      </w:r>
      <w:r>
        <w:rPr>
          <w:spacing w:val="-16"/>
        </w:rPr>
        <w:t> </w:t>
      </w:r>
      <w:r>
        <w:rPr/>
        <w:t>well</w:t>
      </w:r>
      <w:r>
        <w:rPr>
          <w:spacing w:val="-16"/>
        </w:rPr>
        <w:t> </w:t>
      </w:r>
      <w:r>
        <w:rPr/>
        <w:t>as</w:t>
      </w:r>
      <w:r>
        <w:rPr>
          <w:spacing w:val="-16"/>
        </w:rPr>
        <w:t> </w:t>
      </w:r>
      <w:r>
        <w:rPr/>
        <w:t>being</w:t>
      </w:r>
      <w:r>
        <w:rPr>
          <w:spacing w:val="-16"/>
        </w:rPr>
        <w:t> </w:t>
      </w:r>
      <w:r>
        <w:rPr/>
        <w:t>in</w:t>
      </w:r>
      <w:r>
        <w:rPr>
          <w:spacing w:val="-16"/>
        </w:rPr>
        <w:t> </w:t>
      </w:r>
      <w:r>
        <w:rPr/>
        <w:t>the</w:t>
      </w:r>
      <w:r>
        <w:rPr>
          <w:spacing w:val="-16"/>
        </w:rPr>
        <w:t> </w:t>
      </w:r>
      <w:r>
        <w:rPr/>
        <w:t>top four</w:t>
      </w:r>
      <w:r>
        <w:rPr>
          <w:spacing w:val="-22"/>
        </w:rPr>
        <w:t> </w:t>
      </w:r>
      <w:r>
        <w:rPr/>
        <w:t>in</w:t>
      </w:r>
      <w:r>
        <w:rPr>
          <w:spacing w:val="-22"/>
        </w:rPr>
        <w:t> </w:t>
      </w:r>
      <w:r>
        <w:rPr/>
        <w:t>the</w:t>
      </w:r>
      <w:r>
        <w:rPr>
          <w:spacing w:val="-22"/>
        </w:rPr>
        <w:t> </w:t>
      </w:r>
      <w:r>
        <w:rPr/>
        <w:t>country.</w:t>
      </w:r>
    </w:p>
    <w:p>
      <w:pPr>
        <w:pStyle w:val="BodyText"/>
        <w:rPr>
          <w:sz w:val="14"/>
        </w:rPr>
      </w:pPr>
    </w:p>
    <w:p>
      <w:pPr>
        <w:pStyle w:val="BodyText"/>
        <w:spacing w:line="249" w:lineRule="auto"/>
        <w:ind w:left="107" w:right="62"/>
      </w:pPr>
      <w:r>
        <w:rPr/>
        <w:t>These extremely satisfying results are testament</w:t>
      </w:r>
      <w:r>
        <w:rPr>
          <w:spacing w:val="-14"/>
        </w:rPr>
        <w:t> </w:t>
      </w:r>
      <w:r>
        <w:rPr/>
        <w:t>to</w:t>
      </w:r>
      <w:r>
        <w:rPr>
          <w:spacing w:val="-14"/>
        </w:rPr>
        <w:t> </w:t>
      </w:r>
      <w:r>
        <w:rPr/>
        <w:t>the</w:t>
      </w:r>
      <w:r>
        <w:rPr>
          <w:spacing w:val="-14"/>
        </w:rPr>
        <w:t> </w:t>
      </w:r>
      <w:r>
        <w:rPr/>
        <w:t>hard</w:t>
      </w:r>
      <w:r>
        <w:rPr>
          <w:spacing w:val="-14"/>
        </w:rPr>
        <w:t> </w:t>
      </w:r>
      <w:r>
        <w:rPr/>
        <w:t>work</w:t>
      </w:r>
      <w:r>
        <w:rPr>
          <w:spacing w:val="-14"/>
        </w:rPr>
        <w:t> </w:t>
      </w:r>
      <w:r>
        <w:rPr/>
        <w:t>and</w:t>
      </w:r>
      <w:r>
        <w:rPr>
          <w:spacing w:val="-14"/>
        </w:rPr>
        <w:t> </w:t>
      </w:r>
      <w:r>
        <w:rPr/>
        <w:t>dedication</w:t>
      </w:r>
      <w:r>
        <w:rPr>
          <w:spacing w:val="-14"/>
        </w:rPr>
        <w:t> </w:t>
      </w:r>
      <w:r>
        <w:rPr/>
        <w:t>of the</w:t>
      </w:r>
      <w:r>
        <w:rPr>
          <w:spacing w:val="-17"/>
        </w:rPr>
        <w:t> </w:t>
      </w:r>
      <w:r>
        <w:rPr/>
        <w:t>team,</w:t>
      </w:r>
      <w:r>
        <w:rPr>
          <w:spacing w:val="-17"/>
        </w:rPr>
        <w:t> </w:t>
      </w:r>
      <w:r>
        <w:rPr/>
        <w:t>which</w:t>
      </w:r>
      <w:r>
        <w:rPr>
          <w:spacing w:val="-17"/>
        </w:rPr>
        <w:t> </w:t>
      </w:r>
      <w:r>
        <w:rPr/>
        <w:t>is</w:t>
      </w:r>
      <w:r>
        <w:rPr>
          <w:spacing w:val="-17"/>
        </w:rPr>
        <w:t> </w:t>
      </w:r>
      <w:r>
        <w:rPr/>
        <w:t>staffed</w:t>
      </w:r>
      <w:r>
        <w:rPr>
          <w:spacing w:val="-17"/>
        </w:rPr>
        <w:t> </w:t>
      </w:r>
      <w:r>
        <w:rPr/>
        <w:t>by</w:t>
      </w:r>
      <w:r>
        <w:rPr>
          <w:spacing w:val="-17"/>
        </w:rPr>
        <w:t> </w:t>
      </w:r>
      <w:r>
        <w:rPr/>
        <w:t>Western</w:t>
      </w:r>
      <w:r>
        <w:rPr>
          <w:spacing w:val="-17"/>
        </w:rPr>
        <w:t> </w:t>
      </w:r>
      <w:r>
        <w:rPr/>
        <w:t>Sydney University</w:t>
      </w:r>
      <w:r>
        <w:rPr>
          <w:spacing w:val="-20"/>
        </w:rPr>
        <w:t> </w:t>
      </w:r>
      <w:r>
        <w:rPr/>
        <w:t>students</w:t>
      </w:r>
      <w:r>
        <w:rPr>
          <w:spacing w:val="-20"/>
        </w:rPr>
        <w:t> </w:t>
      </w:r>
      <w:r>
        <w:rPr/>
        <w:t>and</w:t>
      </w:r>
      <w:r>
        <w:rPr>
          <w:spacing w:val="-20"/>
        </w:rPr>
        <w:t> </w:t>
      </w:r>
      <w:r>
        <w:rPr/>
        <w:t>graduates.</w:t>
      </w:r>
    </w:p>
    <w:p>
      <w:pPr>
        <w:pStyle w:val="BodyText"/>
        <w:spacing w:before="7"/>
        <w:rPr>
          <w:sz w:val="21"/>
        </w:rPr>
      </w:pPr>
    </w:p>
    <w:p>
      <w:pPr>
        <w:pStyle w:val="Heading8"/>
        <w:ind w:right="-11"/>
      </w:pPr>
      <w:r>
        <w:rPr/>
        <w:t>EVENTS</w:t>
      </w:r>
    </w:p>
    <w:p>
      <w:pPr>
        <w:pStyle w:val="BodyText"/>
        <w:spacing w:line="249" w:lineRule="auto" w:before="86"/>
        <w:ind w:left="107" w:right="35"/>
      </w:pPr>
      <w:r>
        <w:rPr>
          <w:w w:val="80"/>
        </w:rPr>
        <w:t>In </w:t>
      </w:r>
      <w:r>
        <w:rPr>
          <w:w w:val="84"/>
        </w:rPr>
        <w:t>2015, </w:t>
      </w:r>
      <w:r>
        <w:rPr>
          <w:w w:val="97"/>
        </w:rPr>
        <w:t>the </w:t>
      </w:r>
      <w:r>
        <w:rPr>
          <w:w w:val="98"/>
        </w:rPr>
        <w:t>Student </w:t>
      </w:r>
      <w:r>
        <w:rPr>
          <w:w w:val="98"/>
        </w:rPr>
        <w:t>Events </w:t>
      </w:r>
      <w:r>
        <w:rPr>
          <w:w w:val="97"/>
        </w:rPr>
        <w:t>team </w:t>
      </w:r>
      <w:r>
        <w:rPr>
          <w:w w:val="98"/>
        </w:rPr>
        <w:t>coordinated </w:t>
      </w:r>
      <w:r>
        <w:rPr/>
        <w:t>a number of activities targeting high school and mature age students. These events </w:t>
      </w:r>
      <w:r>
        <w:rPr>
          <w:w w:val="98"/>
        </w:rPr>
        <w:t>engaged </w:t>
      </w:r>
      <w:r>
        <w:rPr>
          <w:w w:val="97"/>
        </w:rPr>
        <w:t>more </w:t>
      </w:r>
      <w:r>
        <w:rPr>
          <w:w w:val="97"/>
        </w:rPr>
        <w:t>than </w:t>
      </w:r>
      <w:r>
        <w:rPr>
          <w:w w:val="82"/>
        </w:rPr>
        <w:t>11,500 </w:t>
      </w:r>
      <w:r>
        <w:rPr>
          <w:w w:val="99"/>
        </w:rPr>
        <w:t>prospective </w:t>
      </w:r>
      <w:r>
        <w:rPr/>
        <w:t>students, showcasing undergraduate and postgraduate courses, services and facilities.</w:t>
      </w:r>
    </w:p>
    <w:p>
      <w:pPr>
        <w:pStyle w:val="BodyText"/>
        <w:rPr>
          <w:sz w:val="14"/>
        </w:rPr>
      </w:pPr>
    </w:p>
    <w:p>
      <w:pPr>
        <w:pStyle w:val="BodyText"/>
        <w:spacing w:line="249" w:lineRule="auto"/>
        <w:ind w:left="107" w:right="188"/>
      </w:pPr>
      <w:r>
        <w:rPr/>
        <w:t>The highlight was Open Day in August, when 6,500 prospective students and guests explored the rebranded Parramatta campus. They engaged in presentations, one-on-one course advice sessions and interactive activities for all areas of study.</w:t>
      </w:r>
    </w:p>
    <w:p>
      <w:pPr>
        <w:pStyle w:val="BodyText"/>
        <w:spacing w:line="249" w:lineRule="auto"/>
        <w:ind w:left="107" w:right="-19"/>
      </w:pPr>
      <w:r>
        <w:rPr/>
        <w:t>Entertainment was also on offer during the </w:t>
      </w:r>
      <w:r>
        <w:rPr>
          <w:w w:val="98"/>
        </w:rPr>
        <w:t>event </w:t>
      </w:r>
      <w:r>
        <w:rPr>
          <w:w w:val="98"/>
        </w:rPr>
        <w:t>that </w:t>
      </w:r>
      <w:r>
        <w:rPr>
          <w:w w:val="98"/>
        </w:rPr>
        <w:t>showcased </w:t>
      </w:r>
      <w:r>
        <w:rPr>
          <w:w w:val="97"/>
        </w:rPr>
        <w:t>the </w:t>
      </w:r>
      <w:r>
        <w:rPr>
          <w:w w:val="90"/>
        </w:rPr>
        <w:t>2016 </w:t>
      </w:r>
      <w:r>
        <w:rPr>
          <w:w w:val="97"/>
        </w:rPr>
        <w:t>undergraduate </w:t>
      </w:r>
      <w:r>
        <w:rPr/>
        <w:t>course offerings and helped prospective students examine their study options prior to applications closing in September.</w:t>
      </w:r>
    </w:p>
    <w:p>
      <w:pPr>
        <w:pStyle w:val="BodyText"/>
        <w:rPr>
          <w:sz w:val="14"/>
        </w:rPr>
      </w:pPr>
    </w:p>
    <w:p>
      <w:pPr>
        <w:pStyle w:val="BodyText"/>
        <w:spacing w:line="249" w:lineRule="auto"/>
        <w:ind w:left="107" w:right="-11"/>
      </w:pPr>
      <w:r>
        <w:rPr>
          <w:w w:val="97"/>
        </w:rPr>
        <w:t>Course </w:t>
      </w:r>
      <w:r>
        <w:rPr>
          <w:w w:val="97"/>
        </w:rPr>
        <w:t>Decision </w:t>
      </w:r>
      <w:r>
        <w:rPr>
          <w:w w:val="98"/>
        </w:rPr>
        <w:t>Day </w:t>
      </w:r>
      <w:r>
        <w:rPr>
          <w:w w:val="95"/>
        </w:rPr>
        <w:t>in </w:t>
      </w:r>
      <w:r>
        <w:rPr>
          <w:w w:val="98"/>
        </w:rPr>
        <w:t>January </w:t>
      </w:r>
      <w:r>
        <w:rPr>
          <w:w w:val="88"/>
        </w:rPr>
        <w:t>2015 </w:t>
      </w:r>
      <w:r>
        <w:rPr>
          <w:w w:val="99"/>
        </w:rPr>
        <w:t>attracted </w:t>
      </w:r>
      <w:r>
        <w:rPr>
          <w:w w:val="97"/>
        </w:rPr>
        <w:t>more </w:t>
      </w:r>
      <w:r>
        <w:rPr>
          <w:w w:val="97"/>
        </w:rPr>
        <w:t>than </w:t>
      </w:r>
      <w:r>
        <w:rPr>
          <w:w w:val="91"/>
        </w:rPr>
        <w:t>1,000 </w:t>
      </w:r>
      <w:r>
        <w:rPr>
          <w:w w:val="99"/>
        </w:rPr>
        <w:t>prospective </w:t>
      </w:r>
      <w:r>
        <w:rPr>
          <w:w w:val="97"/>
        </w:rPr>
        <w:t>students </w:t>
      </w:r>
      <w:r>
        <w:rPr>
          <w:w w:val="97"/>
        </w:rPr>
        <w:t>and </w:t>
      </w:r>
      <w:r>
        <w:rPr/>
        <w:t>guests to the Parramatta campus, where</w:t>
      </w:r>
    </w:p>
    <w:p>
      <w:pPr>
        <w:pStyle w:val="BodyText"/>
        <w:spacing w:line="249" w:lineRule="auto"/>
        <w:ind w:left="107" w:right="164"/>
      </w:pPr>
      <w:r>
        <w:rPr/>
        <w:t>they were able to discuss course options, attend presentations and finalise their UAC preferences.</w:t>
      </w:r>
    </w:p>
    <w:p>
      <w:pPr>
        <w:pStyle w:val="BodyText"/>
        <w:rPr>
          <w:sz w:val="14"/>
        </w:rPr>
      </w:pPr>
    </w:p>
    <w:p>
      <w:pPr>
        <w:pStyle w:val="BodyText"/>
        <w:spacing w:line="249" w:lineRule="auto"/>
        <w:ind w:left="107" w:right="10"/>
      </w:pPr>
      <w:r>
        <w:rPr/>
        <w:t>Four Western U Days were held in June and October across the Parramatta, Kingswood, Bankstown and Campbelltown </w:t>
      </w:r>
      <w:r>
        <w:rPr>
          <w:spacing w:val="2"/>
        </w:rPr>
        <w:t>campuses. </w:t>
      </w:r>
      <w:r>
        <w:rPr/>
        <w:t>More than </w:t>
      </w:r>
      <w:r>
        <w:rPr>
          <w:spacing w:val="2"/>
        </w:rPr>
        <w:t>4,000 </w:t>
      </w:r>
      <w:r>
        <w:rPr/>
        <w:t>prospective year </w:t>
      </w:r>
      <w:r>
        <w:rPr>
          <w:w w:val="95"/>
        </w:rPr>
        <w:t>11 </w:t>
      </w:r>
      <w:r>
        <w:rPr/>
        <w:t>high school students experienced a ‘day in the life of a student’, attending course presentations and</w:t>
      </w:r>
      <w:r>
        <w:rPr>
          <w:spacing w:val="-17"/>
        </w:rPr>
        <w:t> </w:t>
      </w:r>
      <w:r>
        <w:rPr/>
        <w:t>workshops,</w:t>
      </w:r>
      <w:r>
        <w:rPr>
          <w:spacing w:val="-17"/>
        </w:rPr>
        <w:t> </w:t>
      </w:r>
      <w:r>
        <w:rPr/>
        <w:t>and</w:t>
      </w:r>
      <w:r>
        <w:rPr>
          <w:spacing w:val="-17"/>
        </w:rPr>
        <w:t> </w:t>
      </w:r>
      <w:r>
        <w:rPr/>
        <w:t>meeting</w:t>
      </w:r>
      <w:r>
        <w:rPr>
          <w:spacing w:val="-17"/>
        </w:rPr>
        <w:t> </w:t>
      </w:r>
      <w:r>
        <w:rPr/>
        <w:t>current</w:t>
      </w:r>
      <w:r>
        <w:rPr>
          <w:spacing w:val="-17"/>
        </w:rPr>
        <w:t> </w:t>
      </w:r>
      <w:r>
        <w:rPr/>
        <w:t>students from</w:t>
      </w:r>
      <w:r>
        <w:rPr>
          <w:spacing w:val="-20"/>
        </w:rPr>
        <w:t> </w:t>
      </w:r>
      <w:r>
        <w:rPr/>
        <w:t>all</w:t>
      </w:r>
      <w:r>
        <w:rPr>
          <w:spacing w:val="-20"/>
        </w:rPr>
        <w:t> </w:t>
      </w:r>
      <w:r>
        <w:rPr/>
        <w:t>areas</w:t>
      </w:r>
      <w:r>
        <w:rPr>
          <w:spacing w:val="-20"/>
        </w:rPr>
        <w:t> </w:t>
      </w:r>
      <w:r>
        <w:rPr/>
        <w:t>of</w:t>
      </w:r>
      <w:r>
        <w:rPr>
          <w:spacing w:val="-20"/>
        </w:rPr>
        <w:t> </w:t>
      </w:r>
      <w:r>
        <w:rPr/>
        <w:t>study.</w:t>
      </w:r>
      <w:r>
        <w:rPr>
          <w:spacing w:val="-20"/>
        </w:rPr>
        <w:t> </w:t>
      </w:r>
      <w:r>
        <w:rPr/>
        <w:t>These</w:t>
      </w:r>
      <w:r>
        <w:rPr>
          <w:spacing w:val="-20"/>
        </w:rPr>
        <w:t> </w:t>
      </w:r>
      <w:r>
        <w:rPr/>
        <w:t>events</w:t>
      </w:r>
      <w:r>
        <w:rPr>
          <w:spacing w:val="-20"/>
        </w:rPr>
        <w:t> </w:t>
      </w:r>
      <w:r>
        <w:rPr/>
        <w:t>attracted</w:t>
      </w:r>
    </w:p>
    <w:p>
      <w:pPr>
        <w:pStyle w:val="BodyText"/>
        <w:spacing w:before="2"/>
        <w:rPr>
          <w:sz w:val="20"/>
        </w:rPr>
      </w:pPr>
      <w:r>
        <w:rPr/>
        <w:br w:type="column"/>
      </w:r>
      <w:r>
        <w:rPr>
          <w:sz w:val="20"/>
        </w:rPr>
      </w:r>
    </w:p>
    <w:p>
      <w:pPr>
        <w:pStyle w:val="BodyText"/>
        <w:spacing w:line="249" w:lineRule="auto"/>
        <w:ind w:left="112" w:right="33"/>
      </w:pPr>
      <w:r>
        <w:rPr/>
        <w:t>students</w:t>
      </w:r>
      <w:r>
        <w:rPr>
          <w:spacing w:val="-21"/>
        </w:rPr>
        <w:t> </w:t>
      </w:r>
      <w:r>
        <w:rPr/>
        <w:t>from</w:t>
      </w:r>
      <w:r>
        <w:rPr>
          <w:spacing w:val="-21"/>
        </w:rPr>
        <w:t> </w:t>
      </w:r>
      <w:r>
        <w:rPr/>
        <w:t>more</w:t>
      </w:r>
      <w:r>
        <w:rPr>
          <w:spacing w:val="-21"/>
        </w:rPr>
        <w:t> </w:t>
      </w:r>
      <w:r>
        <w:rPr/>
        <w:t>than</w:t>
      </w:r>
      <w:r>
        <w:rPr>
          <w:spacing w:val="-21"/>
        </w:rPr>
        <w:t> </w:t>
      </w:r>
      <w:r>
        <w:rPr/>
        <w:t>145</w:t>
      </w:r>
      <w:r>
        <w:rPr>
          <w:spacing w:val="-21"/>
        </w:rPr>
        <w:t> </w:t>
      </w:r>
      <w:r>
        <w:rPr/>
        <w:t>high</w:t>
      </w:r>
      <w:r>
        <w:rPr>
          <w:spacing w:val="-21"/>
        </w:rPr>
        <w:t> </w:t>
      </w:r>
      <w:r>
        <w:rPr/>
        <w:t>schools across</w:t>
      </w:r>
      <w:r>
        <w:rPr>
          <w:spacing w:val="-31"/>
        </w:rPr>
        <w:t> </w:t>
      </w:r>
      <w:r>
        <w:rPr/>
        <w:t>Western</w:t>
      </w:r>
      <w:r>
        <w:rPr>
          <w:spacing w:val="-31"/>
        </w:rPr>
        <w:t> </w:t>
      </w:r>
      <w:r>
        <w:rPr/>
        <w:t>Sydney.</w:t>
      </w:r>
    </w:p>
    <w:p>
      <w:pPr>
        <w:pStyle w:val="BodyText"/>
        <w:rPr>
          <w:sz w:val="14"/>
        </w:rPr>
      </w:pPr>
    </w:p>
    <w:p>
      <w:pPr>
        <w:pStyle w:val="BodyText"/>
        <w:spacing w:line="249" w:lineRule="auto"/>
        <w:ind w:left="112" w:right="33"/>
      </w:pPr>
      <w:r>
        <w:rPr/>
        <w:t>More than 200 prospective students attended the Mid-Year Entry Information Day in May.</w:t>
      </w:r>
    </w:p>
    <w:p>
      <w:pPr>
        <w:pStyle w:val="BodyText"/>
        <w:spacing w:line="249" w:lineRule="auto"/>
        <w:ind w:left="112" w:right="33"/>
      </w:pPr>
      <w:r>
        <w:rPr/>
        <w:t>The event targeted mature age students seeking information about undergraduate courses available for mid-year admission.</w:t>
      </w:r>
    </w:p>
    <w:p>
      <w:pPr>
        <w:pStyle w:val="BodyText"/>
        <w:rPr>
          <w:sz w:val="14"/>
        </w:rPr>
      </w:pPr>
    </w:p>
    <w:p>
      <w:pPr>
        <w:pStyle w:val="BodyText"/>
        <w:spacing w:line="249" w:lineRule="auto"/>
        <w:ind w:left="112" w:right="306"/>
      </w:pPr>
      <w:r>
        <w:rPr/>
        <w:t>School-based postgraduate information sessions held in May to June and October to November gave prospective students the opportunity to meet academics and course</w:t>
      </w:r>
      <w:r>
        <w:rPr>
          <w:spacing w:val="-14"/>
        </w:rPr>
        <w:t> </w:t>
      </w:r>
      <w:r>
        <w:rPr/>
        <w:t>advisors</w:t>
      </w:r>
      <w:r>
        <w:rPr>
          <w:spacing w:val="-14"/>
        </w:rPr>
        <w:t> </w:t>
      </w:r>
      <w:r>
        <w:rPr/>
        <w:t>to</w:t>
      </w:r>
      <w:r>
        <w:rPr>
          <w:spacing w:val="-14"/>
        </w:rPr>
        <w:t> </w:t>
      </w:r>
      <w:r>
        <w:rPr/>
        <w:t>find</w:t>
      </w:r>
      <w:r>
        <w:rPr>
          <w:spacing w:val="-14"/>
        </w:rPr>
        <w:t> </w:t>
      </w:r>
      <w:r>
        <w:rPr/>
        <w:t>out</w:t>
      </w:r>
      <w:r>
        <w:rPr>
          <w:spacing w:val="-14"/>
        </w:rPr>
        <w:t> </w:t>
      </w:r>
      <w:r>
        <w:rPr/>
        <w:t>about</w:t>
      </w:r>
      <w:r>
        <w:rPr>
          <w:spacing w:val="-14"/>
        </w:rPr>
        <w:t> </w:t>
      </w:r>
      <w:r>
        <w:rPr/>
        <w:t>admission requirements and recognition of prior learning,</w:t>
      </w:r>
      <w:r>
        <w:rPr>
          <w:spacing w:val="-20"/>
        </w:rPr>
        <w:t> </w:t>
      </w:r>
      <w:r>
        <w:rPr/>
        <w:t>as</w:t>
      </w:r>
      <w:r>
        <w:rPr>
          <w:spacing w:val="-20"/>
        </w:rPr>
        <w:t> </w:t>
      </w:r>
      <w:r>
        <w:rPr/>
        <w:t>well</w:t>
      </w:r>
      <w:r>
        <w:rPr>
          <w:spacing w:val="-20"/>
        </w:rPr>
        <w:t> </w:t>
      </w:r>
      <w:r>
        <w:rPr/>
        <w:t>as</w:t>
      </w:r>
      <w:r>
        <w:rPr>
          <w:spacing w:val="-20"/>
        </w:rPr>
        <w:t> </w:t>
      </w:r>
      <w:r>
        <w:rPr/>
        <w:t>flexible</w:t>
      </w:r>
      <w:r>
        <w:rPr>
          <w:spacing w:val="-20"/>
        </w:rPr>
        <w:t> </w:t>
      </w:r>
      <w:r>
        <w:rPr/>
        <w:t>course</w:t>
      </w:r>
      <w:r>
        <w:rPr>
          <w:spacing w:val="-20"/>
        </w:rPr>
        <w:t> </w:t>
      </w:r>
      <w:r>
        <w:rPr/>
        <w:t>delivery. More than </w:t>
      </w:r>
      <w:r>
        <w:rPr>
          <w:spacing w:val="2"/>
        </w:rPr>
        <w:t>200 </w:t>
      </w:r>
      <w:r>
        <w:rPr/>
        <w:t>prospective postgraduate students</w:t>
      </w:r>
      <w:r>
        <w:rPr>
          <w:spacing w:val="-20"/>
        </w:rPr>
        <w:t> </w:t>
      </w:r>
      <w:r>
        <w:rPr/>
        <w:t>attended</w:t>
      </w:r>
      <w:r>
        <w:rPr>
          <w:spacing w:val="-20"/>
        </w:rPr>
        <w:t> </w:t>
      </w:r>
      <w:r>
        <w:rPr/>
        <w:t>the</w:t>
      </w:r>
      <w:r>
        <w:rPr>
          <w:spacing w:val="-20"/>
        </w:rPr>
        <w:t> </w:t>
      </w:r>
      <w:r>
        <w:rPr/>
        <w:t>events.</w:t>
      </w:r>
    </w:p>
    <w:p>
      <w:pPr>
        <w:pStyle w:val="BodyText"/>
        <w:rPr>
          <w:sz w:val="14"/>
        </w:rPr>
      </w:pPr>
    </w:p>
    <w:p>
      <w:pPr>
        <w:pStyle w:val="BodyText"/>
        <w:spacing w:line="249" w:lineRule="auto"/>
        <w:ind w:left="112" w:right="317"/>
        <w:jc w:val="both"/>
      </w:pPr>
      <w:r>
        <w:rPr/>
        <w:t>These</w:t>
      </w:r>
      <w:r>
        <w:rPr>
          <w:spacing w:val="-16"/>
        </w:rPr>
        <w:t> </w:t>
      </w:r>
      <w:r>
        <w:rPr/>
        <w:t>events</w:t>
      </w:r>
      <w:r>
        <w:rPr>
          <w:spacing w:val="-16"/>
        </w:rPr>
        <w:t> </w:t>
      </w:r>
      <w:r>
        <w:rPr/>
        <w:t>give</w:t>
      </w:r>
      <w:r>
        <w:rPr>
          <w:spacing w:val="-16"/>
        </w:rPr>
        <w:t> </w:t>
      </w:r>
      <w:r>
        <w:rPr/>
        <w:t>prospective</w:t>
      </w:r>
      <w:r>
        <w:rPr>
          <w:spacing w:val="-16"/>
        </w:rPr>
        <w:t> </w:t>
      </w:r>
      <w:r>
        <w:rPr/>
        <w:t>students</w:t>
      </w:r>
      <w:r>
        <w:rPr>
          <w:spacing w:val="-16"/>
        </w:rPr>
        <w:t> </w:t>
      </w:r>
      <w:r>
        <w:rPr/>
        <w:t>the chance</w:t>
      </w:r>
      <w:r>
        <w:rPr>
          <w:spacing w:val="-18"/>
        </w:rPr>
        <w:t> </w:t>
      </w:r>
      <w:r>
        <w:rPr/>
        <w:t>to</w:t>
      </w:r>
      <w:r>
        <w:rPr>
          <w:spacing w:val="-18"/>
        </w:rPr>
        <w:t> </w:t>
      </w:r>
      <w:r>
        <w:rPr/>
        <w:t>visit</w:t>
      </w:r>
      <w:r>
        <w:rPr>
          <w:spacing w:val="-18"/>
        </w:rPr>
        <w:t> </w:t>
      </w:r>
      <w:r>
        <w:rPr/>
        <w:t>the</w:t>
      </w:r>
      <w:r>
        <w:rPr>
          <w:spacing w:val="-18"/>
        </w:rPr>
        <w:t> </w:t>
      </w:r>
      <w:r>
        <w:rPr/>
        <w:t>facilities,</w:t>
      </w:r>
      <w:r>
        <w:rPr>
          <w:spacing w:val="-18"/>
        </w:rPr>
        <w:t> </w:t>
      </w:r>
      <w:r>
        <w:rPr/>
        <w:t>while</w:t>
      </w:r>
      <w:r>
        <w:rPr>
          <w:spacing w:val="-18"/>
        </w:rPr>
        <w:t> </w:t>
      </w:r>
      <w:r>
        <w:rPr/>
        <w:t>gathering course</w:t>
      </w:r>
      <w:r>
        <w:rPr>
          <w:spacing w:val="-16"/>
        </w:rPr>
        <w:t> </w:t>
      </w:r>
      <w:r>
        <w:rPr/>
        <w:t>information</w:t>
      </w:r>
      <w:r>
        <w:rPr>
          <w:spacing w:val="-16"/>
        </w:rPr>
        <w:t> </w:t>
      </w:r>
      <w:r>
        <w:rPr/>
        <w:t>and</w:t>
      </w:r>
      <w:r>
        <w:rPr>
          <w:spacing w:val="-16"/>
        </w:rPr>
        <w:t> </w:t>
      </w:r>
      <w:r>
        <w:rPr/>
        <w:t>advice</w:t>
      </w:r>
      <w:r>
        <w:rPr>
          <w:spacing w:val="-16"/>
        </w:rPr>
        <w:t> </w:t>
      </w:r>
      <w:r>
        <w:rPr/>
        <w:t>to</w:t>
      </w:r>
      <w:r>
        <w:rPr>
          <w:spacing w:val="-16"/>
        </w:rPr>
        <w:t> </w:t>
      </w:r>
      <w:r>
        <w:rPr/>
        <w:t>help</w:t>
      </w:r>
      <w:r>
        <w:rPr>
          <w:spacing w:val="-16"/>
        </w:rPr>
        <w:t> </w:t>
      </w:r>
      <w:r>
        <w:rPr/>
        <w:t>them choose</w:t>
      </w:r>
      <w:r>
        <w:rPr>
          <w:spacing w:val="-25"/>
        </w:rPr>
        <w:t> </w:t>
      </w:r>
      <w:r>
        <w:rPr/>
        <w:t>our</w:t>
      </w:r>
      <w:r>
        <w:rPr>
          <w:spacing w:val="-25"/>
        </w:rPr>
        <w:t> </w:t>
      </w:r>
      <w:r>
        <w:rPr/>
        <w:t>University.</w:t>
      </w:r>
    </w:p>
    <w:p>
      <w:pPr>
        <w:pStyle w:val="BodyText"/>
        <w:spacing w:before="7"/>
        <w:rPr>
          <w:sz w:val="21"/>
        </w:rPr>
      </w:pPr>
    </w:p>
    <w:p>
      <w:pPr>
        <w:pStyle w:val="Heading8"/>
        <w:ind w:left="112" w:right="33"/>
      </w:pPr>
      <w:r>
        <w:rPr>
          <w:w w:val="95"/>
        </w:rPr>
        <w:t>INDIGENOUS MARKETING</w:t>
      </w:r>
    </w:p>
    <w:p>
      <w:pPr>
        <w:pStyle w:val="BodyText"/>
        <w:spacing w:line="249" w:lineRule="auto" w:before="86"/>
        <w:ind w:left="112" w:right="192"/>
      </w:pPr>
      <w:r>
        <w:rPr/>
        <w:t>As</w:t>
      </w:r>
      <w:r>
        <w:rPr>
          <w:spacing w:val="-19"/>
        </w:rPr>
        <w:t> </w:t>
      </w:r>
      <w:r>
        <w:rPr>
          <w:spacing w:val="2"/>
        </w:rPr>
        <w:t>part</w:t>
      </w:r>
      <w:r>
        <w:rPr>
          <w:spacing w:val="-19"/>
        </w:rPr>
        <w:t> </w:t>
      </w:r>
      <w:r>
        <w:rPr/>
        <w:t>of</w:t>
      </w:r>
      <w:r>
        <w:rPr>
          <w:spacing w:val="-19"/>
        </w:rPr>
        <w:t> </w:t>
      </w:r>
      <w:r>
        <w:rPr/>
        <w:t>the</w:t>
      </w:r>
      <w:r>
        <w:rPr>
          <w:spacing w:val="-19"/>
        </w:rPr>
        <w:t> </w:t>
      </w:r>
      <w:r>
        <w:rPr/>
        <w:t>rebrand,</w:t>
      </w:r>
      <w:r>
        <w:rPr>
          <w:spacing w:val="-19"/>
        </w:rPr>
        <w:t> </w:t>
      </w:r>
      <w:r>
        <w:rPr/>
        <w:t>Indigenous</w:t>
      </w:r>
      <w:r>
        <w:rPr>
          <w:spacing w:val="-19"/>
        </w:rPr>
        <w:t> </w:t>
      </w:r>
      <w:r>
        <w:rPr/>
        <w:t>marketing was expanded. Throughout the year, the Indigenous Marketing team delivered in- school presentations, attended careers markets,</w:t>
      </w:r>
      <w:r>
        <w:rPr>
          <w:spacing w:val="-19"/>
        </w:rPr>
        <w:t> </w:t>
      </w:r>
      <w:r>
        <w:rPr/>
        <w:t>arranged</w:t>
      </w:r>
      <w:r>
        <w:rPr>
          <w:spacing w:val="-19"/>
        </w:rPr>
        <w:t> </w:t>
      </w:r>
      <w:r>
        <w:rPr/>
        <w:t>and</w:t>
      </w:r>
      <w:r>
        <w:rPr>
          <w:spacing w:val="-19"/>
        </w:rPr>
        <w:t> </w:t>
      </w:r>
      <w:r>
        <w:rPr/>
        <w:t>delivered</w:t>
      </w:r>
      <w:r>
        <w:rPr>
          <w:spacing w:val="-19"/>
        </w:rPr>
        <w:t> </w:t>
      </w:r>
      <w:r>
        <w:rPr/>
        <w:t>information evenings, and visited schools and Aboriginal and Torres Strait Islander communities throughout</w:t>
      </w:r>
      <w:r>
        <w:rPr>
          <w:spacing w:val="-25"/>
        </w:rPr>
        <w:t> </w:t>
      </w:r>
      <w:r>
        <w:rPr/>
        <w:t>the</w:t>
      </w:r>
      <w:r>
        <w:rPr>
          <w:spacing w:val="-25"/>
        </w:rPr>
        <w:t> </w:t>
      </w:r>
      <w:r>
        <w:rPr/>
        <w:t>state.</w:t>
      </w:r>
    </w:p>
    <w:p>
      <w:pPr>
        <w:pStyle w:val="BodyText"/>
        <w:spacing w:before="7"/>
        <w:rPr>
          <w:sz w:val="21"/>
        </w:rPr>
      </w:pPr>
    </w:p>
    <w:p>
      <w:pPr>
        <w:pStyle w:val="Heading8"/>
        <w:ind w:left="112" w:right="33"/>
      </w:pPr>
      <w:r>
        <w:rPr/>
        <w:t>STAFFING</w:t>
      </w:r>
    </w:p>
    <w:p>
      <w:pPr>
        <w:pStyle w:val="BodyText"/>
        <w:spacing w:line="249" w:lineRule="auto" w:before="86"/>
        <w:ind w:left="112" w:right="337"/>
      </w:pPr>
      <w:r>
        <w:rPr/>
        <w:t>Mr Rob Palin, the long-serving Associate Director for the Student Recruitment Unit, </w:t>
      </w:r>
      <w:r>
        <w:rPr>
          <w:w w:val="97"/>
        </w:rPr>
        <w:t>retired </w:t>
      </w:r>
      <w:r>
        <w:rPr>
          <w:w w:val="95"/>
        </w:rPr>
        <w:t>in </w:t>
      </w:r>
      <w:r>
        <w:rPr>
          <w:w w:val="84"/>
        </w:rPr>
        <w:t>2015.</w:t>
      </w:r>
    </w:p>
    <w:p>
      <w:pPr>
        <w:pStyle w:val="BodyText"/>
        <w:rPr>
          <w:sz w:val="14"/>
        </w:rPr>
      </w:pPr>
    </w:p>
    <w:p>
      <w:pPr>
        <w:pStyle w:val="BodyText"/>
        <w:spacing w:line="249" w:lineRule="auto"/>
        <w:ind w:left="112" w:right="191"/>
      </w:pPr>
      <w:r>
        <w:rPr/>
        <w:t>Ms Tracy Richardson acted as SRU Director during the rebrand project, ensuring targets and deliverables were met.</w:t>
      </w:r>
    </w:p>
    <w:p>
      <w:pPr>
        <w:pStyle w:val="BodyText"/>
        <w:spacing w:before="7"/>
        <w:rPr>
          <w:sz w:val="22"/>
        </w:rPr>
      </w:pPr>
    </w:p>
    <w:p>
      <w:pPr>
        <w:pStyle w:val="Heading5"/>
        <w:ind w:right="33"/>
      </w:pPr>
      <w:r>
        <w:rPr>
          <w:w w:val="95"/>
        </w:rPr>
        <w:t>ART COLLECTION</w:t>
      </w:r>
    </w:p>
    <w:p>
      <w:pPr>
        <w:pStyle w:val="BodyText"/>
        <w:spacing w:line="247" w:lineRule="auto" w:before="209"/>
        <w:ind w:left="112" w:right="103"/>
      </w:pPr>
      <w:r>
        <w:rPr/>
        <w:t>The Western Sydney University </w:t>
      </w:r>
      <w:r>
        <w:rPr>
          <w:spacing w:val="2"/>
        </w:rPr>
        <w:t>Art </w:t>
      </w:r>
      <w:r>
        <w:rPr/>
        <w:t>Collection comprises</w:t>
      </w:r>
      <w:r>
        <w:rPr>
          <w:spacing w:val="-23"/>
        </w:rPr>
        <w:t> </w:t>
      </w:r>
      <w:r>
        <w:rPr>
          <w:spacing w:val="3"/>
        </w:rPr>
        <w:t>1,377</w:t>
      </w:r>
      <w:r>
        <w:rPr>
          <w:spacing w:val="-23"/>
        </w:rPr>
        <w:t> </w:t>
      </w:r>
      <w:r>
        <w:rPr/>
        <w:t>artworks</w:t>
      </w:r>
      <w:r>
        <w:rPr>
          <w:spacing w:val="-23"/>
        </w:rPr>
        <w:t> </w:t>
      </w:r>
      <w:r>
        <w:rPr/>
        <w:t>from</w:t>
      </w:r>
      <w:r>
        <w:rPr>
          <w:spacing w:val="-23"/>
        </w:rPr>
        <w:t> </w:t>
      </w:r>
      <w:r>
        <w:rPr/>
        <w:t>the</w:t>
      </w:r>
      <w:r>
        <w:rPr>
          <w:spacing w:val="-23"/>
        </w:rPr>
        <w:t> </w:t>
      </w:r>
      <w:r>
        <w:rPr/>
        <w:t>holdings</w:t>
      </w:r>
      <w:r>
        <w:rPr>
          <w:spacing w:val="-23"/>
        </w:rPr>
        <w:t> </w:t>
      </w:r>
      <w:r>
        <w:rPr/>
        <w:t>of its former network members of Hawkesbury, Macarthur and </w:t>
      </w:r>
      <w:r>
        <w:rPr>
          <w:spacing w:val="2"/>
        </w:rPr>
        <w:t>Nepean. </w:t>
      </w:r>
      <w:r>
        <w:rPr>
          <w:spacing w:val="-4"/>
        </w:rPr>
        <w:t>Two </w:t>
      </w:r>
      <w:r>
        <w:rPr/>
        <w:t>sculptural </w:t>
      </w:r>
      <w:r>
        <w:rPr>
          <w:spacing w:val="1"/>
          <w:w w:val="96"/>
        </w:rPr>
        <w:t>installations</w:t>
      </w:r>
      <w:r>
        <w:rPr>
          <w:w w:val="96"/>
        </w:rPr>
        <w:t> </w:t>
      </w:r>
      <w:r>
        <w:rPr>
          <w:w w:val="97"/>
        </w:rPr>
        <w:t>were </w:t>
      </w:r>
      <w:r>
        <w:rPr>
          <w:spacing w:val="1"/>
          <w:w w:val="98"/>
        </w:rPr>
        <w:t>acquired</w:t>
      </w:r>
      <w:r>
        <w:rPr>
          <w:w w:val="98"/>
        </w:rPr>
        <w:t> </w:t>
      </w:r>
      <w:r>
        <w:rPr>
          <w:w w:val="95"/>
        </w:rPr>
        <w:t>in </w:t>
      </w:r>
      <w:r>
        <w:rPr>
          <w:spacing w:val="1"/>
          <w:w w:val="83"/>
        </w:rPr>
        <w:t>2015:</w:t>
      </w:r>
      <w:r>
        <w:rPr>
          <w:w w:val="83"/>
        </w:rPr>
        <w:t> </w:t>
      </w:r>
      <w:r>
        <w:rPr>
          <w:rFonts w:ascii="Century Gothic"/>
          <w:i/>
          <w:spacing w:val="2"/>
          <w:w w:val="89"/>
        </w:rPr>
        <w:t>Memory</w:t>
      </w:r>
      <w:r>
        <w:rPr>
          <w:rFonts w:ascii="Century Gothic"/>
          <w:i/>
          <w:w w:val="89"/>
        </w:rPr>
        <w:t> </w:t>
      </w:r>
      <w:r>
        <w:rPr>
          <w:rFonts w:ascii="Century Gothic"/>
          <w:i/>
        </w:rPr>
        <w:t>Flows </w:t>
      </w:r>
      <w:r>
        <w:rPr/>
        <w:t>by Jason Wing for Werrington Park Corporate</w:t>
      </w:r>
      <w:r>
        <w:rPr>
          <w:spacing w:val="-20"/>
        </w:rPr>
        <w:t> </w:t>
      </w:r>
      <w:r>
        <w:rPr/>
        <w:t>Centre</w:t>
      </w:r>
      <w:r>
        <w:rPr>
          <w:spacing w:val="-20"/>
        </w:rPr>
        <w:t> </w:t>
      </w:r>
      <w:r>
        <w:rPr/>
        <w:t>and</w:t>
      </w:r>
      <w:r>
        <w:rPr>
          <w:spacing w:val="-20"/>
        </w:rPr>
        <w:t> </w:t>
      </w:r>
      <w:r>
        <w:rPr>
          <w:rFonts w:ascii="Century Gothic"/>
          <w:i/>
        </w:rPr>
        <w:t>Stratum</w:t>
      </w:r>
      <w:r>
        <w:rPr>
          <w:rFonts w:ascii="Century Gothic"/>
          <w:i/>
          <w:spacing w:val="-15"/>
        </w:rPr>
        <w:t> </w:t>
      </w:r>
      <w:r>
        <w:rPr/>
        <w:t>by</w:t>
      </w:r>
      <w:r>
        <w:rPr>
          <w:spacing w:val="-20"/>
        </w:rPr>
        <w:t> </w:t>
      </w:r>
      <w:r>
        <w:rPr/>
        <w:t>John</w:t>
      </w:r>
      <w:r>
        <w:rPr>
          <w:spacing w:val="-20"/>
        </w:rPr>
        <w:t> </w:t>
      </w:r>
      <w:r>
        <w:rPr/>
        <w:t>Petrie, which</w:t>
      </w:r>
      <w:r>
        <w:rPr>
          <w:spacing w:val="-15"/>
        </w:rPr>
        <w:t> </w:t>
      </w:r>
      <w:r>
        <w:rPr/>
        <w:t>was</w:t>
      </w:r>
      <w:r>
        <w:rPr>
          <w:spacing w:val="-15"/>
        </w:rPr>
        <w:t> </w:t>
      </w:r>
      <w:r>
        <w:rPr/>
        <w:t>commissioned</w:t>
      </w:r>
      <w:r>
        <w:rPr>
          <w:spacing w:val="-15"/>
        </w:rPr>
        <w:t> </w:t>
      </w:r>
      <w:r>
        <w:rPr/>
        <w:t>for</w:t>
      </w:r>
      <w:r>
        <w:rPr>
          <w:spacing w:val="-15"/>
        </w:rPr>
        <w:t> </w:t>
      </w:r>
      <w:r>
        <w:rPr/>
        <w:t>the</w:t>
      </w:r>
      <w:r>
        <w:rPr>
          <w:spacing w:val="-15"/>
        </w:rPr>
        <w:t> </w:t>
      </w:r>
      <w:r>
        <w:rPr/>
        <w:t>Vernon</w:t>
      </w:r>
      <w:r>
        <w:rPr>
          <w:spacing w:val="-15"/>
        </w:rPr>
        <w:t> </w:t>
      </w:r>
      <w:r>
        <w:rPr/>
        <w:t>Lawn</w:t>
      </w:r>
    </w:p>
    <w:p>
      <w:pPr>
        <w:spacing w:after="0" w:line="247" w:lineRule="auto"/>
        <w:sectPr>
          <w:type w:val="continuous"/>
          <w:pgSz w:w="11910" w:h="16840"/>
          <w:pgMar w:top="1580" w:bottom="280" w:left="800" w:right="800"/>
          <w:cols w:num="3" w:equalWidth="0">
            <w:col w:w="3321" w:space="119"/>
            <w:col w:w="3314" w:space="120"/>
            <w:col w:w="3436"/>
          </w:cols>
        </w:sectPr>
      </w:pPr>
    </w:p>
    <w:p>
      <w:pPr>
        <w:pStyle w:val="BodyText"/>
        <w:spacing w:before="10"/>
        <w:rPr>
          <w:sz w:val="28"/>
        </w:rPr>
      </w:pPr>
    </w:p>
    <w:p>
      <w:pPr>
        <w:pStyle w:val="Heading2"/>
        <w:ind w:right="7977"/>
        <w:rPr>
          <w:b w:val="0"/>
        </w:rPr>
      </w:pPr>
      <w:r>
        <w:rPr>
          <w:b w:val="0"/>
        </w:rPr>
        <w:t>Student Recruitment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7" w:lineRule="auto"/>
        <w:ind w:left="107" w:right="32"/>
      </w:pPr>
      <w:r>
        <w:rPr/>
        <w:t>at Parramatta </w:t>
      </w:r>
      <w:r>
        <w:rPr>
          <w:spacing w:val="2"/>
        </w:rPr>
        <w:t>campus. </w:t>
      </w:r>
      <w:r>
        <w:rPr/>
        <w:t>The mixed media installation</w:t>
      </w:r>
      <w:r>
        <w:rPr>
          <w:spacing w:val="-32"/>
        </w:rPr>
        <w:t> </w:t>
      </w:r>
      <w:r>
        <w:rPr>
          <w:rFonts w:ascii="Century Gothic"/>
          <w:i/>
        </w:rPr>
        <w:t>Apa</w:t>
      </w:r>
      <w:r>
        <w:rPr>
          <w:rFonts w:ascii="Century Gothic"/>
          <w:i/>
          <w:spacing w:val="-27"/>
        </w:rPr>
        <w:t> </w:t>
      </w:r>
      <w:r>
        <w:rPr>
          <w:rFonts w:ascii="Century Gothic"/>
          <w:i/>
        </w:rPr>
        <w:t>Kausal</w:t>
      </w:r>
      <w:r>
        <w:rPr>
          <w:rFonts w:ascii="Century Gothic"/>
          <w:i/>
          <w:spacing w:val="-27"/>
        </w:rPr>
        <w:t> </w:t>
      </w:r>
      <w:r>
        <w:rPr/>
        <w:t>by</w:t>
      </w:r>
      <w:r>
        <w:rPr>
          <w:spacing w:val="-32"/>
        </w:rPr>
        <w:t> </w:t>
      </w:r>
      <w:r>
        <w:rPr/>
        <w:t>Brian</w:t>
      </w:r>
      <w:r>
        <w:rPr>
          <w:spacing w:val="-32"/>
        </w:rPr>
        <w:t> </w:t>
      </w:r>
      <w:r>
        <w:rPr/>
        <w:t>Robinson</w:t>
      </w:r>
      <w:r>
        <w:rPr>
          <w:spacing w:val="-32"/>
        </w:rPr>
        <w:t> </w:t>
      </w:r>
      <w:r>
        <w:rPr/>
        <w:t>was also</w:t>
      </w:r>
      <w:r>
        <w:rPr>
          <w:spacing w:val="-31"/>
        </w:rPr>
        <w:t> </w:t>
      </w:r>
      <w:r>
        <w:rPr/>
        <w:t>acquired.</w:t>
      </w:r>
    </w:p>
    <w:p>
      <w:pPr>
        <w:pStyle w:val="BodyText"/>
        <w:spacing w:before="2"/>
        <w:rPr>
          <w:sz w:val="14"/>
        </w:rPr>
      </w:pPr>
    </w:p>
    <w:p>
      <w:pPr>
        <w:pStyle w:val="BodyText"/>
        <w:spacing w:line="249" w:lineRule="auto"/>
        <w:ind w:left="107" w:right="-7"/>
      </w:pPr>
      <w:r>
        <w:rPr/>
        <w:t>Tianli</w:t>
      </w:r>
      <w:r>
        <w:rPr>
          <w:spacing w:val="-23"/>
        </w:rPr>
        <w:t> </w:t>
      </w:r>
      <w:r>
        <w:rPr/>
        <w:t>Zu</w:t>
      </w:r>
      <w:r>
        <w:rPr>
          <w:spacing w:val="-23"/>
        </w:rPr>
        <w:t> </w:t>
      </w:r>
      <w:r>
        <w:rPr/>
        <w:t>was</w:t>
      </w:r>
      <w:r>
        <w:rPr>
          <w:spacing w:val="-23"/>
        </w:rPr>
        <w:t> </w:t>
      </w:r>
      <w:r>
        <w:rPr/>
        <w:t>commissioned</w:t>
      </w:r>
      <w:r>
        <w:rPr>
          <w:spacing w:val="-23"/>
        </w:rPr>
        <w:t> </w:t>
      </w:r>
      <w:r>
        <w:rPr/>
        <w:t>to</w:t>
      </w:r>
      <w:r>
        <w:rPr>
          <w:spacing w:val="-23"/>
        </w:rPr>
        <w:t> </w:t>
      </w:r>
      <w:r>
        <w:rPr/>
        <w:t>paint</w:t>
      </w:r>
      <w:r>
        <w:rPr>
          <w:spacing w:val="-23"/>
        </w:rPr>
        <w:t> </w:t>
      </w:r>
      <w:r>
        <w:rPr/>
        <w:t>a</w:t>
      </w:r>
      <w:r>
        <w:rPr>
          <w:spacing w:val="-23"/>
        </w:rPr>
        <w:t> </w:t>
      </w:r>
      <w:r>
        <w:rPr/>
        <w:t>portrait of</w:t>
      </w:r>
      <w:r>
        <w:rPr>
          <w:spacing w:val="-29"/>
        </w:rPr>
        <w:t> </w:t>
      </w:r>
      <w:r>
        <w:rPr/>
        <w:t>the</w:t>
      </w:r>
      <w:r>
        <w:rPr>
          <w:spacing w:val="-29"/>
        </w:rPr>
        <w:t> </w:t>
      </w:r>
      <w:r>
        <w:rPr/>
        <w:t>Vice-Chancellor</w:t>
      </w:r>
      <w:r>
        <w:rPr>
          <w:spacing w:val="-29"/>
        </w:rPr>
        <w:t> </w:t>
      </w:r>
      <w:r>
        <w:rPr/>
        <w:t>Professor</w:t>
      </w:r>
      <w:r>
        <w:rPr>
          <w:spacing w:val="-29"/>
        </w:rPr>
        <w:t> </w:t>
      </w:r>
      <w:r>
        <w:rPr/>
        <w:t>Barney</w:t>
      </w:r>
      <w:r>
        <w:rPr>
          <w:spacing w:val="-29"/>
        </w:rPr>
        <w:t> </w:t>
      </w:r>
      <w:r>
        <w:rPr/>
        <w:t>Glover, and Mr Marcus Callum was commissioned to paint a portrait of the Chancellor Professor Peter</w:t>
      </w:r>
      <w:r>
        <w:rPr>
          <w:spacing w:val="-22"/>
        </w:rPr>
        <w:t> </w:t>
      </w:r>
      <w:r>
        <w:rPr/>
        <w:t>Shergold,</w:t>
      </w:r>
      <w:r>
        <w:rPr>
          <w:spacing w:val="-22"/>
        </w:rPr>
        <w:t> </w:t>
      </w:r>
      <w:r>
        <w:rPr/>
        <w:t>AC.</w:t>
      </w:r>
      <w:r>
        <w:rPr>
          <w:spacing w:val="-22"/>
        </w:rPr>
        <w:t> </w:t>
      </w:r>
      <w:r>
        <w:rPr/>
        <w:t>Both</w:t>
      </w:r>
      <w:r>
        <w:rPr>
          <w:spacing w:val="-22"/>
        </w:rPr>
        <w:t> </w:t>
      </w:r>
      <w:r>
        <w:rPr/>
        <w:t>of</w:t>
      </w:r>
      <w:r>
        <w:rPr>
          <w:spacing w:val="-22"/>
        </w:rPr>
        <w:t> </w:t>
      </w:r>
      <w:r>
        <w:rPr/>
        <w:t>these</w:t>
      </w:r>
      <w:r>
        <w:rPr>
          <w:spacing w:val="-22"/>
        </w:rPr>
        <w:t> </w:t>
      </w:r>
      <w:r>
        <w:rPr/>
        <w:t>portraits</w:t>
      </w:r>
      <w:r>
        <w:rPr>
          <w:spacing w:val="-22"/>
        </w:rPr>
        <w:t> </w:t>
      </w:r>
      <w:r>
        <w:rPr/>
        <w:t>will </w:t>
      </w:r>
      <w:r>
        <w:rPr>
          <w:w w:val="99"/>
        </w:rPr>
        <w:t>be</w:t>
      </w:r>
      <w:r>
        <w:rPr>
          <w:spacing w:val="-11"/>
          <w:w w:val="99"/>
        </w:rPr>
        <w:t> </w:t>
      </w:r>
      <w:r>
        <w:rPr>
          <w:spacing w:val="-1"/>
          <w:w w:val="99"/>
        </w:rPr>
        <w:t>completed</w:t>
      </w:r>
      <w:r>
        <w:rPr>
          <w:spacing w:val="-12"/>
          <w:w w:val="99"/>
        </w:rPr>
        <w:t> </w:t>
      </w:r>
      <w:r>
        <w:rPr>
          <w:spacing w:val="-1"/>
          <w:w w:val="95"/>
        </w:rPr>
        <w:t>in</w:t>
      </w:r>
      <w:r>
        <w:rPr>
          <w:spacing w:val="-10"/>
          <w:w w:val="95"/>
        </w:rPr>
        <w:t> </w:t>
      </w:r>
      <w:r>
        <w:rPr>
          <w:w w:val="96"/>
        </w:rPr>
        <w:t>early</w:t>
      </w:r>
      <w:r>
        <w:rPr>
          <w:spacing w:val="-10"/>
          <w:w w:val="96"/>
        </w:rPr>
        <w:t> </w:t>
      </w:r>
      <w:r>
        <w:rPr>
          <w:w w:val="85"/>
        </w:rPr>
        <w:t>2016.</w:t>
      </w:r>
    </w:p>
    <w:p>
      <w:pPr>
        <w:pStyle w:val="BodyText"/>
        <w:spacing w:before="7"/>
        <w:rPr>
          <w:sz w:val="21"/>
        </w:rPr>
      </w:pPr>
    </w:p>
    <w:p>
      <w:pPr>
        <w:pStyle w:val="Heading8"/>
        <w:spacing w:line="249" w:lineRule="auto"/>
        <w:ind w:right="127"/>
      </w:pPr>
      <w:r>
        <w:rPr/>
        <w:t>CAPITAL WORKS AND FACILITIES – NEW </w:t>
      </w:r>
      <w:r>
        <w:rPr>
          <w:w w:val="95"/>
        </w:rPr>
        <w:t>BUILDINGS/REFURBISHMENT PROJECTS</w:t>
      </w:r>
    </w:p>
    <w:p>
      <w:pPr>
        <w:pStyle w:val="BodyText"/>
        <w:spacing w:line="249" w:lineRule="auto" w:before="79"/>
        <w:ind w:left="107" w:right="196"/>
      </w:pPr>
      <w:r>
        <w:rPr>
          <w:w w:val="97"/>
        </w:rPr>
        <w:t>Since </w:t>
      </w:r>
      <w:r>
        <w:rPr>
          <w:spacing w:val="2"/>
          <w:w w:val="76"/>
        </w:rPr>
        <w:t>2011,</w:t>
      </w:r>
      <w:r>
        <w:rPr>
          <w:w w:val="76"/>
        </w:rPr>
        <w:t> </w:t>
      </w:r>
      <w:r>
        <w:rPr>
          <w:spacing w:val="1"/>
          <w:w w:val="95"/>
        </w:rPr>
        <w:t>an</w:t>
      </w:r>
      <w:r>
        <w:rPr>
          <w:w w:val="95"/>
        </w:rPr>
        <w:t> </w:t>
      </w:r>
      <w:r>
        <w:rPr>
          <w:w w:val="97"/>
        </w:rPr>
        <w:t>acquisitions </w:t>
      </w:r>
      <w:r>
        <w:rPr>
          <w:spacing w:val="1"/>
          <w:w w:val="98"/>
        </w:rPr>
        <w:t>program</w:t>
      </w:r>
      <w:r>
        <w:rPr>
          <w:w w:val="98"/>
        </w:rPr>
        <w:t> </w:t>
      </w:r>
      <w:r>
        <w:rPr>
          <w:spacing w:val="1"/>
          <w:w w:val="95"/>
        </w:rPr>
        <w:t>has</w:t>
      </w:r>
      <w:r>
        <w:rPr>
          <w:w w:val="95"/>
        </w:rPr>
        <w:t> </w:t>
      </w:r>
      <w:r>
        <w:rPr/>
        <w:t>identified public artworks via various </w:t>
      </w:r>
      <w:r>
        <w:rPr>
          <w:spacing w:val="1"/>
          <w:w w:val="98"/>
        </w:rPr>
        <w:t>capital</w:t>
      </w:r>
      <w:r>
        <w:rPr>
          <w:w w:val="98"/>
        </w:rPr>
        <w:t> </w:t>
      </w:r>
      <w:r>
        <w:rPr>
          <w:spacing w:val="1"/>
          <w:w w:val="97"/>
        </w:rPr>
        <w:t>works</w:t>
      </w:r>
      <w:r>
        <w:rPr>
          <w:w w:val="97"/>
        </w:rPr>
        <w:t> </w:t>
      </w:r>
      <w:r>
        <w:rPr>
          <w:spacing w:val="1"/>
          <w:w w:val="94"/>
        </w:rPr>
        <w:t>programs.</w:t>
      </w:r>
      <w:r>
        <w:rPr>
          <w:w w:val="94"/>
        </w:rPr>
        <w:t> </w:t>
      </w:r>
      <w:r>
        <w:rPr>
          <w:spacing w:val="1"/>
          <w:w w:val="80"/>
        </w:rPr>
        <w:t>In</w:t>
      </w:r>
      <w:r>
        <w:rPr>
          <w:w w:val="80"/>
        </w:rPr>
        <w:t> </w:t>
      </w:r>
      <w:r>
        <w:rPr>
          <w:spacing w:val="1"/>
          <w:w w:val="84"/>
        </w:rPr>
        <w:t>2015,</w:t>
      </w:r>
      <w:r>
        <w:rPr>
          <w:w w:val="84"/>
        </w:rPr>
        <w:t> </w:t>
      </w:r>
      <w:r>
        <w:rPr>
          <w:spacing w:val="1"/>
          <w:w w:val="96"/>
        </w:rPr>
        <w:t>these</w:t>
      </w:r>
      <w:r>
        <w:rPr>
          <w:w w:val="96"/>
        </w:rPr>
        <w:t> </w:t>
      </w:r>
      <w:r>
        <w:rPr/>
        <w:t>projects included developing and installing artworks in the new John Phillips Library on the Kingswood </w:t>
      </w:r>
      <w:r>
        <w:rPr>
          <w:spacing w:val="2"/>
        </w:rPr>
        <w:t>campus, </w:t>
      </w:r>
      <w:r>
        <w:rPr/>
        <w:t>at Werrington Park</w:t>
      </w:r>
      <w:r>
        <w:rPr>
          <w:spacing w:val="-14"/>
        </w:rPr>
        <w:t> </w:t>
      </w:r>
      <w:r>
        <w:rPr/>
        <w:t>Corporate</w:t>
      </w:r>
      <w:r>
        <w:rPr>
          <w:spacing w:val="-14"/>
        </w:rPr>
        <w:t> </w:t>
      </w:r>
      <w:r>
        <w:rPr/>
        <w:t>Centre</w:t>
      </w:r>
      <w:r>
        <w:rPr>
          <w:spacing w:val="-14"/>
        </w:rPr>
        <w:t> </w:t>
      </w:r>
      <w:r>
        <w:rPr/>
        <w:t>at</w:t>
      </w:r>
      <w:r>
        <w:rPr>
          <w:spacing w:val="-14"/>
        </w:rPr>
        <w:t> </w:t>
      </w:r>
      <w:r>
        <w:rPr/>
        <w:t>Werrington</w:t>
      </w:r>
      <w:r>
        <w:rPr>
          <w:spacing w:val="-14"/>
        </w:rPr>
        <w:t> </w:t>
      </w:r>
      <w:r>
        <w:rPr/>
        <w:t>South </w:t>
      </w:r>
      <w:r>
        <w:rPr>
          <w:spacing w:val="2"/>
        </w:rPr>
        <w:t>campus,</w:t>
      </w:r>
      <w:r>
        <w:rPr>
          <w:spacing w:val="-19"/>
        </w:rPr>
        <w:t> </w:t>
      </w:r>
      <w:r>
        <w:rPr/>
        <w:t>at</w:t>
      </w:r>
      <w:r>
        <w:rPr>
          <w:spacing w:val="-19"/>
        </w:rPr>
        <w:t> </w:t>
      </w:r>
      <w:r>
        <w:rPr/>
        <w:t>Vernon</w:t>
      </w:r>
      <w:r>
        <w:rPr>
          <w:spacing w:val="-19"/>
        </w:rPr>
        <w:t> </w:t>
      </w:r>
      <w:r>
        <w:rPr/>
        <w:t>Lawn</w:t>
      </w:r>
      <w:r>
        <w:rPr>
          <w:spacing w:val="-19"/>
        </w:rPr>
        <w:t> </w:t>
      </w:r>
      <w:r>
        <w:rPr/>
        <w:t>on</w:t>
      </w:r>
      <w:r>
        <w:rPr>
          <w:spacing w:val="-19"/>
        </w:rPr>
        <w:t> </w:t>
      </w:r>
      <w:r>
        <w:rPr/>
        <w:t>the</w:t>
      </w:r>
      <w:r>
        <w:rPr>
          <w:spacing w:val="-19"/>
        </w:rPr>
        <w:t> </w:t>
      </w:r>
      <w:r>
        <w:rPr/>
        <w:t>Parramatta campus</w:t>
      </w:r>
      <w:r>
        <w:rPr>
          <w:spacing w:val="-15"/>
        </w:rPr>
        <w:t> </w:t>
      </w:r>
      <w:r>
        <w:rPr/>
        <w:t>and</w:t>
      </w:r>
      <w:r>
        <w:rPr>
          <w:spacing w:val="-15"/>
        </w:rPr>
        <w:t> </w:t>
      </w:r>
      <w:r>
        <w:rPr/>
        <w:t>at</w:t>
      </w:r>
      <w:r>
        <w:rPr>
          <w:spacing w:val="-15"/>
        </w:rPr>
        <w:t> </w:t>
      </w:r>
      <w:r>
        <w:rPr/>
        <w:t>the</w:t>
      </w:r>
      <w:r>
        <w:rPr>
          <w:spacing w:val="-15"/>
        </w:rPr>
        <w:t> </w:t>
      </w:r>
      <w:r>
        <w:rPr/>
        <w:t>new</w:t>
      </w:r>
      <w:r>
        <w:rPr>
          <w:spacing w:val="-15"/>
        </w:rPr>
        <w:t> </w:t>
      </w:r>
      <w:r>
        <w:rPr/>
        <w:t>Chancellery</w:t>
      </w:r>
      <w:r>
        <w:rPr>
          <w:spacing w:val="-15"/>
        </w:rPr>
        <w:t> </w:t>
      </w:r>
      <w:r>
        <w:rPr/>
        <w:t>on</w:t>
      </w:r>
      <w:r>
        <w:rPr>
          <w:spacing w:val="-15"/>
        </w:rPr>
        <w:t> </w:t>
      </w:r>
      <w:r>
        <w:rPr/>
        <w:t>the Parramatta</w:t>
      </w:r>
      <w:r>
        <w:rPr>
          <w:spacing w:val="-38"/>
        </w:rPr>
        <w:t> </w:t>
      </w:r>
      <w:r>
        <w:rPr>
          <w:spacing w:val="2"/>
        </w:rPr>
        <w:t>campus.</w:t>
      </w:r>
    </w:p>
    <w:p>
      <w:pPr>
        <w:pStyle w:val="BodyText"/>
        <w:rPr>
          <w:sz w:val="14"/>
        </w:rPr>
      </w:pPr>
    </w:p>
    <w:p>
      <w:pPr>
        <w:pStyle w:val="BodyText"/>
        <w:spacing w:line="249" w:lineRule="auto"/>
        <w:ind w:left="107" w:right="142"/>
      </w:pPr>
      <w:r>
        <w:rPr/>
        <w:t>Numerous refurbishment programs across all</w:t>
      </w:r>
      <w:r>
        <w:rPr>
          <w:spacing w:val="-15"/>
        </w:rPr>
        <w:t> </w:t>
      </w:r>
      <w:r>
        <w:rPr/>
        <w:t>campuses</w:t>
      </w:r>
      <w:r>
        <w:rPr>
          <w:spacing w:val="-15"/>
        </w:rPr>
        <w:t> </w:t>
      </w:r>
      <w:r>
        <w:rPr/>
        <w:t>also</w:t>
      </w:r>
      <w:r>
        <w:rPr>
          <w:spacing w:val="-15"/>
        </w:rPr>
        <w:t> </w:t>
      </w:r>
      <w:r>
        <w:rPr/>
        <w:t>affected</w:t>
      </w:r>
      <w:r>
        <w:rPr>
          <w:spacing w:val="-15"/>
        </w:rPr>
        <w:t> </w:t>
      </w:r>
      <w:r>
        <w:rPr/>
        <w:t>the</w:t>
      </w:r>
      <w:r>
        <w:rPr>
          <w:spacing w:val="-15"/>
        </w:rPr>
        <w:t> </w:t>
      </w:r>
      <w:r>
        <w:rPr>
          <w:spacing w:val="2"/>
        </w:rPr>
        <w:t>art</w:t>
      </w:r>
      <w:r>
        <w:rPr>
          <w:spacing w:val="-15"/>
        </w:rPr>
        <w:t> </w:t>
      </w:r>
      <w:r>
        <w:rPr/>
        <w:t>collection. These</w:t>
      </w:r>
      <w:r>
        <w:rPr>
          <w:spacing w:val="-15"/>
        </w:rPr>
        <w:t> </w:t>
      </w:r>
      <w:r>
        <w:rPr/>
        <w:t>included</w:t>
      </w:r>
      <w:r>
        <w:rPr>
          <w:spacing w:val="-15"/>
        </w:rPr>
        <w:t> </w:t>
      </w:r>
      <w:r>
        <w:rPr/>
        <w:t>the</w:t>
      </w:r>
      <w:r>
        <w:rPr>
          <w:spacing w:val="-15"/>
        </w:rPr>
        <w:t> </w:t>
      </w:r>
      <w:r>
        <w:rPr>
          <w:spacing w:val="2"/>
        </w:rPr>
        <w:t>CBD</w:t>
      </w:r>
      <w:r>
        <w:rPr>
          <w:spacing w:val="-15"/>
        </w:rPr>
        <w:t> </w:t>
      </w:r>
      <w:r>
        <w:rPr/>
        <w:t>executive</w:t>
      </w:r>
      <w:r>
        <w:rPr>
          <w:spacing w:val="-15"/>
        </w:rPr>
        <w:t> </w:t>
      </w:r>
      <w:r>
        <w:rPr/>
        <w:t>offices</w:t>
      </w:r>
      <w:r>
        <w:rPr>
          <w:spacing w:val="-15"/>
        </w:rPr>
        <w:t> </w:t>
      </w:r>
      <w:r>
        <w:rPr/>
        <w:t>in Sydney; buildings </w:t>
      </w:r>
      <w:r>
        <w:rPr>
          <w:spacing w:val="-6"/>
        </w:rPr>
        <w:t>P, </w:t>
      </w:r>
      <w:r>
        <w:rPr/>
        <w:t>I and V at Kingswood campus;</w:t>
      </w:r>
      <w:r>
        <w:rPr>
          <w:spacing w:val="-19"/>
        </w:rPr>
        <w:t> </w:t>
      </w:r>
      <w:r>
        <w:rPr/>
        <w:t>buildings</w:t>
      </w:r>
      <w:r>
        <w:rPr>
          <w:spacing w:val="-19"/>
        </w:rPr>
        <w:t> </w:t>
      </w:r>
      <w:r>
        <w:rPr/>
        <w:t>EM,</w:t>
      </w:r>
      <w:r>
        <w:rPr>
          <w:spacing w:val="-19"/>
        </w:rPr>
        <w:t> </w:t>
      </w:r>
      <w:r>
        <w:rPr>
          <w:spacing w:val="2"/>
        </w:rPr>
        <w:t>ET</w:t>
      </w:r>
      <w:r>
        <w:rPr>
          <w:spacing w:val="-19"/>
        </w:rPr>
        <w:t> </w:t>
      </w:r>
      <w:r>
        <w:rPr/>
        <w:t>and</w:t>
      </w:r>
      <w:r>
        <w:rPr>
          <w:spacing w:val="-19"/>
        </w:rPr>
        <w:t> </w:t>
      </w:r>
      <w:r>
        <w:rPr/>
        <w:t>EB</w:t>
      </w:r>
      <w:r>
        <w:rPr>
          <w:spacing w:val="-19"/>
        </w:rPr>
        <w:t> </w:t>
      </w:r>
      <w:r>
        <w:rPr/>
        <w:t>at</w:t>
      </w:r>
    </w:p>
    <w:p>
      <w:pPr>
        <w:pStyle w:val="BodyText"/>
        <w:spacing w:line="249" w:lineRule="auto"/>
        <w:ind w:left="107" w:right="62"/>
      </w:pPr>
      <w:r>
        <w:rPr/>
        <w:t>Parramatta</w:t>
      </w:r>
      <w:r>
        <w:rPr>
          <w:spacing w:val="-11"/>
        </w:rPr>
        <w:t> </w:t>
      </w:r>
      <w:r>
        <w:rPr/>
        <w:t>campus;</w:t>
      </w:r>
      <w:r>
        <w:rPr>
          <w:spacing w:val="-11"/>
        </w:rPr>
        <w:t> </w:t>
      </w:r>
      <w:r>
        <w:rPr/>
        <w:t>buildings</w:t>
      </w:r>
      <w:r>
        <w:rPr>
          <w:spacing w:val="-11"/>
        </w:rPr>
        <w:t> </w:t>
      </w:r>
      <w:r>
        <w:rPr/>
        <w:t>AE,</w:t>
      </w:r>
      <w:r>
        <w:rPr>
          <w:spacing w:val="-11"/>
        </w:rPr>
        <w:t> </w:t>
      </w:r>
      <w:r>
        <w:rPr/>
        <w:t>AF</w:t>
      </w:r>
      <w:r>
        <w:rPr>
          <w:spacing w:val="-11"/>
        </w:rPr>
        <w:t> </w:t>
      </w:r>
      <w:r>
        <w:rPr/>
        <w:t>and</w:t>
      </w:r>
      <w:r>
        <w:rPr>
          <w:spacing w:val="-11"/>
        </w:rPr>
        <w:t> </w:t>
      </w:r>
      <w:r>
        <w:rPr/>
        <w:t>AD at Werrington North campus; and building BA</w:t>
      </w:r>
      <w:r>
        <w:rPr>
          <w:spacing w:val="-11"/>
        </w:rPr>
        <w:t> </w:t>
      </w:r>
      <w:r>
        <w:rPr/>
        <w:t>at</w:t>
      </w:r>
      <w:r>
        <w:rPr>
          <w:spacing w:val="-11"/>
        </w:rPr>
        <w:t> </w:t>
      </w:r>
      <w:r>
        <w:rPr/>
        <w:t>Werrington</w:t>
      </w:r>
      <w:r>
        <w:rPr>
          <w:spacing w:val="-11"/>
        </w:rPr>
        <w:t> </w:t>
      </w:r>
      <w:r>
        <w:rPr/>
        <w:t>South</w:t>
      </w:r>
      <w:r>
        <w:rPr>
          <w:spacing w:val="-11"/>
        </w:rPr>
        <w:t> </w:t>
      </w:r>
      <w:r>
        <w:rPr>
          <w:spacing w:val="2"/>
        </w:rPr>
        <w:t>campus.</w:t>
      </w:r>
      <w:r>
        <w:rPr>
          <w:spacing w:val="-11"/>
        </w:rPr>
        <w:t> </w:t>
      </w:r>
      <w:r>
        <w:rPr/>
        <w:t>About</w:t>
      </w:r>
    </w:p>
    <w:p>
      <w:pPr>
        <w:pStyle w:val="BodyText"/>
        <w:spacing w:line="249" w:lineRule="auto"/>
        <w:ind w:left="107" w:right="402"/>
      </w:pPr>
      <w:r>
        <w:rPr/>
        <w:t>230 artworks were relocated across the </w:t>
      </w:r>
      <w:r>
        <w:rPr>
          <w:w w:val="95"/>
        </w:rPr>
        <w:t>University’s campuses.</w:t>
      </w:r>
    </w:p>
    <w:p>
      <w:pPr>
        <w:pStyle w:val="BodyText"/>
        <w:rPr>
          <w:sz w:val="14"/>
        </w:rPr>
      </w:pPr>
    </w:p>
    <w:p>
      <w:pPr>
        <w:pStyle w:val="BodyText"/>
        <w:spacing w:line="247" w:lineRule="auto"/>
        <w:ind w:left="107" w:right="38"/>
      </w:pPr>
      <w:r>
        <w:rPr>
          <w:spacing w:val="1"/>
          <w:w w:val="80"/>
        </w:rPr>
        <w:t>In</w:t>
      </w:r>
      <w:r>
        <w:rPr>
          <w:w w:val="80"/>
        </w:rPr>
        <w:t> </w:t>
      </w:r>
      <w:r>
        <w:rPr>
          <w:spacing w:val="1"/>
          <w:w w:val="84"/>
        </w:rPr>
        <w:t>2015,</w:t>
      </w:r>
      <w:r>
        <w:rPr>
          <w:w w:val="84"/>
        </w:rPr>
        <w:t> </w:t>
      </w:r>
      <w:r>
        <w:rPr>
          <w:w w:val="97"/>
        </w:rPr>
        <w:t>the </w:t>
      </w:r>
      <w:r>
        <w:rPr>
          <w:w w:val="97"/>
        </w:rPr>
        <w:t>maintenance </w:t>
      </w:r>
      <w:r>
        <w:rPr>
          <w:spacing w:val="1"/>
          <w:w w:val="98"/>
        </w:rPr>
        <w:t>program</w:t>
      </w:r>
      <w:r>
        <w:rPr>
          <w:w w:val="98"/>
        </w:rPr>
        <w:t> </w:t>
      </w:r>
      <w:r>
        <w:rPr>
          <w:spacing w:val="1"/>
          <w:w w:val="98"/>
        </w:rPr>
        <w:t>continued</w:t>
      </w:r>
      <w:r>
        <w:rPr>
          <w:w w:val="98"/>
        </w:rPr>
        <w:t> </w:t>
      </w:r>
      <w:r>
        <w:rPr/>
        <w:t>for all outdoor sculptures, identifying and repairing damaged works. Works that were repaired</w:t>
      </w:r>
      <w:r>
        <w:rPr>
          <w:spacing w:val="-30"/>
        </w:rPr>
        <w:t> </w:t>
      </w:r>
      <w:r>
        <w:rPr/>
        <w:t>include</w:t>
      </w:r>
      <w:r>
        <w:rPr>
          <w:spacing w:val="-30"/>
        </w:rPr>
        <w:t> </w:t>
      </w:r>
      <w:r>
        <w:rPr>
          <w:rFonts w:ascii="Century Gothic"/>
          <w:i/>
        </w:rPr>
        <w:t>Antipodean</w:t>
      </w:r>
      <w:r>
        <w:rPr>
          <w:rFonts w:ascii="Century Gothic"/>
          <w:i/>
          <w:spacing w:val="-25"/>
        </w:rPr>
        <w:t> </w:t>
      </w:r>
      <w:r>
        <w:rPr>
          <w:rFonts w:ascii="Century Gothic"/>
          <w:i/>
        </w:rPr>
        <w:t>Vision</w:t>
      </w:r>
      <w:r>
        <w:rPr>
          <w:rFonts w:ascii="Century Gothic"/>
          <w:i/>
          <w:spacing w:val="-25"/>
        </w:rPr>
        <w:t> </w:t>
      </w:r>
      <w:r>
        <w:rPr/>
        <w:t>by</w:t>
      </w:r>
      <w:r>
        <w:rPr>
          <w:spacing w:val="-30"/>
        </w:rPr>
        <w:t> </w:t>
      </w:r>
      <w:r>
        <w:rPr/>
        <w:t>Chris Levers</w:t>
      </w:r>
      <w:r>
        <w:rPr>
          <w:spacing w:val="-25"/>
        </w:rPr>
        <w:t> </w:t>
      </w:r>
      <w:r>
        <w:rPr/>
        <w:t>at</w:t>
      </w:r>
      <w:r>
        <w:rPr>
          <w:spacing w:val="-25"/>
        </w:rPr>
        <w:t> </w:t>
      </w:r>
      <w:r>
        <w:rPr/>
        <w:t>Bankstown</w:t>
      </w:r>
      <w:r>
        <w:rPr>
          <w:spacing w:val="-25"/>
        </w:rPr>
        <w:t> </w:t>
      </w:r>
      <w:r>
        <w:rPr/>
        <w:t>campus</w:t>
      </w:r>
      <w:r>
        <w:rPr>
          <w:spacing w:val="-25"/>
        </w:rPr>
        <w:t> </w:t>
      </w:r>
      <w:r>
        <w:rPr/>
        <w:t>and</w:t>
      </w:r>
      <w:r>
        <w:rPr>
          <w:spacing w:val="-25"/>
        </w:rPr>
        <w:t> </w:t>
      </w:r>
      <w:r>
        <w:rPr>
          <w:rFonts w:ascii="Century Gothic"/>
          <w:i/>
        </w:rPr>
        <w:t>reprieve</w:t>
      </w:r>
      <w:r>
        <w:rPr>
          <w:rFonts w:ascii="Century Gothic"/>
          <w:i/>
          <w:spacing w:val="-19"/>
        </w:rPr>
        <w:t> </w:t>
      </w:r>
      <w:r>
        <w:rPr/>
        <w:t>by Greer</w:t>
      </w:r>
      <w:r>
        <w:rPr>
          <w:spacing w:val="-21"/>
        </w:rPr>
        <w:t> </w:t>
      </w:r>
      <w:r>
        <w:rPr/>
        <w:t>Taylor</w:t>
      </w:r>
      <w:r>
        <w:rPr>
          <w:spacing w:val="-21"/>
        </w:rPr>
        <w:t> </w:t>
      </w:r>
      <w:r>
        <w:rPr/>
        <w:t>at</w:t>
      </w:r>
      <w:r>
        <w:rPr>
          <w:spacing w:val="-21"/>
        </w:rPr>
        <w:t> </w:t>
      </w:r>
      <w:r>
        <w:rPr/>
        <w:t>Campbelltown</w:t>
      </w:r>
      <w:r>
        <w:rPr>
          <w:spacing w:val="-21"/>
        </w:rPr>
        <w:t> </w:t>
      </w:r>
      <w:r>
        <w:rPr>
          <w:spacing w:val="2"/>
        </w:rPr>
        <w:t>campus.</w:t>
      </w:r>
      <w:r>
        <w:rPr>
          <w:spacing w:val="-21"/>
        </w:rPr>
        <w:t> </w:t>
      </w:r>
      <w:r>
        <w:rPr/>
        <w:t>Works </w:t>
      </w:r>
      <w:r>
        <w:rPr>
          <w:w w:val="98"/>
        </w:rPr>
        <w:t>that</w:t>
      </w:r>
      <w:r>
        <w:rPr>
          <w:spacing w:val="-13"/>
          <w:w w:val="98"/>
        </w:rPr>
        <w:t> </w:t>
      </w:r>
      <w:r>
        <w:rPr>
          <w:spacing w:val="2"/>
          <w:w w:val="97"/>
        </w:rPr>
        <w:t>need</w:t>
      </w:r>
      <w:r>
        <w:rPr>
          <w:spacing w:val="-12"/>
          <w:w w:val="97"/>
        </w:rPr>
        <w:t> </w:t>
      </w:r>
      <w:r>
        <w:rPr>
          <w:spacing w:val="-1"/>
          <w:w w:val="101"/>
        </w:rPr>
        <w:t>to</w:t>
      </w:r>
      <w:r>
        <w:rPr>
          <w:spacing w:val="-14"/>
          <w:w w:val="101"/>
        </w:rPr>
        <w:t> </w:t>
      </w:r>
      <w:r>
        <w:rPr>
          <w:spacing w:val="1"/>
          <w:w w:val="99"/>
        </w:rPr>
        <w:t>be</w:t>
      </w:r>
      <w:r>
        <w:rPr>
          <w:spacing w:val="-13"/>
          <w:w w:val="99"/>
        </w:rPr>
        <w:t> </w:t>
      </w:r>
      <w:r>
        <w:rPr>
          <w:w w:val="97"/>
        </w:rPr>
        <w:t>repaired</w:t>
      </w:r>
      <w:r>
        <w:rPr>
          <w:spacing w:val="-12"/>
          <w:w w:val="97"/>
        </w:rPr>
        <w:t> </w:t>
      </w:r>
      <w:r>
        <w:rPr>
          <w:w w:val="95"/>
        </w:rPr>
        <w:t>in</w:t>
      </w:r>
      <w:r>
        <w:rPr>
          <w:spacing w:val="-11"/>
          <w:w w:val="95"/>
        </w:rPr>
        <w:t> </w:t>
      </w:r>
      <w:r>
        <w:rPr>
          <w:spacing w:val="1"/>
          <w:w w:val="90"/>
        </w:rPr>
        <w:t>2016</w:t>
      </w:r>
      <w:r>
        <w:rPr>
          <w:spacing w:val="-9"/>
          <w:w w:val="90"/>
        </w:rPr>
        <w:t> </w:t>
      </w:r>
      <w:r>
        <w:rPr>
          <w:spacing w:val="1"/>
          <w:w w:val="97"/>
        </w:rPr>
        <w:t>include</w:t>
      </w:r>
      <w:r>
        <w:rPr>
          <w:spacing w:val="-12"/>
          <w:w w:val="97"/>
        </w:rPr>
        <w:t> </w:t>
      </w:r>
      <w:r>
        <w:rPr>
          <w:rFonts w:ascii="Century Gothic"/>
          <w:i/>
          <w:spacing w:val="1"/>
          <w:w w:val="90"/>
        </w:rPr>
        <w:t>Inara</w:t>
      </w:r>
      <w:r>
        <w:rPr>
          <w:rFonts w:ascii="Century Gothic"/>
          <w:i/>
          <w:w w:val="90"/>
        </w:rPr>
        <w:t> </w:t>
      </w:r>
      <w:r>
        <w:rPr/>
        <w:t>by</w:t>
      </w:r>
      <w:r>
        <w:rPr>
          <w:spacing w:val="-21"/>
        </w:rPr>
        <w:t> </w:t>
      </w:r>
      <w:r>
        <w:rPr/>
        <w:t>Michael</w:t>
      </w:r>
      <w:r>
        <w:rPr>
          <w:spacing w:val="-21"/>
        </w:rPr>
        <w:t> </w:t>
      </w:r>
      <w:r>
        <w:rPr/>
        <w:t>Le</w:t>
      </w:r>
      <w:r>
        <w:rPr>
          <w:spacing w:val="-21"/>
        </w:rPr>
        <w:t> </w:t>
      </w:r>
      <w:r>
        <w:rPr/>
        <w:t>Grand</w:t>
      </w:r>
      <w:r>
        <w:rPr>
          <w:spacing w:val="-21"/>
        </w:rPr>
        <w:t> </w:t>
      </w:r>
      <w:r>
        <w:rPr/>
        <w:t>and</w:t>
      </w:r>
      <w:r>
        <w:rPr>
          <w:spacing w:val="-21"/>
        </w:rPr>
        <w:t> </w:t>
      </w:r>
      <w:r>
        <w:rPr>
          <w:rFonts w:ascii="Century Gothic"/>
          <w:i/>
        </w:rPr>
        <w:t>Resilience</w:t>
      </w:r>
      <w:r>
        <w:rPr>
          <w:rFonts w:ascii="Century Gothic"/>
          <w:i/>
          <w:spacing w:val="-16"/>
        </w:rPr>
        <w:t> </w:t>
      </w:r>
      <w:r>
        <w:rPr/>
        <w:t>by</w:t>
      </w:r>
      <w:r>
        <w:rPr>
          <w:spacing w:val="-21"/>
        </w:rPr>
        <w:t> </w:t>
      </w:r>
      <w:r>
        <w:rPr/>
        <w:t>Janik Bouchette</w:t>
      </w:r>
      <w:r>
        <w:rPr>
          <w:spacing w:val="-18"/>
        </w:rPr>
        <w:t> </w:t>
      </w:r>
      <w:r>
        <w:rPr/>
        <w:t>at</w:t>
      </w:r>
      <w:r>
        <w:rPr>
          <w:spacing w:val="-18"/>
        </w:rPr>
        <w:t> </w:t>
      </w:r>
      <w:r>
        <w:rPr/>
        <w:t>Campbelltown</w:t>
      </w:r>
      <w:r>
        <w:rPr>
          <w:spacing w:val="-18"/>
        </w:rPr>
        <w:t> </w:t>
      </w:r>
      <w:r>
        <w:rPr>
          <w:spacing w:val="2"/>
        </w:rPr>
        <w:t>campus.</w:t>
      </w:r>
    </w:p>
    <w:p>
      <w:pPr>
        <w:pStyle w:val="BodyText"/>
        <w:spacing w:before="9"/>
        <w:rPr>
          <w:sz w:val="21"/>
        </w:rPr>
      </w:pPr>
    </w:p>
    <w:p>
      <w:pPr>
        <w:pStyle w:val="Heading8"/>
        <w:ind w:right="105"/>
      </w:pPr>
      <w:r>
        <w:rPr>
          <w:w w:val="95"/>
        </w:rPr>
        <w:t>COLLECTION  MANAGEMENT</w:t>
      </w:r>
    </w:p>
    <w:p>
      <w:pPr>
        <w:pStyle w:val="BodyText"/>
        <w:spacing w:line="249" w:lineRule="auto" w:before="86"/>
        <w:ind w:left="107" w:right="19"/>
      </w:pPr>
      <w:r>
        <w:rPr>
          <w:w w:val="100"/>
        </w:rPr>
        <w:t>From </w:t>
      </w:r>
      <w:r>
        <w:rPr>
          <w:spacing w:val="1"/>
          <w:w w:val="97"/>
        </w:rPr>
        <w:t>March</w:t>
      </w:r>
      <w:r>
        <w:rPr>
          <w:w w:val="97"/>
        </w:rPr>
        <w:t> </w:t>
      </w:r>
      <w:r>
        <w:rPr>
          <w:spacing w:val="-1"/>
          <w:w w:val="101"/>
        </w:rPr>
        <w:t>to</w:t>
      </w:r>
      <w:r>
        <w:rPr>
          <w:w w:val="101"/>
        </w:rPr>
        <w:t> </w:t>
      </w:r>
      <w:r>
        <w:rPr>
          <w:spacing w:val="1"/>
          <w:w w:val="98"/>
        </w:rPr>
        <w:t>June</w:t>
      </w:r>
      <w:r>
        <w:rPr>
          <w:w w:val="98"/>
        </w:rPr>
        <w:t> </w:t>
      </w:r>
      <w:r>
        <w:rPr>
          <w:spacing w:val="1"/>
          <w:w w:val="84"/>
        </w:rPr>
        <w:t>2015,</w:t>
      </w:r>
      <w:r>
        <w:rPr>
          <w:w w:val="84"/>
        </w:rPr>
        <w:t> </w:t>
      </w:r>
      <w:r>
        <w:rPr>
          <w:w w:val="97"/>
        </w:rPr>
        <w:t>the </w:t>
      </w:r>
      <w:r>
        <w:rPr>
          <w:spacing w:val="1"/>
          <w:w w:val="98"/>
        </w:rPr>
        <w:t>Office</w:t>
      </w:r>
      <w:r>
        <w:rPr>
          <w:w w:val="98"/>
        </w:rPr>
        <w:t> </w:t>
      </w:r>
      <w:r>
        <w:rPr>
          <w:w w:val="99"/>
        </w:rPr>
        <w:t>of </w:t>
      </w:r>
      <w:r>
        <w:rPr>
          <w:w w:val="101"/>
        </w:rPr>
        <w:t>Audit </w:t>
      </w:r>
      <w:r>
        <w:rPr/>
        <w:t>and</w:t>
      </w:r>
      <w:r>
        <w:rPr>
          <w:spacing w:val="-11"/>
        </w:rPr>
        <w:t> </w:t>
      </w:r>
      <w:r>
        <w:rPr/>
        <w:t>Risk</w:t>
      </w:r>
      <w:r>
        <w:rPr>
          <w:spacing w:val="-11"/>
        </w:rPr>
        <w:t> </w:t>
      </w:r>
      <w:r>
        <w:rPr/>
        <w:t>Assessment</w:t>
      </w:r>
      <w:r>
        <w:rPr>
          <w:spacing w:val="-11"/>
        </w:rPr>
        <w:t> </w:t>
      </w:r>
      <w:r>
        <w:rPr/>
        <w:t>conducted</w:t>
      </w:r>
      <w:r>
        <w:rPr>
          <w:spacing w:val="-11"/>
        </w:rPr>
        <w:t> </w:t>
      </w:r>
      <w:r>
        <w:rPr/>
        <w:t>a</w:t>
      </w:r>
      <w:r>
        <w:rPr>
          <w:spacing w:val="-11"/>
        </w:rPr>
        <w:t> </w:t>
      </w:r>
      <w:r>
        <w:rPr/>
        <w:t>compliance review of the </w:t>
      </w:r>
      <w:r>
        <w:rPr>
          <w:spacing w:val="2"/>
        </w:rPr>
        <w:t>art </w:t>
      </w:r>
      <w:r>
        <w:rPr/>
        <w:t>collection to confirm that effective measures were in place to manage and safeguard </w:t>
      </w:r>
      <w:r>
        <w:rPr>
          <w:spacing w:val="2"/>
        </w:rPr>
        <w:t>assets. </w:t>
      </w:r>
      <w:r>
        <w:rPr/>
        <w:t>It found that security measures are sound and appropriate for the University’s </w:t>
      </w:r>
      <w:r>
        <w:rPr>
          <w:spacing w:val="2"/>
        </w:rPr>
        <w:t>art</w:t>
      </w:r>
      <w:r>
        <w:rPr>
          <w:spacing w:val="-39"/>
        </w:rPr>
        <w:t> </w:t>
      </w:r>
      <w:r>
        <w:rPr/>
        <w:t>collection.</w:t>
      </w:r>
    </w:p>
    <w:p>
      <w:pPr>
        <w:pStyle w:val="BodyText"/>
        <w:spacing w:before="9"/>
      </w:pPr>
      <w:r>
        <w:rPr/>
        <w:br w:type="column"/>
      </w:r>
      <w:r>
        <w:rPr/>
      </w:r>
    </w:p>
    <w:p>
      <w:pPr>
        <w:pStyle w:val="BodyText"/>
        <w:spacing w:line="249" w:lineRule="auto" w:before="1"/>
        <w:ind w:left="107" w:right="81"/>
      </w:pPr>
      <w:r>
        <w:rPr/>
        <w:t>It</w:t>
      </w:r>
      <w:r>
        <w:rPr>
          <w:spacing w:val="-21"/>
        </w:rPr>
        <w:t> </w:t>
      </w:r>
      <w:r>
        <w:rPr/>
        <w:t>was</w:t>
      </w:r>
      <w:r>
        <w:rPr>
          <w:spacing w:val="-21"/>
        </w:rPr>
        <w:t> </w:t>
      </w:r>
      <w:r>
        <w:rPr/>
        <w:t>noted,</w:t>
      </w:r>
      <w:r>
        <w:rPr>
          <w:spacing w:val="-21"/>
        </w:rPr>
        <w:t> </w:t>
      </w:r>
      <w:r>
        <w:rPr/>
        <w:t>however,</w:t>
      </w:r>
      <w:r>
        <w:rPr>
          <w:spacing w:val="-21"/>
        </w:rPr>
        <w:t> </w:t>
      </w:r>
      <w:r>
        <w:rPr/>
        <w:t>that</w:t>
      </w:r>
      <w:r>
        <w:rPr>
          <w:spacing w:val="-21"/>
        </w:rPr>
        <w:t> </w:t>
      </w:r>
      <w:r>
        <w:rPr/>
        <w:t>the</w:t>
      </w:r>
      <w:r>
        <w:rPr>
          <w:spacing w:val="-21"/>
        </w:rPr>
        <w:t> </w:t>
      </w:r>
      <w:r>
        <w:rPr>
          <w:spacing w:val="2"/>
        </w:rPr>
        <w:t>art</w:t>
      </w:r>
      <w:r>
        <w:rPr>
          <w:spacing w:val="-21"/>
        </w:rPr>
        <w:t> </w:t>
      </w:r>
      <w:r>
        <w:rPr/>
        <w:t>collection unit’s</w:t>
      </w:r>
      <w:r>
        <w:rPr>
          <w:spacing w:val="-22"/>
        </w:rPr>
        <w:t> </w:t>
      </w:r>
      <w:r>
        <w:rPr/>
        <w:t>database</w:t>
      </w:r>
      <w:r>
        <w:rPr>
          <w:spacing w:val="-22"/>
        </w:rPr>
        <w:t> </w:t>
      </w:r>
      <w:r>
        <w:rPr/>
        <w:t>system</w:t>
      </w:r>
      <w:r>
        <w:rPr>
          <w:spacing w:val="-22"/>
        </w:rPr>
        <w:t> </w:t>
      </w:r>
      <w:r>
        <w:rPr>
          <w:spacing w:val="2"/>
        </w:rPr>
        <w:t>(TRIM)</w:t>
      </w:r>
      <w:r>
        <w:rPr>
          <w:spacing w:val="-22"/>
        </w:rPr>
        <w:t> </w:t>
      </w:r>
      <w:r>
        <w:rPr/>
        <w:t>and</w:t>
      </w:r>
      <w:r>
        <w:rPr>
          <w:spacing w:val="-22"/>
        </w:rPr>
        <w:t> </w:t>
      </w:r>
      <w:r>
        <w:rPr/>
        <w:t>processes need to be updated to complete existing records, as well as tracking and reporting asset</w:t>
      </w:r>
      <w:r>
        <w:rPr>
          <w:spacing w:val="-36"/>
        </w:rPr>
        <w:t> </w:t>
      </w:r>
      <w:r>
        <w:rPr/>
        <w:t>movements.</w:t>
      </w:r>
    </w:p>
    <w:p>
      <w:pPr>
        <w:pStyle w:val="BodyText"/>
        <w:rPr>
          <w:sz w:val="14"/>
        </w:rPr>
      </w:pPr>
    </w:p>
    <w:p>
      <w:pPr>
        <w:pStyle w:val="BodyText"/>
        <w:spacing w:line="249" w:lineRule="auto"/>
        <w:ind w:left="107" w:right="81"/>
      </w:pPr>
      <w:r>
        <w:rPr>
          <w:spacing w:val="1"/>
          <w:w w:val="101"/>
        </w:rPr>
        <w:t>No</w:t>
      </w:r>
      <w:r>
        <w:rPr>
          <w:w w:val="101"/>
        </w:rPr>
        <w:t> </w:t>
      </w:r>
      <w:r>
        <w:rPr>
          <w:spacing w:val="1"/>
          <w:w w:val="97"/>
        </w:rPr>
        <w:t>additional</w:t>
      </w:r>
      <w:r>
        <w:rPr>
          <w:w w:val="97"/>
        </w:rPr>
        <w:t> </w:t>
      </w:r>
      <w:r>
        <w:rPr>
          <w:spacing w:val="1"/>
          <w:w w:val="97"/>
        </w:rPr>
        <w:t>funding</w:t>
      </w:r>
      <w:r>
        <w:rPr>
          <w:w w:val="97"/>
        </w:rPr>
        <w:t> </w:t>
      </w:r>
      <w:r>
        <w:rPr>
          <w:w w:val="96"/>
        </w:rPr>
        <w:t>was </w:t>
      </w:r>
      <w:r>
        <w:rPr>
          <w:w w:val="99"/>
        </w:rPr>
        <w:t>provided </w:t>
      </w:r>
      <w:r>
        <w:rPr>
          <w:w w:val="95"/>
        </w:rPr>
        <w:t>in </w:t>
      </w:r>
      <w:r>
        <w:rPr>
          <w:spacing w:val="1"/>
          <w:w w:val="88"/>
        </w:rPr>
        <w:t>2015</w:t>
      </w:r>
      <w:r>
        <w:rPr>
          <w:w w:val="88"/>
        </w:rPr>
        <w:t> </w:t>
      </w:r>
      <w:r>
        <w:rPr/>
        <w:t>to update the current database. However, other</w:t>
      </w:r>
      <w:r>
        <w:rPr>
          <w:spacing w:val="-20"/>
        </w:rPr>
        <w:t> </w:t>
      </w:r>
      <w:r>
        <w:rPr/>
        <w:t>collection</w:t>
      </w:r>
      <w:r>
        <w:rPr>
          <w:spacing w:val="-20"/>
        </w:rPr>
        <w:t> </w:t>
      </w:r>
      <w:r>
        <w:rPr/>
        <w:t>management</w:t>
      </w:r>
      <w:r>
        <w:rPr>
          <w:spacing w:val="-20"/>
        </w:rPr>
        <w:t> </w:t>
      </w:r>
      <w:r>
        <w:rPr/>
        <w:t>measures</w:t>
      </w:r>
      <w:r>
        <w:rPr>
          <w:spacing w:val="-20"/>
        </w:rPr>
        <w:t> </w:t>
      </w:r>
      <w:r>
        <w:rPr/>
        <w:t>were</w:t>
      </w:r>
    </w:p>
    <w:p>
      <w:pPr>
        <w:pStyle w:val="BodyText"/>
        <w:spacing w:line="249" w:lineRule="auto"/>
        <w:ind w:left="107" w:right="-11"/>
      </w:pPr>
      <w:r>
        <w:rPr/>
        <w:t>undertaken</w:t>
      </w:r>
      <w:r>
        <w:rPr>
          <w:spacing w:val="-16"/>
        </w:rPr>
        <w:t> </w:t>
      </w:r>
      <w:r>
        <w:rPr/>
        <w:t>to</w:t>
      </w:r>
      <w:r>
        <w:rPr>
          <w:spacing w:val="-16"/>
        </w:rPr>
        <w:t> </w:t>
      </w:r>
      <w:r>
        <w:rPr/>
        <w:t>improve</w:t>
      </w:r>
      <w:r>
        <w:rPr>
          <w:spacing w:val="-16"/>
        </w:rPr>
        <w:t> </w:t>
      </w:r>
      <w:r>
        <w:rPr/>
        <w:t>the</w:t>
      </w:r>
      <w:r>
        <w:rPr>
          <w:spacing w:val="-16"/>
        </w:rPr>
        <w:t> </w:t>
      </w:r>
      <w:r>
        <w:rPr/>
        <w:t>identification</w:t>
      </w:r>
      <w:r>
        <w:rPr>
          <w:spacing w:val="-16"/>
        </w:rPr>
        <w:t> </w:t>
      </w:r>
      <w:r>
        <w:rPr/>
        <w:t>of</w:t>
      </w:r>
      <w:r>
        <w:rPr>
          <w:spacing w:val="-16"/>
        </w:rPr>
        <w:t> </w:t>
      </w:r>
      <w:r>
        <w:rPr>
          <w:spacing w:val="2"/>
        </w:rPr>
        <w:t>art </w:t>
      </w:r>
      <w:r>
        <w:rPr/>
        <w:t>assets</w:t>
      </w:r>
      <w:r>
        <w:rPr>
          <w:spacing w:val="-20"/>
        </w:rPr>
        <w:t> </w:t>
      </w:r>
      <w:r>
        <w:rPr/>
        <w:t>throughout</w:t>
      </w:r>
      <w:r>
        <w:rPr>
          <w:spacing w:val="-20"/>
        </w:rPr>
        <w:t> </w:t>
      </w:r>
      <w:r>
        <w:rPr/>
        <w:t>the</w:t>
      </w:r>
      <w:r>
        <w:rPr>
          <w:spacing w:val="-20"/>
        </w:rPr>
        <w:t> </w:t>
      </w:r>
      <w:r>
        <w:rPr/>
        <w:t>University’s</w:t>
      </w:r>
      <w:r>
        <w:rPr>
          <w:spacing w:val="-20"/>
        </w:rPr>
        <w:t> </w:t>
      </w:r>
      <w:r>
        <w:rPr>
          <w:spacing w:val="2"/>
        </w:rPr>
        <w:t>campuses, </w:t>
      </w:r>
      <w:r>
        <w:rPr/>
        <w:t>especially</w:t>
      </w:r>
      <w:r>
        <w:rPr>
          <w:spacing w:val="-15"/>
        </w:rPr>
        <w:t> </w:t>
      </w:r>
      <w:r>
        <w:rPr/>
        <w:t>in</w:t>
      </w:r>
      <w:r>
        <w:rPr>
          <w:spacing w:val="-15"/>
        </w:rPr>
        <w:t> </w:t>
      </w:r>
      <w:r>
        <w:rPr/>
        <w:t>light</w:t>
      </w:r>
      <w:r>
        <w:rPr>
          <w:spacing w:val="-15"/>
        </w:rPr>
        <w:t> </w:t>
      </w:r>
      <w:r>
        <w:rPr/>
        <w:t>of</w:t>
      </w:r>
      <w:r>
        <w:rPr>
          <w:spacing w:val="-15"/>
        </w:rPr>
        <w:t> </w:t>
      </w:r>
      <w:r>
        <w:rPr/>
        <w:t>the</w:t>
      </w:r>
      <w:r>
        <w:rPr>
          <w:spacing w:val="-15"/>
        </w:rPr>
        <w:t> </w:t>
      </w:r>
      <w:r>
        <w:rPr/>
        <w:t>University</w:t>
      </w:r>
      <w:r>
        <w:rPr>
          <w:spacing w:val="-15"/>
        </w:rPr>
        <w:t> </w:t>
      </w:r>
      <w:r>
        <w:rPr/>
        <w:t>rebranding </w:t>
      </w:r>
      <w:r>
        <w:rPr>
          <w:w w:val="95"/>
        </w:rPr>
        <w:t>in </w:t>
      </w:r>
      <w:r>
        <w:rPr>
          <w:spacing w:val="1"/>
          <w:w w:val="100"/>
        </w:rPr>
        <w:t>August</w:t>
      </w:r>
      <w:r>
        <w:rPr>
          <w:spacing w:val="-8"/>
          <w:w w:val="100"/>
        </w:rPr>
        <w:t> </w:t>
      </w:r>
      <w:r>
        <w:rPr>
          <w:spacing w:val="1"/>
          <w:w w:val="84"/>
        </w:rPr>
        <w:t>2015.</w:t>
      </w:r>
    </w:p>
    <w:p>
      <w:pPr>
        <w:pStyle w:val="BodyText"/>
        <w:rPr>
          <w:sz w:val="14"/>
        </w:rPr>
      </w:pPr>
    </w:p>
    <w:p>
      <w:pPr>
        <w:pStyle w:val="BodyText"/>
        <w:spacing w:line="249" w:lineRule="auto"/>
        <w:ind w:left="107" w:right="83"/>
      </w:pPr>
      <w:r>
        <w:rPr>
          <w:w w:val="80"/>
        </w:rPr>
        <w:t>In </w:t>
      </w:r>
      <w:r>
        <w:rPr>
          <w:w w:val="98"/>
        </w:rPr>
        <w:t>November </w:t>
      </w:r>
      <w:r>
        <w:rPr>
          <w:w w:val="97"/>
        </w:rPr>
        <w:t>and </w:t>
      </w:r>
      <w:r>
        <w:rPr>
          <w:w w:val="98"/>
        </w:rPr>
        <w:t>December </w:t>
      </w:r>
      <w:r>
        <w:rPr>
          <w:w w:val="84"/>
        </w:rPr>
        <w:t>2015, </w:t>
      </w:r>
      <w:r>
        <w:rPr>
          <w:w w:val="95"/>
        </w:rPr>
        <w:t>all </w:t>
      </w:r>
      <w:r>
        <w:rPr/>
        <w:t>artworks and objects on the Campbelltown, Werrington North and Kingswood campuses were relabelled, tagged and identified physically as Western Sydney University Art Collection assets. The new tags and labels identify artworks and objects via the item’s TRIM number, asset number and traditional accession number, which are assigned to all artworks. These were physically attached</w:t>
      </w:r>
    </w:p>
    <w:p>
      <w:pPr>
        <w:pStyle w:val="BodyText"/>
        <w:spacing w:line="249" w:lineRule="auto"/>
        <w:ind w:left="107" w:right="160"/>
      </w:pPr>
      <w:r>
        <w:rPr/>
        <w:t>to</w:t>
      </w:r>
      <w:r>
        <w:rPr>
          <w:spacing w:val="-18"/>
        </w:rPr>
        <w:t> </w:t>
      </w:r>
      <w:r>
        <w:rPr/>
        <w:t>the</w:t>
      </w:r>
      <w:r>
        <w:rPr>
          <w:spacing w:val="-18"/>
        </w:rPr>
        <w:t> </w:t>
      </w:r>
      <w:r>
        <w:rPr/>
        <w:t>artworks</w:t>
      </w:r>
      <w:r>
        <w:rPr>
          <w:spacing w:val="-18"/>
        </w:rPr>
        <w:t> </w:t>
      </w:r>
      <w:r>
        <w:rPr/>
        <w:t>and</w:t>
      </w:r>
      <w:r>
        <w:rPr>
          <w:spacing w:val="-18"/>
        </w:rPr>
        <w:t> </w:t>
      </w:r>
      <w:r>
        <w:rPr>
          <w:spacing w:val="2"/>
        </w:rPr>
        <w:t>objects</w:t>
      </w:r>
      <w:r>
        <w:rPr>
          <w:spacing w:val="-18"/>
        </w:rPr>
        <w:t> </w:t>
      </w:r>
      <w:r>
        <w:rPr/>
        <w:t>where</w:t>
      </w:r>
      <w:r>
        <w:rPr>
          <w:spacing w:val="-18"/>
        </w:rPr>
        <w:t> </w:t>
      </w:r>
      <w:r>
        <w:rPr/>
        <w:t>possible. All artworks on these campuses currently on display in public areas also have new wall labels. All works on these campuses were photographed, documenting their physical condition, and a written report on the</w:t>
      </w:r>
      <w:r>
        <w:rPr>
          <w:spacing w:val="-15"/>
        </w:rPr>
        <w:t> </w:t>
      </w:r>
      <w:r>
        <w:rPr/>
        <w:t>condition</w:t>
      </w:r>
      <w:r>
        <w:rPr>
          <w:spacing w:val="-15"/>
        </w:rPr>
        <w:t> </w:t>
      </w:r>
      <w:r>
        <w:rPr/>
        <w:t>of</w:t>
      </w:r>
      <w:r>
        <w:rPr>
          <w:spacing w:val="-15"/>
        </w:rPr>
        <w:t> </w:t>
      </w:r>
      <w:r>
        <w:rPr/>
        <w:t>each</w:t>
      </w:r>
      <w:r>
        <w:rPr>
          <w:spacing w:val="-15"/>
        </w:rPr>
        <w:t> </w:t>
      </w:r>
      <w:r>
        <w:rPr/>
        <w:t>work</w:t>
      </w:r>
      <w:r>
        <w:rPr>
          <w:spacing w:val="-15"/>
        </w:rPr>
        <w:t> </w:t>
      </w:r>
      <w:r>
        <w:rPr/>
        <w:t>was</w:t>
      </w:r>
      <w:r>
        <w:rPr>
          <w:spacing w:val="-15"/>
        </w:rPr>
        <w:t> </w:t>
      </w:r>
      <w:r>
        <w:rPr/>
        <w:t>completed,</w:t>
      </w:r>
    </w:p>
    <w:p>
      <w:pPr>
        <w:pStyle w:val="BodyText"/>
        <w:spacing w:line="249" w:lineRule="auto"/>
        <w:ind w:left="107" w:right="69"/>
      </w:pPr>
      <w:r>
        <w:rPr/>
        <w:t>noting</w:t>
      </w:r>
      <w:r>
        <w:rPr>
          <w:spacing w:val="-14"/>
        </w:rPr>
        <w:t> </w:t>
      </w:r>
      <w:r>
        <w:rPr/>
        <w:t>any</w:t>
      </w:r>
      <w:r>
        <w:rPr>
          <w:spacing w:val="-14"/>
        </w:rPr>
        <w:t> </w:t>
      </w:r>
      <w:r>
        <w:rPr/>
        <w:t>damage</w:t>
      </w:r>
      <w:r>
        <w:rPr>
          <w:spacing w:val="-14"/>
        </w:rPr>
        <w:t> </w:t>
      </w:r>
      <w:r>
        <w:rPr/>
        <w:t>to</w:t>
      </w:r>
      <w:r>
        <w:rPr>
          <w:spacing w:val="-14"/>
        </w:rPr>
        <w:t> </w:t>
      </w:r>
      <w:r>
        <w:rPr/>
        <w:t>the</w:t>
      </w:r>
      <w:r>
        <w:rPr>
          <w:spacing w:val="-14"/>
        </w:rPr>
        <w:t> </w:t>
      </w:r>
      <w:r>
        <w:rPr/>
        <w:t>works</w:t>
      </w:r>
      <w:r>
        <w:rPr>
          <w:spacing w:val="-14"/>
        </w:rPr>
        <w:t> </w:t>
      </w:r>
      <w:r>
        <w:rPr/>
        <w:t>and</w:t>
      </w:r>
      <w:r>
        <w:rPr>
          <w:spacing w:val="-14"/>
        </w:rPr>
        <w:t> </w:t>
      </w:r>
      <w:r>
        <w:rPr/>
        <w:t>possible repairs</w:t>
      </w:r>
      <w:r>
        <w:rPr>
          <w:spacing w:val="-17"/>
        </w:rPr>
        <w:t> </w:t>
      </w:r>
      <w:r>
        <w:rPr/>
        <w:t>required.</w:t>
      </w:r>
      <w:r>
        <w:rPr>
          <w:spacing w:val="-17"/>
        </w:rPr>
        <w:t> </w:t>
      </w:r>
      <w:r>
        <w:rPr/>
        <w:t>Any</w:t>
      </w:r>
      <w:r>
        <w:rPr>
          <w:spacing w:val="-17"/>
        </w:rPr>
        <w:t> </w:t>
      </w:r>
      <w:r>
        <w:rPr/>
        <w:t>discrepancies</w:t>
      </w:r>
      <w:r>
        <w:rPr>
          <w:spacing w:val="-17"/>
        </w:rPr>
        <w:t> </w:t>
      </w:r>
      <w:r>
        <w:rPr/>
        <w:t>about</w:t>
      </w:r>
    </w:p>
    <w:p>
      <w:pPr>
        <w:pStyle w:val="BodyText"/>
        <w:spacing w:line="249" w:lineRule="auto"/>
        <w:ind w:left="107" w:right="385"/>
        <w:jc w:val="both"/>
      </w:pPr>
      <w:r>
        <w:rPr/>
        <w:t>an</w:t>
      </w:r>
      <w:r>
        <w:rPr>
          <w:spacing w:val="-13"/>
        </w:rPr>
        <w:t> </w:t>
      </w:r>
      <w:r>
        <w:rPr/>
        <w:t>artwork’s</w:t>
      </w:r>
      <w:r>
        <w:rPr>
          <w:spacing w:val="-13"/>
        </w:rPr>
        <w:t> </w:t>
      </w:r>
      <w:r>
        <w:rPr/>
        <w:t>location</w:t>
      </w:r>
      <w:r>
        <w:rPr>
          <w:spacing w:val="-13"/>
        </w:rPr>
        <w:t> </w:t>
      </w:r>
      <w:r>
        <w:rPr/>
        <w:t>or</w:t>
      </w:r>
      <w:r>
        <w:rPr>
          <w:spacing w:val="-13"/>
        </w:rPr>
        <w:t> </w:t>
      </w:r>
      <w:r>
        <w:rPr/>
        <w:t>description</w:t>
      </w:r>
      <w:r>
        <w:rPr>
          <w:spacing w:val="-13"/>
        </w:rPr>
        <w:t> </w:t>
      </w:r>
      <w:r>
        <w:rPr/>
        <w:t>were rectified</w:t>
      </w:r>
      <w:r>
        <w:rPr>
          <w:spacing w:val="-21"/>
        </w:rPr>
        <w:t> </w:t>
      </w:r>
      <w:r>
        <w:rPr/>
        <w:t>in</w:t>
      </w:r>
      <w:r>
        <w:rPr>
          <w:spacing w:val="-21"/>
        </w:rPr>
        <w:t> </w:t>
      </w:r>
      <w:r>
        <w:rPr/>
        <w:t>each</w:t>
      </w:r>
      <w:r>
        <w:rPr>
          <w:spacing w:val="-21"/>
        </w:rPr>
        <w:t> </w:t>
      </w:r>
      <w:r>
        <w:rPr/>
        <w:t>item’s</w:t>
      </w:r>
      <w:r>
        <w:rPr>
          <w:spacing w:val="-21"/>
        </w:rPr>
        <w:t> </w:t>
      </w:r>
      <w:r>
        <w:rPr/>
        <w:t>TRIM</w:t>
      </w:r>
      <w:r>
        <w:rPr>
          <w:spacing w:val="-21"/>
        </w:rPr>
        <w:t> </w:t>
      </w:r>
      <w:r>
        <w:rPr/>
        <w:t>record.</w:t>
      </w:r>
      <w:r>
        <w:rPr>
          <w:spacing w:val="-21"/>
        </w:rPr>
        <w:t> </w:t>
      </w:r>
      <w:r>
        <w:rPr/>
        <w:t>This </w:t>
      </w:r>
      <w:r>
        <w:rPr>
          <w:spacing w:val="1"/>
          <w:w w:val="96"/>
        </w:rPr>
        <w:t>project</w:t>
      </w:r>
      <w:r>
        <w:rPr>
          <w:w w:val="96"/>
        </w:rPr>
        <w:t> </w:t>
      </w:r>
      <w:r>
        <w:rPr>
          <w:w w:val="97"/>
        </w:rPr>
        <w:t>will </w:t>
      </w:r>
      <w:r>
        <w:rPr>
          <w:w w:val="98"/>
        </w:rPr>
        <w:t>continue </w:t>
      </w:r>
      <w:r>
        <w:rPr>
          <w:w w:val="95"/>
        </w:rPr>
        <w:t>in</w:t>
      </w:r>
      <w:r>
        <w:rPr>
          <w:spacing w:val="-16"/>
          <w:w w:val="95"/>
        </w:rPr>
        <w:t> </w:t>
      </w:r>
      <w:r>
        <w:rPr>
          <w:spacing w:val="2"/>
          <w:w w:val="85"/>
        </w:rPr>
        <w:t>2016.</w:t>
      </w:r>
    </w:p>
    <w:p>
      <w:pPr>
        <w:pStyle w:val="BodyText"/>
        <w:rPr>
          <w:sz w:val="14"/>
        </w:rPr>
      </w:pPr>
    </w:p>
    <w:p>
      <w:pPr>
        <w:pStyle w:val="BodyText"/>
        <w:spacing w:line="249" w:lineRule="auto"/>
        <w:ind w:left="107" w:right="26"/>
      </w:pPr>
      <w:r>
        <w:rPr>
          <w:spacing w:val="1"/>
          <w:w w:val="80"/>
        </w:rPr>
        <w:t>In</w:t>
      </w:r>
      <w:r>
        <w:rPr>
          <w:w w:val="80"/>
        </w:rPr>
        <w:t> </w:t>
      </w:r>
      <w:r>
        <w:rPr>
          <w:spacing w:val="1"/>
          <w:w w:val="98"/>
        </w:rPr>
        <w:t>December</w:t>
      </w:r>
      <w:r>
        <w:rPr>
          <w:w w:val="98"/>
        </w:rPr>
        <w:t> </w:t>
      </w:r>
      <w:r>
        <w:rPr>
          <w:spacing w:val="1"/>
          <w:w w:val="84"/>
        </w:rPr>
        <w:t>2015,</w:t>
      </w:r>
      <w:r>
        <w:rPr>
          <w:w w:val="84"/>
        </w:rPr>
        <w:t> </w:t>
      </w:r>
      <w:r>
        <w:rPr>
          <w:w w:val="98"/>
        </w:rPr>
        <w:t>wi-fi </w:t>
      </w:r>
      <w:r>
        <w:rPr>
          <w:w w:val="96"/>
        </w:rPr>
        <w:t>was </w:t>
      </w:r>
      <w:r>
        <w:rPr>
          <w:spacing w:val="1"/>
          <w:w w:val="97"/>
        </w:rPr>
        <w:t>installed</w:t>
      </w:r>
      <w:r>
        <w:rPr>
          <w:w w:val="97"/>
        </w:rPr>
        <w:t> </w:t>
      </w:r>
      <w:r>
        <w:rPr>
          <w:w w:val="95"/>
        </w:rPr>
        <w:t>in </w:t>
      </w:r>
      <w:r>
        <w:rPr>
          <w:w w:val="97"/>
        </w:rPr>
        <w:t>the </w:t>
      </w:r>
      <w:r>
        <w:rPr>
          <w:spacing w:val="2"/>
        </w:rPr>
        <w:t>art</w:t>
      </w:r>
      <w:r>
        <w:rPr>
          <w:spacing w:val="-16"/>
        </w:rPr>
        <w:t> </w:t>
      </w:r>
      <w:r>
        <w:rPr/>
        <w:t>collection</w:t>
      </w:r>
      <w:r>
        <w:rPr>
          <w:spacing w:val="-16"/>
        </w:rPr>
        <w:t> </w:t>
      </w:r>
      <w:r>
        <w:rPr/>
        <w:t>storage</w:t>
      </w:r>
      <w:r>
        <w:rPr>
          <w:spacing w:val="-16"/>
        </w:rPr>
        <w:t> </w:t>
      </w:r>
      <w:r>
        <w:rPr/>
        <w:t>spaces,</w:t>
      </w:r>
      <w:r>
        <w:rPr>
          <w:spacing w:val="-16"/>
        </w:rPr>
        <w:t> </w:t>
      </w:r>
      <w:r>
        <w:rPr/>
        <w:t>enabling</w:t>
      </w:r>
      <w:r>
        <w:rPr>
          <w:spacing w:val="-16"/>
        </w:rPr>
        <w:t> </w:t>
      </w:r>
      <w:r>
        <w:rPr/>
        <w:t>a</w:t>
      </w:r>
      <w:r>
        <w:rPr>
          <w:spacing w:val="-16"/>
        </w:rPr>
        <w:t> </w:t>
      </w:r>
      <w:r>
        <w:rPr/>
        <w:t>more efficient and effective process for updating records</w:t>
      </w:r>
      <w:r>
        <w:rPr>
          <w:spacing w:val="-15"/>
        </w:rPr>
        <w:t> </w:t>
      </w:r>
      <w:r>
        <w:rPr/>
        <w:t>of</w:t>
      </w:r>
      <w:r>
        <w:rPr>
          <w:spacing w:val="-15"/>
        </w:rPr>
        <w:t> </w:t>
      </w:r>
      <w:r>
        <w:rPr/>
        <w:t>artworks</w:t>
      </w:r>
      <w:r>
        <w:rPr>
          <w:spacing w:val="-15"/>
        </w:rPr>
        <w:t> </w:t>
      </w:r>
      <w:r>
        <w:rPr/>
        <w:t>when</w:t>
      </w:r>
      <w:r>
        <w:rPr>
          <w:spacing w:val="-15"/>
        </w:rPr>
        <w:t> </w:t>
      </w:r>
      <w:r>
        <w:rPr/>
        <w:t>they</w:t>
      </w:r>
      <w:r>
        <w:rPr>
          <w:spacing w:val="-15"/>
        </w:rPr>
        <w:t> </w:t>
      </w:r>
      <w:r>
        <w:rPr/>
        <w:t>are</w:t>
      </w:r>
      <w:r>
        <w:rPr>
          <w:spacing w:val="-15"/>
        </w:rPr>
        <w:t> </w:t>
      </w:r>
      <w:r>
        <w:rPr/>
        <w:t>moved</w:t>
      </w:r>
      <w:r>
        <w:rPr>
          <w:spacing w:val="-15"/>
        </w:rPr>
        <w:t> </w:t>
      </w:r>
      <w:r>
        <w:rPr/>
        <w:t>into or</w:t>
      </w:r>
      <w:r>
        <w:rPr>
          <w:spacing w:val="-16"/>
        </w:rPr>
        <w:t> </w:t>
      </w:r>
      <w:r>
        <w:rPr/>
        <w:t>out</w:t>
      </w:r>
      <w:r>
        <w:rPr>
          <w:spacing w:val="-16"/>
        </w:rPr>
        <w:t> </w:t>
      </w:r>
      <w:r>
        <w:rPr/>
        <w:t>of</w:t>
      </w:r>
      <w:r>
        <w:rPr>
          <w:spacing w:val="-16"/>
        </w:rPr>
        <w:t> </w:t>
      </w:r>
      <w:r>
        <w:rPr/>
        <w:t>storage.</w:t>
      </w:r>
      <w:r>
        <w:rPr>
          <w:spacing w:val="-16"/>
        </w:rPr>
        <w:t> </w:t>
      </w:r>
      <w:r>
        <w:rPr/>
        <w:t>This</w:t>
      </w:r>
      <w:r>
        <w:rPr>
          <w:spacing w:val="-16"/>
        </w:rPr>
        <w:t> </w:t>
      </w:r>
      <w:r>
        <w:rPr/>
        <w:t>will</w:t>
      </w:r>
      <w:r>
        <w:rPr>
          <w:spacing w:val="-16"/>
        </w:rPr>
        <w:t> </w:t>
      </w:r>
      <w:r>
        <w:rPr/>
        <w:t>assist</w:t>
      </w:r>
      <w:r>
        <w:rPr>
          <w:spacing w:val="-16"/>
        </w:rPr>
        <w:t> </w:t>
      </w:r>
      <w:r>
        <w:rPr/>
        <w:t>and</w:t>
      </w:r>
      <w:r>
        <w:rPr>
          <w:spacing w:val="-16"/>
        </w:rPr>
        <w:t> </w:t>
      </w:r>
      <w:r>
        <w:rPr/>
        <w:t>improve general</w:t>
      </w:r>
      <w:r>
        <w:rPr>
          <w:spacing w:val="-18"/>
        </w:rPr>
        <w:t> </w:t>
      </w:r>
      <w:r>
        <w:rPr/>
        <w:t>management</w:t>
      </w:r>
      <w:r>
        <w:rPr>
          <w:spacing w:val="-18"/>
        </w:rPr>
        <w:t> </w:t>
      </w:r>
      <w:r>
        <w:rPr/>
        <w:t>of</w:t>
      </w:r>
      <w:r>
        <w:rPr>
          <w:spacing w:val="-18"/>
        </w:rPr>
        <w:t> </w:t>
      </w:r>
      <w:r>
        <w:rPr/>
        <w:t>the</w:t>
      </w:r>
      <w:r>
        <w:rPr>
          <w:spacing w:val="-18"/>
        </w:rPr>
        <w:t> </w:t>
      </w:r>
      <w:r>
        <w:rPr/>
        <w:t>collection.</w:t>
      </w:r>
    </w:p>
    <w:p>
      <w:pPr>
        <w:pStyle w:val="BodyText"/>
        <w:spacing w:before="7"/>
        <w:rPr>
          <w:sz w:val="21"/>
        </w:rPr>
      </w:pPr>
    </w:p>
    <w:p>
      <w:pPr>
        <w:pStyle w:val="Heading8"/>
        <w:spacing w:line="249" w:lineRule="auto"/>
        <w:ind w:right="58"/>
      </w:pPr>
      <w:r>
        <w:rPr>
          <w:w w:val="95"/>
        </w:rPr>
        <w:t>WESTERN SYDNEY UNIVERSITY GALLERIES AND EXHIBITIONS PROGRAM</w:t>
      </w:r>
    </w:p>
    <w:p>
      <w:pPr>
        <w:pStyle w:val="BodyText"/>
        <w:spacing w:line="249" w:lineRule="auto" w:before="79"/>
        <w:ind w:left="107"/>
      </w:pPr>
      <w:r>
        <w:rPr/>
        <w:t>The University has a strong history of engaging with its communities through the Western Sydney University Sculpture Award and Exhibition (held at its Campbelltown campus) and via its galleries at Bankstown, Parramatta</w:t>
      </w:r>
      <w:r>
        <w:rPr>
          <w:spacing w:val="-20"/>
        </w:rPr>
        <w:t> </w:t>
      </w:r>
      <w:r>
        <w:rPr/>
        <w:t>and</w:t>
      </w:r>
      <w:r>
        <w:rPr>
          <w:spacing w:val="-20"/>
        </w:rPr>
        <w:t> </w:t>
      </w:r>
      <w:r>
        <w:rPr/>
        <w:t>Penrith,</w:t>
      </w:r>
      <w:r>
        <w:rPr>
          <w:spacing w:val="-20"/>
        </w:rPr>
        <w:t> </w:t>
      </w:r>
      <w:r>
        <w:rPr/>
        <w:t>organising</w:t>
      </w:r>
      <w:r>
        <w:rPr>
          <w:spacing w:val="-20"/>
        </w:rPr>
        <w:t> </w:t>
      </w:r>
      <w:r>
        <w:rPr/>
        <w:t>exhibitions by professional </w:t>
      </w:r>
      <w:r>
        <w:rPr>
          <w:spacing w:val="2"/>
        </w:rPr>
        <w:t>artists, </w:t>
      </w:r>
      <w:r>
        <w:rPr/>
        <w:t>and school and community-based </w:t>
      </w:r>
      <w:r>
        <w:rPr>
          <w:spacing w:val="2"/>
        </w:rPr>
        <w:t>art</w:t>
      </w:r>
      <w:r>
        <w:rPr>
          <w:spacing w:val="-32"/>
        </w:rPr>
        <w:t> </w:t>
      </w:r>
      <w:r>
        <w:rPr/>
        <w:t>projects.</w:t>
      </w:r>
    </w:p>
    <w:p>
      <w:pPr>
        <w:pStyle w:val="BodyText"/>
        <w:spacing w:before="4"/>
        <w:rPr>
          <w:sz w:val="17"/>
        </w:rPr>
      </w:pPr>
      <w:r>
        <w:rPr/>
        <w:br w:type="column"/>
      </w:r>
      <w:r>
        <w:rPr>
          <w:sz w:val="17"/>
        </w:rPr>
      </w:r>
    </w:p>
    <w:p>
      <w:pPr>
        <w:pStyle w:val="Heading8"/>
        <w:ind w:left="113" w:right="112"/>
      </w:pPr>
      <w:r>
        <w:rPr>
          <w:color w:val="636466"/>
          <w:w w:val="95"/>
        </w:rPr>
        <w:t>Western Sydney University Sculpture Award</w:t>
      </w:r>
    </w:p>
    <w:p>
      <w:pPr>
        <w:pStyle w:val="BodyText"/>
        <w:spacing w:line="249" w:lineRule="auto" w:before="86"/>
        <w:ind w:left="107" w:right="138"/>
      </w:pPr>
      <w:r>
        <w:rPr>
          <w:spacing w:val="1"/>
          <w:w w:val="80"/>
        </w:rPr>
        <w:t>In</w:t>
      </w:r>
      <w:r>
        <w:rPr>
          <w:w w:val="80"/>
        </w:rPr>
        <w:t> </w:t>
      </w:r>
      <w:r>
        <w:rPr>
          <w:spacing w:val="1"/>
          <w:w w:val="98"/>
        </w:rPr>
        <w:t>September</w:t>
      </w:r>
      <w:r>
        <w:rPr>
          <w:w w:val="98"/>
        </w:rPr>
        <w:t> </w:t>
      </w:r>
      <w:r>
        <w:rPr>
          <w:spacing w:val="1"/>
          <w:w w:val="84"/>
        </w:rPr>
        <w:t>2015,</w:t>
      </w:r>
      <w:r>
        <w:rPr>
          <w:w w:val="84"/>
        </w:rPr>
        <w:t> </w:t>
      </w:r>
      <w:r>
        <w:rPr>
          <w:w w:val="97"/>
        </w:rPr>
        <w:t>the </w:t>
      </w:r>
      <w:r>
        <w:rPr>
          <w:spacing w:val="1"/>
          <w:w w:val="96"/>
        </w:rPr>
        <w:t>finalists</w:t>
      </w:r>
      <w:r>
        <w:rPr>
          <w:w w:val="96"/>
        </w:rPr>
        <w:t> </w:t>
      </w:r>
      <w:r>
        <w:rPr>
          <w:w w:val="98"/>
        </w:rPr>
        <w:t>for </w:t>
      </w:r>
      <w:r>
        <w:rPr>
          <w:w w:val="97"/>
        </w:rPr>
        <w:t>the </w:t>
      </w:r>
      <w:r>
        <w:rPr/>
        <w:t>seventh</w:t>
      </w:r>
      <w:r>
        <w:rPr>
          <w:spacing w:val="-18"/>
        </w:rPr>
        <w:t> </w:t>
      </w:r>
      <w:r>
        <w:rPr/>
        <w:t>Western</w:t>
      </w:r>
      <w:r>
        <w:rPr>
          <w:spacing w:val="-18"/>
        </w:rPr>
        <w:t> </w:t>
      </w:r>
      <w:r>
        <w:rPr/>
        <w:t>Sydney</w:t>
      </w:r>
      <w:r>
        <w:rPr>
          <w:spacing w:val="-18"/>
        </w:rPr>
        <w:t> </w:t>
      </w:r>
      <w:r>
        <w:rPr/>
        <w:t>University</w:t>
      </w:r>
      <w:r>
        <w:rPr>
          <w:spacing w:val="-18"/>
        </w:rPr>
        <w:t> </w:t>
      </w:r>
      <w:r>
        <w:rPr/>
        <w:t>Sculpture Award and Exhibition were selected. The exhibition will be held on the Campbelltown </w:t>
      </w:r>
      <w:r>
        <w:rPr>
          <w:spacing w:val="1"/>
          <w:w w:val="98"/>
        </w:rPr>
        <w:t>campus</w:t>
      </w:r>
      <w:r>
        <w:rPr>
          <w:w w:val="98"/>
        </w:rPr>
        <w:t> </w:t>
      </w:r>
      <w:r>
        <w:rPr>
          <w:spacing w:val="1"/>
          <w:w w:val="98"/>
        </w:rPr>
        <w:t>from</w:t>
      </w:r>
      <w:r>
        <w:rPr>
          <w:w w:val="98"/>
        </w:rPr>
        <w:t> </w:t>
      </w:r>
      <w:r>
        <w:rPr>
          <w:w w:val="101"/>
        </w:rPr>
        <w:t>6 </w:t>
      </w:r>
      <w:r>
        <w:rPr>
          <w:w w:val="97"/>
        </w:rPr>
        <w:t>May </w:t>
      </w:r>
      <w:r>
        <w:rPr>
          <w:spacing w:val="-1"/>
          <w:w w:val="101"/>
        </w:rPr>
        <w:t>to</w:t>
      </w:r>
      <w:r>
        <w:rPr>
          <w:w w:val="101"/>
        </w:rPr>
        <w:t> </w:t>
      </w:r>
      <w:r>
        <w:rPr>
          <w:w w:val="95"/>
        </w:rPr>
        <w:t>5 </w:t>
      </w:r>
      <w:r>
        <w:rPr>
          <w:spacing w:val="1"/>
          <w:w w:val="98"/>
        </w:rPr>
        <w:t>June</w:t>
      </w:r>
      <w:r>
        <w:rPr>
          <w:w w:val="98"/>
        </w:rPr>
        <w:t> </w:t>
      </w:r>
      <w:r>
        <w:rPr>
          <w:spacing w:val="2"/>
          <w:w w:val="85"/>
        </w:rPr>
        <w:t>2016.</w:t>
      </w:r>
      <w:r>
        <w:rPr>
          <w:w w:val="85"/>
        </w:rPr>
        <w:t> </w:t>
      </w:r>
      <w:r>
        <w:rPr>
          <w:spacing w:val="1"/>
          <w:w w:val="94"/>
        </w:rPr>
        <w:t>The</w:t>
      </w:r>
      <w:r>
        <w:rPr>
          <w:w w:val="94"/>
        </w:rPr>
        <w:t> </w:t>
      </w:r>
      <w:r>
        <w:rPr/>
        <w:t>judging panel selected 19 finalists: Robert Barnstone (NSW), Joseph Bartelo (NSW), Senden Blackwood (ACT), Louisa Dawson (NSW), Clara Hali (NSW), Wataru Hamaska (Japan), Akira Kamada (NSW), Jan King (NSW), Daniel </w:t>
      </w:r>
      <w:r>
        <w:rPr>
          <w:spacing w:val="2"/>
        </w:rPr>
        <w:t>Lafferty </w:t>
      </w:r>
      <w:r>
        <w:rPr/>
        <w:t>(NSW), Neil Laredo (NSW), Ingrid Morley (NSW), John Petrie (NSW), Sallie Portnoy (NSW), Louis Pratt (NSW), Michael Purdy (NSW), Adam Stone (Vic),</w:t>
      </w:r>
      <w:r>
        <w:rPr>
          <w:spacing w:val="-20"/>
        </w:rPr>
        <w:t> </w:t>
      </w:r>
      <w:r>
        <w:rPr/>
        <w:t>Greer</w:t>
      </w:r>
      <w:r>
        <w:rPr>
          <w:spacing w:val="-20"/>
        </w:rPr>
        <w:t> </w:t>
      </w:r>
      <w:r>
        <w:rPr/>
        <w:t>Taylor</w:t>
      </w:r>
      <w:r>
        <w:rPr>
          <w:spacing w:val="-20"/>
        </w:rPr>
        <w:t> </w:t>
      </w:r>
      <w:r>
        <w:rPr/>
        <w:t>(NSW),</w:t>
      </w:r>
      <w:r>
        <w:rPr>
          <w:spacing w:val="-20"/>
        </w:rPr>
        <w:t> </w:t>
      </w:r>
      <w:r>
        <w:rPr/>
        <w:t>Lisa</w:t>
      </w:r>
      <w:r>
        <w:rPr>
          <w:spacing w:val="-20"/>
        </w:rPr>
        <w:t> </w:t>
      </w:r>
      <w:r>
        <w:rPr/>
        <w:t>Tolcher</w:t>
      </w:r>
      <w:r>
        <w:rPr>
          <w:spacing w:val="-20"/>
        </w:rPr>
        <w:t> </w:t>
      </w:r>
      <w:r>
        <w:rPr>
          <w:spacing w:val="2"/>
        </w:rPr>
        <w:t>(NSW) </w:t>
      </w:r>
      <w:r>
        <w:rPr/>
        <w:t>and</w:t>
      </w:r>
      <w:r>
        <w:rPr>
          <w:spacing w:val="-13"/>
        </w:rPr>
        <w:t> </w:t>
      </w:r>
      <w:r>
        <w:rPr/>
        <w:t>Peter</w:t>
      </w:r>
      <w:r>
        <w:rPr>
          <w:spacing w:val="-13"/>
        </w:rPr>
        <w:t> </w:t>
      </w:r>
      <w:r>
        <w:rPr/>
        <w:t>Zappa</w:t>
      </w:r>
      <w:r>
        <w:rPr>
          <w:spacing w:val="-13"/>
        </w:rPr>
        <w:t> </w:t>
      </w:r>
      <w:r>
        <w:rPr/>
        <w:t>(WA).</w:t>
      </w:r>
    </w:p>
    <w:p>
      <w:pPr>
        <w:pStyle w:val="BodyText"/>
        <w:rPr>
          <w:sz w:val="14"/>
        </w:rPr>
      </w:pPr>
    </w:p>
    <w:p>
      <w:pPr>
        <w:pStyle w:val="BodyText"/>
        <w:spacing w:line="249" w:lineRule="auto"/>
        <w:ind w:left="107" w:right="112"/>
      </w:pPr>
      <w:r>
        <w:rPr>
          <w:spacing w:val="1"/>
          <w:w w:val="94"/>
        </w:rPr>
        <w:t>The</w:t>
      </w:r>
      <w:r>
        <w:rPr>
          <w:w w:val="94"/>
        </w:rPr>
        <w:t> </w:t>
      </w:r>
      <w:r>
        <w:rPr>
          <w:spacing w:val="1"/>
          <w:w w:val="97"/>
        </w:rPr>
        <w:t>curatorial/judging</w:t>
      </w:r>
      <w:r>
        <w:rPr>
          <w:w w:val="97"/>
        </w:rPr>
        <w:t> </w:t>
      </w:r>
      <w:r>
        <w:rPr>
          <w:spacing w:val="1"/>
          <w:w w:val="96"/>
        </w:rPr>
        <w:t>panel</w:t>
      </w:r>
      <w:r>
        <w:rPr>
          <w:w w:val="96"/>
        </w:rPr>
        <w:t> </w:t>
      </w:r>
      <w:r>
        <w:rPr>
          <w:w w:val="98"/>
        </w:rPr>
        <w:t>for </w:t>
      </w:r>
      <w:r>
        <w:rPr>
          <w:w w:val="97"/>
        </w:rPr>
        <w:t>the </w:t>
      </w:r>
      <w:r>
        <w:rPr>
          <w:spacing w:val="1"/>
          <w:w w:val="90"/>
        </w:rPr>
        <w:t>2016</w:t>
      </w:r>
      <w:r>
        <w:rPr>
          <w:w w:val="90"/>
        </w:rPr>
        <w:t> </w:t>
      </w:r>
      <w:r>
        <w:rPr/>
        <w:t>sculpture award consists of: Michael Snape (sculptor), Matt Poll (Curator, University of Sydney), Lee-Anne Hall (Director of Penrith Regional Gallery) and Monica McMahon (Art Curator at Western Sydney University). The </w:t>
      </w:r>
      <w:r>
        <w:rPr>
          <w:spacing w:val="1"/>
          <w:w w:val="90"/>
        </w:rPr>
        <w:t>2016</w:t>
      </w:r>
      <w:r>
        <w:rPr>
          <w:w w:val="90"/>
        </w:rPr>
        <w:t> </w:t>
      </w:r>
      <w:r>
        <w:rPr>
          <w:w w:val="98"/>
        </w:rPr>
        <w:t>Western </w:t>
      </w:r>
      <w:r>
        <w:rPr>
          <w:spacing w:val="-1"/>
          <w:w w:val="99"/>
        </w:rPr>
        <w:t>Sydney</w:t>
      </w:r>
      <w:r>
        <w:rPr>
          <w:w w:val="99"/>
        </w:rPr>
        <w:t> </w:t>
      </w:r>
      <w:r>
        <w:rPr>
          <w:spacing w:val="1"/>
          <w:w w:val="97"/>
        </w:rPr>
        <w:t>University</w:t>
      </w:r>
      <w:r>
        <w:rPr>
          <w:w w:val="97"/>
        </w:rPr>
        <w:t> </w:t>
      </w:r>
      <w:r>
        <w:rPr>
          <w:w w:val="98"/>
        </w:rPr>
        <w:t>Sculpture </w:t>
      </w:r>
      <w:r>
        <w:rPr/>
        <w:t>Award</w:t>
      </w:r>
      <w:r>
        <w:rPr>
          <w:spacing w:val="-19"/>
        </w:rPr>
        <w:t> </w:t>
      </w:r>
      <w:r>
        <w:rPr/>
        <w:t>will</w:t>
      </w:r>
      <w:r>
        <w:rPr>
          <w:spacing w:val="-19"/>
        </w:rPr>
        <w:t> </w:t>
      </w:r>
      <w:r>
        <w:rPr/>
        <w:t>present</w:t>
      </w:r>
      <w:r>
        <w:rPr>
          <w:spacing w:val="-19"/>
        </w:rPr>
        <w:t> </w:t>
      </w:r>
      <w:r>
        <w:rPr/>
        <w:t>three</w:t>
      </w:r>
      <w:r>
        <w:rPr>
          <w:spacing w:val="-19"/>
        </w:rPr>
        <w:t> </w:t>
      </w:r>
      <w:r>
        <w:rPr/>
        <w:t>prizes.</w:t>
      </w:r>
      <w:r>
        <w:rPr>
          <w:spacing w:val="-19"/>
        </w:rPr>
        <w:t> </w:t>
      </w:r>
      <w:r>
        <w:rPr/>
        <w:t>These</w:t>
      </w:r>
      <w:r>
        <w:rPr>
          <w:spacing w:val="-19"/>
        </w:rPr>
        <w:t> </w:t>
      </w:r>
      <w:r>
        <w:rPr/>
        <w:t>are</w:t>
      </w:r>
      <w:r>
        <w:rPr>
          <w:spacing w:val="-19"/>
        </w:rPr>
        <w:t> </w:t>
      </w:r>
      <w:r>
        <w:rPr/>
        <w:t>the University’s Acquisitive Prize ($30,000), the Janice Reid Emerging Artist Award ($5,000) and</w:t>
      </w:r>
      <w:r>
        <w:rPr>
          <w:spacing w:val="-12"/>
        </w:rPr>
        <w:t> </w:t>
      </w:r>
      <w:r>
        <w:rPr/>
        <w:t>the</w:t>
      </w:r>
      <w:r>
        <w:rPr>
          <w:spacing w:val="-12"/>
        </w:rPr>
        <w:t> </w:t>
      </w:r>
      <w:r>
        <w:rPr/>
        <w:t>Urban</w:t>
      </w:r>
      <w:r>
        <w:rPr>
          <w:spacing w:val="-12"/>
        </w:rPr>
        <w:t> </w:t>
      </w:r>
      <w:r>
        <w:rPr/>
        <w:t>Growth</w:t>
      </w:r>
      <w:r>
        <w:rPr>
          <w:spacing w:val="-12"/>
        </w:rPr>
        <w:t> </w:t>
      </w:r>
      <w:r>
        <w:rPr/>
        <w:t>People’s</w:t>
      </w:r>
      <w:r>
        <w:rPr>
          <w:spacing w:val="-12"/>
        </w:rPr>
        <w:t> </w:t>
      </w:r>
      <w:r>
        <w:rPr/>
        <w:t>Choice</w:t>
      </w:r>
      <w:r>
        <w:rPr>
          <w:spacing w:val="-12"/>
        </w:rPr>
        <w:t> </w:t>
      </w:r>
      <w:r>
        <w:rPr/>
        <w:t>Award ($5,000). </w:t>
      </w:r>
      <w:r>
        <w:rPr>
          <w:spacing w:val="2"/>
        </w:rPr>
        <w:t>Quest </w:t>
      </w:r>
      <w:r>
        <w:rPr/>
        <w:t>Apartments Campbelltown </w:t>
      </w:r>
      <w:r>
        <w:rPr>
          <w:spacing w:val="1"/>
          <w:w w:val="98"/>
        </w:rPr>
        <w:t>continued</w:t>
      </w:r>
      <w:r>
        <w:rPr>
          <w:w w:val="98"/>
        </w:rPr>
        <w:t> </w:t>
      </w:r>
      <w:r>
        <w:rPr>
          <w:spacing w:val="1"/>
          <w:w w:val="97"/>
        </w:rPr>
        <w:t>their</w:t>
      </w:r>
      <w:r>
        <w:rPr>
          <w:w w:val="97"/>
        </w:rPr>
        <w:t> </w:t>
      </w:r>
      <w:r>
        <w:rPr>
          <w:spacing w:val="1"/>
          <w:w w:val="97"/>
        </w:rPr>
        <w:t>sponsorship</w:t>
      </w:r>
      <w:r>
        <w:rPr>
          <w:w w:val="97"/>
        </w:rPr>
        <w:t> </w:t>
      </w:r>
      <w:r>
        <w:rPr>
          <w:w w:val="98"/>
        </w:rPr>
        <w:t>for </w:t>
      </w:r>
      <w:r>
        <w:rPr>
          <w:w w:val="97"/>
        </w:rPr>
        <w:t>the </w:t>
      </w:r>
      <w:r>
        <w:rPr>
          <w:spacing w:val="1"/>
          <w:w w:val="90"/>
        </w:rPr>
        <w:t>2016</w:t>
      </w:r>
      <w:r>
        <w:rPr>
          <w:w w:val="90"/>
        </w:rPr>
        <w:t> </w:t>
      </w:r>
      <w:r>
        <w:rPr/>
        <w:t>exhibition, providing accommodation for interstate and international </w:t>
      </w:r>
      <w:r>
        <w:rPr>
          <w:spacing w:val="2"/>
        </w:rPr>
        <w:t>artists </w:t>
      </w:r>
      <w:r>
        <w:rPr/>
        <w:t>while installing</w:t>
      </w:r>
      <w:r>
        <w:rPr>
          <w:spacing w:val="-16"/>
        </w:rPr>
        <w:t> </w:t>
      </w:r>
      <w:r>
        <w:rPr/>
        <w:t>and</w:t>
      </w:r>
      <w:r>
        <w:rPr>
          <w:spacing w:val="-16"/>
        </w:rPr>
        <w:t> </w:t>
      </w:r>
      <w:r>
        <w:rPr/>
        <w:t>de-installing</w:t>
      </w:r>
      <w:r>
        <w:rPr>
          <w:spacing w:val="-16"/>
        </w:rPr>
        <w:t> </w:t>
      </w:r>
      <w:r>
        <w:rPr/>
        <w:t>their</w:t>
      </w:r>
      <w:r>
        <w:rPr>
          <w:spacing w:val="-16"/>
        </w:rPr>
        <w:t> </w:t>
      </w:r>
      <w:r>
        <w:rPr/>
        <w:t>sculptures</w:t>
      </w:r>
      <w:r>
        <w:rPr>
          <w:spacing w:val="-16"/>
        </w:rPr>
        <w:t> </w:t>
      </w:r>
      <w:r>
        <w:rPr/>
        <w:t>for the</w:t>
      </w:r>
      <w:r>
        <w:rPr>
          <w:spacing w:val="-28"/>
        </w:rPr>
        <w:t> </w:t>
      </w:r>
      <w:r>
        <w:rPr/>
        <w:t>sculpture</w:t>
      </w:r>
      <w:r>
        <w:rPr>
          <w:spacing w:val="-28"/>
        </w:rPr>
        <w:t> </w:t>
      </w:r>
      <w:r>
        <w:rPr/>
        <w:t>award.</w:t>
      </w:r>
    </w:p>
    <w:p>
      <w:pPr>
        <w:pStyle w:val="BodyText"/>
        <w:spacing w:before="6"/>
        <w:rPr>
          <w:sz w:val="14"/>
        </w:rPr>
      </w:pPr>
    </w:p>
    <w:p>
      <w:pPr>
        <w:pStyle w:val="Heading8"/>
        <w:ind w:left="119" w:right="112"/>
      </w:pPr>
      <w:r>
        <w:rPr>
          <w:color w:val="636466"/>
          <w:w w:val="95"/>
        </w:rPr>
        <w:t>Margot Hardy Gallery</w:t>
      </w:r>
    </w:p>
    <w:p>
      <w:pPr>
        <w:pStyle w:val="BodyText"/>
        <w:spacing w:line="249" w:lineRule="auto" w:before="86"/>
        <w:ind w:left="107" w:right="26"/>
      </w:pPr>
      <w:r>
        <w:rPr/>
        <w:t>The Margot Hardy Gallery is dedicated to showcasing artworks by students in local primary and secondary schools, as well as </w:t>
      </w:r>
      <w:r>
        <w:rPr>
          <w:w w:val="96"/>
        </w:rPr>
        <w:t>projects </w:t>
      </w:r>
      <w:r>
        <w:rPr>
          <w:spacing w:val="-2"/>
          <w:w w:val="102"/>
        </w:rPr>
        <w:t>by</w:t>
      </w:r>
      <w:r>
        <w:rPr>
          <w:w w:val="102"/>
        </w:rPr>
        <w:t> </w:t>
      </w:r>
      <w:r>
        <w:rPr>
          <w:w w:val="99"/>
        </w:rPr>
        <w:t>community </w:t>
      </w:r>
      <w:r>
        <w:rPr>
          <w:spacing w:val="-1"/>
          <w:w w:val="94"/>
        </w:rPr>
        <w:t>groups.</w:t>
      </w:r>
      <w:r>
        <w:rPr>
          <w:w w:val="94"/>
        </w:rPr>
        <w:t> </w:t>
      </w:r>
      <w:r>
        <w:rPr>
          <w:w w:val="80"/>
        </w:rPr>
        <w:t>In </w:t>
      </w:r>
      <w:r>
        <w:rPr>
          <w:w w:val="84"/>
        </w:rPr>
        <w:t>2015, </w:t>
      </w:r>
      <w:r>
        <w:rPr>
          <w:w w:val="97"/>
        </w:rPr>
        <w:t>the </w:t>
      </w:r>
      <w:r>
        <w:rPr/>
        <w:t>gallery</w:t>
      </w:r>
      <w:r>
        <w:rPr>
          <w:spacing w:val="-24"/>
        </w:rPr>
        <w:t> </w:t>
      </w:r>
      <w:r>
        <w:rPr/>
        <w:t>hosted</w:t>
      </w:r>
      <w:r>
        <w:rPr>
          <w:spacing w:val="-24"/>
        </w:rPr>
        <w:t> </w:t>
      </w:r>
      <w:r>
        <w:rPr/>
        <w:t>exhibitions</w:t>
      </w:r>
      <w:r>
        <w:rPr>
          <w:spacing w:val="-24"/>
        </w:rPr>
        <w:t> </w:t>
      </w:r>
      <w:r>
        <w:rPr/>
        <w:t>by</w:t>
      </w:r>
      <w:r>
        <w:rPr>
          <w:spacing w:val="-24"/>
        </w:rPr>
        <w:t> </w:t>
      </w:r>
      <w:r>
        <w:rPr/>
        <w:t>a</w:t>
      </w:r>
      <w:r>
        <w:rPr>
          <w:spacing w:val="-24"/>
        </w:rPr>
        <w:t> </w:t>
      </w:r>
      <w:r>
        <w:rPr/>
        <w:t>local</w:t>
      </w:r>
      <w:r>
        <w:rPr>
          <w:spacing w:val="-24"/>
        </w:rPr>
        <w:t> </w:t>
      </w:r>
      <w:r>
        <w:rPr/>
        <w:t>community group,</w:t>
      </w:r>
      <w:r>
        <w:rPr>
          <w:spacing w:val="-26"/>
        </w:rPr>
        <w:t> </w:t>
      </w:r>
      <w:r>
        <w:rPr/>
        <w:t>six</w:t>
      </w:r>
      <w:r>
        <w:rPr>
          <w:spacing w:val="-26"/>
        </w:rPr>
        <w:t> </w:t>
      </w:r>
      <w:r>
        <w:rPr/>
        <w:t>high</w:t>
      </w:r>
      <w:r>
        <w:rPr>
          <w:spacing w:val="-26"/>
        </w:rPr>
        <w:t> </w:t>
      </w:r>
      <w:r>
        <w:rPr/>
        <w:t>schools</w:t>
      </w:r>
      <w:r>
        <w:rPr>
          <w:spacing w:val="-26"/>
        </w:rPr>
        <w:t> </w:t>
      </w:r>
      <w:r>
        <w:rPr/>
        <w:t>and</w:t>
      </w:r>
      <w:r>
        <w:rPr>
          <w:spacing w:val="-26"/>
        </w:rPr>
        <w:t> </w:t>
      </w:r>
      <w:r>
        <w:rPr/>
        <w:t>one</w:t>
      </w:r>
      <w:r>
        <w:rPr>
          <w:spacing w:val="-26"/>
        </w:rPr>
        <w:t> </w:t>
      </w:r>
      <w:r>
        <w:rPr/>
        <w:t>primary</w:t>
      </w:r>
      <w:r>
        <w:rPr>
          <w:spacing w:val="-26"/>
        </w:rPr>
        <w:t> </w:t>
      </w:r>
      <w:r>
        <w:rPr/>
        <w:t>school. </w:t>
      </w:r>
      <w:r>
        <w:rPr>
          <w:w w:val="95"/>
        </w:rPr>
        <w:t>The</w:t>
      </w:r>
      <w:r>
        <w:rPr>
          <w:spacing w:val="-11"/>
          <w:w w:val="95"/>
        </w:rPr>
        <w:t> </w:t>
      </w:r>
      <w:r>
        <w:rPr>
          <w:w w:val="95"/>
        </w:rPr>
        <w:t>2015</w:t>
      </w:r>
      <w:r>
        <w:rPr>
          <w:spacing w:val="-11"/>
          <w:w w:val="95"/>
        </w:rPr>
        <w:t> </w:t>
      </w:r>
      <w:r>
        <w:rPr>
          <w:w w:val="95"/>
        </w:rPr>
        <w:t>exhibition</w:t>
      </w:r>
      <w:r>
        <w:rPr>
          <w:spacing w:val="-11"/>
          <w:w w:val="95"/>
        </w:rPr>
        <w:t> </w:t>
      </w:r>
      <w:r>
        <w:rPr>
          <w:w w:val="95"/>
        </w:rPr>
        <w:t>program</w:t>
      </w:r>
      <w:r>
        <w:rPr>
          <w:spacing w:val="-11"/>
          <w:w w:val="95"/>
        </w:rPr>
        <w:t> </w:t>
      </w:r>
      <w:r>
        <w:rPr>
          <w:w w:val="95"/>
        </w:rPr>
        <w:t>included:</w:t>
      </w:r>
    </w:p>
    <w:p>
      <w:pPr>
        <w:pStyle w:val="BodyText"/>
        <w:spacing w:before="11"/>
        <w:rPr>
          <w:sz w:val="13"/>
        </w:rPr>
      </w:pPr>
    </w:p>
    <w:p>
      <w:pPr>
        <w:pStyle w:val="BodyText"/>
        <w:spacing w:line="247" w:lineRule="auto"/>
        <w:ind w:left="333" w:right="26" w:hanging="227"/>
      </w:pPr>
      <w:r>
        <w:rPr>
          <w:rFonts w:ascii="Century Gothic" w:hAnsi="Century Gothic"/>
          <w:b/>
          <w:w w:val="115"/>
        </w:rPr>
        <w:t>≥ </w:t>
      </w:r>
      <w:r>
        <w:rPr/>
        <w:t>‘creative minds, creative actions’, featuring </w:t>
      </w:r>
      <w:r>
        <w:rPr>
          <w:w w:val="102"/>
        </w:rPr>
        <w:t>46 </w:t>
      </w:r>
      <w:r>
        <w:rPr>
          <w:w w:val="97"/>
        </w:rPr>
        <w:t>works </w:t>
      </w:r>
      <w:r>
        <w:rPr>
          <w:w w:val="102"/>
        </w:rPr>
        <w:t>by </w:t>
      </w:r>
      <w:r>
        <w:rPr>
          <w:w w:val="82"/>
        </w:rPr>
        <w:t>10 </w:t>
      </w:r>
      <w:r>
        <w:rPr>
          <w:w w:val="97"/>
        </w:rPr>
        <w:t>customers </w:t>
      </w:r>
      <w:r>
        <w:rPr>
          <w:w w:val="99"/>
        </w:rPr>
        <w:t>of </w:t>
      </w:r>
      <w:r>
        <w:rPr>
          <w:w w:val="97"/>
        </w:rPr>
        <w:t>the </w:t>
      </w:r>
      <w:r>
        <w:rPr>
          <w:w w:val="97"/>
        </w:rPr>
        <w:t>Australian </w:t>
      </w:r>
      <w:r>
        <w:rPr/>
        <w:t>Foundation for Disabilities, Condell Park Community Participation program, which was opened by the Mayor of Bankstown</w:t>
      </w:r>
    </w:p>
    <w:p>
      <w:pPr>
        <w:pStyle w:val="BodyText"/>
        <w:spacing w:line="247" w:lineRule="auto" w:before="57"/>
        <w:ind w:left="333" w:right="112" w:hanging="227"/>
      </w:pPr>
      <w:r>
        <w:rPr>
          <w:rFonts w:ascii="Century Gothic" w:hAnsi="Century Gothic"/>
          <w:b/>
          <w:w w:val="115"/>
        </w:rPr>
        <w:t>≥  </w:t>
      </w:r>
      <w:r>
        <w:rPr/>
        <w:t>‘Instant Art’, an exhibition that explored the</w:t>
      </w:r>
      <w:r>
        <w:rPr>
          <w:spacing w:val="-15"/>
        </w:rPr>
        <w:t> </w:t>
      </w:r>
      <w:r>
        <w:rPr/>
        <w:t>interdisciplinary</w:t>
      </w:r>
      <w:r>
        <w:rPr>
          <w:spacing w:val="-15"/>
        </w:rPr>
        <w:t> </w:t>
      </w:r>
      <w:r>
        <w:rPr/>
        <w:t>mixed</w:t>
      </w:r>
      <w:r>
        <w:rPr>
          <w:spacing w:val="-15"/>
        </w:rPr>
        <w:t> </w:t>
      </w:r>
      <w:r>
        <w:rPr/>
        <w:t>media</w:t>
      </w:r>
      <w:r>
        <w:rPr>
          <w:spacing w:val="-15"/>
        </w:rPr>
        <w:t> </w:t>
      </w:r>
      <w:r>
        <w:rPr/>
        <w:t>works</w:t>
      </w:r>
      <w:r>
        <w:rPr>
          <w:spacing w:val="-15"/>
        </w:rPr>
        <w:t> </w:t>
      </w:r>
      <w:r>
        <w:rPr/>
        <w:t>of 70</w:t>
      </w:r>
      <w:r>
        <w:rPr>
          <w:spacing w:val="-11"/>
        </w:rPr>
        <w:t> </w:t>
      </w:r>
      <w:r>
        <w:rPr/>
        <w:t>Bossley</w:t>
      </w:r>
      <w:r>
        <w:rPr>
          <w:spacing w:val="-11"/>
        </w:rPr>
        <w:t> </w:t>
      </w:r>
      <w:r>
        <w:rPr/>
        <w:t>Park</w:t>
      </w:r>
      <w:r>
        <w:rPr>
          <w:spacing w:val="-11"/>
        </w:rPr>
        <w:t> </w:t>
      </w:r>
      <w:r>
        <w:rPr/>
        <w:t>High</w:t>
      </w:r>
      <w:r>
        <w:rPr>
          <w:spacing w:val="-11"/>
        </w:rPr>
        <w:t> </w:t>
      </w:r>
      <w:r>
        <w:rPr/>
        <w:t>School</w:t>
      </w:r>
      <w:r>
        <w:rPr>
          <w:spacing w:val="-11"/>
        </w:rPr>
        <w:t> </w:t>
      </w:r>
      <w:r>
        <w:rPr/>
        <w:t>students</w:t>
      </w:r>
      <w:r>
        <w:rPr>
          <w:spacing w:val="-11"/>
        </w:rPr>
        <w:t> </w:t>
      </w:r>
      <w:r>
        <w:rPr/>
        <w:t>from year</w:t>
      </w:r>
      <w:r>
        <w:rPr>
          <w:spacing w:val="-34"/>
        </w:rPr>
        <w:t> </w:t>
      </w:r>
      <w:r>
        <w:rPr/>
        <w:t>7</w:t>
      </w:r>
      <w:r>
        <w:rPr>
          <w:spacing w:val="-34"/>
        </w:rPr>
        <w:t> </w:t>
      </w:r>
      <w:r>
        <w:rPr/>
        <w:t>to</w:t>
      </w:r>
      <w:r>
        <w:rPr>
          <w:spacing w:val="-34"/>
        </w:rPr>
        <w:t> </w:t>
      </w:r>
      <w:r>
        <w:rPr/>
        <w:t>year</w:t>
      </w:r>
      <w:r>
        <w:rPr>
          <w:spacing w:val="-34"/>
        </w:rPr>
        <w:t> </w:t>
      </w:r>
      <w:r>
        <w:rPr>
          <w:w w:val="95"/>
        </w:rPr>
        <w:t>11</w:t>
      </w:r>
    </w:p>
    <w:p>
      <w:pPr>
        <w:spacing w:after="0" w:line="247" w:lineRule="auto"/>
        <w:sectPr>
          <w:type w:val="continuous"/>
          <w:pgSz w:w="11910" w:h="16840"/>
          <w:pgMar w:top="1580" w:bottom="280" w:left="800" w:right="800"/>
          <w:cols w:num="3" w:equalWidth="0">
            <w:col w:w="3317" w:space="123"/>
            <w:col w:w="3316" w:space="123"/>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1"/>
        <w:rPr>
          <w:sz w:val="20"/>
        </w:rPr>
      </w:pPr>
    </w:p>
    <w:p>
      <w:pPr>
        <w:pStyle w:val="BodyText"/>
        <w:spacing w:line="247" w:lineRule="auto" w:before="1"/>
        <w:ind w:left="333" w:right="5" w:hanging="227"/>
      </w:pPr>
      <w:r>
        <w:rPr>
          <w:rFonts w:ascii="Century Gothic" w:hAnsi="Century Gothic"/>
          <w:b/>
          <w:w w:val="145"/>
        </w:rPr>
        <w:t>≥ </w:t>
      </w:r>
      <w:r>
        <w:rPr>
          <w:w w:val="97"/>
        </w:rPr>
        <w:t>‘Eaglevale </w:t>
      </w:r>
      <w:r>
        <w:rPr>
          <w:w w:val="97"/>
        </w:rPr>
        <w:t>High </w:t>
      </w:r>
      <w:r>
        <w:rPr>
          <w:w w:val="98"/>
        </w:rPr>
        <w:t>School </w:t>
      </w:r>
      <w:r>
        <w:rPr>
          <w:w w:val="88"/>
        </w:rPr>
        <w:t>2015 </w:t>
      </w:r>
      <w:r>
        <w:rPr>
          <w:w w:val="98"/>
        </w:rPr>
        <w:t>Student </w:t>
      </w:r>
      <w:r>
        <w:rPr>
          <w:w w:val="97"/>
        </w:rPr>
        <w:t>Visual </w:t>
      </w:r>
      <w:r>
        <w:rPr/>
        <w:t>Arts Showcase’, which featured the works of 80 students from year 7 to year </w:t>
      </w:r>
      <w:r>
        <w:rPr>
          <w:w w:val="95"/>
        </w:rPr>
        <w:t>11</w:t>
      </w:r>
    </w:p>
    <w:p>
      <w:pPr>
        <w:pStyle w:val="BodyText"/>
        <w:spacing w:line="247" w:lineRule="auto" w:before="57"/>
        <w:ind w:left="333" w:right="199" w:hanging="227"/>
      </w:pPr>
      <w:r>
        <w:rPr>
          <w:rFonts w:ascii="Century Gothic" w:hAnsi="Century Gothic"/>
          <w:b/>
          <w:w w:val="115"/>
        </w:rPr>
        <w:t>≥ </w:t>
      </w:r>
      <w:r>
        <w:rPr/>
        <w:t>‘Our Journey through Asia’, featuring 84 works by Greenway Park Public School students from kindergarten to year 6</w:t>
      </w:r>
    </w:p>
    <w:p>
      <w:pPr>
        <w:pStyle w:val="BodyText"/>
        <w:spacing w:line="247" w:lineRule="auto" w:before="57"/>
        <w:ind w:left="333" w:right="-2" w:hanging="227"/>
      </w:pPr>
      <w:r>
        <w:rPr>
          <w:rFonts w:ascii="Century Gothic" w:hAnsi="Century Gothic"/>
          <w:b/>
          <w:w w:val="115"/>
        </w:rPr>
        <w:t>≥ </w:t>
      </w:r>
      <w:r>
        <w:rPr/>
        <w:t>‘Traversing Territories’, an interdisciplinary exhibition by 86 Menai High School students from year 7 to year </w:t>
      </w:r>
      <w:r>
        <w:rPr>
          <w:w w:val="95"/>
        </w:rPr>
        <w:t>11</w:t>
      </w:r>
    </w:p>
    <w:p>
      <w:pPr>
        <w:pStyle w:val="BodyText"/>
        <w:spacing w:line="247" w:lineRule="auto" w:before="57"/>
        <w:ind w:left="333" w:right="273" w:hanging="227"/>
        <w:jc w:val="both"/>
      </w:pPr>
      <w:r>
        <w:rPr>
          <w:rFonts w:ascii="Century Gothic" w:hAnsi="Century Gothic"/>
          <w:b/>
          <w:w w:val="115"/>
        </w:rPr>
        <w:t>≥</w:t>
      </w:r>
      <w:r>
        <w:rPr>
          <w:rFonts w:ascii="Century Gothic" w:hAnsi="Century Gothic"/>
          <w:b/>
          <w:spacing w:val="33"/>
          <w:w w:val="115"/>
        </w:rPr>
        <w:t> </w:t>
      </w:r>
      <w:r>
        <w:rPr>
          <w:spacing w:val="2"/>
        </w:rPr>
        <w:t>‘The</w:t>
      </w:r>
      <w:r>
        <w:rPr>
          <w:spacing w:val="-18"/>
        </w:rPr>
        <w:t> </w:t>
      </w:r>
      <w:r>
        <w:rPr/>
        <w:t>Road</w:t>
      </w:r>
      <w:r>
        <w:rPr>
          <w:spacing w:val="-18"/>
        </w:rPr>
        <w:t> </w:t>
      </w:r>
      <w:r>
        <w:rPr/>
        <w:t>Less</w:t>
      </w:r>
      <w:r>
        <w:rPr>
          <w:spacing w:val="-18"/>
        </w:rPr>
        <w:t> </w:t>
      </w:r>
      <w:r>
        <w:rPr/>
        <w:t>Travelled’,</w:t>
      </w:r>
      <w:r>
        <w:rPr>
          <w:spacing w:val="-18"/>
        </w:rPr>
        <w:t> </w:t>
      </w:r>
      <w:r>
        <w:rPr/>
        <w:t>featuring</w:t>
      </w:r>
      <w:r>
        <w:rPr>
          <w:spacing w:val="-18"/>
        </w:rPr>
        <w:t> </w:t>
      </w:r>
      <w:r>
        <w:rPr/>
        <w:t>the works</w:t>
      </w:r>
      <w:r>
        <w:rPr>
          <w:spacing w:val="-10"/>
        </w:rPr>
        <w:t> </w:t>
      </w:r>
      <w:r>
        <w:rPr/>
        <w:t>of</w:t>
      </w:r>
      <w:r>
        <w:rPr>
          <w:spacing w:val="-10"/>
        </w:rPr>
        <w:t> </w:t>
      </w:r>
      <w:r>
        <w:rPr/>
        <w:t>80</w:t>
      </w:r>
      <w:r>
        <w:rPr>
          <w:spacing w:val="-10"/>
        </w:rPr>
        <w:t> </w:t>
      </w:r>
      <w:r>
        <w:rPr/>
        <w:t>Lucas</w:t>
      </w:r>
      <w:r>
        <w:rPr>
          <w:spacing w:val="-10"/>
        </w:rPr>
        <w:t> </w:t>
      </w:r>
      <w:r>
        <w:rPr/>
        <w:t>Heights</w:t>
      </w:r>
      <w:r>
        <w:rPr>
          <w:spacing w:val="-10"/>
        </w:rPr>
        <w:t> </w:t>
      </w:r>
      <w:r>
        <w:rPr/>
        <w:t>Community School</w:t>
      </w:r>
      <w:r>
        <w:rPr>
          <w:spacing w:val="-24"/>
        </w:rPr>
        <w:t> </w:t>
      </w:r>
      <w:r>
        <w:rPr/>
        <w:t>students</w:t>
      </w:r>
      <w:r>
        <w:rPr>
          <w:spacing w:val="-24"/>
        </w:rPr>
        <w:t> </w:t>
      </w:r>
      <w:r>
        <w:rPr/>
        <w:t>from</w:t>
      </w:r>
      <w:r>
        <w:rPr>
          <w:spacing w:val="-24"/>
        </w:rPr>
        <w:t> </w:t>
      </w:r>
      <w:r>
        <w:rPr/>
        <w:t>year</w:t>
      </w:r>
      <w:r>
        <w:rPr>
          <w:spacing w:val="-24"/>
        </w:rPr>
        <w:t> </w:t>
      </w:r>
      <w:r>
        <w:rPr/>
        <w:t>7</w:t>
      </w:r>
      <w:r>
        <w:rPr>
          <w:spacing w:val="-24"/>
        </w:rPr>
        <w:t> </w:t>
      </w:r>
      <w:r>
        <w:rPr/>
        <w:t>to</w:t>
      </w:r>
      <w:r>
        <w:rPr>
          <w:spacing w:val="-24"/>
        </w:rPr>
        <w:t> </w:t>
      </w:r>
      <w:r>
        <w:rPr/>
        <w:t>year</w:t>
      </w:r>
      <w:r>
        <w:rPr>
          <w:spacing w:val="-24"/>
        </w:rPr>
        <w:t> </w:t>
      </w:r>
      <w:r>
        <w:rPr>
          <w:w w:val="95"/>
        </w:rPr>
        <w:t>11</w:t>
      </w:r>
    </w:p>
    <w:p>
      <w:pPr>
        <w:pStyle w:val="BodyText"/>
        <w:spacing w:line="244" w:lineRule="auto" w:before="57"/>
        <w:ind w:left="333" w:right="59" w:hanging="227"/>
      </w:pPr>
      <w:r>
        <w:rPr>
          <w:rFonts w:ascii="Century Gothic" w:hAnsi="Century Gothic"/>
          <w:b/>
          <w:w w:val="115"/>
        </w:rPr>
        <w:t>≥ </w:t>
      </w:r>
      <w:r>
        <w:rPr/>
        <w:t>‘FIFTYFIFTY!’, which featured works of 50 Lurnea High School students from year</w:t>
      </w:r>
    </w:p>
    <w:p>
      <w:pPr>
        <w:pStyle w:val="BodyText"/>
        <w:spacing w:line="249" w:lineRule="auto" w:before="3"/>
        <w:ind w:left="333" w:right="188"/>
      </w:pPr>
      <w:r>
        <w:rPr/>
        <w:t>7</w:t>
      </w:r>
      <w:r>
        <w:rPr>
          <w:spacing w:val="-25"/>
        </w:rPr>
        <w:t> </w:t>
      </w:r>
      <w:r>
        <w:rPr/>
        <w:t>to</w:t>
      </w:r>
      <w:r>
        <w:rPr>
          <w:spacing w:val="-25"/>
        </w:rPr>
        <w:t> </w:t>
      </w:r>
      <w:r>
        <w:rPr/>
        <w:t>year</w:t>
      </w:r>
      <w:r>
        <w:rPr>
          <w:spacing w:val="-25"/>
        </w:rPr>
        <w:t> </w:t>
      </w:r>
      <w:r>
        <w:rPr>
          <w:spacing w:val="2"/>
          <w:w w:val="95"/>
        </w:rPr>
        <w:t>11.</w:t>
      </w:r>
      <w:r>
        <w:rPr>
          <w:spacing w:val="-23"/>
          <w:w w:val="95"/>
        </w:rPr>
        <w:t> </w:t>
      </w:r>
      <w:r>
        <w:rPr/>
        <w:t>The</w:t>
      </w:r>
      <w:r>
        <w:rPr>
          <w:spacing w:val="-25"/>
        </w:rPr>
        <w:t> </w:t>
      </w:r>
      <w:r>
        <w:rPr/>
        <w:t>show</w:t>
      </w:r>
      <w:r>
        <w:rPr>
          <w:spacing w:val="-25"/>
        </w:rPr>
        <w:t> </w:t>
      </w:r>
      <w:r>
        <w:rPr/>
        <w:t>coincided</w:t>
      </w:r>
      <w:r>
        <w:rPr>
          <w:spacing w:val="-25"/>
        </w:rPr>
        <w:t> </w:t>
      </w:r>
      <w:r>
        <w:rPr/>
        <w:t>with</w:t>
      </w:r>
      <w:r>
        <w:rPr>
          <w:spacing w:val="-25"/>
        </w:rPr>
        <w:t> </w:t>
      </w:r>
      <w:r>
        <w:rPr/>
        <w:t>the school’s 50th</w:t>
      </w:r>
      <w:r>
        <w:rPr>
          <w:spacing w:val="-28"/>
        </w:rPr>
        <w:t> </w:t>
      </w:r>
      <w:r>
        <w:rPr/>
        <w:t>anniversary</w:t>
      </w:r>
    </w:p>
    <w:p>
      <w:pPr>
        <w:pStyle w:val="BodyText"/>
        <w:spacing w:line="247" w:lineRule="auto" w:before="55"/>
        <w:ind w:left="333" w:right="-2" w:hanging="227"/>
      </w:pPr>
      <w:r>
        <w:rPr>
          <w:rFonts w:ascii="Century Gothic" w:hAnsi="Century Gothic"/>
          <w:b/>
          <w:w w:val="115"/>
        </w:rPr>
        <w:t>≥ </w:t>
      </w:r>
      <w:r>
        <w:rPr/>
        <w:t>‘Chifley College Visual </w:t>
      </w:r>
      <w:r>
        <w:rPr>
          <w:spacing w:val="2"/>
        </w:rPr>
        <w:t>Arts </w:t>
      </w:r>
      <w:r>
        <w:rPr/>
        <w:t>Showcase’, which</w:t>
      </w:r>
      <w:r>
        <w:rPr>
          <w:spacing w:val="-12"/>
        </w:rPr>
        <w:t> </w:t>
      </w:r>
      <w:r>
        <w:rPr/>
        <w:t>featured</w:t>
      </w:r>
      <w:r>
        <w:rPr>
          <w:spacing w:val="-12"/>
        </w:rPr>
        <w:t> </w:t>
      </w:r>
      <w:r>
        <w:rPr/>
        <w:t>60</w:t>
      </w:r>
      <w:r>
        <w:rPr>
          <w:spacing w:val="-12"/>
        </w:rPr>
        <w:t> </w:t>
      </w:r>
      <w:r>
        <w:rPr/>
        <w:t>works</w:t>
      </w:r>
      <w:r>
        <w:rPr>
          <w:spacing w:val="-12"/>
        </w:rPr>
        <w:t> </w:t>
      </w:r>
      <w:r>
        <w:rPr/>
        <w:t>by</w:t>
      </w:r>
      <w:r>
        <w:rPr>
          <w:spacing w:val="-12"/>
        </w:rPr>
        <w:t> </w:t>
      </w:r>
      <w:r>
        <w:rPr/>
        <w:t>students</w:t>
      </w:r>
      <w:r>
        <w:rPr>
          <w:spacing w:val="-12"/>
        </w:rPr>
        <w:t> </w:t>
      </w:r>
      <w:r>
        <w:rPr/>
        <w:t>from year 7 to year 12, including final major works</w:t>
      </w:r>
      <w:r>
        <w:rPr>
          <w:spacing w:val="-16"/>
        </w:rPr>
        <w:t> </w:t>
      </w:r>
      <w:r>
        <w:rPr/>
        <w:t>by</w:t>
      </w:r>
      <w:r>
        <w:rPr>
          <w:spacing w:val="-16"/>
        </w:rPr>
        <w:t> </w:t>
      </w:r>
      <w:r>
        <w:rPr/>
        <w:t>HSC</w:t>
      </w:r>
      <w:r>
        <w:rPr>
          <w:spacing w:val="-16"/>
        </w:rPr>
        <w:t> </w:t>
      </w:r>
      <w:r>
        <w:rPr/>
        <w:t>students.</w:t>
      </w:r>
    </w:p>
    <w:p>
      <w:pPr>
        <w:pStyle w:val="BodyText"/>
        <w:spacing w:before="2"/>
        <w:rPr>
          <w:sz w:val="14"/>
        </w:rPr>
      </w:pPr>
    </w:p>
    <w:p>
      <w:pPr>
        <w:pStyle w:val="BodyText"/>
        <w:spacing w:line="249" w:lineRule="auto"/>
        <w:ind w:left="107" w:right="-2"/>
      </w:pPr>
      <w:r>
        <w:rPr/>
        <w:t>The</w:t>
      </w:r>
      <w:r>
        <w:rPr>
          <w:spacing w:val="-28"/>
        </w:rPr>
        <w:t> </w:t>
      </w:r>
      <w:r>
        <w:rPr/>
        <w:t>Margot</w:t>
      </w:r>
      <w:r>
        <w:rPr>
          <w:spacing w:val="-28"/>
        </w:rPr>
        <w:t> </w:t>
      </w:r>
      <w:r>
        <w:rPr/>
        <w:t>Hardy</w:t>
      </w:r>
      <w:r>
        <w:rPr>
          <w:spacing w:val="-28"/>
        </w:rPr>
        <w:t> </w:t>
      </w:r>
      <w:r>
        <w:rPr/>
        <w:t>Gallery’s</w:t>
      </w:r>
      <w:r>
        <w:rPr>
          <w:spacing w:val="-28"/>
        </w:rPr>
        <w:t> </w:t>
      </w:r>
      <w:r>
        <w:rPr/>
        <w:t>exhibition</w:t>
      </w:r>
      <w:r>
        <w:rPr>
          <w:spacing w:val="-28"/>
        </w:rPr>
        <w:t> </w:t>
      </w:r>
      <w:r>
        <w:rPr/>
        <w:t>program encourages</w:t>
      </w:r>
      <w:r>
        <w:rPr>
          <w:spacing w:val="-23"/>
        </w:rPr>
        <w:t> </w:t>
      </w:r>
      <w:r>
        <w:rPr/>
        <w:t>community</w:t>
      </w:r>
      <w:r>
        <w:rPr>
          <w:spacing w:val="-23"/>
        </w:rPr>
        <w:t> </w:t>
      </w:r>
      <w:r>
        <w:rPr/>
        <w:t>groups</w:t>
      </w:r>
      <w:r>
        <w:rPr>
          <w:spacing w:val="-23"/>
        </w:rPr>
        <w:t> </w:t>
      </w:r>
      <w:r>
        <w:rPr/>
        <w:t>and</w:t>
      </w:r>
      <w:r>
        <w:rPr>
          <w:spacing w:val="-23"/>
        </w:rPr>
        <w:t> </w:t>
      </w:r>
      <w:r>
        <w:rPr/>
        <w:t>schools</w:t>
      </w:r>
      <w:r>
        <w:rPr>
          <w:spacing w:val="-23"/>
        </w:rPr>
        <w:t> </w:t>
      </w:r>
      <w:r>
        <w:rPr/>
        <w:t>to promote</w:t>
      </w:r>
      <w:r>
        <w:rPr>
          <w:spacing w:val="-27"/>
        </w:rPr>
        <w:t> </w:t>
      </w:r>
      <w:r>
        <w:rPr/>
        <w:t>their</w:t>
      </w:r>
      <w:r>
        <w:rPr>
          <w:spacing w:val="-27"/>
        </w:rPr>
        <w:t> </w:t>
      </w:r>
      <w:r>
        <w:rPr/>
        <w:t>own</w:t>
      </w:r>
      <w:r>
        <w:rPr>
          <w:spacing w:val="-27"/>
        </w:rPr>
        <w:t> </w:t>
      </w:r>
      <w:r>
        <w:rPr/>
        <w:t>creativity,</w:t>
      </w:r>
      <w:r>
        <w:rPr>
          <w:spacing w:val="-27"/>
        </w:rPr>
        <w:t> </w:t>
      </w:r>
      <w:r>
        <w:rPr/>
        <w:t>and</w:t>
      </w:r>
      <w:r>
        <w:rPr>
          <w:spacing w:val="-27"/>
        </w:rPr>
        <w:t> </w:t>
      </w:r>
      <w:r>
        <w:rPr/>
        <w:t>at</w:t>
      </w:r>
      <w:r>
        <w:rPr>
          <w:spacing w:val="-27"/>
        </w:rPr>
        <w:t> </w:t>
      </w:r>
      <w:r>
        <w:rPr/>
        <w:t>times</w:t>
      </w:r>
      <w:r>
        <w:rPr>
          <w:spacing w:val="-27"/>
        </w:rPr>
        <w:t> </w:t>
      </w:r>
      <w:r>
        <w:rPr/>
        <w:t>their histories,</w:t>
      </w:r>
      <w:r>
        <w:rPr>
          <w:spacing w:val="-23"/>
        </w:rPr>
        <w:t> </w:t>
      </w:r>
      <w:r>
        <w:rPr/>
        <w:t>as</w:t>
      </w:r>
      <w:r>
        <w:rPr>
          <w:spacing w:val="-23"/>
        </w:rPr>
        <w:t> </w:t>
      </w:r>
      <w:r>
        <w:rPr/>
        <w:t>well</w:t>
      </w:r>
      <w:r>
        <w:rPr>
          <w:spacing w:val="-23"/>
        </w:rPr>
        <w:t> </w:t>
      </w:r>
      <w:r>
        <w:rPr/>
        <w:t>as</w:t>
      </w:r>
      <w:r>
        <w:rPr>
          <w:spacing w:val="-23"/>
        </w:rPr>
        <w:t> </w:t>
      </w:r>
      <w:r>
        <w:rPr/>
        <w:t>providing</w:t>
      </w:r>
      <w:r>
        <w:rPr>
          <w:spacing w:val="-23"/>
        </w:rPr>
        <w:t> </w:t>
      </w:r>
      <w:r>
        <w:rPr/>
        <w:t>a</w:t>
      </w:r>
      <w:r>
        <w:rPr>
          <w:spacing w:val="-23"/>
        </w:rPr>
        <w:t> </w:t>
      </w:r>
      <w:r>
        <w:rPr/>
        <w:t>focal</w:t>
      </w:r>
      <w:r>
        <w:rPr>
          <w:spacing w:val="-23"/>
        </w:rPr>
        <w:t> </w:t>
      </w:r>
      <w:r>
        <w:rPr/>
        <w:t>point</w:t>
      </w:r>
      <w:r>
        <w:rPr>
          <w:spacing w:val="-23"/>
        </w:rPr>
        <w:t> </w:t>
      </w:r>
      <w:r>
        <w:rPr/>
        <w:t>for </w:t>
      </w:r>
      <w:r>
        <w:rPr>
          <w:w w:val="95"/>
        </w:rPr>
        <w:t>issues </w:t>
      </w:r>
      <w:r>
        <w:rPr>
          <w:spacing w:val="-1"/>
          <w:w w:val="99"/>
        </w:rPr>
        <w:t>of</w:t>
      </w:r>
      <w:r>
        <w:rPr>
          <w:w w:val="99"/>
        </w:rPr>
        <w:t> </w:t>
      </w:r>
      <w:r>
        <w:rPr>
          <w:w w:val="94"/>
        </w:rPr>
        <w:t>concern. </w:t>
      </w:r>
      <w:r>
        <w:rPr>
          <w:w w:val="80"/>
        </w:rPr>
        <w:t>In </w:t>
      </w:r>
      <w:r>
        <w:rPr>
          <w:w w:val="84"/>
        </w:rPr>
        <w:t>2015, </w:t>
      </w:r>
      <w:r>
        <w:rPr>
          <w:w w:val="97"/>
        </w:rPr>
        <w:t>the </w:t>
      </w:r>
      <w:r>
        <w:rPr>
          <w:spacing w:val="-1"/>
          <w:w w:val="98"/>
        </w:rPr>
        <w:t>Margot</w:t>
      </w:r>
      <w:r>
        <w:rPr>
          <w:w w:val="98"/>
        </w:rPr>
        <w:t> </w:t>
      </w:r>
      <w:r>
        <w:rPr>
          <w:spacing w:val="-1"/>
          <w:w w:val="98"/>
        </w:rPr>
        <w:t>Hardy</w:t>
      </w:r>
      <w:r>
        <w:rPr>
          <w:w w:val="98"/>
        </w:rPr>
        <w:t> </w:t>
      </w:r>
      <w:r>
        <w:rPr/>
        <w:t>exhibition</w:t>
      </w:r>
      <w:r>
        <w:rPr>
          <w:spacing w:val="-26"/>
        </w:rPr>
        <w:t> </w:t>
      </w:r>
      <w:r>
        <w:rPr/>
        <w:t>program</w:t>
      </w:r>
      <w:r>
        <w:rPr>
          <w:spacing w:val="-26"/>
        </w:rPr>
        <w:t> </w:t>
      </w:r>
      <w:r>
        <w:rPr/>
        <w:t>engaged</w:t>
      </w:r>
      <w:r>
        <w:rPr>
          <w:spacing w:val="-26"/>
        </w:rPr>
        <w:t> </w:t>
      </w:r>
      <w:r>
        <w:rPr/>
        <w:t>and</w:t>
      </w:r>
      <w:r>
        <w:rPr>
          <w:spacing w:val="-26"/>
        </w:rPr>
        <w:t> </w:t>
      </w:r>
      <w:r>
        <w:rPr/>
        <w:t>promoted</w:t>
      </w:r>
      <w:r>
        <w:rPr>
          <w:spacing w:val="-26"/>
        </w:rPr>
        <w:t> </w:t>
      </w:r>
      <w:r>
        <w:rPr/>
        <w:t>the </w:t>
      </w:r>
      <w:r>
        <w:rPr>
          <w:spacing w:val="1"/>
          <w:w w:val="97"/>
        </w:rPr>
        <w:t>art</w:t>
      </w:r>
      <w:r>
        <w:rPr>
          <w:w w:val="97"/>
        </w:rPr>
        <w:t> </w:t>
      </w:r>
      <w:r>
        <w:rPr>
          <w:spacing w:val="-1"/>
          <w:w w:val="99"/>
        </w:rPr>
        <w:t>of</w:t>
      </w:r>
      <w:r>
        <w:rPr>
          <w:w w:val="99"/>
        </w:rPr>
        <w:t> </w:t>
      </w:r>
      <w:r>
        <w:rPr>
          <w:spacing w:val="1"/>
          <w:w w:val="82"/>
        </w:rPr>
        <w:t>10</w:t>
      </w:r>
      <w:r>
        <w:rPr>
          <w:w w:val="82"/>
        </w:rPr>
        <w:t> </w:t>
      </w:r>
      <w:r>
        <w:rPr>
          <w:w w:val="97"/>
        </w:rPr>
        <w:t>artists </w:t>
      </w:r>
      <w:r>
        <w:rPr>
          <w:spacing w:val="-1"/>
          <w:w w:val="98"/>
        </w:rPr>
        <w:t>with</w:t>
      </w:r>
      <w:r>
        <w:rPr>
          <w:w w:val="98"/>
        </w:rPr>
        <w:t> </w:t>
      </w:r>
      <w:r>
        <w:rPr>
          <w:spacing w:val="-1"/>
          <w:w w:val="94"/>
        </w:rPr>
        <w:t>disabilities,</w:t>
      </w:r>
      <w:r>
        <w:rPr>
          <w:w w:val="94"/>
        </w:rPr>
        <w:t> </w:t>
      </w:r>
      <w:r>
        <w:rPr>
          <w:spacing w:val="-1"/>
          <w:w w:val="99"/>
        </w:rPr>
        <w:t>426</w:t>
      </w:r>
      <w:r>
        <w:rPr>
          <w:w w:val="99"/>
        </w:rPr>
        <w:t> </w:t>
      </w:r>
      <w:r>
        <w:rPr>
          <w:w w:val="97"/>
        </w:rPr>
        <w:t>students </w:t>
      </w:r>
      <w:r>
        <w:rPr/>
        <w:t>from six local high schools, 84 children from primary</w:t>
      </w:r>
      <w:r>
        <w:rPr>
          <w:spacing w:val="-25"/>
        </w:rPr>
        <w:t> </w:t>
      </w:r>
      <w:r>
        <w:rPr/>
        <w:t>schools</w:t>
      </w:r>
      <w:r>
        <w:rPr>
          <w:spacing w:val="-25"/>
        </w:rPr>
        <w:t> </w:t>
      </w:r>
      <w:r>
        <w:rPr/>
        <w:t>and</w:t>
      </w:r>
      <w:r>
        <w:rPr>
          <w:spacing w:val="-25"/>
        </w:rPr>
        <w:t> </w:t>
      </w:r>
      <w:r>
        <w:rPr/>
        <w:t>one</w:t>
      </w:r>
      <w:r>
        <w:rPr>
          <w:spacing w:val="-25"/>
        </w:rPr>
        <w:t> </w:t>
      </w:r>
      <w:r>
        <w:rPr/>
        <w:t>local</w:t>
      </w:r>
      <w:r>
        <w:rPr>
          <w:spacing w:val="-25"/>
        </w:rPr>
        <w:t> </w:t>
      </w:r>
      <w:r>
        <w:rPr/>
        <w:t>public</w:t>
      </w:r>
      <w:r>
        <w:rPr>
          <w:spacing w:val="-25"/>
        </w:rPr>
        <w:t> </w:t>
      </w:r>
      <w:r>
        <w:rPr/>
        <w:t>school.</w:t>
      </w:r>
    </w:p>
    <w:p>
      <w:pPr>
        <w:pStyle w:val="BodyText"/>
        <w:spacing w:line="249" w:lineRule="auto"/>
        <w:ind w:left="107" w:right="83"/>
      </w:pPr>
      <w:r>
        <w:rPr/>
        <w:t>In</w:t>
      </w:r>
      <w:r>
        <w:rPr>
          <w:spacing w:val="-25"/>
        </w:rPr>
        <w:t> </w:t>
      </w:r>
      <w:r>
        <w:rPr/>
        <w:t>all,</w:t>
      </w:r>
      <w:r>
        <w:rPr>
          <w:spacing w:val="-25"/>
        </w:rPr>
        <w:t> </w:t>
      </w:r>
      <w:r>
        <w:rPr/>
        <w:t>520</w:t>
      </w:r>
      <w:r>
        <w:rPr>
          <w:spacing w:val="-25"/>
        </w:rPr>
        <w:t> </w:t>
      </w:r>
      <w:r>
        <w:rPr/>
        <w:t>artists</w:t>
      </w:r>
      <w:r>
        <w:rPr>
          <w:spacing w:val="-25"/>
        </w:rPr>
        <w:t> </w:t>
      </w:r>
      <w:r>
        <w:rPr/>
        <w:t>were</w:t>
      </w:r>
      <w:r>
        <w:rPr>
          <w:spacing w:val="-25"/>
        </w:rPr>
        <w:t> </w:t>
      </w:r>
      <w:r>
        <w:rPr/>
        <w:t>exhibited</w:t>
      </w:r>
      <w:r>
        <w:rPr>
          <w:spacing w:val="-25"/>
        </w:rPr>
        <w:t> </w:t>
      </w:r>
      <w:r>
        <w:rPr/>
        <w:t>in</w:t>
      </w:r>
      <w:r>
        <w:rPr>
          <w:spacing w:val="-25"/>
        </w:rPr>
        <w:t> </w:t>
      </w:r>
      <w:r>
        <w:rPr/>
        <w:t>this</w:t>
      </w:r>
      <w:r>
        <w:rPr>
          <w:spacing w:val="-25"/>
        </w:rPr>
        <w:t> </w:t>
      </w:r>
      <w:r>
        <w:rPr/>
        <w:t>space </w:t>
      </w:r>
      <w:r>
        <w:rPr>
          <w:spacing w:val="-1"/>
          <w:w w:val="95"/>
        </w:rPr>
        <w:t>in</w:t>
      </w:r>
      <w:r>
        <w:rPr>
          <w:spacing w:val="-11"/>
          <w:w w:val="95"/>
        </w:rPr>
        <w:t> </w:t>
      </w:r>
      <w:r>
        <w:rPr>
          <w:w w:val="84"/>
        </w:rPr>
        <w:t>2015,</w:t>
      </w:r>
      <w:r>
        <w:rPr>
          <w:spacing w:val="-5"/>
          <w:w w:val="84"/>
        </w:rPr>
        <w:t> </w:t>
      </w:r>
      <w:r>
        <w:rPr>
          <w:w w:val="97"/>
        </w:rPr>
        <w:t>and</w:t>
      </w:r>
      <w:r>
        <w:rPr>
          <w:spacing w:val="-12"/>
          <w:w w:val="97"/>
        </w:rPr>
        <w:t> </w:t>
      </w:r>
      <w:r>
        <w:rPr>
          <w:spacing w:val="-1"/>
          <w:w w:val="97"/>
        </w:rPr>
        <w:t>their</w:t>
      </w:r>
      <w:r>
        <w:rPr>
          <w:spacing w:val="-11"/>
          <w:w w:val="97"/>
        </w:rPr>
        <w:t> </w:t>
      </w:r>
      <w:r>
        <w:rPr>
          <w:spacing w:val="-1"/>
          <w:w w:val="97"/>
        </w:rPr>
        <w:t>works</w:t>
      </w:r>
      <w:r>
        <w:rPr>
          <w:spacing w:val="-12"/>
          <w:w w:val="97"/>
        </w:rPr>
        <w:t> </w:t>
      </w:r>
      <w:r>
        <w:rPr>
          <w:spacing w:val="-1"/>
          <w:w w:val="97"/>
        </w:rPr>
        <w:t>were</w:t>
      </w:r>
      <w:r>
        <w:rPr>
          <w:spacing w:val="-11"/>
          <w:w w:val="97"/>
        </w:rPr>
        <w:t> </w:t>
      </w:r>
      <w:r>
        <w:rPr>
          <w:spacing w:val="-1"/>
          <w:w w:val="96"/>
        </w:rPr>
        <w:t>also</w:t>
      </w:r>
      <w:r>
        <w:rPr>
          <w:spacing w:val="-11"/>
          <w:w w:val="96"/>
        </w:rPr>
        <w:t> </w:t>
      </w:r>
      <w:r>
        <w:rPr>
          <w:spacing w:val="-1"/>
          <w:w w:val="96"/>
        </w:rPr>
        <w:t>available</w:t>
      </w:r>
      <w:r>
        <w:rPr>
          <w:spacing w:val="-11"/>
          <w:w w:val="96"/>
        </w:rPr>
        <w:t> </w:t>
      </w:r>
      <w:r>
        <w:rPr>
          <w:spacing w:val="-1"/>
          <w:w w:val="98"/>
        </w:rPr>
        <w:t>for</w:t>
      </w:r>
      <w:r>
        <w:rPr>
          <w:w w:val="98"/>
        </w:rPr>
        <w:t> </w:t>
      </w:r>
      <w:r>
        <w:rPr/>
        <w:t>virtual</w:t>
      </w:r>
      <w:r>
        <w:rPr>
          <w:spacing w:val="-30"/>
        </w:rPr>
        <w:t> </w:t>
      </w:r>
      <w:r>
        <w:rPr/>
        <w:t>viewing</w:t>
      </w:r>
      <w:r>
        <w:rPr>
          <w:spacing w:val="-30"/>
        </w:rPr>
        <w:t> </w:t>
      </w:r>
      <w:r>
        <w:rPr/>
        <w:t>via</w:t>
      </w:r>
      <w:r>
        <w:rPr>
          <w:spacing w:val="-30"/>
        </w:rPr>
        <w:t> </w:t>
      </w:r>
      <w:r>
        <w:rPr/>
        <w:t>the</w:t>
      </w:r>
      <w:r>
        <w:rPr>
          <w:spacing w:val="-30"/>
        </w:rPr>
        <w:t> </w:t>
      </w:r>
      <w:r>
        <w:rPr/>
        <w:t>art</w:t>
      </w:r>
      <w:r>
        <w:rPr>
          <w:spacing w:val="-30"/>
        </w:rPr>
        <w:t> </w:t>
      </w:r>
      <w:r>
        <w:rPr/>
        <w:t>collection</w:t>
      </w:r>
      <w:r>
        <w:rPr>
          <w:spacing w:val="-30"/>
        </w:rPr>
        <w:t> </w:t>
      </w:r>
      <w:r>
        <w:rPr/>
        <w:t>website.</w:t>
      </w:r>
    </w:p>
    <w:p>
      <w:pPr>
        <w:pStyle w:val="BodyText"/>
        <w:spacing w:before="6"/>
        <w:rPr>
          <w:sz w:val="14"/>
        </w:rPr>
      </w:pPr>
    </w:p>
    <w:p>
      <w:pPr>
        <w:pStyle w:val="Heading8"/>
        <w:ind w:left="113" w:right="-2"/>
      </w:pPr>
      <w:r>
        <w:rPr>
          <w:color w:val="636466"/>
          <w:w w:val="95"/>
        </w:rPr>
        <w:t>Western Sydney University Art Gallery</w:t>
      </w:r>
    </w:p>
    <w:p>
      <w:pPr>
        <w:pStyle w:val="BodyText"/>
        <w:spacing w:line="249" w:lineRule="auto" w:before="86"/>
        <w:ind w:left="107" w:right="-1"/>
      </w:pPr>
      <w:r>
        <w:rPr/>
        <w:t>The Western Sydney University </w:t>
      </w:r>
      <w:r>
        <w:rPr>
          <w:spacing w:val="2"/>
        </w:rPr>
        <w:t>Art </w:t>
      </w:r>
      <w:r>
        <w:rPr/>
        <w:t>Gallery based</w:t>
      </w:r>
      <w:r>
        <w:rPr>
          <w:spacing w:val="-13"/>
        </w:rPr>
        <w:t> </w:t>
      </w:r>
      <w:r>
        <w:rPr/>
        <w:t>at</w:t>
      </w:r>
      <w:r>
        <w:rPr>
          <w:spacing w:val="-13"/>
        </w:rPr>
        <w:t> </w:t>
      </w:r>
      <w:r>
        <w:rPr/>
        <w:t>Werrington</w:t>
      </w:r>
      <w:r>
        <w:rPr>
          <w:spacing w:val="-13"/>
        </w:rPr>
        <w:t> </w:t>
      </w:r>
      <w:r>
        <w:rPr/>
        <w:t>North</w:t>
      </w:r>
      <w:r>
        <w:rPr>
          <w:spacing w:val="-13"/>
        </w:rPr>
        <w:t> </w:t>
      </w:r>
      <w:r>
        <w:rPr/>
        <w:t>(Penrith)</w:t>
      </w:r>
      <w:r>
        <w:rPr>
          <w:spacing w:val="-13"/>
        </w:rPr>
        <w:t> </w:t>
      </w:r>
      <w:r>
        <w:rPr/>
        <w:t>produces exhibitions</w:t>
      </w:r>
      <w:r>
        <w:rPr>
          <w:spacing w:val="-14"/>
        </w:rPr>
        <w:t> </w:t>
      </w:r>
      <w:r>
        <w:rPr/>
        <w:t>that</w:t>
      </w:r>
      <w:r>
        <w:rPr>
          <w:spacing w:val="-14"/>
        </w:rPr>
        <w:t> </w:t>
      </w:r>
      <w:r>
        <w:rPr/>
        <w:t>support</w:t>
      </w:r>
      <w:r>
        <w:rPr>
          <w:spacing w:val="-14"/>
        </w:rPr>
        <w:t> </w:t>
      </w:r>
      <w:r>
        <w:rPr/>
        <w:t>and</w:t>
      </w:r>
      <w:r>
        <w:rPr>
          <w:spacing w:val="-14"/>
        </w:rPr>
        <w:t> </w:t>
      </w:r>
      <w:r>
        <w:rPr/>
        <w:t>profile</w:t>
      </w:r>
      <w:r>
        <w:rPr>
          <w:spacing w:val="-14"/>
        </w:rPr>
        <w:t> </w:t>
      </w:r>
      <w:r>
        <w:rPr/>
        <w:t>University staff and higher degree students and their </w:t>
      </w:r>
      <w:r>
        <w:rPr>
          <w:spacing w:val="1"/>
          <w:w w:val="93"/>
        </w:rPr>
        <w:t>research.</w:t>
      </w:r>
      <w:r>
        <w:rPr>
          <w:w w:val="93"/>
        </w:rPr>
        <w:t> </w:t>
      </w:r>
      <w:r>
        <w:rPr>
          <w:spacing w:val="1"/>
          <w:w w:val="94"/>
        </w:rPr>
        <w:t>The</w:t>
      </w:r>
      <w:r>
        <w:rPr>
          <w:w w:val="94"/>
        </w:rPr>
        <w:t> </w:t>
      </w:r>
      <w:r>
        <w:rPr>
          <w:spacing w:val="1"/>
          <w:w w:val="88"/>
        </w:rPr>
        <w:t>2015</w:t>
      </w:r>
      <w:r>
        <w:rPr>
          <w:w w:val="88"/>
        </w:rPr>
        <w:t> </w:t>
      </w:r>
      <w:r>
        <w:rPr>
          <w:w w:val="97"/>
        </w:rPr>
        <w:t>exhibition </w:t>
      </w:r>
      <w:r>
        <w:rPr>
          <w:spacing w:val="1"/>
          <w:w w:val="98"/>
        </w:rPr>
        <w:t>program</w:t>
      </w:r>
      <w:r>
        <w:rPr>
          <w:w w:val="98"/>
        </w:rPr>
        <w:t> </w:t>
      </w:r>
      <w:r>
        <w:rPr/>
        <w:t>featured</w:t>
      </w:r>
      <w:r>
        <w:rPr>
          <w:spacing w:val="-28"/>
        </w:rPr>
        <w:t> </w:t>
      </w:r>
      <w:r>
        <w:rPr/>
        <w:t>four</w:t>
      </w:r>
      <w:r>
        <w:rPr>
          <w:spacing w:val="-28"/>
        </w:rPr>
        <w:t> </w:t>
      </w:r>
      <w:r>
        <w:rPr/>
        <w:t>exhibitions.</w:t>
      </w:r>
    </w:p>
    <w:p>
      <w:pPr>
        <w:pStyle w:val="BodyText"/>
        <w:spacing w:before="11"/>
        <w:rPr>
          <w:sz w:val="13"/>
        </w:rPr>
      </w:pPr>
    </w:p>
    <w:p>
      <w:pPr>
        <w:pStyle w:val="BodyText"/>
        <w:spacing w:line="244" w:lineRule="auto"/>
        <w:ind w:left="333" w:right="-2" w:hanging="227"/>
      </w:pPr>
      <w:r>
        <w:rPr>
          <w:rFonts w:ascii="Century Gothic" w:hAnsi="Century Gothic"/>
          <w:b/>
          <w:w w:val="115"/>
        </w:rPr>
        <w:t>≥ </w:t>
      </w:r>
      <w:r>
        <w:rPr/>
        <w:t>‘Offside – Women in Sport’, featuring photographic works by Belinda Mason</w:t>
      </w:r>
    </w:p>
    <w:p>
      <w:pPr>
        <w:pStyle w:val="BodyText"/>
        <w:spacing w:line="244" w:lineRule="auto" w:before="58"/>
        <w:ind w:left="333" w:right="1" w:hanging="227"/>
      </w:pPr>
      <w:r>
        <w:rPr>
          <w:rFonts w:ascii="Century Gothic" w:hAnsi="Century Gothic"/>
          <w:b/>
          <w:w w:val="115"/>
        </w:rPr>
        <w:t>≥ </w:t>
      </w:r>
      <w:r>
        <w:rPr/>
        <w:t>‘appnotic’, featuring paintings by local Blue Mountains artist Paula Garrard</w:t>
      </w:r>
    </w:p>
    <w:p>
      <w:pPr>
        <w:pStyle w:val="BodyText"/>
        <w:spacing w:line="247" w:lineRule="auto" w:before="58"/>
        <w:ind w:left="333" w:right="2" w:hanging="227"/>
      </w:pPr>
      <w:r>
        <w:rPr>
          <w:rFonts w:ascii="Century Gothic" w:hAnsi="Century Gothic"/>
          <w:b/>
          <w:w w:val="115"/>
        </w:rPr>
        <w:t>≥ </w:t>
      </w:r>
      <w:r>
        <w:rPr/>
        <w:t>‘Explore: West’, featuring posters designed by 30 Western Sydney University design students from the School of Humanities and Communication Arts</w:t>
      </w:r>
    </w:p>
    <w:p>
      <w:pPr>
        <w:pStyle w:val="BodyText"/>
        <w:spacing w:line="244" w:lineRule="auto" w:before="57"/>
        <w:ind w:left="333" w:right="240" w:hanging="227"/>
      </w:pPr>
      <w:r>
        <w:rPr>
          <w:rFonts w:ascii="Century Gothic" w:hAnsi="Century Gothic"/>
          <w:b/>
          <w:w w:val="115"/>
        </w:rPr>
        <w:t>≥ </w:t>
      </w:r>
      <w:r>
        <w:rPr>
          <w:spacing w:val="-3"/>
        </w:rPr>
        <w:t>‘After Hours’, </w:t>
      </w:r>
      <w:r>
        <w:rPr/>
        <w:t>featuring local artists Ann- </w:t>
      </w:r>
      <w:r>
        <w:rPr>
          <w:w w:val="95"/>
        </w:rPr>
        <w:t>Maree </w:t>
      </w:r>
      <w:r>
        <w:rPr>
          <w:spacing w:val="-4"/>
          <w:w w:val="95"/>
        </w:rPr>
        <w:t>Ager, </w:t>
      </w:r>
      <w:r>
        <w:rPr>
          <w:w w:val="95"/>
        </w:rPr>
        <w:t>Melissa Chapman, Louise</w:t>
      </w:r>
    </w:p>
    <w:p>
      <w:pPr>
        <w:pStyle w:val="BodyText"/>
        <w:spacing w:before="2"/>
        <w:rPr>
          <w:sz w:val="20"/>
        </w:rPr>
      </w:pPr>
      <w:r>
        <w:rPr/>
        <w:br w:type="column"/>
      </w:r>
      <w:r>
        <w:rPr>
          <w:sz w:val="20"/>
        </w:rPr>
      </w:r>
    </w:p>
    <w:p>
      <w:pPr>
        <w:pStyle w:val="BodyText"/>
        <w:spacing w:line="249" w:lineRule="auto"/>
        <w:ind w:left="333" w:right="2"/>
      </w:pPr>
      <w:r>
        <w:rPr>
          <w:w w:val="95"/>
        </w:rPr>
        <w:t>Coleman,</w:t>
      </w:r>
      <w:r>
        <w:rPr>
          <w:spacing w:val="-22"/>
          <w:w w:val="95"/>
        </w:rPr>
        <w:t> </w:t>
      </w:r>
      <w:r>
        <w:rPr>
          <w:w w:val="95"/>
        </w:rPr>
        <w:t>Melanie</w:t>
      </w:r>
      <w:r>
        <w:rPr>
          <w:spacing w:val="-22"/>
          <w:w w:val="95"/>
        </w:rPr>
        <w:t> </w:t>
      </w:r>
      <w:r>
        <w:rPr>
          <w:w w:val="95"/>
        </w:rPr>
        <w:t>Duff,</w:t>
      </w:r>
      <w:r>
        <w:rPr>
          <w:spacing w:val="-22"/>
          <w:w w:val="95"/>
        </w:rPr>
        <w:t> </w:t>
      </w:r>
      <w:r>
        <w:rPr>
          <w:spacing w:val="-3"/>
          <w:w w:val="95"/>
        </w:rPr>
        <w:t>Zeina</w:t>
      </w:r>
      <w:r>
        <w:rPr>
          <w:spacing w:val="-22"/>
          <w:w w:val="95"/>
        </w:rPr>
        <w:t> </w:t>
      </w:r>
      <w:r>
        <w:rPr>
          <w:w w:val="95"/>
        </w:rPr>
        <w:t>Iaali,</w:t>
      </w:r>
      <w:r>
        <w:rPr>
          <w:spacing w:val="-22"/>
          <w:w w:val="95"/>
        </w:rPr>
        <w:t> </w:t>
      </w:r>
      <w:r>
        <w:rPr>
          <w:w w:val="95"/>
        </w:rPr>
        <w:t>Leon</w:t>
      </w:r>
      <w:r>
        <w:rPr>
          <w:spacing w:val="-22"/>
          <w:w w:val="95"/>
        </w:rPr>
        <w:t> </w:t>
      </w:r>
      <w:r>
        <w:rPr>
          <w:w w:val="95"/>
        </w:rPr>
        <w:t>Karla </w:t>
      </w:r>
      <w:r>
        <w:rPr/>
        <w:t>and</w:t>
      </w:r>
      <w:r>
        <w:rPr>
          <w:spacing w:val="-33"/>
        </w:rPr>
        <w:t> </w:t>
      </w:r>
      <w:r>
        <w:rPr/>
        <w:t>Danielle</w:t>
      </w:r>
      <w:r>
        <w:rPr>
          <w:spacing w:val="-33"/>
        </w:rPr>
        <w:t> </w:t>
      </w:r>
      <w:r>
        <w:rPr/>
        <w:t>Leonello,</w:t>
      </w:r>
      <w:r>
        <w:rPr>
          <w:spacing w:val="-33"/>
        </w:rPr>
        <w:t> </w:t>
      </w:r>
      <w:r>
        <w:rPr/>
        <w:t>who</w:t>
      </w:r>
      <w:r>
        <w:rPr>
          <w:spacing w:val="-33"/>
        </w:rPr>
        <w:t> </w:t>
      </w:r>
      <w:r>
        <w:rPr/>
        <w:t>are</w:t>
      </w:r>
      <w:r>
        <w:rPr>
          <w:spacing w:val="-33"/>
        </w:rPr>
        <w:t> </w:t>
      </w:r>
      <w:r>
        <w:rPr/>
        <w:t>all</w:t>
      </w:r>
      <w:r>
        <w:rPr>
          <w:spacing w:val="-33"/>
        </w:rPr>
        <w:t> </w:t>
      </w:r>
      <w:r>
        <w:rPr/>
        <w:t>visual</w:t>
      </w:r>
      <w:r>
        <w:rPr>
          <w:spacing w:val="-33"/>
        </w:rPr>
        <w:t> </w:t>
      </w:r>
      <w:r>
        <w:rPr/>
        <w:t>arts teachers</w:t>
      </w:r>
      <w:r>
        <w:rPr>
          <w:spacing w:val="-40"/>
        </w:rPr>
        <w:t> </w:t>
      </w:r>
      <w:r>
        <w:rPr/>
        <w:t>at</w:t>
      </w:r>
      <w:r>
        <w:rPr>
          <w:spacing w:val="-40"/>
        </w:rPr>
        <w:t> </w:t>
      </w:r>
      <w:r>
        <w:rPr/>
        <w:t>Bossley</w:t>
      </w:r>
      <w:r>
        <w:rPr>
          <w:spacing w:val="-40"/>
        </w:rPr>
        <w:t> </w:t>
      </w:r>
      <w:r>
        <w:rPr/>
        <w:t>Park</w:t>
      </w:r>
      <w:r>
        <w:rPr>
          <w:spacing w:val="-40"/>
        </w:rPr>
        <w:t> </w:t>
      </w:r>
      <w:r>
        <w:rPr/>
        <w:t>High</w:t>
      </w:r>
      <w:r>
        <w:rPr>
          <w:spacing w:val="-40"/>
        </w:rPr>
        <w:t> </w:t>
      </w:r>
      <w:r>
        <w:rPr/>
        <w:t>School.</w:t>
      </w:r>
    </w:p>
    <w:p>
      <w:pPr>
        <w:pStyle w:val="BodyText"/>
        <w:rPr>
          <w:sz w:val="14"/>
        </w:rPr>
      </w:pPr>
    </w:p>
    <w:p>
      <w:pPr>
        <w:pStyle w:val="BodyText"/>
        <w:spacing w:line="249" w:lineRule="auto"/>
        <w:ind w:left="107"/>
      </w:pPr>
      <w:r>
        <w:rPr/>
        <w:t>All</w:t>
      </w:r>
      <w:r>
        <w:rPr>
          <w:spacing w:val="-12"/>
        </w:rPr>
        <w:t> </w:t>
      </w:r>
      <w:r>
        <w:rPr/>
        <w:t>exhibitions</w:t>
      </w:r>
      <w:r>
        <w:rPr>
          <w:spacing w:val="-12"/>
        </w:rPr>
        <w:t> </w:t>
      </w:r>
      <w:r>
        <w:rPr/>
        <w:t>had</w:t>
      </w:r>
      <w:r>
        <w:rPr>
          <w:spacing w:val="-12"/>
        </w:rPr>
        <w:t> </w:t>
      </w:r>
      <w:r>
        <w:rPr/>
        <w:t>a</w:t>
      </w:r>
      <w:r>
        <w:rPr>
          <w:spacing w:val="-12"/>
        </w:rPr>
        <w:t> </w:t>
      </w:r>
      <w:r>
        <w:rPr/>
        <w:t>public</w:t>
      </w:r>
      <w:r>
        <w:rPr>
          <w:spacing w:val="-12"/>
        </w:rPr>
        <w:t> </w:t>
      </w:r>
      <w:r>
        <w:rPr/>
        <w:t>education</w:t>
      </w:r>
      <w:r>
        <w:rPr>
          <w:spacing w:val="-12"/>
        </w:rPr>
        <w:t> </w:t>
      </w:r>
      <w:r>
        <w:rPr/>
        <w:t>program for</w:t>
      </w:r>
      <w:r>
        <w:rPr>
          <w:spacing w:val="-17"/>
        </w:rPr>
        <w:t> </w:t>
      </w:r>
      <w:r>
        <w:rPr/>
        <w:t>presenting</w:t>
      </w:r>
      <w:r>
        <w:rPr>
          <w:spacing w:val="-17"/>
        </w:rPr>
        <w:t> </w:t>
      </w:r>
      <w:r>
        <w:rPr>
          <w:spacing w:val="2"/>
        </w:rPr>
        <w:t>art</w:t>
      </w:r>
      <w:r>
        <w:rPr>
          <w:spacing w:val="-17"/>
        </w:rPr>
        <w:t> </w:t>
      </w:r>
      <w:r>
        <w:rPr/>
        <w:t>talks</w:t>
      </w:r>
      <w:r>
        <w:rPr>
          <w:spacing w:val="-17"/>
        </w:rPr>
        <w:t> </w:t>
      </w:r>
      <w:r>
        <w:rPr/>
        <w:t>to</w:t>
      </w:r>
      <w:r>
        <w:rPr>
          <w:spacing w:val="-17"/>
        </w:rPr>
        <w:t> </w:t>
      </w:r>
      <w:r>
        <w:rPr/>
        <w:t>the</w:t>
      </w:r>
      <w:r>
        <w:rPr>
          <w:spacing w:val="-17"/>
        </w:rPr>
        <w:t> </w:t>
      </w:r>
      <w:r>
        <w:rPr/>
        <w:t>public.</w:t>
      </w:r>
    </w:p>
    <w:p>
      <w:pPr>
        <w:pStyle w:val="BodyText"/>
        <w:spacing w:before="6"/>
        <w:rPr>
          <w:sz w:val="14"/>
        </w:rPr>
      </w:pPr>
    </w:p>
    <w:p>
      <w:pPr>
        <w:pStyle w:val="Heading8"/>
        <w:ind w:left="119"/>
      </w:pPr>
      <w:r>
        <w:rPr>
          <w:color w:val="636466"/>
          <w:w w:val="95"/>
        </w:rPr>
        <w:t>Margaret Whitlam Galleries</w:t>
      </w:r>
    </w:p>
    <w:p>
      <w:pPr>
        <w:pStyle w:val="BodyText"/>
        <w:spacing w:line="249" w:lineRule="auto" w:before="86"/>
        <w:ind w:left="107" w:right="216"/>
      </w:pPr>
      <w:r>
        <w:rPr/>
        <w:t>The Margaret Whitlam Galleries within the Female Orphan School at the Parramatta campus are mostly dedicated to hosting national touring exhibitions from major cultural institutions. The 2015 exhibition program hosted five exhibitions.</w:t>
      </w:r>
    </w:p>
    <w:p>
      <w:pPr>
        <w:pStyle w:val="BodyText"/>
        <w:spacing w:before="11"/>
        <w:rPr>
          <w:sz w:val="13"/>
        </w:rPr>
      </w:pPr>
    </w:p>
    <w:p>
      <w:pPr>
        <w:pStyle w:val="BodyText"/>
        <w:spacing w:line="247" w:lineRule="auto"/>
        <w:ind w:left="333" w:right="-19" w:hanging="227"/>
      </w:pPr>
      <w:r>
        <w:rPr>
          <w:rFonts w:ascii="Century Gothic" w:hAnsi="Century Gothic"/>
          <w:b/>
          <w:w w:val="115"/>
        </w:rPr>
        <w:t>≥ </w:t>
      </w:r>
      <w:r>
        <w:rPr/>
        <w:t>‘Faith and Responsibility’, a cultural exchange between Australian and Chinese photographers documenting the humanity and realities of daily life of citizens living</w:t>
      </w:r>
    </w:p>
    <w:p>
      <w:pPr>
        <w:pStyle w:val="BodyText"/>
        <w:spacing w:line="249" w:lineRule="auto" w:before="1"/>
        <w:ind w:left="333" w:right="52"/>
      </w:pPr>
      <w:r>
        <w:rPr/>
        <w:t>in the rapidly changing metropolitan precinct of Futian, a district of Shenzhen, China. This exhibition featured Australian photographers Dr David Cubby, Peter Steele and Phillip Spasich in collaboration with Chinese photographers David Lai, Yanrong Quan, Yilin Li, Dongsheng Xiao and Jianwei Xie.</w:t>
      </w:r>
    </w:p>
    <w:p>
      <w:pPr>
        <w:pStyle w:val="BodyText"/>
        <w:spacing w:line="247" w:lineRule="auto" w:before="55"/>
        <w:ind w:left="333" w:right="203" w:hanging="227"/>
      </w:pPr>
      <w:r>
        <w:rPr>
          <w:rFonts w:ascii="Century Gothic" w:hAnsi="Century Gothic"/>
          <w:b/>
          <w:w w:val="115"/>
        </w:rPr>
        <w:t>≥ </w:t>
      </w:r>
      <w:r>
        <w:rPr/>
        <w:t>‘Other Chinese Landscapes’, another touring exhibition from China curated by David Lai, which featured landscape</w:t>
      </w:r>
    </w:p>
    <w:p>
      <w:pPr>
        <w:pStyle w:val="BodyText"/>
        <w:spacing w:line="249" w:lineRule="auto" w:before="1"/>
        <w:ind w:left="333" w:right="48"/>
      </w:pPr>
      <w:r>
        <w:rPr/>
        <w:t>photography</w:t>
      </w:r>
      <w:r>
        <w:rPr>
          <w:spacing w:val="-13"/>
        </w:rPr>
        <w:t> </w:t>
      </w:r>
      <w:r>
        <w:rPr/>
        <w:t>by</w:t>
      </w:r>
      <w:r>
        <w:rPr>
          <w:spacing w:val="-13"/>
        </w:rPr>
        <w:t> </w:t>
      </w:r>
      <w:r>
        <w:rPr/>
        <w:t>23</w:t>
      </w:r>
      <w:r>
        <w:rPr>
          <w:spacing w:val="-13"/>
        </w:rPr>
        <w:t> </w:t>
      </w:r>
      <w:r>
        <w:rPr/>
        <w:t>contemporary</w:t>
      </w:r>
      <w:r>
        <w:rPr>
          <w:spacing w:val="-13"/>
        </w:rPr>
        <w:t> </w:t>
      </w:r>
      <w:r>
        <w:rPr/>
        <w:t>Chinese photographers. This exhibition featured photographs</w:t>
      </w:r>
      <w:r>
        <w:rPr>
          <w:spacing w:val="-16"/>
        </w:rPr>
        <w:t> </w:t>
      </w:r>
      <w:r>
        <w:rPr/>
        <w:t>by</w:t>
      </w:r>
      <w:r>
        <w:rPr>
          <w:spacing w:val="-16"/>
        </w:rPr>
        <w:t> </w:t>
      </w:r>
      <w:r>
        <w:rPr/>
        <w:t>Chen</w:t>
      </w:r>
      <w:r>
        <w:rPr>
          <w:spacing w:val="-16"/>
        </w:rPr>
        <w:t> </w:t>
      </w:r>
      <w:r>
        <w:rPr/>
        <w:t>Jian,</w:t>
      </w:r>
      <w:r>
        <w:rPr>
          <w:spacing w:val="-16"/>
        </w:rPr>
        <w:t> </w:t>
      </w:r>
      <w:r>
        <w:rPr/>
        <w:t>Chen</w:t>
      </w:r>
      <w:r>
        <w:rPr>
          <w:spacing w:val="-16"/>
        </w:rPr>
        <w:t> </w:t>
      </w:r>
      <w:r>
        <w:rPr/>
        <w:t>Pengzhi, Chen</w:t>
      </w:r>
      <w:r>
        <w:rPr>
          <w:spacing w:val="-20"/>
        </w:rPr>
        <w:t> </w:t>
      </w:r>
      <w:r>
        <w:rPr/>
        <w:t>Zhihua,</w:t>
      </w:r>
      <w:r>
        <w:rPr>
          <w:spacing w:val="-20"/>
        </w:rPr>
        <w:t> </w:t>
      </w:r>
      <w:r>
        <w:rPr/>
        <w:t>Chen</w:t>
      </w:r>
      <w:r>
        <w:rPr>
          <w:spacing w:val="-20"/>
        </w:rPr>
        <w:t> </w:t>
      </w:r>
      <w:r>
        <w:rPr/>
        <w:t>Tigen,</w:t>
      </w:r>
      <w:r>
        <w:rPr>
          <w:spacing w:val="-20"/>
        </w:rPr>
        <w:t> </w:t>
      </w:r>
      <w:r>
        <w:rPr/>
        <w:t>David</w:t>
      </w:r>
      <w:r>
        <w:rPr>
          <w:spacing w:val="-20"/>
        </w:rPr>
        <w:t> </w:t>
      </w:r>
      <w:r>
        <w:rPr/>
        <w:t>Lai,</w:t>
      </w:r>
      <w:r>
        <w:rPr>
          <w:spacing w:val="-20"/>
        </w:rPr>
        <w:t> </w:t>
      </w:r>
      <w:r>
        <w:rPr/>
        <w:t>Hong </w:t>
      </w:r>
      <w:r>
        <w:rPr>
          <w:spacing w:val="2"/>
        </w:rPr>
        <w:t>Canhua, </w:t>
      </w:r>
      <w:r>
        <w:rPr/>
        <w:t>Huang Qi, Huang Wei, Liu Ang, Liu Lingli, Lui Tongguo, Shen Xiangqun, Sui</w:t>
      </w:r>
      <w:r>
        <w:rPr>
          <w:spacing w:val="-24"/>
        </w:rPr>
        <w:t> </w:t>
      </w:r>
      <w:r>
        <w:rPr/>
        <w:t>Li,</w:t>
      </w:r>
      <w:r>
        <w:rPr>
          <w:spacing w:val="-24"/>
        </w:rPr>
        <w:t> </w:t>
      </w:r>
      <w:r>
        <w:rPr>
          <w:spacing w:val="-3"/>
        </w:rPr>
        <w:t>Tan</w:t>
      </w:r>
      <w:r>
        <w:rPr>
          <w:spacing w:val="-24"/>
        </w:rPr>
        <w:t> </w:t>
      </w:r>
      <w:r>
        <w:rPr/>
        <w:t>Shenyuan,</w:t>
      </w:r>
      <w:r>
        <w:rPr>
          <w:spacing w:val="-24"/>
        </w:rPr>
        <w:t> </w:t>
      </w:r>
      <w:r>
        <w:rPr>
          <w:spacing w:val="-3"/>
        </w:rPr>
        <w:t>Tan</w:t>
      </w:r>
      <w:r>
        <w:rPr>
          <w:spacing w:val="-24"/>
        </w:rPr>
        <w:t> </w:t>
      </w:r>
      <w:r>
        <w:rPr/>
        <w:t>Wendong,</w:t>
      </w:r>
      <w:r>
        <w:rPr>
          <w:spacing w:val="-24"/>
        </w:rPr>
        <w:t> </w:t>
      </w:r>
      <w:r>
        <w:rPr/>
        <w:t>Wang Wenjing,</w:t>
      </w:r>
      <w:r>
        <w:rPr>
          <w:spacing w:val="-21"/>
        </w:rPr>
        <w:t> </w:t>
      </w:r>
      <w:r>
        <w:rPr/>
        <w:t>Wu</w:t>
      </w:r>
      <w:r>
        <w:rPr>
          <w:spacing w:val="-21"/>
        </w:rPr>
        <w:t> </w:t>
      </w:r>
      <w:r>
        <w:rPr/>
        <w:t>Shuwen,</w:t>
      </w:r>
      <w:r>
        <w:rPr>
          <w:spacing w:val="-21"/>
        </w:rPr>
        <w:t> </w:t>
      </w:r>
      <w:r>
        <w:rPr/>
        <w:t>Xiao</w:t>
      </w:r>
      <w:r>
        <w:rPr>
          <w:spacing w:val="-21"/>
        </w:rPr>
        <w:t> </w:t>
      </w:r>
      <w:r>
        <w:rPr/>
        <w:t>Dongshen,</w:t>
      </w:r>
      <w:r>
        <w:rPr>
          <w:spacing w:val="-21"/>
        </w:rPr>
        <w:t> </w:t>
      </w:r>
      <w:r>
        <w:rPr/>
        <w:t>Xie Qingwen, Yang Zhixiong, Zhao Dongbao, Zhao</w:t>
      </w:r>
      <w:r>
        <w:rPr>
          <w:spacing w:val="-16"/>
        </w:rPr>
        <w:t> </w:t>
      </w:r>
      <w:r>
        <w:rPr/>
        <w:t>Zhifang</w:t>
      </w:r>
      <w:r>
        <w:rPr>
          <w:spacing w:val="-16"/>
        </w:rPr>
        <w:t> </w:t>
      </w:r>
      <w:r>
        <w:rPr/>
        <w:t>and</w:t>
      </w:r>
      <w:r>
        <w:rPr>
          <w:spacing w:val="-16"/>
        </w:rPr>
        <w:t> </w:t>
      </w:r>
      <w:r>
        <w:rPr/>
        <w:t>Zhou</w:t>
      </w:r>
      <w:r>
        <w:rPr>
          <w:spacing w:val="-16"/>
        </w:rPr>
        <w:t> </w:t>
      </w:r>
      <w:r>
        <w:rPr/>
        <w:t>Pengfei.</w:t>
      </w:r>
    </w:p>
    <w:p>
      <w:pPr>
        <w:pStyle w:val="BodyText"/>
        <w:spacing w:line="247" w:lineRule="auto" w:before="55"/>
        <w:ind w:left="333" w:right="-7" w:hanging="227"/>
      </w:pPr>
      <w:r>
        <w:rPr>
          <w:rFonts w:ascii="Century Gothic" w:hAnsi="Century Gothic"/>
          <w:b/>
          <w:w w:val="115"/>
        </w:rPr>
        <w:t>≥ </w:t>
      </w:r>
      <w:r>
        <w:rPr/>
        <w:t>‘A Place to Call Home? Migrant Hostel Memories’, which is a National Archives of Australia touring exhibition documenting post World War II Australian migration history through photographs and personal stories.</w:t>
      </w:r>
    </w:p>
    <w:p>
      <w:pPr>
        <w:pStyle w:val="BodyText"/>
        <w:spacing w:line="247" w:lineRule="auto" w:before="57"/>
        <w:ind w:left="333" w:right="105" w:hanging="227"/>
      </w:pPr>
      <w:r>
        <w:rPr>
          <w:rFonts w:ascii="Century Gothic" w:hAnsi="Century Gothic"/>
          <w:b/>
          <w:w w:val="115"/>
        </w:rPr>
        <w:t>≥ </w:t>
      </w:r>
      <w:r>
        <w:rPr/>
        <w:t>‘ARTEXPRESS’, an exhibition of </w:t>
      </w:r>
      <w:r>
        <w:rPr>
          <w:w w:val="98"/>
        </w:rPr>
        <w:t>outstanding </w:t>
      </w:r>
      <w:r>
        <w:rPr>
          <w:w w:val="97"/>
        </w:rPr>
        <w:t>works </w:t>
      </w:r>
      <w:r>
        <w:rPr>
          <w:w w:val="102"/>
        </w:rPr>
        <w:t>by </w:t>
      </w:r>
      <w:r>
        <w:rPr>
          <w:w w:val="90"/>
        </w:rPr>
        <w:t>2014 </w:t>
      </w:r>
      <w:r>
        <w:rPr>
          <w:w w:val="97"/>
        </w:rPr>
        <w:t>Higher </w:t>
      </w:r>
      <w:r>
        <w:rPr>
          <w:w w:val="98"/>
        </w:rPr>
        <w:t>School </w:t>
      </w:r>
      <w:r>
        <w:rPr/>
        <w:t>Certificate Visual Arts students from schools in NSW. This is a joint initiative</w:t>
      </w:r>
    </w:p>
    <w:p>
      <w:pPr>
        <w:pStyle w:val="BodyText"/>
        <w:spacing w:line="249" w:lineRule="auto" w:before="1"/>
        <w:ind w:left="333" w:right="167"/>
      </w:pPr>
      <w:r>
        <w:rPr/>
        <w:t>of the NSW Department of Education and the Board of Studies, Teaching and Educational Standards (BOSTES) NSW,</w:t>
      </w:r>
    </w:p>
    <w:p>
      <w:pPr>
        <w:pStyle w:val="BodyText"/>
        <w:spacing w:before="2"/>
        <w:rPr>
          <w:sz w:val="20"/>
        </w:rPr>
      </w:pPr>
      <w:r>
        <w:rPr/>
        <w:br w:type="column"/>
      </w:r>
      <w:r>
        <w:rPr>
          <w:sz w:val="20"/>
        </w:rPr>
      </w:r>
    </w:p>
    <w:p>
      <w:pPr>
        <w:pStyle w:val="BodyText"/>
        <w:spacing w:line="249" w:lineRule="auto"/>
        <w:ind w:left="342" w:right="135"/>
      </w:pPr>
      <w:r>
        <w:rPr/>
        <w:t>in association with the University and The Academy. Educational programs worked in tandem with the exhibition, which included teachers’ workshops and high school student forum days, where visiting students talked to University students about surviving the HSC art project.</w:t>
      </w:r>
    </w:p>
    <w:p>
      <w:pPr>
        <w:pStyle w:val="BodyText"/>
        <w:spacing w:line="247" w:lineRule="auto" w:before="55"/>
        <w:ind w:left="342" w:right="156" w:hanging="227"/>
      </w:pPr>
      <w:r>
        <w:rPr>
          <w:rFonts w:ascii="Century Gothic" w:hAnsi="Century Gothic"/>
          <w:b/>
          <w:w w:val="145"/>
        </w:rPr>
        <w:t>≥  </w:t>
      </w:r>
      <w:r>
        <w:rPr>
          <w:w w:val="98"/>
        </w:rPr>
        <w:t>‘Victoriana </w:t>
      </w:r>
      <w:r>
        <w:rPr>
          <w:w w:val="99"/>
        </w:rPr>
        <w:t>Sydney </w:t>
      </w:r>
      <w:r>
        <w:rPr>
          <w:w w:val="81"/>
        </w:rPr>
        <w:t>1837–1901: </w:t>
      </w:r>
      <w:r>
        <w:rPr>
          <w:w w:val="112"/>
        </w:rPr>
        <w:t>A </w:t>
      </w:r>
      <w:r>
        <w:rPr>
          <w:w w:val="99"/>
        </w:rPr>
        <w:t>Journey </w:t>
      </w:r>
      <w:r>
        <w:rPr/>
        <w:t>in Photography’, curated by Stephen Thompson and fabricated, edited and produced by staff working for the University’s collection and Whitlam Institute. This exhibition captured Sydney in the Victorian era through photography.</w:t>
      </w:r>
    </w:p>
    <w:p>
      <w:pPr>
        <w:pStyle w:val="BodyText"/>
        <w:spacing w:before="2"/>
        <w:rPr>
          <w:sz w:val="14"/>
        </w:rPr>
      </w:pPr>
    </w:p>
    <w:p>
      <w:pPr>
        <w:pStyle w:val="BodyText"/>
        <w:spacing w:line="249" w:lineRule="auto"/>
        <w:ind w:left="115" w:right="92"/>
      </w:pPr>
      <w:r>
        <w:rPr/>
        <w:t>All these projects are part of the University’s strategic goal of being a champion for the Western Sydney region and its people by expanding higher education participation and attainment through programs with schools, TAFE and the community.</w:t>
      </w:r>
    </w:p>
    <w:p>
      <w:pPr>
        <w:pStyle w:val="BodyText"/>
        <w:spacing w:before="7"/>
        <w:rPr>
          <w:sz w:val="22"/>
        </w:rPr>
      </w:pPr>
    </w:p>
    <w:p>
      <w:pPr>
        <w:spacing w:before="0"/>
        <w:ind w:left="107" w:right="135" w:firstLine="0"/>
        <w:jc w:val="left"/>
        <w:rPr>
          <w:rFonts w:ascii="Gotham Narrow Bold"/>
          <w:b/>
          <w:sz w:val="24"/>
        </w:rPr>
      </w:pPr>
      <w:r>
        <w:rPr>
          <w:rFonts w:ascii="Gotham Narrow Bold"/>
          <w:b/>
          <w:w w:val="95"/>
          <w:sz w:val="24"/>
        </w:rPr>
        <w:t>THE ACADEMY</w:t>
      </w:r>
    </w:p>
    <w:p>
      <w:pPr>
        <w:pStyle w:val="BodyText"/>
        <w:spacing w:line="249" w:lineRule="auto" w:before="209"/>
        <w:ind w:left="115" w:right="394"/>
      </w:pPr>
      <w:r>
        <w:rPr>
          <w:spacing w:val="1"/>
          <w:w w:val="80"/>
        </w:rPr>
        <w:t>In</w:t>
      </w:r>
      <w:r>
        <w:rPr>
          <w:w w:val="80"/>
        </w:rPr>
        <w:t> </w:t>
      </w:r>
      <w:r>
        <w:rPr>
          <w:spacing w:val="1"/>
          <w:w w:val="84"/>
        </w:rPr>
        <w:t>2015,</w:t>
      </w:r>
      <w:r>
        <w:rPr>
          <w:w w:val="84"/>
        </w:rPr>
        <w:t> </w:t>
      </w:r>
      <w:r>
        <w:rPr>
          <w:w w:val="97"/>
        </w:rPr>
        <w:t>the </w:t>
      </w:r>
      <w:r>
        <w:rPr>
          <w:spacing w:val="1"/>
          <w:w w:val="101"/>
        </w:rPr>
        <w:t>Academy</w:t>
      </w:r>
      <w:r>
        <w:rPr>
          <w:w w:val="101"/>
        </w:rPr>
        <w:t> </w:t>
      </w:r>
      <w:r>
        <w:rPr>
          <w:w w:val="97"/>
        </w:rPr>
        <w:t>delivered </w:t>
      </w:r>
      <w:r>
        <w:rPr>
          <w:spacing w:val="1"/>
          <w:w w:val="97"/>
        </w:rPr>
        <w:t>its</w:t>
      </w:r>
      <w:r>
        <w:rPr>
          <w:w w:val="97"/>
        </w:rPr>
        <w:t> </w:t>
      </w:r>
      <w:r>
        <w:rPr>
          <w:spacing w:val="1"/>
          <w:w w:val="97"/>
        </w:rPr>
        <w:t>first</w:t>
      </w:r>
      <w:r>
        <w:rPr>
          <w:w w:val="97"/>
        </w:rPr>
        <w:t> </w:t>
      </w:r>
      <w:r>
        <w:rPr/>
        <w:t>complete year of programs and </w:t>
      </w:r>
      <w:r>
        <w:rPr>
          <w:spacing w:val="2"/>
        </w:rPr>
        <w:t>services. </w:t>
      </w:r>
      <w:r>
        <w:rPr>
          <w:spacing w:val="1"/>
          <w:w w:val="97"/>
        </w:rPr>
        <w:t>During</w:t>
      </w:r>
      <w:r>
        <w:rPr>
          <w:w w:val="97"/>
        </w:rPr>
        <w:t> </w:t>
      </w:r>
      <w:r>
        <w:rPr>
          <w:spacing w:val="1"/>
          <w:w w:val="84"/>
        </w:rPr>
        <w:t>2015,</w:t>
      </w:r>
      <w:r>
        <w:rPr>
          <w:w w:val="84"/>
        </w:rPr>
        <w:t> </w:t>
      </w:r>
      <w:r>
        <w:rPr>
          <w:w w:val="97"/>
        </w:rPr>
        <w:t>the </w:t>
      </w:r>
      <w:r>
        <w:rPr>
          <w:spacing w:val="1"/>
          <w:w w:val="98"/>
        </w:rPr>
        <w:t>student</w:t>
      </w:r>
      <w:r>
        <w:rPr>
          <w:w w:val="98"/>
        </w:rPr>
        <w:t> </w:t>
      </w:r>
      <w:r>
        <w:rPr>
          <w:spacing w:val="1"/>
          <w:w w:val="97"/>
        </w:rPr>
        <w:t>membership</w:t>
      </w:r>
      <w:r>
        <w:rPr>
          <w:w w:val="97"/>
        </w:rPr>
        <w:t> </w:t>
      </w:r>
      <w:r>
        <w:rPr/>
        <w:t>grew</w:t>
      </w:r>
      <w:r>
        <w:rPr>
          <w:spacing w:val="-15"/>
        </w:rPr>
        <w:t> </w:t>
      </w:r>
      <w:r>
        <w:rPr/>
        <w:t>from</w:t>
      </w:r>
      <w:r>
        <w:rPr>
          <w:spacing w:val="-15"/>
        </w:rPr>
        <w:t> </w:t>
      </w:r>
      <w:r>
        <w:rPr/>
        <w:t>602</w:t>
      </w:r>
      <w:r>
        <w:rPr>
          <w:spacing w:val="-15"/>
        </w:rPr>
        <w:t> </w:t>
      </w:r>
      <w:r>
        <w:rPr/>
        <w:t>to</w:t>
      </w:r>
      <w:r>
        <w:rPr>
          <w:spacing w:val="-15"/>
        </w:rPr>
        <w:t> </w:t>
      </w:r>
      <w:r>
        <w:rPr>
          <w:spacing w:val="2"/>
        </w:rPr>
        <w:t>2,008,</w:t>
      </w:r>
      <w:r>
        <w:rPr>
          <w:spacing w:val="-15"/>
        </w:rPr>
        <w:t> </w:t>
      </w:r>
      <w:r>
        <w:rPr/>
        <w:t>with</w:t>
      </w:r>
      <w:r>
        <w:rPr>
          <w:spacing w:val="-15"/>
        </w:rPr>
        <w:t> </w:t>
      </w:r>
      <w:r>
        <w:rPr/>
        <w:t>all</w:t>
      </w:r>
      <w:r>
        <w:rPr>
          <w:spacing w:val="-15"/>
        </w:rPr>
        <w:t> </w:t>
      </w:r>
      <w:r>
        <w:rPr/>
        <w:t>members</w:t>
      </w:r>
    </w:p>
    <w:p>
      <w:pPr>
        <w:pStyle w:val="BodyText"/>
        <w:spacing w:line="249" w:lineRule="auto"/>
        <w:ind w:left="115" w:right="243"/>
      </w:pPr>
      <w:r>
        <w:rPr/>
        <w:t>maintaining a grade point average </w:t>
      </w:r>
      <w:r>
        <w:rPr>
          <w:spacing w:val="-3"/>
        </w:rPr>
        <w:t>(GPA) </w:t>
      </w:r>
      <w:r>
        <w:rPr/>
        <w:t>of 5 or higher, and students who were new to</w:t>
      </w:r>
    </w:p>
    <w:p>
      <w:pPr>
        <w:pStyle w:val="BodyText"/>
        <w:spacing w:line="249" w:lineRule="auto"/>
        <w:ind w:left="115" w:right="135"/>
      </w:pPr>
      <w:r>
        <w:rPr/>
        <w:t>university</w:t>
      </w:r>
      <w:r>
        <w:rPr>
          <w:spacing w:val="-19"/>
        </w:rPr>
        <w:t> </w:t>
      </w:r>
      <w:r>
        <w:rPr/>
        <w:t>achieving</w:t>
      </w:r>
      <w:r>
        <w:rPr>
          <w:spacing w:val="-19"/>
        </w:rPr>
        <w:t> </w:t>
      </w:r>
      <w:r>
        <w:rPr/>
        <w:t>an</w:t>
      </w:r>
      <w:r>
        <w:rPr>
          <w:spacing w:val="-19"/>
        </w:rPr>
        <w:t> </w:t>
      </w:r>
      <w:r>
        <w:rPr/>
        <w:t>average</w:t>
      </w:r>
      <w:r>
        <w:rPr>
          <w:spacing w:val="-19"/>
        </w:rPr>
        <w:t> </w:t>
      </w:r>
      <w:r>
        <w:rPr>
          <w:spacing w:val="-4"/>
        </w:rPr>
        <w:t>ATAR</w:t>
      </w:r>
      <w:r>
        <w:rPr>
          <w:spacing w:val="-19"/>
        </w:rPr>
        <w:t> </w:t>
      </w:r>
      <w:r>
        <w:rPr/>
        <w:t>of</w:t>
      </w:r>
      <w:r>
        <w:rPr>
          <w:spacing w:val="-19"/>
        </w:rPr>
        <w:t> </w:t>
      </w:r>
      <w:r>
        <w:rPr>
          <w:spacing w:val="2"/>
        </w:rPr>
        <w:t>92.8. </w:t>
      </w:r>
      <w:r>
        <w:rPr/>
        <w:t>Membership now extends across all Schools and discipline areas. Membership of The Academy</w:t>
      </w:r>
      <w:r>
        <w:rPr>
          <w:spacing w:val="-16"/>
        </w:rPr>
        <w:t> </w:t>
      </w:r>
      <w:r>
        <w:rPr/>
        <w:t>is</w:t>
      </w:r>
      <w:r>
        <w:rPr>
          <w:spacing w:val="-16"/>
        </w:rPr>
        <w:t> </w:t>
      </w:r>
      <w:r>
        <w:rPr/>
        <w:t>also</w:t>
      </w:r>
      <w:r>
        <w:rPr>
          <w:spacing w:val="-16"/>
        </w:rPr>
        <w:t> </w:t>
      </w:r>
      <w:r>
        <w:rPr/>
        <w:t>now</w:t>
      </w:r>
      <w:r>
        <w:rPr>
          <w:spacing w:val="-16"/>
        </w:rPr>
        <w:t> </w:t>
      </w:r>
      <w:r>
        <w:rPr/>
        <w:t>aspirational,</w:t>
      </w:r>
      <w:r>
        <w:rPr>
          <w:spacing w:val="-16"/>
        </w:rPr>
        <w:t> </w:t>
      </w:r>
      <w:r>
        <w:rPr/>
        <w:t>with</w:t>
      </w:r>
      <w:r>
        <w:rPr>
          <w:spacing w:val="-16"/>
        </w:rPr>
        <w:t> </w:t>
      </w:r>
      <w:r>
        <w:rPr/>
        <w:t>many students</w:t>
      </w:r>
      <w:r>
        <w:rPr>
          <w:spacing w:val="-15"/>
        </w:rPr>
        <w:t> </w:t>
      </w:r>
      <w:r>
        <w:rPr/>
        <w:t>reporting</w:t>
      </w:r>
      <w:r>
        <w:rPr>
          <w:spacing w:val="-15"/>
        </w:rPr>
        <w:t> </w:t>
      </w:r>
      <w:r>
        <w:rPr/>
        <w:t>they</w:t>
      </w:r>
      <w:r>
        <w:rPr>
          <w:spacing w:val="-15"/>
        </w:rPr>
        <w:t> </w:t>
      </w:r>
      <w:r>
        <w:rPr/>
        <w:t>were</w:t>
      </w:r>
      <w:r>
        <w:rPr>
          <w:spacing w:val="-15"/>
        </w:rPr>
        <w:t> </w:t>
      </w:r>
      <w:r>
        <w:rPr/>
        <w:t>working</w:t>
      </w:r>
      <w:r>
        <w:rPr>
          <w:spacing w:val="-15"/>
        </w:rPr>
        <w:t> </w:t>
      </w:r>
      <w:r>
        <w:rPr/>
        <w:t>harder to</w:t>
      </w:r>
      <w:r>
        <w:rPr>
          <w:spacing w:val="-13"/>
        </w:rPr>
        <w:t> </w:t>
      </w:r>
      <w:r>
        <w:rPr/>
        <w:t>raise</w:t>
      </w:r>
      <w:r>
        <w:rPr>
          <w:spacing w:val="-13"/>
        </w:rPr>
        <w:t> </w:t>
      </w:r>
      <w:r>
        <w:rPr/>
        <w:t>their</w:t>
      </w:r>
      <w:r>
        <w:rPr>
          <w:spacing w:val="-13"/>
        </w:rPr>
        <w:t> </w:t>
      </w:r>
      <w:r>
        <w:rPr/>
        <w:t>GPA</w:t>
      </w:r>
      <w:r>
        <w:rPr>
          <w:spacing w:val="-13"/>
        </w:rPr>
        <w:t> </w:t>
      </w:r>
      <w:r>
        <w:rPr/>
        <w:t>so</w:t>
      </w:r>
      <w:r>
        <w:rPr>
          <w:spacing w:val="-13"/>
        </w:rPr>
        <w:t> </w:t>
      </w:r>
      <w:r>
        <w:rPr/>
        <w:t>they</w:t>
      </w:r>
      <w:r>
        <w:rPr>
          <w:spacing w:val="-13"/>
        </w:rPr>
        <w:t> </w:t>
      </w:r>
      <w:r>
        <w:rPr/>
        <w:t>would</w:t>
      </w:r>
      <w:r>
        <w:rPr>
          <w:spacing w:val="-13"/>
        </w:rPr>
        <w:t> </w:t>
      </w:r>
      <w:r>
        <w:rPr/>
        <w:t>be</w:t>
      </w:r>
      <w:r>
        <w:rPr>
          <w:spacing w:val="-13"/>
        </w:rPr>
        <w:t> </w:t>
      </w:r>
      <w:r>
        <w:rPr/>
        <w:t>eligible</w:t>
      </w:r>
      <w:r>
        <w:rPr>
          <w:spacing w:val="-13"/>
        </w:rPr>
        <w:t> </w:t>
      </w:r>
      <w:r>
        <w:rPr/>
        <w:t>to join</w:t>
      </w:r>
      <w:r>
        <w:rPr>
          <w:spacing w:val="-25"/>
        </w:rPr>
        <w:t> </w:t>
      </w:r>
      <w:r>
        <w:rPr/>
        <w:t>the</w:t>
      </w:r>
      <w:r>
        <w:rPr>
          <w:spacing w:val="-25"/>
        </w:rPr>
        <w:t> </w:t>
      </w:r>
      <w:r>
        <w:rPr/>
        <w:t>program.</w:t>
      </w:r>
    </w:p>
    <w:p>
      <w:pPr>
        <w:pStyle w:val="BodyText"/>
        <w:rPr>
          <w:sz w:val="14"/>
        </w:rPr>
      </w:pPr>
    </w:p>
    <w:p>
      <w:pPr>
        <w:pStyle w:val="BodyText"/>
        <w:spacing w:line="249" w:lineRule="auto"/>
        <w:ind w:left="115" w:right="92"/>
      </w:pPr>
      <w:r>
        <w:rPr/>
        <w:t>The Academy offered 19 specialist advanced degree programs for high-achieving students in the year. These programs aim to extend students’ learning in their chosen discipline while also exposing them to approaches used by other disciplines within The Academy.</w:t>
      </w:r>
    </w:p>
    <w:p>
      <w:pPr>
        <w:pStyle w:val="BodyText"/>
        <w:spacing w:line="249" w:lineRule="auto"/>
        <w:ind w:left="115" w:right="299"/>
      </w:pPr>
      <w:r>
        <w:rPr/>
        <w:t>The programs are designed to build real connections to students’ future industries, while also creating a positive campus culture.</w:t>
      </w:r>
      <w:r>
        <w:rPr>
          <w:spacing w:val="-17"/>
        </w:rPr>
        <w:t> </w:t>
      </w:r>
      <w:r>
        <w:rPr/>
        <w:t>The</w:t>
      </w:r>
      <w:r>
        <w:rPr>
          <w:spacing w:val="-17"/>
        </w:rPr>
        <w:t> </w:t>
      </w:r>
      <w:r>
        <w:rPr/>
        <w:t>program</w:t>
      </w:r>
      <w:r>
        <w:rPr>
          <w:spacing w:val="-17"/>
        </w:rPr>
        <w:t> </w:t>
      </w:r>
      <w:r>
        <w:rPr/>
        <w:t>continued</w:t>
      </w:r>
      <w:r>
        <w:rPr>
          <w:spacing w:val="-17"/>
        </w:rPr>
        <w:t> </w:t>
      </w:r>
      <w:r>
        <w:rPr/>
        <w:t>to</w:t>
      </w:r>
      <w:r>
        <w:rPr>
          <w:spacing w:val="-17"/>
        </w:rPr>
        <w:t> </w:t>
      </w:r>
      <w:r>
        <w:rPr/>
        <w:t>focus</w:t>
      </w:r>
      <w:r>
        <w:rPr>
          <w:spacing w:val="-17"/>
        </w:rPr>
        <w:t> </w:t>
      </w:r>
      <w:r>
        <w:rPr/>
        <w:t>on collaborating with its membership to build a</w:t>
      </w:r>
      <w:r>
        <w:rPr>
          <w:spacing w:val="-25"/>
        </w:rPr>
        <w:t> </w:t>
      </w:r>
      <w:r>
        <w:rPr/>
        <w:t>community</w:t>
      </w:r>
      <w:r>
        <w:rPr>
          <w:spacing w:val="-25"/>
        </w:rPr>
        <w:t> </w:t>
      </w:r>
      <w:r>
        <w:rPr/>
        <w:t>of</w:t>
      </w:r>
      <w:r>
        <w:rPr>
          <w:spacing w:val="-25"/>
        </w:rPr>
        <w:t> </w:t>
      </w:r>
      <w:r>
        <w:rPr/>
        <w:t>‘citizen</w:t>
      </w:r>
      <w:r>
        <w:rPr>
          <w:spacing w:val="-25"/>
        </w:rPr>
        <w:t> </w:t>
      </w:r>
      <w:r>
        <w:rPr/>
        <w:t>scholars’.</w:t>
      </w:r>
      <w:r>
        <w:rPr>
          <w:spacing w:val="-25"/>
        </w:rPr>
        <w:t> </w:t>
      </w:r>
      <w:r>
        <w:rPr/>
        <w:t>Increasing</w:t>
      </w:r>
    </w:p>
    <w:p>
      <w:pPr>
        <w:pStyle w:val="BodyText"/>
        <w:spacing w:line="249" w:lineRule="auto"/>
        <w:ind w:left="115" w:right="40"/>
      </w:pPr>
      <w:r>
        <w:rPr/>
        <w:t>membership numbers is core to the program’s approach to holistic education.</w:t>
      </w:r>
    </w:p>
    <w:p>
      <w:pPr>
        <w:spacing w:after="0" w:line="249" w:lineRule="auto"/>
        <w:sectPr>
          <w:type w:val="continuous"/>
          <w:pgSz w:w="11910" w:h="16840"/>
          <w:pgMar w:top="1580" w:bottom="280" w:left="800" w:right="800"/>
          <w:cols w:num="3" w:equalWidth="0">
            <w:col w:w="3308" w:space="132"/>
            <w:col w:w="3320" w:space="111"/>
            <w:col w:w="3439"/>
          </w:cols>
        </w:sectPr>
      </w:pPr>
    </w:p>
    <w:p>
      <w:pPr>
        <w:pStyle w:val="BodyText"/>
        <w:spacing w:before="10"/>
        <w:rPr>
          <w:sz w:val="28"/>
        </w:rPr>
      </w:pPr>
    </w:p>
    <w:p>
      <w:pPr>
        <w:pStyle w:val="Heading2"/>
        <w:ind w:right="7977"/>
        <w:rPr>
          <w:b w:val="0"/>
        </w:rPr>
      </w:pPr>
      <w:r>
        <w:rPr>
          <w:b w:val="0"/>
        </w:rPr>
        <w:t>Student Recruitment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9" w:lineRule="auto"/>
        <w:ind w:left="107" w:right="326"/>
      </w:pPr>
      <w:r>
        <w:rPr/>
        <w:t>Diligent and focused marketing resulted in</w:t>
      </w:r>
      <w:r>
        <w:rPr>
          <w:spacing w:val="-15"/>
        </w:rPr>
        <w:t> </w:t>
      </w:r>
      <w:r>
        <w:rPr/>
        <w:t>the</w:t>
      </w:r>
      <w:r>
        <w:rPr>
          <w:spacing w:val="-15"/>
        </w:rPr>
        <w:t> </w:t>
      </w:r>
      <w:r>
        <w:rPr/>
        <w:t>suite</w:t>
      </w:r>
      <w:r>
        <w:rPr>
          <w:spacing w:val="-15"/>
        </w:rPr>
        <w:t> </w:t>
      </w:r>
      <w:r>
        <w:rPr/>
        <w:t>of</w:t>
      </w:r>
      <w:r>
        <w:rPr>
          <w:spacing w:val="-15"/>
        </w:rPr>
        <w:t> </w:t>
      </w:r>
      <w:r>
        <w:rPr/>
        <w:t>advanced</w:t>
      </w:r>
      <w:r>
        <w:rPr>
          <w:spacing w:val="-15"/>
        </w:rPr>
        <w:t> </w:t>
      </w:r>
      <w:r>
        <w:rPr/>
        <w:t>degree</w:t>
      </w:r>
      <w:r>
        <w:rPr>
          <w:spacing w:val="-15"/>
        </w:rPr>
        <w:t> </w:t>
      </w:r>
      <w:r>
        <w:rPr/>
        <w:t>programs</w:t>
      </w:r>
    </w:p>
    <w:p>
      <w:pPr>
        <w:pStyle w:val="BodyText"/>
        <w:spacing w:line="249" w:lineRule="auto"/>
        <w:ind w:left="107" w:right="21"/>
      </w:pPr>
      <w:r>
        <w:rPr/>
        <w:t>achieving an </w:t>
      </w:r>
      <w:r>
        <w:rPr>
          <w:spacing w:val="3"/>
        </w:rPr>
        <w:t>80.2 </w:t>
      </w:r>
      <w:r>
        <w:rPr/>
        <w:t>per cent (n=346) increase in</w:t>
      </w:r>
      <w:r>
        <w:rPr>
          <w:spacing w:val="-22"/>
        </w:rPr>
        <w:t> </w:t>
      </w:r>
      <w:r>
        <w:rPr/>
        <w:t>first</w:t>
      </w:r>
      <w:r>
        <w:rPr>
          <w:spacing w:val="-22"/>
        </w:rPr>
        <w:t> </w:t>
      </w:r>
      <w:r>
        <w:rPr/>
        <w:t>preferences</w:t>
      </w:r>
      <w:r>
        <w:rPr>
          <w:spacing w:val="-22"/>
        </w:rPr>
        <w:t> </w:t>
      </w:r>
      <w:r>
        <w:rPr/>
        <w:t>over</w:t>
      </w:r>
      <w:r>
        <w:rPr>
          <w:spacing w:val="-22"/>
        </w:rPr>
        <w:t> </w:t>
      </w:r>
      <w:r>
        <w:rPr/>
        <w:t>the</w:t>
      </w:r>
      <w:r>
        <w:rPr>
          <w:spacing w:val="-22"/>
        </w:rPr>
        <w:t> </w:t>
      </w:r>
      <w:r>
        <w:rPr/>
        <w:t>previous</w:t>
      </w:r>
      <w:r>
        <w:rPr>
          <w:spacing w:val="-22"/>
        </w:rPr>
        <w:t> </w:t>
      </w:r>
      <w:r>
        <w:rPr/>
        <w:t>year.</w:t>
      </w:r>
      <w:r>
        <w:rPr>
          <w:spacing w:val="-22"/>
        </w:rPr>
        <w:t> </w:t>
      </w:r>
      <w:r>
        <w:rPr/>
        <w:t>The Academy’s</w:t>
      </w:r>
      <w:r>
        <w:rPr>
          <w:spacing w:val="-9"/>
        </w:rPr>
        <w:t> </w:t>
      </w:r>
      <w:r>
        <w:rPr/>
        <w:t>degree,</w:t>
      </w:r>
      <w:r>
        <w:rPr>
          <w:spacing w:val="-9"/>
        </w:rPr>
        <w:t> </w:t>
      </w:r>
      <w:r>
        <w:rPr/>
        <w:t>the</w:t>
      </w:r>
      <w:r>
        <w:rPr>
          <w:spacing w:val="-9"/>
        </w:rPr>
        <w:t> </w:t>
      </w:r>
      <w:r>
        <w:rPr/>
        <w:t>Bachelor</w:t>
      </w:r>
      <w:r>
        <w:rPr>
          <w:spacing w:val="-9"/>
        </w:rPr>
        <w:t> </w:t>
      </w:r>
      <w:r>
        <w:rPr/>
        <w:t>of</w:t>
      </w:r>
      <w:r>
        <w:rPr>
          <w:spacing w:val="-9"/>
        </w:rPr>
        <w:t> </w:t>
      </w:r>
      <w:r>
        <w:rPr/>
        <w:t>Applied</w:t>
      </w:r>
    </w:p>
    <w:p>
      <w:pPr>
        <w:pStyle w:val="BodyText"/>
        <w:spacing w:line="249" w:lineRule="auto"/>
        <w:ind w:left="107" w:right="-8"/>
      </w:pPr>
      <w:r>
        <w:rPr/>
        <w:t>Leadership</w:t>
      </w:r>
      <w:r>
        <w:rPr>
          <w:spacing w:val="-15"/>
        </w:rPr>
        <w:t> </w:t>
      </w:r>
      <w:r>
        <w:rPr/>
        <w:t>and</w:t>
      </w:r>
      <w:r>
        <w:rPr>
          <w:spacing w:val="-15"/>
        </w:rPr>
        <w:t> </w:t>
      </w:r>
      <w:r>
        <w:rPr/>
        <w:t>Critical</w:t>
      </w:r>
      <w:r>
        <w:rPr>
          <w:spacing w:val="-15"/>
        </w:rPr>
        <w:t> </w:t>
      </w:r>
      <w:r>
        <w:rPr/>
        <w:t>Thinking</w:t>
      </w:r>
      <w:r>
        <w:rPr>
          <w:spacing w:val="-15"/>
        </w:rPr>
        <w:t> </w:t>
      </w:r>
      <w:r>
        <w:rPr/>
        <w:t>(BALCT),</w:t>
      </w:r>
      <w:r>
        <w:rPr>
          <w:spacing w:val="-15"/>
        </w:rPr>
        <w:t> </w:t>
      </w:r>
      <w:r>
        <w:rPr/>
        <w:t>was launched</w:t>
      </w:r>
      <w:r>
        <w:rPr>
          <w:spacing w:val="-16"/>
        </w:rPr>
        <w:t> </w:t>
      </w:r>
      <w:r>
        <w:rPr/>
        <w:t>with</w:t>
      </w:r>
      <w:r>
        <w:rPr>
          <w:spacing w:val="-16"/>
        </w:rPr>
        <w:t> </w:t>
      </w:r>
      <w:r>
        <w:rPr/>
        <w:t>an</w:t>
      </w:r>
      <w:r>
        <w:rPr>
          <w:spacing w:val="-16"/>
        </w:rPr>
        <w:t> </w:t>
      </w:r>
      <w:r>
        <w:rPr/>
        <w:t>initial</w:t>
      </w:r>
      <w:r>
        <w:rPr>
          <w:spacing w:val="-16"/>
        </w:rPr>
        <w:t> </w:t>
      </w:r>
      <w:r>
        <w:rPr/>
        <w:t>cohort</w:t>
      </w:r>
      <w:r>
        <w:rPr>
          <w:spacing w:val="-16"/>
        </w:rPr>
        <w:t> </w:t>
      </w:r>
      <w:r>
        <w:rPr/>
        <w:t>of</w:t>
      </w:r>
      <w:r>
        <w:rPr>
          <w:spacing w:val="-16"/>
        </w:rPr>
        <w:t> </w:t>
      </w:r>
      <w:r>
        <w:rPr>
          <w:spacing w:val="2"/>
        </w:rPr>
        <w:t>58</w:t>
      </w:r>
      <w:r>
        <w:rPr>
          <w:spacing w:val="-16"/>
        </w:rPr>
        <w:t> </w:t>
      </w:r>
      <w:r>
        <w:rPr/>
        <w:t>students, 15 on a full-time basis. This program uses innovative teaching methods to encourage students</w:t>
      </w:r>
      <w:r>
        <w:rPr>
          <w:spacing w:val="-14"/>
        </w:rPr>
        <w:t> </w:t>
      </w:r>
      <w:r>
        <w:rPr/>
        <w:t>to</w:t>
      </w:r>
      <w:r>
        <w:rPr>
          <w:spacing w:val="-14"/>
        </w:rPr>
        <w:t> </w:t>
      </w:r>
      <w:r>
        <w:rPr/>
        <w:t>push</w:t>
      </w:r>
      <w:r>
        <w:rPr>
          <w:spacing w:val="-14"/>
        </w:rPr>
        <w:t> </w:t>
      </w:r>
      <w:r>
        <w:rPr/>
        <w:t>past</w:t>
      </w:r>
      <w:r>
        <w:rPr>
          <w:spacing w:val="-14"/>
        </w:rPr>
        <w:t> </w:t>
      </w:r>
      <w:r>
        <w:rPr/>
        <w:t>pre-existing</w:t>
      </w:r>
      <w:r>
        <w:rPr>
          <w:spacing w:val="-14"/>
        </w:rPr>
        <w:t> </w:t>
      </w:r>
      <w:r>
        <w:rPr/>
        <w:t>intellectual boundaries. Western Sydney University is the only</w:t>
      </w:r>
      <w:r>
        <w:rPr>
          <w:spacing w:val="-17"/>
        </w:rPr>
        <w:t> </w:t>
      </w:r>
      <w:r>
        <w:rPr/>
        <w:t>university</w:t>
      </w:r>
      <w:r>
        <w:rPr>
          <w:spacing w:val="-17"/>
        </w:rPr>
        <w:t> </w:t>
      </w:r>
      <w:r>
        <w:rPr/>
        <w:t>taking</w:t>
      </w:r>
      <w:r>
        <w:rPr>
          <w:spacing w:val="-17"/>
        </w:rPr>
        <w:t> </w:t>
      </w:r>
      <w:r>
        <w:rPr/>
        <w:t>this</w:t>
      </w:r>
      <w:r>
        <w:rPr>
          <w:spacing w:val="-17"/>
        </w:rPr>
        <w:t> </w:t>
      </w:r>
      <w:r>
        <w:rPr/>
        <w:t>innovative</w:t>
      </w:r>
      <w:r>
        <w:rPr>
          <w:spacing w:val="-17"/>
        </w:rPr>
        <w:t> </w:t>
      </w:r>
      <w:r>
        <w:rPr/>
        <w:t>approach to</w:t>
      </w:r>
      <w:r>
        <w:rPr>
          <w:spacing w:val="-21"/>
        </w:rPr>
        <w:t> </w:t>
      </w:r>
      <w:r>
        <w:rPr/>
        <w:t>education</w:t>
      </w:r>
      <w:r>
        <w:rPr>
          <w:spacing w:val="-21"/>
        </w:rPr>
        <w:t> </w:t>
      </w:r>
      <w:r>
        <w:rPr/>
        <w:t>within</w:t>
      </w:r>
      <w:r>
        <w:rPr>
          <w:spacing w:val="-21"/>
        </w:rPr>
        <w:t> </w:t>
      </w:r>
      <w:r>
        <w:rPr/>
        <w:t>the</w:t>
      </w:r>
      <w:r>
        <w:rPr>
          <w:spacing w:val="-21"/>
        </w:rPr>
        <w:t> </w:t>
      </w:r>
      <w:r>
        <w:rPr/>
        <w:t>high-achievers</w:t>
      </w:r>
      <w:r>
        <w:rPr>
          <w:spacing w:val="-21"/>
        </w:rPr>
        <w:t> </w:t>
      </w:r>
      <w:r>
        <w:rPr/>
        <w:t>market.</w:t>
      </w:r>
    </w:p>
    <w:p>
      <w:pPr>
        <w:pStyle w:val="BodyText"/>
        <w:rPr>
          <w:sz w:val="14"/>
        </w:rPr>
      </w:pPr>
    </w:p>
    <w:p>
      <w:pPr>
        <w:pStyle w:val="BodyText"/>
        <w:spacing w:line="249" w:lineRule="auto"/>
        <w:ind w:left="107" w:right="43"/>
      </w:pPr>
      <w:r>
        <w:rPr/>
        <w:t>The Academy maintained its focus on offering practical professional development, volunteering, internship and community- based initiatives that enable students to directly engage with their community and</w:t>
      </w:r>
    </w:p>
    <w:p>
      <w:pPr>
        <w:pStyle w:val="BodyText"/>
        <w:spacing w:line="249" w:lineRule="auto"/>
        <w:ind w:left="107" w:right="15"/>
      </w:pPr>
      <w:r>
        <w:rPr/>
        <w:t>industry.</w:t>
      </w:r>
      <w:r>
        <w:rPr>
          <w:spacing w:val="-23"/>
        </w:rPr>
        <w:t> </w:t>
      </w:r>
      <w:r>
        <w:rPr/>
        <w:t>The</w:t>
      </w:r>
      <w:r>
        <w:rPr>
          <w:spacing w:val="-23"/>
        </w:rPr>
        <w:t> </w:t>
      </w:r>
      <w:r>
        <w:rPr/>
        <w:t>supportive</w:t>
      </w:r>
      <w:r>
        <w:rPr>
          <w:spacing w:val="-23"/>
        </w:rPr>
        <w:t> </w:t>
      </w:r>
      <w:r>
        <w:rPr/>
        <w:t>environment</w:t>
      </w:r>
      <w:r>
        <w:rPr>
          <w:spacing w:val="-23"/>
        </w:rPr>
        <w:t> </w:t>
      </w:r>
      <w:r>
        <w:rPr/>
        <w:t>ensured intellectual growth was accompanied by personal growth. The Community Engaged Service Learning (CESL) program has developed significant partnerships with more than 50 Western Sydney community services and government agencies, and members of The Academy took on volunteer roles and internships</w:t>
      </w:r>
      <w:r>
        <w:rPr>
          <w:spacing w:val="-21"/>
        </w:rPr>
        <w:t> </w:t>
      </w:r>
      <w:r>
        <w:rPr/>
        <w:t>to</w:t>
      </w:r>
      <w:r>
        <w:rPr>
          <w:spacing w:val="-21"/>
        </w:rPr>
        <w:t> </w:t>
      </w:r>
      <w:r>
        <w:rPr/>
        <w:t>earn</w:t>
      </w:r>
      <w:r>
        <w:rPr>
          <w:spacing w:val="-21"/>
        </w:rPr>
        <w:t> </w:t>
      </w:r>
      <w:r>
        <w:rPr/>
        <w:t>academic</w:t>
      </w:r>
      <w:r>
        <w:rPr>
          <w:spacing w:val="-21"/>
        </w:rPr>
        <w:t> </w:t>
      </w:r>
      <w:r>
        <w:rPr/>
        <w:t>credit.</w:t>
      </w:r>
    </w:p>
    <w:p>
      <w:pPr>
        <w:pStyle w:val="BodyText"/>
        <w:rPr>
          <w:sz w:val="14"/>
        </w:rPr>
      </w:pPr>
    </w:p>
    <w:p>
      <w:pPr>
        <w:pStyle w:val="BodyText"/>
        <w:spacing w:line="249" w:lineRule="auto"/>
        <w:ind w:left="107" w:right="248"/>
      </w:pPr>
      <w:r>
        <w:rPr/>
        <w:t>The Academy currently services the undergraduate community and delivers several programs that support an undergraduate research and investigation </w:t>
      </w:r>
      <w:r>
        <w:rPr>
          <w:w w:val="95"/>
        </w:rPr>
        <w:t>culture, including:</w:t>
      </w:r>
    </w:p>
    <w:p>
      <w:pPr>
        <w:pStyle w:val="BodyText"/>
        <w:spacing w:before="11"/>
        <w:rPr>
          <w:sz w:val="13"/>
        </w:rPr>
      </w:pPr>
    </w:p>
    <w:p>
      <w:pPr>
        <w:pStyle w:val="BodyText"/>
        <w:spacing w:line="242" w:lineRule="auto"/>
        <w:ind w:left="333" w:right="1" w:hanging="227"/>
      </w:pPr>
      <w:r>
        <w:rPr>
          <w:rFonts w:ascii="Century Gothic" w:hAnsi="Century Gothic"/>
          <w:b/>
          <w:w w:val="115"/>
        </w:rPr>
        <w:t>≥   </w:t>
      </w:r>
      <w:r>
        <w:rPr>
          <w:rFonts w:ascii="Calibri" w:hAnsi="Calibri"/>
        </w:rPr>
        <w:t>Academic  Unit  301069.1  –  Research Stories: </w:t>
      </w:r>
      <w:r>
        <w:rPr/>
        <w:t>This transdisciplinary unit provides practical information about different research methodologies and research drivers to novel learners.</w:t>
      </w:r>
    </w:p>
    <w:p>
      <w:pPr>
        <w:pStyle w:val="BodyText"/>
        <w:spacing w:line="242" w:lineRule="auto" w:before="60"/>
        <w:ind w:left="333" w:right="6" w:hanging="227"/>
      </w:pPr>
      <w:r>
        <w:rPr>
          <w:rFonts w:ascii="Century Gothic" w:hAnsi="Century Gothic"/>
          <w:b/>
          <w:w w:val="115"/>
        </w:rPr>
        <w:t>≥ </w:t>
      </w:r>
      <w:r>
        <w:rPr>
          <w:rFonts w:ascii="Calibri" w:hAnsi="Calibri"/>
          <w:w w:val="105"/>
        </w:rPr>
        <w:t>The A Lab: </w:t>
      </w:r>
      <w:r>
        <w:rPr>
          <w:w w:val="105"/>
        </w:rPr>
        <w:t>Non-government organisations </w:t>
      </w:r>
      <w:r>
        <w:rPr/>
        <w:t>and non-commercial community partners can lodge investigation questions</w:t>
      </w:r>
    </w:p>
    <w:p>
      <w:pPr>
        <w:pStyle w:val="BodyText"/>
        <w:spacing w:line="249" w:lineRule="auto" w:before="5"/>
        <w:ind w:left="333" w:right="-3"/>
      </w:pPr>
      <w:r>
        <w:rPr/>
        <w:t>relating to their service. These issues are developed</w:t>
      </w:r>
      <w:r>
        <w:rPr>
          <w:spacing w:val="-16"/>
        </w:rPr>
        <w:t> </w:t>
      </w:r>
      <w:r>
        <w:rPr/>
        <w:t>into</w:t>
      </w:r>
      <w:r>
        <w:rPr>
          <w:spacing w:val="-16"/>
        </w:rPr>
        <w:t> </w:t>
      </w:r>
      <w:r>
        <w:rPr/>
        <w:t>appropriate</w:t>
      </w:r>
      <w:r>
        <w:rPr>
          <w:spacing w:val="-16"/>
        </w:rPr>
        <w:t> </w:t>
      </w:r>
      <w:r>
        <w:rPr/>
        <w:t>undergraduate investigation questions or student placements,</w:t>
      </w:r>
      <w:r>
        <w:rPr>
          <w:spacing w:val="-19"/>
        </w:rPr>
        <w:t> </w:t>
      </w:r>
      <w:r>
        <w:rPr/>
        <w:t>and</w:t>
      </w:r>
      <w:r>
        <w:rPr>
          <w:spacing w:val="-19"/>
        </w:rPr>
        <w:t> </w:t>
      </w:r>
      <w:r>
        <w:rPr/>
        <w:t>students</w:t>
      </w:r>
      <w:r>
        <w:rPr>
          <w:spacing w:val="-19"/>
        </w:rPr>
        <w:t> </w:t>
      </w:r>
      <w:r>
        <w:rPr/>
        <w:t>then</w:t>
      </w:r>
      <w:r>
        <w:rPr>
          <w:spacing w:val="-19"/>
        </w:rPr>
        <w:t> </w:t>
      </w:r>
      <w:r>
        <w:rPr/>
        <w:t>investigate the</w:t>
      </w:r>
      <w:r>
        <w:rPr>
          <w:spacing w:val="-15"/>
        </w:rPr>
        <w:t> </w:t>
      </w:r>
      <w:r>
        <w:rPr/>
        <w:t>matter</w:t>
      </w:r>
      <w:r>
        <w:rPr>
          <w:spacing w:val="-15"/>
        </w:rPr>
        <w:t> </w:t>
      </w:r>
      <w:r>
        <w:rPr/>
        <w:t>and</w:t>
      </w:r>
      <w:r>
        <w:rPr>
          <w:spacing w:val="-15"/>
        </w:rPr>
        <w:t> </w:t>
      </w:r>
      <w:r>
        <w:rPr/>
        <w:t>provide</w:t>
      </w:r>
      <w:r>
        <w:rPr>
          <w:spacing w:val="-15"/>
        </w:rPr>
        <w:t> </w:t>
      </w:r>
      <w:r>
        <w:rPr/>
        <w:t>a</w:t>
      </w:r>
      <w:r>
        <w:rPr>
          <w:spacing w:val="-15"/>
        </w:rPr>
        <w:t> </w:t>
      </w:r>
      <w:r>
        <w:rPr/>
        <w:t>final</w:t>
      </w:r>
      <w:r>
        <w:rPr>
          <w:spacing w:val="-15"/>
        </w:rPr>
        <w:t> </w:t>
      </w:r>
      <w:r>
        <w:rPr/>
        <w:t>report</w:t>
      </w:r>
      <w:r>
        <w:rPr>
          <w:spacing w:val="-15"/>
        </w:rPr>
        <w:t> </w:t>
      </w:r>
      <w:r>
        <w:rPr/>
        <w:t>to</w:t>
      </w:r>
      <w:r>
        <w:rPr>
          <w:spacing w:val="-15"/>
        </w:rPr>
        <w:t> </w:t>
      </w:r>
      <w:r>
        <w:rPr/>
        <w:t>the organisation.</w:t>
      </w:r>
    </w:p>
    <w:p>
      <w:pPr>
        <w:pStyle w:val="BodyText"/>
        <w:spacing w:line="244" w:lineRule="auto" w:before="55"/>
        <w:ind w:left="333" w:right="11" w:hanging="227"/>
      </w:pPr>
      <w:r>
        <w:rPr>
          <w:rFonts w:ascii="Century Gothic" w:hAnsi="Century Gothic"/>
          <w:b/>
          <w:w w:val="115"/>
        </w:rPr>
        <w:t>≥  </w:t>
      </w:r>
      <w:r>
        <w:rPr>
          <w:rFonts w:ascii="Calibri" w:hAnsi="Calibri"/>
        </w:rPr>
        <w:t>Transactions  undergraduate research journal: </w:t>
      </w:r>
      <w:r>
        <w:rPr/>
        <w:t>In collaboration with the Graduate Research School, The Academy launched an undergraduate research journal in </w:t>
      </w:r>
      <w:r>
        <w:rPr>
          <w:w w:val="100"/>
        </w:rPr>
        <w:t>October </w:t>
      </w:r>
      <w:r>
        <w:rPr>
          <w:w w:val="84"/>
        </w:rPr>
        <w:t>2015, </w:t>
      </w:r>
      <w:r>
        <w:rPr>
          <w:w w:val="98"/>
        </w:rPr>
        <w:t>with </w:t>
      </w:r>
      <w:r>
        <w:rPr>
          <w:w w:val="97"/>
        </w:rPr>
        <w:t>the </w:t>
      </w:r>
      <w:r>
        <w:rPr>
          <w:w w:val="97"/>
        </w:rPr>
        <w:t>first </w:t>
      </w:r>
      <w:r>
        <w:rPr>
          <w:w w:val="98"/>
        </w:rPr>
        <w:t>edition </w:t>
      </w:r>
      <w:r>
        <w:rPr>
          <w:w w:val="97"/>
        </w:rPr>
        <w:t>delivered </w:t>
      </w:r>
      <w:r>
        <w:rPr>
          <w:w w:val="95"/>
        </w:rPr>
        <w:t>in </w:t>
      </w:r>
      <w:r>
        <w:rPr>
          <w:w w:val="85"/>
        </w:rPr>
        <w:t>2016.</w:t>
      </w:r>
    </w:p>
    <w:p>
      <w:pPr>
        <w:pStyle w:val="BodyText"/>
        <w:spacing w:before="9"/>
      </w:pPr>
      <w:r>
        <w:rPr/>
        <w:br w:type="column"/>
      </w:r>
      <w:r>
        <w:rPr/>
      </w:r>
    </w:p>
    <w:p>
      <w:pPr>
        <w:pStyle w:val="BodyText"/>
        <w:spacing w:line="244" w:lineRule="auto"/>
        <w:ind w:left="333" w:right="103" w:hanging="227"/>
      </w:pPr>
      <w:r>
        <w:rPr>
          <w:rFonts w:ascii="Century Gothic" w:hAnsi="Century Gothic"/>
          <w:b/>
          <w:w w:val="115"/>
        </w:rPr>
        <w:t>≥ </w:t>
      </w:r>
      <w:r>
        <w:rPr>
          <w:rFonts w:ascii="Calibri" w:hAnsi="Calibri"/>
        </w:rPr>
        <w:t>Research lunches and </w:t>
      </w:r>
      <w:r>
        <w:rPr>
          <w:rFonts w:ascii="Calibri" w:hAnsi="Calibri"/>
          <w:spacing w:val="2"/>
        </w:rPr>
        <w:t>seminars: </w:t>
      </w:r>
      <w:r>
        <w:rPr/>
        <w:t>The Academy</w:t>
      </w:r>
      <w:r>
        <w:rPr>
          <w:spacing w:val="-13"/>
        </w:rPr>
        <w:t> </w:t>
      </w:r>
      <w:r>
        <w:rPr/>
        <w:t>organised</w:t>
      </w:r>
      <w:r>
        <w:rPr>
          <w:spacing w:val="-13"/>
        </w:rPr>
        <w:t> </w:t>
      </w:r>
      <w:r>
        <w:rPr/>
        <w:t>a</w:t>
      </w:r>
      <w:r>
        <w:rPr>
          <w:spacing w:val="-13"/>
        </w:rPr>
        <w:t> </w:t>
      </w:r>
      <w:r>
        <w:rPr/>
        <w:t>number</w:t>
      </w:r>
      <w:r>
        <w:rPr>
          <w:spacing w:val="-13"/>
        </w:rPr>
        <w:t> </w:t>
      </w:r>
      <w:r>
        <w:rPr/>
        <w:t>of</w:t>
      </w:r>
      <w:r>
        <w:rPr>
          <w:spacing w:val="-13"/>
        </w:rPr>
        <w:t> </w:t>
      </w:r>
      <w:r>
        <w:rPr/>
        <w:t>informal research lunches and seminars during the teaching periods. These events helped</w:t>
      </w:r>
      <w:r>
        <w:rPr>
          <w:spacing w:val="-14"/>
        </w:rPr>
        <w:t> </w:t>
      </w:r>
      <w:r>
        <w:rPr/>
        <w:t>reduce</w:t>
      </w:r>
      <w:r>
        <w:rPr>
          <w:spacing w:val="-14"/>
        </w:rPr>
        <w:t> </w:t>
      </w:r>
      <w:r>
        <w:rPr/>
        <w:t>the</w:t>
      </w:r>
      <w:r>
        <w:rPr>
          <w:spacing w:val="-14"/>
        </w:rPr>
        <w:t> </w:t>
      </w:r>
      <w:r>
        <w:rPr/>
        <w:t>cognitive</w:t>
      </w:r>
      <w:r>
        <w:rPr>
          <w:spacing w:val="-14"/>
        </w:rPr>
        <w:t> </w:t>
      </w:r>
      <w:r>
        <w:rPr/>
        <w:t>distance</w:t>
      </w:r>
    </w:p>
    <w:p>
      <w:pPr>
        <w:pStyle w:val="BodyText"/>
        <w:spacing w:line="249" w:lineRule="auto" w:before="3"/>
        <w:ind w:left="333" w:right="86"/>
      </w:pPr>
      <w:r>
        <w:rPr/>
        <w:t>for undergraduates who are considering future</w:t>
      </w:r>
      <w:r>
        <w:rPr>
          <w:spacing w:val="-17"/>
        </w:rPr>
        <w:t> </w:t>
      </w:r>
      <w:r>
        <w:rPr/>
        <w:t>research</w:t>
      </w:r>
      <w:r>
        <w:rPr>
          <w:spacing w:val="-17"/>
        </w:rPr>
        <w:t> </w:t>
      </w:r>
      <w:r>
        <w:rPr/>
        <w:t>and</w:t>
      </w:r>
      <w:r>
        <w:rPr>
          <w:spacing w:val="-17"/>
        </w:rPr>
        <w:t> </w:t>
      </w:r>
      <w:r>
        <w:rPr/>
        <w:t>academic</w:t>
      </w:r>
      <w:r>
        <w:rPr>
          <w:spacing w:val="-17"/>
        </w:rPr>
        <w:t> </w:t>
      </w:r>
      <w:r>
        <w:rPr/>
        <w:t>careers</w:t>
      </w:r>
      <w:r>
        <w:rPr>
          <w:spacing w:val="-17"/>
        </w:rPr>
        <w:t> </w:t>
      </w:r>
      <w:r>
        <w:rPr/>
        <w:t>but are</w:t>
      </w:r>
      <w:r>
        <w:rPr>
          <w:spacing w:val="-17"/>
        </w:rPr>
        <w:t> </w:t>
      </w:r>
      <w:r>
        <w:rPr/>
        <w:t>unable</w:t>
      </w:r>
      <w:r>
        <w:rPr>
          <w:spacing w:val="-17"/>
        </w:rPr>
        <w:t> </w:t>
      </w:r>
      <w:r>
        <w:rPr/>
        <w:t>to</w:t>
      </w:r>
      <w:r>
        <w:rPr>
          <w:spacing w:val="-17"/>
        </w:rPr>
        <w:t> </w:t>
      </w:r>
      <w:r>
        <w:rPr/>
        <w:t>determine</w:t>
      </w:r>
      <w:r>
        <w:rPr>
          <w:spacing w:val="-17"/>
        </w:rPr>
        <w:t> </w:t>
      </w:r>
      <w:r>
        <w:rPr/>
        <w:t>the</w:t>
      </w:r>
      <w:r>
        <w:rPr>
          <w:spacing w:val="-17"/>
        </w:rPr>
        <w:t> </w:t>
      </w:r>
      <w:r>
        <w:rPr/>
        <w:t>best</w:t>
      </w:r>
      <w:r>
        <w:rPr>
          <w:spacing w:val="-17"/>
        </w:rPr>
        <w:t> </w:t>
      </w:r>
      <w:r>
        <w:rPr/>
        <w:t>pathway to</w:t>
      </w:r>
      <w:r>
        <w:rPr>
          <w:spacing w:val="-26"/>
        </w:rPr>
        <w:t> </w:t>
      </w:r>
      <w:r>
        <w:rPr/>
        <w:t>reach</w:t>
      </w:r>
      <w:r>
        <w:rPr>
          <w:spacing w:val="-26"/>
        </w:rPr>
        <w:t> </w:t>
      </w:r>
      <w:r>
        <w:rPr/>
        <w:t>that</w:t>
      </w:r>
      <w:r>
        <w:rPr>
          <w:spacing w:val="-26"/>
        </w:rPr>
        <w:t> </w:t>
      </w:r>
      <w:r>
        <w:rPr/>
        <w:t>career.</w:t>
      </w:r>
    </w:p>
    <w:p>
      <w:pPr>
        <w:pStyle w:val="BodyText"/>
        <w:spacing w:line="247" w:lineRule="auto" w:before="55"/>
        <w:ind w:left="333" w:right="20" w:hanging="227"/>
      </w:pPr>
      <w:r>
        <w:rPr>
          <w:rFonts w:ascii="Century Gothic" w:hAnsi="Century Gothic"/>
          <w:b/>
          <w:w w:val="115"/>
        </w:rPr>
        <w:t>≥   </w:t>
      </w:r>
      <w:r>
        <w:rPr>
          <w:rFonts w:ascii="Calibri" w:hAnsi="Calibri"/>
        </w:rPr>
        <w:t>Best-practice   masterclasses:   </w:t>
      </w:r>
      <w:r>
        <w:rPr/>
        <w:t>The Academy delivered a selection of masterclasses</w:t>
      </w:r>
      <w:r>
        <w:rPr>
          <w:spacing w:val="-18"/>
        </w:rPr>
        <w:t> </w:t>
      </w:r>
      <w:r>
        <w:rPr/>
        <w:t>for</w:t>
      </w:r>
      <w:r>
        <w:rPr>
          <w:spacing w:val="-18"/>
        </w:rPr>
        <w:t> </w:t>
      </w:r>
      <w:r>
        <w:rPr/>
        <w:t>staff</w:t>
      </w:r>
      <w:r>
        <w:rPr>
          <w:spacing w:val="-18"/>
        </w:rPr>
        <w:t> </w:t>
      </w:r>
      <w:r>
        <w:rPr/>
        <w:t>members,</w:t>
      </w:r>
      <w:r>
        <w:rPr>
          <w:spacing w:val="-18"/>
        </w:rPr>
        <w:t> </w:t>
      </w:r>
      <w:r>
        <w:rPr/>
        <w:t>students </w:t>
      </w:r>
      <w:r>
        <w:rPr>
          <w:spacing w:val="1"/>
          <w:w w:val="97"/>
        </w:rPr>
        <w:t>and</w:t>
      </w:r>
      <w:r>
        <w:rPr>
          <w:w w:val="97"/>
        </w:rPr>
        <w:t> </w:t>
      </w:r>
      <w:r>
        <w:rPr>
          <w:spacing w:val="1"/>
          <w:w w:val="99"/>
        </w:rPr>
        <w:t>community</w:t>
      </w:r>
      <w:r>
        <w:rPr>
          <w:w w:val="99"/>
        </w:rPr>
        <w:t> </w:t>
      </w:r>
      <w:r>
        <w:rPr>
          <w:spacing w:val="1"/>
          <w:w w:val="97"/>
        </w:rPr>
        <w:t>partners</w:t>
      </w:r>
      <w:r>
        <w:rPr>
          <w:w w:val="97"/>
        </w:rPr>
        <w:t> </w:t>
      </w:r>
      <w:r>
        <w:rPr>
          <w:w w:val="95"/>
        </w:rPr>
        <w:t>in </w:t>
      </w:r>
      <w:r>
        <w:rPr>
          <w:spacing w:val="1"/>
          <w:w w:val="84"/>
        </w:rPr>
        <w:t>2015.</w:t>
      </w:r>
      <w:r>
        <w:rPr>
          <w:w w:val="84"/>
        </w:rPr>
        <w:t> </w:t>
      </w:r>
      <w:r>
        <w:rPr>
          <w:spacing w:val="1"/>
          <w:w w:val="94"/>
        </w:rPr>
        <w:t>These</w:t>
      </w:r>
      <w:r>
        <w:rPr>
          <w:w w:val="94"/>
        </w:rPr>
        <w:t> </w:t>
      </w:r>
      <w:r>
        <w:rPr/>
        <w:t>masterclasses covered subjects ranging from setting up community-engaged research partnerships; collaborating on projects across the public, private and tertiary</w:t>
      </w:r>
      <w:r>
        <w:rPr>
          <w:spacing w:val="-16"/>
        </w:rPr>
        <w:t> </w:t>
      </w:r>
      <w:r>
        <w:rPr/>
        <w:t>sectors;</w:t>
      </w:r>
      <w:r>
        <w:rPr>
          <w:spacing w:val="-16"/>
        </w:rPr>
        <w:t> </w:t>
      </w:r>
      <w:r>
        <w:rPr/>
        <w:t>developing</w:t>
      </w:r>
      <w:r>
        <w:rPr>
          <w:spacing w:val="-16"/>
        </w:rPr>
        <w:t> </w:t>
      </w:r>
      <w:r>
        <w:rPr/>
        <w:t>and</w:t>
      </w:r>
      <w:r>
        <w:rPr>
          <w:spacing w:val="-16"/>
        </w:rPr>
        <w:t> </w:t>
      </w:r>
      <w:r>
        <w:rPr/>
        <w:t>delivering community-engaged service learning projects</w:t>
      </w:r>
      <w:r>
        <w:rPr>
          <w:spacing w:val="-17"/>
        </w:rPr>
        <w:t> </w:t>
      </w:r>
      <w:r>
        <w:rPr/>
        <w:t>and</w:t>
      </w:r>
      <w:r>
        <w:rPr>
          <w:spacing w:val="-17"/>
        </w:rPr>
        <w:t> </w:t>
      </w:r>
      <w:r>
        <w:rPr/>
        <w:t>internships;</w:t>
      </w:r>
      <w:r>
        <w:rPr>
          <w:spacing w:val="-17"/>
        </w:rPr>
        <w:t> </w:t>
      </w:r>
      <w:r>
        <w:rPr/>
        <w:t>and</w:t>
      </w:r>
      <w:r>
        <w:rPr>
          <w:spacing w:val="-17"/>
        </w:rPr>
        <w:t> </w:t>
      </w:r>
      <w:r>
        <w:rPr/>
        <w:t>the</w:t>
      </w:r>
      <w:r>
        <w:rPr>
          <w:spacing w:val="-17"/>
        </w:rPr>
        <w:t> </w:t>
      </w:r>
      <w:r>
        <w:rPr/>
        <w:t>effect</w:t>
      </w:r>
      <w:r>
        <w:rPr>
          <w:spacing w:val="-17"/>
        </w:rPr>
        <w:t> </w:t>
      </w:r>
      <w:r>
        <w:rPr/>
        <w:t>of families</w:t>
      </w:r>
      <w:r>
        <w:rPr>
          <w:spacing w:val="-17"/>
        </w:rPr>
        <w:t> </w:t>
      </w:r>
      <w:r>
        <w:rPr/>
        <w:t>and</w:t>
      </w:r>
      <w:r>
        <w:rPr>
          <w:spacing w:val="-17"/>
        </w:rPr>
        <w:t> </w:t>
      </w:r>
      <w:r>
        <w:rPr/>
        <w:t>prime</w:t>
      </w:r>
      <w:r>
        <w:rPr>
          <w:spacing w:val="-17"/>
        </w:rPr>
        <w:t> </w:t>
      </w:r>
      <w:r>
        <w:rPr/>
        <w:t>influencers</w:t>
      </w:r>
      <w:r>
        <w:rPr>
          <w:spacing w:val="-17"/>
        </w:rPr>
        <w:t> </w:t>
      </w:r>
      <w:r>
        <w:rPr/>
        <w:t>on</w:t>
      </w:r>
      <w:r>
        <w:rPr>
          <w:spacing w:val="-17"/>
        </w:rPr>
        <w:t> </w:t>
      </w:r>
      <w:r>
        <w:rPr/>
        <w:t>students’ education</w:t>
      </w:r>
      <w:r>
        <w:rPr>
          <w:spacing w:val="-17"/>
        </w:rPr>
        <w:t> </w:t>
      </w:r>
      <w:r>
        <w:rPr/>
        <w:t>choices</w:t>
      </w:r>
      <w:r>
        <w:rPr>
          <w:spacing w:val="-17"/>
        </w:rPr>
        <w:t> </w:t>
      </w:r>
      <w:r>
        <w:rPr/>
        <w:t>and</w:t>
      </w:r>
      <w:r>
        <w:rPr>
          <w:spacing w:val="-17"/>
        </w:rPr>
        <w:t> </w:t>
      </w:r>
      <w:r>
        <w:rPr/>
        <w:t>performance.</w:t>
      </w:r>
    </w:p>
    <w:p>
      <w:pPr>
        <w:pStyle w:val="BodyText"/>
        <w:spacing w:line="247" w:lineRule="auto" w:before="57"/>
        <w:ind w:left="333" w:right="-3" w:hanging="227"/>
      </w:pPr>
      <w:r>
        <w:rPr>
          <w:rFonts w:ascii="Century Gothic" w:hAnsi="Century Gothic"/>
          <w:b/>
          <w:w w:val="115"/>
        </w:rPr>
        <w:t>≥ </w:t>
      </w:r>
      <w:r>
        <w:rPr>
          <w:rFonts w:ascii="Calibri" w:hAnsi="Calibri"/>
        </w:rPr>
        <w:t>The </w:t>
      </w:r>
      <w:r>
        <w:rPr>
          <w:rFonts w:ascii="Calibri" w:hAnsi="Calibri"/>
          <w:spacing w:val="2"/>
        </w:rPr>
        <w:t>Blank </w:t>
      </w:r>
      <w:r>
        <w:rPr>
          <w:rFonts w:ascii="Calibri" w:hAnsi="Calibri"/>
        </w:rPr>
        <w:t>Slate: </w:t>
      </w:r>
      <w:r>
        <w:rPr/>
        <w:t>As a member of the Innovation Ecosystem, the Academy collaborated on delivering this innovation lab on Parramatta South </w:t>
      </w:r>
      <w:r>
        <w:rPr>
          <w:spacing w:val="2"/>
        </w:rPr>
        <w:t>campus. </w:t>
      </w:r>
      <w:r>
        <w:rPr/>
        <w:t>The Blank</w:t>
      </w:r>
      <w:r>
        <w:rPr>
          <w:spacing w:val="-16"/>
        </w:rPr>
        <w:t> </w:t>
      </w:r>
      <w:r>
        <w:rPr/>
        <w:t>Slate</w:t>
      </w:r>
      <w:r>
        <w:rPr>
          <w:spacing w:val="-16"/>
        </w:rPr>
        <w:t> </w:t>
      </w:r>
      <w:r>
        <w:rPr/>
        <w:t>encourages</w:t>
      </w:r>
      <w:r>
        <w:rPr>
          <w:spacing w:val="-16"/>
        </w:rPr>
        <w:t> </w:t>
      </w:r>
      <w:r>
        <w:rPr/>
        <w:t>students</w:t>
      </w:r>
      <w:r>
        <w:rPr>
          <w:spacing w:val="-16"/>
        </w:rPr>
        <w:t> </w:t>
      </w:r>
      <w:r>
        <w:rPr/>
        <w:t>to</w:t>
      </w:r>
      <w:r>
        <w:rPr>
          <w:spacing w:val="-16"/>
        </w:rPr>
        <w:t> </w:t>
      </w:r>
      <w:r>
        <w:rPr/>
        <w:t>further develop and research their ideas by experimenting and innovating with virtual and</w:t>
      </w:r>
      <w:r>
        <w:rPr>
          <w:spacing w:val="-16"/>
        </w:rPr>
        <w:t> </w:t>
      </w:r>
      <w:r>
        <w:rPr/>
        <w:t>physical</w:t>
      </w:r>
      <w:r>
        <w:rPr>
          <w:spacing w:val="-16"/>
        </w:rPr>
        <w:t> </w:t>
      </w:r>
      <w:r>
        <w:rPr/>
        <w:t>production</w:t>
      </w:r>
      <w:r>
        <w:rPr>
          <w:spacing w:val="-16"/>
        </w:rPr>
        <w:t> </w:t>
      </w:r>
      <w:r>
        <w:rPr/>
        <w:t>technologies.</w:t>
      </w:r>
      <w:r>
        <w:rPr>
          <w:spacing w:val="-16"/>
        </w:rPr>
        <w:t> </w:t>
      </w:r>
      <w:r>
        <w:rPr/>
        <w:t>This space is being used from the </w:t>
      </w:r>
      <w:r>
        <w:rPr>
          <w:spacing w:val="2"/>
        </w:rPr>
        <w:t>start </w:t>
      </w:r>
      <w:r>
        <w:rPr/>
        <w:t>of the </w:t>
      </w:r>
      <w:r>
        <w:rPr>
          <w:spacing w:val="1"/>
          <w:w w:val="90"/>
        </w:rPr>
        <w:t>2016</w:t>
      </w:r>
      <w:r>
        <w:rPr>
          <w:w w:val="90"/>
        </w:rPr>
        <w:t> </w:t>
      </w:r>
      <w:r>
        <w:rPr>
          <w:spacing w:val="1"/>
          <w:w w:val="98"/>
        </w:rPr>
        <w:t>academic</w:t>
      </w:r>
      <w:r>
        <w:rPr>
          <w:spacing w:val="-3"/>
          <w:w w:val="98"/>
        </w:rPr>
        <w:t> </w:t>
      </w:r>
      <w:r>
        <w:rPr>
          <w:spacing w:val="-1"/>
          <w:w w:val="91"/>
        </w:rPr>
        <w:t>year.</w:t>
      </w:r>
    </w:p>
    <w:p>
      <w:pPr>
        <w:pStyle w:val="BodyText"/>
        <w:spacing w:before="2"/>
        <w:rPr>
          <w:sz w:val="14"/>
        </w:rPr>
      </w:pPr>
    </w:p>
    <w:p>
      <w:pPr>
        <w:pStyle w:val="BodyText"/>
        <w:spacing w:line="249" w:lineRule="auto"/>
        <w:ind w:left="107" w:right="70"/>
      </w:pPr>
      <w:r>
        <w:rPr/>
        <w:t>The Academy delivered a new Fellows program. The Academy selected 15 noted academics with a strong commitment to innovation in teaching and learning as the initial cohort. The Fellows undertook guest and team teaching in workshops, developed and coordinated units, and interacted with students at a range of events.</w:t>
      </w:r>
    </w:p>
    <w:p>
      <w:pPr>
        <w:pStyle w:val="BodyText"/>
        <w:rPr>
          <w:sz w:val="14"/>
        </w:rPr>
      </w:pPr>
    </w:p>
    <w:p>
      <w:pPr>
        <w:pStyle w:val="BodyText"/>
        <w:spacing w:line="249" w:lineRule="auto"/>
        <w:ind w:left="107"/>
      </w:pPr>
      <w:r>
        <w:rPr/>
        <w:t>The Academy delivered more than 230 social </w:t>
      </w:r>
      <w:r>
        <w:rPr>
          <w:spacing w:val="1"/>
          <w:w w:val="97"/>
        </w:rPr>
        <w:t>and</w:t>
      </w:r>
      <w:r>
        <w:rPr>
          <w:w w:val="97"/>
        </w:rPr>
        <w:t> </w:t>
      </w:r>
      <w:r>
        <w:rPr>
          <w:spacing w:val="1"/>
          <w:w w:val="97"/>
        </w:rPr>
        <w:t>educational</w:t>
      </w:r>
      <w:r>
        <w:rPr>
          <w:w w:val="97"/>
        </w:rPr>
        <w:t> </w:t>
      </w:r>
      <w:r>
        <w:rPr>
          <w:w w:val="97"/>
        </w:rPr>
        <w:t>events </w:t>
      </w:r>
      <w:r>
        <w:rPr>
          <w:w w:val="95"/>
        </w:rPr>
        <w:t>in </w:t>
      </w:r>
      <w:r>
        <w:rPr>
          <w:spacing w:val="1"/>
          <w:w w:val="84"/>
        </w:rPr>
        <w:t>2015,</w:t>
      </w:r>
      <w:r>
        <w:rPr>
          <w:w w:val="84"/>
        </w:rPr>
        <w:t> </w:t>
      </w:r>
      <w:r>
        <w:rPr>
          <w:spacing w:val="1"/>
          <w:w w:val="97"/>
        </w:rPr>
        <w:t>including</w:t>
      </w:r>
      <w:r>
        <w:rPr>
          <w:w w:val="97"/>
        </w:rPr>
        <w:t> </w:t>
      </w:r>
      <w:r>
        <w:rPr/>
        <w:t>cross-discipline</w:t>
      </w:r>
      <w:r>
        <w:rPr>
          <w:spacing w:val="-20"/>
        </w:rPr>
        <w:t> </w:t>
      </w:r>
      <w:r>
        <w:rPr/>
        <w:t>study</w:t>
      </w:r>
      <w:r>
        <w:rPr>
          <w:spacing w:val="-20"/>
        </w:rPr>
        <w:t> </w:t>
      </w:r>
      <w:r>
        <w:rPr/>
        <w:t>groups,</w:t>
      </w:r>
      <w:r>
        <w:rPr>
          <w:spacing w:val="-20"/>
        </w:rPr>
        <w:t> </w:t>
      </w:r>
      <w:r>
        <w:rPr/>
        <w:t>leaders</w:t>
      </w:r>
      <w:r>
        <w:rPr>
          <w:spacing w:val="-20"/>
        </w:rPr>
        <w:t> </w:t>
      </w:r>
      <w:r>
        <w:rPr/>
        <w:t>lunches, special-topic</w:t>
      </w:r>
      <w:r>
        <w:rPr>
          <w:spacing w:val="-17"/>
        </w:rPr>
        <w:t> </w:t>
      </w:r>
      <w:r>
        <w:rPr/>
        <w:t>speaker</w:t>
      </w:r>
      <w:r>
        <w:rPr>
          <w:spacing w:val="-17"/>
        </w:rPr>
        <w:t> </w:t>
      </w:r>
      <w:r>
        <w:rPr/>
        <w:t>presentations</w:t>
      </w:r>
      <w:r>
        <w:rPr>
          <w:spacing w:val="-17"/>
        </w:rPr>
        <w:t> </w:t>
      </w:r>
      <w:r>
        <w:rPr/>
        <w:t>and</w:t>
      </w:r>
    </w:p>
    <w:p>
      <w:pPr>
        <w:pStyle w:val="BodyText"/>
        <w:spacing w:line="249" w:lineRule="auto"/>
        <w:ind w:left="107" w:right="73"/>
      </w:pPr>
      <w:r>
        <w:rPr/>
        <w:t>social</w:t>
      </w:r>
      <w:r>
        <w:rPr>
          <w:spacing w:val="-16"/>
        </w:rPr>
        <w:t> </w:t>
      </w:r>
      <w:r>
        <w:rPr/>
        <w:t>functions</w:t>
      </w:r>
      <w:r>
        <w:rPr>
          <w:spacing w:val="-16"/>
        </w:rPr>
        <w:t> </w:t>
      </w:r>
      <w:r>
        <w:rPr/>
        <w:t>led</w:t>
      </w:r>
      <w:r>
        <w:rPr>
          <w:spacing w:val="-16"/>
        </w:rPr>
        <w:t> </w:t>
      </w:r>
      <w:r>
        <w:rPr/>
        <w:t>by</w:t>
      </w:r>
      <w:r>
        <w:rPr>
          <w:spacing w:val="-16"/>
        </w:rPr>
        <w:t> </w:t>
      </w:r>
      <w:r>
        <w:rPr/>
        <w:t>senior</w:t>
      </w:r>
      <w:r>
        <w:rPr>
          <w:spacing w:val="-16"/>
        </w:rPr>
        <w:t> </w:t>
      </w:r>
      <w:r>
        <w:rPr/>
        <w:t>students.</w:t>
      </w:r>
      <w:r>
        <w:rPr>
          <w:spacing w:val="-16"/>
        </w:rPr>
        <w:t> </w:t>
      </w:r>
      <w:r>
        <w:rPr/>
        <w:t>These events provided many members with their first real sense of collegiality and being </w:t>
      </w:r>
      <w:r>
        <w:rPr>
          <w:spacing w:val="2"/>
        </w:rPr>
        <w:t>part </w:t>
      </w:r>
      <w:r>
        <w:rPr/>
        <w:t>of a community of adult learners. Positively changing</w:t>
      </w:r>
      <w:r>
        <w:rPr>
          <w:spacing w:val="-17"/>
        </w:rPr>
        <w:t> </w:t>
      </w:r>
      <w:r>
        <w:rPr/>
        <w:t>the</w:t>
      </w:r>
      <w:r>
        <w:rPr>
          <w:spacing w:val="-17"/>
        </w:rPr>
        <w:t> </w:t>
      </w:r>
      <w:r>
        <w:rPr/>
        <w:t>existing</w:t>
      </w:r>
      <w:r>
        <w:rPr>
          <w:spacing w:val="-17"/>
        </w:rPr>
        <w:t> </w:t>
      </w:r>
      <w:r>
        <w:rPr/>
        <w:t>student</w:t>
      </w:r>
      <w:r>
        <w:rPr>
          <w:spacing w:val="-17"/>
        </w:rPr>
        <w:t> </w:t>
      </w:r>
      <w:r>
        <w:rPr/>
        <w:t>culture</w:t>
      </w:r>
    </w:p>
    <w:p>
      <w:pPr>
        <w:pStyle w:val="BodyText"/>
        <w:spacing w:line="249" w:lineRule="auto"/>
        <w:ind w:left="107" w:right="339"/>
      </w:pPr>
      <w:r>
        <w:rPr/>
        <w:t>was</w:t>
      </w:r>
      <w:r>
        <w:rPr>
          <w:spacing w:val="-18"/>
        </w:rPr>
        <w:t> </w:t>
      </w:r>
      <w:r>
        <w:rPr/>
        <w:t>a</w:t>
      </w:r>
      <w:r>
        <w:rPr>
          <w:spacing w:val="-18"/>
        </w:rPr>
        <w:t> </w:t>
      </w:r>
      <w:r>
        <w:rPr/>
        <w:t>particularly</w:t>
      </w:r>
      <w:r>
        <w:rPr>
          <w:spacing w:val="-18"/>
        </w:rPr>
        <w:t> </w:t>
      </w:r>
      <w:r>
        <w:rPr/>
        <w:t>exhilarating</w:t>
      </w:r>
      <w:r>
        <w:rPr>
          <w:spacing w:val="-18"/>
        </w:rPr>
        <w:t> </w:t>
      </w:r>
      <w:r>
        <w:rPr>
          <w:spacing w:val="2"/>
        </w:rPr>
        <w:t>part</w:t>
      </w:r>
      <w:r>
        <w:rPr>
          <w:spacing w:val="-18"/>
        </w:rPr>
        <w:t> </w:t>
      </w:r>
      <w:r>
        <w:rPr/>
        <w:t>of</w:t>
      </w:r>
      <w:r>
        <w:rPr>
          <w:spacing w:val="-18"/>
        </w:rPr>
        <w:t> </w:t>
      </w:r>
      <w:r>
        <w:rPr/>
        <w:t>The </w:t>
      </w:r>
      <w:r>
        <w:rPr>
          <w:w w:val="100"/>
        </w:rPr>
        <w:t>Academy’s </w:t>
      </w:r>
      <w:r>
        <w:rPr>
          <w:w w:val="98"/>
        </w:rPr>
        <w:t>work </w:t>
      </w:r>
      <w:r>
        <w:rPr>
          <w:spacing w:val="1"/>
          <w:w w:val="97"/>
        </w:rPr>
        <w:t>during</w:t>
      </w:r>
      <w:r>
        <w:rPr>
          <w:spacing w:val="-8"/>
          <w:w w:val="97"/>
        </w:rPr>
        <w:t> </w:t>
      </w:r>
      <w:r>
        <w:rPr>
          <w:spacing w:val="1"/>
          <w:w w:val="84"/>
        </w:rPr>
        <w:t>2015.</w:t>
      </w:r>
    </w:p>
    <w:p>
      <w:pPr>
        <w:pStyle w:val="BodyText"/>
        <w:spacing w:before="9"/>
      </w:pPr>
      <w:r>
        <w:rPr/>
        <w:br w:type="column"/>
      </w:r>
      <w:r>
        <w:rPr/>
      </w:r>
    </w:p>
    <w:p>
      <w:pPr>
        <w:pStyle w:val="BodyText"/>
        <w:spacing w:line="249" w:lineRule="auto"/>
        <w:ind w:left="107" w:right="147"/>
      </w:pPr>
      <w:r>
        <w:rPr/>
        <w:t>The first cohort of 26 students entered The Academy’s Global Leaders Program. This is an early entry program for school leavers entering advanced degrees and examines global citizenship, critical international issues and</w:t>
      </w:r>
      <w:r>
        <w:rPr>
          <w:spacing w:val="-19"/>
        </w:rPr>
        <w:t> </w:t>
      </w:r>
      <w:r>
        <w:rPr/>
        <w:t>social</w:t>
      </w:r>
      <w:r>
        <w:rPr>
          <w:spacing w:val="-19"/>
        </w:rPr>
        <w:t> </w:t>
      </w:r>
      <w:r>
        <w:rPr/>
        <w:t>innovation.</w:t>
      </w:r>
      <w:r>
        <w:rPr>
          <w:spacing w:val="-19"/>
        </w:rPr>
        <w:t> </w:t>
      </w:r>
      <w:r>
        <w:rPr/>
        <w:t>The</w:t>
      </w:r>
      <w:r>
        <w:rPr>
          <w:spacing w:val="-19"/>
        </w:rPr>
        <w:t> </w:t>
      </w:r>
      <w:r>
        <w:rPr/>
        <w:t>second</w:t>
      </w:r>
      <w:r>
        <w:rPr>
          <w:spacing w:val="-19"/>
        </w:rPr>
        <w:t> </w:t>
      </w:r>
      <w:r>
        <w:rPr/>
        <w:t>intake</w:t>
      </w:r>
      <w:r>
        <w:rPr>
          <w:spacing w:val="-19"/>
        </w:rPr>
        <w:t> </w:t>
      </w:r>
      <w:r>
        <w:rPr/>
        <w:t>of</w:t>
      </w:r>
      <w:r>
        <w:rPr>
          <w:spacing w:val="-19"/>
        </w:rPr>
        <w:t> </w:t>
      </w:r>
      <w:r>
        <w:rPr/>
        <w:t>47 </w:t>
      </w:r>
      <w:r>
        <w:rPr>
          <w:spacing w:val="1"/>
          <w:w w:val="97"/>
        </w:rPr>
        <w:t>students</w:t>
      </w:r>
      <w:r>
        <w:rPr>
          <w:spacing w:val="-9"/>
          <w:w w:val="97"/>
        </w:rPr>
        <w:t> </w:t>
      </w:r>
      <w:r>
        <w:rPr>
          <w:w w:val="100"/>
        </w:rPr>
        <w:t>took</w:t>
      </w:r>
      <w:r>
        <w:rPr>
          <w:spacing w:val="-10"/>
          <w:w w:val="100"/>
        </w:rPr>
        <w:t> </w:t>
      </w:r>
      <w:r>
        <w:rPr>
          <w:spacing w:val="1"/>
          <w:w w:val="98"/>
        </w:rPr>
        <w:t>place</w:t>
      </w:r>
      <w:r>
        <w:rPr>
          <w:spacing w:val="-9"/>
          <w:w w:val="98"/>
        </w:rPr>
        <w:t> </w:t>
      </w:r>
      <w:r>
        <w:rPr>
          <w:w w:val="95"/>
        </w:rPr>
        <w:t>in</w:t>
      </w:r>
      <w:r>
        <w:rPr>
          <w:spacing w:val="-8"/>
          <w:w w:val="95"/>
        </w:rPr>
        <w:t> </w:t>
      </w:r>
      <w:r>
        <w:rPr>
          <w:spacing w:val="1"/>
          <w:w w:val="100"/>
        </w:rPr>
        <w:t>October</w:t>
      </w:r>
      <w:r>
        <w:rPr>
          <w:spacing w:val="-10"/>
          <w:w w:val="100"/>
        </w:rPr>
        <w:t> </w:t>
      </w:r>
      <w:r>
        <w:rPr>
          <w:spacing w:val="1"/>
          <w:w w:val="88"/>
        </w:rPr>
        <w:t>2015</w:t>
      </w:r>
      <w:r>
        <w:rPr>
          <w:spacing w:val="-4"/>
          <w:w w:val="88"/>
        </w:rPr>
        <w:t> </w:t>
      </w:r>
      <w:r>
        <w:rPr>
          <w:w w:val="98"/>
        </w:rPr>
        <w:t>for</w:t>
      </w:r>
      <w:r>
        <w:rPr>
          <w:spacing w:val="-9"/>
          <w:w w:val="98"/>
        </w:rPr>
        <w:t> </w:t>
      </w:r>
      <w:r>
        <w:rPr>
          <w:w w:val="97"/>
        </w:rPr>
        <w:t>the</w:t>
      </w:r>
    </w:p>
    <w:p>
      <w:pPr>
        <w:pStyle w:val="BodyText"/>
        <w:spacing w:line="249" w:lineRule="auto"/>
        <w:ind w:left="107" w:right="34"/>
      </w:pPr>
      <w:r>
        <w:rPr>
          <w:w w:val="90"/>
        </w:rPr>
        <w:t>2016 </w:t>
      </w:r>
      <w:r>
        <w:rPr>
          <w:w w:val="94"/>
        </w:rPr>
        <w:t>program. </w:t>
      </w:r>
      <w:r>
        <w:rPr>
          <w:w w:val="94"/>
        </w:rPr>
        <w:t>These </w:t>
      </w:r>
      <w:r>
        <w:rPr>
          <w:w w:val="97"/>
        </w:rPr>
        <w:t>new </w:t>
      </w:r>
      <w:r>
        <w:rPr>
          <w:w w:val="97"/>
        </w:rPr>
        <w:t>students </w:t>
      </w:r>
      <w:r>
        <w:rPr>
          <w:w w:val="98"/>
        </w:rPr>
        <w:t>attended </w:t>
      </w:r>
      <w:r>
        <w:rPr>
          <w:w w:val="94"/>
        </w:rPr>
        <w:t>a </w:t>
      </w:r>
      <w:r>
        <w:rPr/>
        <w:t>program welcome day in November.</w:t>
      </w:r>
    </w:p>
    <w:p>
      <w:pPr>
        <w:pStyle w:val="BodyText"/>
        <w:rPr>
          <w:sz w:val="14"/>
        </w:rPr>
      </w:pPr>
    </w:p>
    <w:p>
      <w:pPr>
        <w:pStyle w:val="BodyText"/>
        <w:spacing w:line="249" w:lineRule="auto"/>
        <w:ind w:left="107" w:right="121"/>
      </w:pPr>
      <w:r>
        <w:rPr/>
        <w:t>The Academy deliberately and positively developed relationships with overseas universities and organisations in order to deliver life-changing educational experiences for student members. These institutions</w:t>
      </w:r>
    </w:p>
    <w:p>
      <w:pPr>
        <w:pStyle w:val="BodyText"/>
        <w:spacing w:line="249" w:lineRule="auto"/>
        <w:ind w:left="107" w:right="394"/>
      </w:pPr>
      <w:r>
        <w:rPr/>
        <w:t>were</w:t>
      </w:r>
      <w:r>
        <w:rPr>
          <w:spacing w:val="-26"/>
        </w:rPr>
        <w:t> </w:t>
      </w:r>
      <w:r>
        <w:rPr/>
        <w:t>located</w:t>
      </w:r>
      <w:r>
        <w:rPr>
          <w:spacing w:val="-26"/>
        </w:rPr>
        <w:t> </w:t>
      </w:r>
      <w:r>
        <w:rPr/>
        <w:t>in</w:t>
      </w:r>
      <w:r>
        <w:rPr>
          <w:spacing w:val="-26"/>
        </w:rPr>
        <w:t> </w:t>
      </w:r>
      <w:r>
        <w:rPr/>
        <w:t>Bhutan,</w:t>
      </w:r>
      <w:r>
        <w:rPr>
          <w:spacing w:val="-26"/>
        </w:rPr>
        <w:t> </w:t>
      </w:r>
      <w:r>
        <w:rPr/>
        <w:t>Chile,</w:t>
      </w:r>
      <w:r>
        <w:rPr>
          <w:spacing w:val="-26"/>
        </w:rPr>
        <w:t> </w:t>
      </w:r>
      <w:r>
        <w:rPr/>
        <w:t>China,</w:t>
      </w:r>
      <w:r>
        <w:rPr>
          <w:spacing w:val="-26"/>
        </w:rPr>
        <w:t> </w:t>
      </w:r>
      <w:r>
        <w:rPr/>
        <w:t>India, </w:t>
      </w:r>
      <w:r>
        <w:rPr>
          <w:spacing w:val="2"/>
        </w:rPr>
        <w:t>Japan, </w:t>
      </w:r>
      <w:r>
        <w:rPr/>
        <w:t>South Africa, the UK and the </w:t>
      </w:r>
      <w:r>
        <w:rPr>
          <w:spacing w:val="2"/>
        </w:rPr>
        <w:t>US. </w:t>
      </w:r>
      <w:r>
        <w:rPr/>
        <w:t>As</w:t>
      </w:r>
      <w:r>
        <w:rPr>
          <w:spacing w:val="-15"/>
        </w:rPr>
        <w:t> </w:t>
      </w:r>
      <w:r>
        <w:rPr/>
        <w:t>a</w:t>
      </w:r>
      <w:r>
        <w:rPr>
          <w:spacing w:val="-15"/>
        </w:rPr>
        <w:t> </w:t>
      </w:r>
      <w:r>
        <w:rPr/>
        <w:t>result</w:t>
      </w:r>
      <w:r>
        <w:rPr>
          <w:spacing w:val="-15"/>
        </w:rPr>
        <w:t> </w:t>
      </w:r>
      <w:r>
        <w:rPr/>
        <w:t>of</w:t>
      </w:r>
      <w:r>
        <w:rPr>
          <w:spacing w:val="-15"/>
        </w:rPr>
        <w:t> </w:t>
      </w:r>
      <w:r>
        <w:rPr/>
        <w:t>these</w:t>
      </w:r>
      <w:r>
        <w:rPr>
          <w:spacing w:val="-15"/>
        </w:rPr>
        <w:t> </w:t>
      </w:r>
      <w:r>
        <w:rPr>
          <w:spacing w:val="2"/>
        </w:rPr>
        <w:t>efforts,</w:t>
      </w:r>
      <w:r>
        <w:rPr>
          <w:spacing w:val="-15"/>
        </w:rPr>
        <w:t> </w:t>
      </w:r>
      <w:r>
        <w:rPr/>
        <w:t>more</w:t>
      </w:r>
      <w:r>
        <w:rPr>
          <w:spacing w:val="-15"/>
        </w:rPr>
        <w:t> </w:t>
      </w:r>
      <w:r>
        <w:rPr/>
        <w:t>than</w:t>
      </w:r>
      <w:r>
        <w:rPr>
          <w:spacing w:val="-15"/>
        </w:rPr>
        <w:t> </w:t>
      </w:r>
      <w:r>
        <w:rPr/>
        <w:t>90 members were supported to undertake unique</w:t>
      </w:r>
      <w:r>
        <w:rPr>
          <w:spacing w:val="-18"/>
        </w:rPr>
        <w:t> </w:t>
      </w:r>
      <w:r>
        <w:rPr/>
        <w:t>service</w:t>
      </w:r>
      <w:r>
        <w:rPr>
          <w:spacing w:val="-18"/>
        </w:rPr>
        <w:t> </w:t>
      </w:r>
      <w:r>
        <w:rPr/>
        <w:t>learning</w:t>
      </w:r>
      <w:r>
        <w:rPr>
          <w:spacing w:val="-18"/>
        </w:rPr>
        <w:t> </w:t>
      </w:r>
      <w:r>
        <w:rPr/>
        <w:t>and</w:t>
      </w:r>
      <w:r>
        <w:rPr>
          <w:spacing w:val="-18"/>
        </w:rPr>
        <w:t> </w:t>
      </w:r>
      <w:r>
        <w:rPr/>
        <w:t>leadership</w:t>
      </w:r>
    </w:p>
    <w:p>
      <w:pPr>
        <w:pStyle w:val="BodyText"/>
        <w:spacing w:line="249" w:lineRule="auto"/>
        <w:ind w:left="107" w:right="96"/>
      </w:pPr>
      <w:r>
        <w:rPr/>
        <w:t>programs in Brazil, Cambodia, China, Costa Rica, India, Japan, Poland, South Africa, the US and Vanuatu. Teams of student members attended the global University Scholars Leadership Symposium in Hong Kong; the Harvard Project for Asian and International Relations conference in Manila; language extension programs in eastern Europe; and leadership development programs conducted by VOICE Australia and Australian Volunteers International in several locations.</w:t>
      </w:r>
    </w:p>
    <w:p>
      <w:pPr>
        <w:pStyle w:val="BodyText"/>
        <w:rPr>
          <w:sz w:val="14"/>
        </w:rPr>
      </w:pPr>
    </w:p>
    <w:p>
      <w:pPr>
        <w:pStyle w:val="BodyText"/>
        <w:spacing w:line="249" w:lineRule="auto"/>
        <w:ind w:left="107" w:right="246"/>
      </w:pPr>
      <w:r>
        <w:rPr/>
        <w:t>The Academy also developed and delivered a unique educational collaboration with Stellenbosch University in South Africa.</w:t>
      </w:r>
    </w:p>
    <w:p>
      <w:pPr>
        <w:pStyle w:val="BodyText"/>
        <w:spacing w:line="249" w:lineRule="auto"/>
        <w:ind w:left="107" w:right="141"/>
      </w:pPr>
      <w:r>
        <w:rPr/>
        <w:t>Students can receive credit for completing the full academic program, which explores race, democracy and citizenship in the South African</w:t>
      </w:r>
      <w:r>
        <w:rPr>
          <w:spacing w:val="-15"/>
        </w:rPr>
        <w:t> </w:t>
      </w:r>
      <w:r>
        <w:rPr/>
        <w:t>and</w:t>
      </w:r>
      <w:r>
        <w:rPr>
          <w:spacing w:val="-15"/>
        </w:rPr>
        <w:t> </w:t>
      </w:r>
      <w:r>
        <w:rPr/>
        <w:t>Australian</w:t>
      </w:r>
      <w:r>
        <w:rPr>
          <w:spacing w:val="-15"/>
        </w:rPr>
        <w:t> </w:t>
      </w:r>
      <w:r>
        <w:rPr/>
        <w:t>contexts.</w:t>
      </w:r>
      <w:r>
        <w:rPr>
          <w:spacing w:val="-15"/>
        </w:rPr>
        <w:t> </w:t>
      </w:r>
      <w:r>
        <w:rPr/>
        <w:t>This</w:t>
      </w:r>
      <w:r>
        <w:rPr>
          <w:spacing w:val="-15"/>
        </w:rPr>
        <w:t> </w:t>
      </w:r>
      <w:r>
        <w:rPr/>
        <w:t>program and the related research program and a student</w:t>
      </w:r>
      <w:r>
        <w:rPr>
          <w:spacing w:val="-17"/>
        </w:rPr>
        <w:t> </w:t>
      </w:r>
      <w:r>
        <w:rPr/>
        <w:t>leaders</w:t>
      </w:r>
      <w:r>
        <w:rPr>
          <w:spacing w:val="-17"/>
        </w:rPr>
        <w:t> </w:t>
      </w:r>
      <w:r>
        <w:rPr/>
        <w:t>exchange</w:t>
      </w:r>
      <w:r>
        <w:rPr>
          <w:spacing w:val="-17"/>
        </w:rPr>
        <w:t> </w:t>
      </w:r>
      <w:r>
        <w:rPr/>
        <w:t>are</w:t>
      </w:r>
      <w:r>
        <w:rPr>
          <w:spacing w:val="-17"/>
        </w:rPr>
        <w:t> </w:t>
      </w:r>
      <w:r>
        <w:rPr/>
        <w:t>now</w:t>
      </w:r>
      <w:r>
        <w:rPr>
          <w:spacing w:val="-17"/>
        </w:rPr>
        <w:t> </w:t>
      </w:r>
      <w:r>
        <w:rPr>
          <w:spacing w:val="2"/>
        </w:rPr>
        <w:t>part</w:t>
      </w:r>
      <w:r>
        <w:rPr>
          <w:spacing w:val="-17"/>
        </w:rPr>
        <w:t> </w:t>
      </w:r>
      <w:r>
        <w:rPr/>
        <w:t>of</w:t>
      </w:r>
    </w:p>
    <w:p>
      <w:pPr>
        <w:pStyle w:val="BodyText"/>
        <w:spacing w:line="249" w:lineRule="auto"/>
        <w:ind w:left="107" w:right="173"/>
      </w:pPr>
      <w:r>
        <w:rPr/>
        <w:t>the new long-term collaboration agreement between The Academy and the Stellenbosch University Institute for Student Leadership Development.</w:t>
      </w:r>
    </w:p>
    <w:p>
      <w:pPr>
        <w:pStyle w:val="BodyText"/>
        <w:rPr>
          <w:sz w:val="14"/>
        </w:rPr>
      </w:pPr>
    </w:p>
    <w:p>
      <w:pPr>
        <w:pStyle w:val="BodyText"/>
        <w:spacing w:line="249" w:lineRule="auto"/>
        <w:ind w:left="107" w:right="121"/>
      </w:pPr>
      <w:r>
        <w:rPr/>
        <w:t>The Academy has explored similar relationships with universities in India and Scotland. Members of The Academy’s senior staff team taught masterclasses, presented lectures and delivered keynote speeches at universities</w:t>
      </w:r>
      <w:r>
        <w:rPr>
          <w:spacing w:val="-24"/>
        </w:rPr>
        <w:t> </w:t>
      </w:r>
      <w:r>
        <w:rPr/>
        <w:t>and</w:t>
      </w:r>
      <w:r>
        <w:rPr>
          <w:spacing w:val="-24"/>
        </w:rPr>
        <w:t> </w:t>
      </w:r>
      <w:r>
        <w:rPr/>
        <w:t>conferences</w:t>
      </w:r>
      <w:r>
        <w:rPr>
          <w:spacing w:val="-24"/>
        </w:rPr>
        <w:t> </w:t>
      </w:r>
      <w:r>
        <w:rPr/>
        <w:t>in</w:t>
      </w:r>
      <w:r>
        <w:rPr>
          <w:spacing w:val="-24"/>
        </w:rPr>
        <w:t> </w:t>
      </w:r>
      <w:r>
        <w:rPr/>
        <w:t>Bhutan,</w:t>
      </w:r>
      <w:r>
        <w:rPr>
          <w:spacing w:val="-24"/>
        </w:rPr>
        <w:t> </w:t>
      </w:r>
      <w:r>
        <w:rPr/>
        <w:t>China, India, South Africa and various locations around Australia, sharing The Academy’s innovations.</w:t>
      </w:r>
    </w:p>
    <w:p>
      <w:pPr>
        <w:spacing w:after="0" w:line="249" w:lineRule="auto"/>
        <w:sectPr>
          <w:type w:val="continuous"/>
          <w:pgSz w:w="11910" w:h="16840"/>
          <w:pgMar w:top="1580" w:bottom="280" w:left="800" w:right="800"/>
          <w:cols w:num="3" w:equalWidth="0">
            <w:col w:w="3317" w:space="122"/>
            <w:col w:w="3310" w:space="12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15"/>
      </w:pPr>
      <w:r>
        <w:rPr/>
        <w:t>The Academy is also highly engaged in the Greater Western Sydney region. Examples of this include the following:</w:t>
      </w:r>
    </w:p>
    <w:p>
      <w:pPr>
        <w:pStyle w:val="BodyText"/>
        <w:spacing w:before="11"/>
        <w:rPr>
          <w:sz w:val="13"/>
        </w:rPr>
      </w:pPr>
    </w:p>
    <w:p>
      <w:pPr>
        <w:pStyle w:val="BodyText"/>
        <w:spacing w:line="247" w:lineRule="auto"/>
        <w:ind w:left="333" w:right="-2" w:hanging="227"/>
      </w:pPr>
      <w:r>
        <w:rPr>
          <w:rFonts w:ascii="Century Gothic" w:hAnsi="Century Gothic"/>
          <w:b/>
          <w:w w:val="115"/>
        </w:rPr>
        <w:t>≥ </w:t>
      </w:r>
      <w:r>
        <w:rPr/>
        <w:t>Our members worked to develop detailed problems and questions — and possible solutions — to drive the next two years of Project GWS2050.</w:t>
      </w:r>
    </w:p>
    <w:p>
      <w:pPr>
        <w:pStyle w:val="BodyText"/>
        <w:spacing w:line="247" w:lineRule="auto" w:before="57"/>
        <w:ind w:left="333" w:right="123" w:hanging="227"/>
      </w:pPr>
      <w:r>
        <w:rPr>
          <w:rFonts w:ascii="Century Gothic" w:hAnsi="Century Gothic"/>
          <w:b/>
          <w:w w:val="115"/>
        </w:rPr>
        <w:t>≥ </w:t>
      </w:r>
      <w:r>
        <w:rPr/>
        <w:t>Jen Armstrong, a member of The Academy, was awarded the Unsung </w:t>
      </w:r>
      <w:r>
        <w:rPr>
          <w:w w:val="97"/>
        </w:rPr>
        <w:t>Hero </w:t>
      </w:r>
      <w:r>
        <w:rPr>
          <w:w w:val="101"/>
        </w:rPr>
        <w:t>Award </w:t>
      </w:r>
      <w:r>
        <w:rPr>
          <w:w w:val="98"/>
        </w:rPr>
        <w:t>at </w:t>
      </w:r>
      <w:r>
        <w:rPr>
          <w:w w:val="97"/>
        </w:rPr>
        <w:t>the </w:t>
      </w:r>
      <w:r>
        <w:rPr>
          <w:w w:val="88"/>
        </w:rPr>
        <w:t>2015 </w:t>
      </w:r>
      <w:r>
        <w:rPr>
          <w:w w:val="98"/>
        </w:rPr>
        <w:t>ZEST </w:t>
      </w:r>
      <w:r>
        <w:rPr>
          <w:w w:val="100"/>
        </w:rPr>
        <w:t>Awards </w:t>
      </w:r>
      <w:r>
        <w:rPr>
          <w:w w:val="98"/>
        </w:rPr>
        <w:t>for </w:t>
      </w:r>
      <w:r>
        <w:rPr/>
        <w:t>her highly energised work creating and running non-government organisation, ‘The Beauty Bank’, to benefit women experiencing domestic violence.</w:t>
      </w:r>
    </w:p>
    <w:p>
      <w:pPr>
        <w:pStyle w:val="BodyText"/>
        <w:spacing w:line="244" w:lineRule="auto" w:before="57"/>
        <w:ind w:left="333" w:right="262" w:hanging="227"/>
      </w:pPr>
      <w:r>
        <w:rPr>
          <w:rFonts w:ascii="Century Gothic" w:hAnsi="Century Gothic"/>
          <w:b/>
          <w:w w:val="115"/>
        </w:rPr>
        <w:t>≥</w:t>
      </w:r>
      <w:r>
        <w:rPr>
          <w:rFonts w:ascii="Century Gothic" w:hAnsi="Century Gothic"/>
          <w:b/>
          <w:spacing w:val="12"/>
          <w:w w:val="115"/>
        </w:rPr>
        <w:t> </w:t>
      </w:r>
      <w:r>
        <w:rPr>
          <w:w w:val="105"/>
        </w:rPr>
        <w:t>The</w:t>
      </w:r>
      <w:r>
        <w:rPr>
          <w:spacing w:val="-28"/>
          <w:w w:val="105"/>
        </w:rPr>
        <w:t> </w:t>
      </w:r>
      <w:r>
        <w:rPr>
          <w:w w:val="105"/>
        </w:rPr>
        <w:t>Academy</w:t>
      </w:r>
      <w:r>
        <w:rPr>
          <w:spacing w:val="-28"/>
          <w:w w:val="105"/>
        </w:rPr>
        <w:t> </w:t>
      </w:r>
      <w:r>
        <w:rPr>
          <w:w w:val="105"/>
        </w:rPr>
        <w:t>organised</w:t>
      </w:r>
      <w:r>
        <w:rPr>
          <w:spacing w:val="-28"/>
          <w:w w:val="105"/>
        </w:rPr>
        <w:t> </w:t>
      </w:r>
      <w:r>
        <w:rPr>
          <w:w w:val="105"/>
        </w:rPr>
        <w:t>a</w:t>
      </w:r>
      <w:r>
        <w:rPr>
          <w:spacing w:val="-28"/>
          <w:w w:val="105"/>
        </w:rPr>
        <w:t> </w:t>
      </w:r>
      <w:r>
        <w:rPr>
          <w:w w:val="105"/>
        </w:rPr>
        <w:t>Unite</w:t>
      </w:r>
      <w:r>
        <w:rPr>
          <w:spacing w:val="-28"/>
          <w:w w:val="105"/>
        </w:rPr>
        <w:t> </w:t>
      </w:r>
      <w:r>
        <w:rPr>
          <w:w w:val="105"/>
        </w:rPr>
        <w:t>Winter </w:t>
      </w:r>
      <w:r>
        <w:rPr/>
        <w:t>Appeal</w:t>
      </w:r>
      <w:r>
        <w:rPr>
          <w:spacing w:val="-12"/>
        </w:rPr>
        <w:t> </w:t>
      </w:r>
      <w:r>
        <w:rPr/>
        <w:t>across</w:t>
      </w:r>
      <w:r>
        <w:rPr>
          <w:spacing w:val="-12"/>
        </w:rPr>
        <w:t> </w:t>
      </w:r>
      <w:r>
        <w:rPr/>
        <w:t>the</w:t>
      </w:r>
      <w:r>
        <w:rPr>
          <w:spacing w:val="-12"/>
        </w:rPr>
        <w:t> </w:t>
      </w:r>
      <w:r>
        <w:rPr/>
        <w:t>University</w:t>
      </w:r>
      <w:r>
        <w:rPr>
          <w:spacing w:val="-12"/>
        </w:rPr>
        <w:t> </w:t>
      </w:r>
      <w:r>
        <w:rPr/>
        <w:t>and</w:t>
      </w:r>
    </w:p>
    <w:p>
      <w:pPr>
        <w:pStyle w:val="BodyText"/>
        <w:spacing w:line="249" w:lineRule="auto" w:before="3"/>
        <w:ind w:left="333" w:right="22"/>
      </w:pPr>
      <w:r>
        <w:rPr/>
        <w:t>The College, which saw volunteers collect items to create personal hygiene kits for people experiencing homelessness. More than 300 kits were created, and several staff members and students volunteered to take part in the associated Western Sydney Homeless Connect event, which provided services to more than 2,500 people on 12 October.</w:t>
      </w:r>
    </w:p>
    <w:p>
      <w:pPr>
        <w:pStyle w:val="BodyText"/>
        <w:spacing w:line="247" w:lineRule="auto" w:before="55"/>
        <w:ind w:left="333" w:right="22" w:hanging="227"/>
      </w:pPr>
      <w:r>
        <w:rPr>
          <w:rFonts w:ascii="Century Gothic" w:hAnsi="Century Gothic"/>
          <w:b/>
          <w:w w:val="115"/>
        </w:rPr>
        <w:t>≥ </w:t>
      </w:r>
      <w:r>
        <w:rPr/>
        <w:t>The Academy’s team and members supported and delivered the Reading Ambassadors program within the broader Books</w:t>
      </w:r>
      <w:r>
        <w:rPr>
          <w:spacing w:val="-16"/>
        </w:rPr>
        <w:t> </w:t>
      </w:r>
      <w:r>
        <w:rPr/>
        <w:t>in</w:t>
      </w:r>
      <w:r>
        <w:rPr>
          <w:spacing w:val="-16"/>
        </w:rPr>
        <w:t> </w:t>
      </w:r>
      <w:r>
        <w:rPr/>
        <w:t>Homes</w:t>
      </w:r>
      <w:r>
        <w:rPr>
          <w:spacing w:val="-16"/>
        </w:rPr>
        <w:t> </w:t>
      </w:r>
      <w:r>
        <w:rPr/>
        <w:t>program.</w:t>
      </w:r>
      <w:r>
        <w:rPr>
          <w:spacing w:val="-16"/>
        </w:rPr>
        <w:t> </w:t>
      </w:r>
      <w:r>
        <w:rPr/>
        <w:t>These</w:t>
      </w:r>
      <w:r>
        <w:rPr>
          <w:spacing w:val="-16"/>
        </w:rPr>
        <w:t> </w:t>
      </w:r>
      <w:r>
        <w:rPr/>
        <w:t>programs help disadvantaged primary school students connect with their own curiosity and ability to become autonomous </w:t>
      </w:r>
      <w:r>
        <w:rPr>
          <w:spacing w:val="2"/>
        </w:rPr>
        <w:t>learners.</w:t>
      </w:r>
    </w:p>
    <w:p>
      <w:pPr>
        <w:pStyle w:val="BodyText"/>
        <w:spacing w:line="247" w:lineRule="auto" w:before="57"/>
        <w:ind w:left="333" w:right="-3" w:hanging="227"/>
      </w:pPr>
      <w:r>
        <w:rPr>
          <w:rFonts w:ascii="Century Gothic" w:hAnsi="Century Gothic"/>
          <w:b/>
          <w:w w:val="115"/>
        </w:rPr>
        <w:t>≥ </w:t>
      </w:r>
      <w:r>
        <w:rPr/>
        <w:t>Academic units such as Innovation Lab</w:t>
      </w:r>
      <w:r>
        <w:rPr>
          <w:spacing w:val="-22"/>
        </w:rPr>
        <w:t> </w:t>
      </w:r>
      <w:r>
        <w:rPr/>
        <w:t>and Creativity,</w:t>
      </w:r>
      <w:r>
        <w:rPr>
          <w:spacing w:val="-23"/>
        </w:rPr>
        <w:t> </w:t>
      </w:r>
      <w:r>
        <w:rPr/>
        <w:t>Innovation</w:t>
      </w:r>
      <w:r>
        <w:rPr>
          <w:spacing w:val="-23"/>
        </w:rPr>
        <w:t> </w:t>
      </w:r>
      <w:r>
        <w:rPr/>
        <w:t>and</w:t>
      </w:r>
      <w:r>
        <w:rPr>
          <w:spacing w:val="-23"/>
        </w:rPr>
        <w:t> </w:t>
      </w:r>
      <w:r>
        <w:rPr/>
        <w:t>Design</w:t>
      </w:r>
      <w:r>
        <w:rPr>
          <w:spacing w:val="-23"/>
        </w:rPr>
        <w:t> </w:t>
      </w:r>
      <w:r>
        <w:rPr/>
        <w:t>Thinking have used issues in Greater Western Sydney as core materials to develop </w:t>
      </w:r>
      <w:r>
        <w:rPr>
          <w:w w:val="95"/>
        </w:rPr>
        <w:t>innovative</w:t>
      </w:r>
      <w:r>
        <w:rPr>
          <w:spacing w:val="32"/>
          <w:w w:val="95"/>
        </w:rPr>
        <w:t> </w:t>
      </w:r>
      <w:r>
        <w:rPr>
          <w:w w:val="95"/>
        </w:rPr>
        <w:t>solutions.</w:t>
      </w:r>
    </w:p>
    <w:p>
      <w:pPr>
        <w:pStyle w:val="BodyText"/>
        <w:spacing w:before="2"/>
        <w:rPr>
          <w:sz w:val="14"/>
        </w:rPr>
      </w:pPr>
    </w:p>
    <w:p>
      <w:pPr>
        <w:pStyle w:val="BodyText"/>
        <w:spacing w:line="249" w:lineRule="auto"/>
        <w:ind w:left="107" w:right="38"/>
      </w:pPr>
      <w:r>
        <w:rPr/>
        <w:t>The Academy’s community grants provided seed</w:t>
      </w:r>
      <w:r>
        <w:rPr>
          <w:spacing w:val="-14"/>
        </w:rPr>
        <w:t> </w:t>
      </w:r>
      <w:r>
        <w:rPr/>
        <w:t>funding</w:t>
      </w:r>
      <w:r>
        <w:rPr>
          <w:spacing w:val="-14"/>
        </w:rPr>
        <w:t> </w:t>
      </w:r>
      <w:r>
        <w:rPr/>
        <w:t>for</w:t>
      </w:r>
      <w:r>
        <w:rPr>
          <w:spacing w:val="-14"/>
        </w:rPr>
        <w:t> </w:t>
      </w:r>
      <w:r>
        <w:rPr/>
        <w:t>community-based</w:t>
      </w:r>
      <w:r>
        <w:rPr>
          <w:spacing w:val="-14"/>
        </w:rPr>
        <w:t> </w:t>
      </w:r>
      <w:r>
        <w:rPr/>
        <w:t>initiatives that</w:t>
      </w:r>
      <w:r>
        <w:rPr>
          <w:spacing w:val="-16"/>
        </w:rPr>
        <w:t> </w:t>
      </w:r>
      <w:r>
        <w:rPr/>
        <w:t>were</w:t>
      </w:r>
      <w:r>
        <w:rPr>
          <w:spacing w:val="-16"/>
        </w:rPr>
        <w:t> </w:t>
      </w:r>
      <w:r>
        <w:rPr/>
        <w:t>developed,</w:t>
      </w:r>
      <w:r>
        <w:rPr>
          <w:spacing w:val="-16"/>
        </w:rPr>
        <w:t> </w:t>
      </w:r>
      <w:r>
        <w:rPr/>
        <w:t>promoted</w:t>
      </w:r>
      <w:r>
        <w:rPr>
          <w:spacing w:val="-16"/>
        </w:rPr>
        <w:t> </w:t>
      </w:r>
      <w:r>
        <w:rPr/>
        <w:t>and</w:t>
      </w:r>
      <w:r>
        <w:rPr>
          <w:spacing w:val="-16"/>
        </w:rPr>
        <w:t> </w:t>
      </w:r>
      <w:r>
        <w:rPr/>
        <w:t>delivered by teams of student members. This initiative aims</w:t>
      </w:r>
      <w:r>
        <w:rPr>
          <w:spacing w:val="-13"/>
        </w:rPr>
        <w:t> </w:t>
      </w:r>
      <w:r>
        <w:rPr/>
        <w:t>to</w:t>
      </w:r>
      <w:r>
        <w:rPr>
          <w:spacing w:val="-13"/>
        </w:rPr>
        <w:t> </w:t>
      </w:r>
      <w:r>
        <w:rPr/>
        <w:t>promote</w:t>
      </w:r>
      <w:r>
        <w:rPr>
          <w:spacing w:val="-13"/>
        </w:rPr>
        <w:t> </w:t>
      </w:r>
      <w:r>
        <w:rPr/>
        <w:t>pro-social</w:t>
      </w:r>
      <w:r>
        <w:rPr>
          <w:spacing w:val="-13"/>
        </w:rPr>
        <w:t> </w:t>
      </w:r>
      <w:r>
        <w:rPr/>
        <w:t>collaboration</w:t>
      </w:r>
    </w:p>
    <w:p>
      <w:pPr>
        <w:pStyle w:val="BodyText"/>
        <w:spacing w:line="249" w:lineRule="auto"/>
        <w:ind w:left="107" w:right="184"/>
      </w:pPr>
      <w:r>
        <w:rPr/>
        <w:t>and foster a positive sense of community on the University’s campuses. Initiatives have included sustainable food fairs; a skateboarding competition for Parramatta youth with a parallel aim of introducing educational aspiration; several health and mental health awareness-raising activities; and the highly successful University-wide</w:t>
      </w:r>
    </w:p>
    <w:p>
      <w:pPr>
        <w:pStyle w:val="BodyText"/>
        <w:spacing w:before="2"/>
        <w:rPr>
          <w:sz w:val="20"/>
        </w:rPr>
      </w:pPr>
      <w:r>
        <w:rPr/>
        <w:br w:type="column"/>
      </w:r>
      <w:r>
        <w:rPr>
          <w:sz w:val="20"/>
        </w:rPr>
      </w:r>
    </w:p>
    <w:p>
      <w:pPr>
        <w:pStyle w:val="BodyText"/>
        <w:spacing w:line="249" w:lineRule="auto"/>
        <w:ind w:left="107" w:right="3626"/>
      </w:pPr>
      <w:r>
        <w:rPr/>
        <w:t>Unite Winter Appeal, which raised resources for the homeless community.</w:t>
      </w:r>
    </w:p>
    <w:p>
      <w:pPr>
        <w:pStyle w:val="BodyText"/>
        <w:rPr>
          <w:sz w:val="14"/>
        </w:rPr>
      </w:pPr>
    </w:p>
    <w:p>
      <w:pPr>
        <w:pStyle w:val="BodyText"/>
        <w:spacing w:line="249" w:lineRule="auto"/>
        <w:ind w:left="107" w:right="3542"/>
      </w:pPr>
      <w:r>
        <w:rPr/>
        <w:t>The Academy has continued to refine the </w:t>
      </w:r>
      <w:r>
        <w:rPr>
          <w:spacing w:val="1"/>
          <w:w w:val="98"/>
        </w:rPr>
        <w:t>rapid</w:t>
      </w:r>
      <w:r>
        <w:rPr>
          <w:w w:val="98"/>
        </w:rPr>
        <w:t> </w:t>
      </w:r>
      <w:r>
        <w:rPr>
          <w:spacing w:val="1"/>
          <w:w w:val="98"/>
        </w:rPr>
        <w:t>development</w:t>
      </w:r>
      <w:r>
        <w:rPr>
          <w:w w:val="98"/>
        </w:rPr>
        <w:t> </w:t>
      </w:r>
      <w:r>
        <w:rPr>
          <w:spacing w:val="1"/>
          <w:w w:val="98"/>
        </w:rPr>
        <w:t>process</w:t>
      </w:r>
      <w:r>
        <w:rPr>
          <w:w w:val="98"/>
        </w:rPr>
        <w:t> </w:t>
      </w:r>
      <w:r>
        <w:rPr>
          <w:w w:val="98"/>
        </w:rPr>
        <w:t>created </w:t>
      </w:r>
      <w:r>
        <w:rPr>
          <w:w w:val="95"/>
        </w:rPr>
        <w:t>in </w:t>
      </w:r>
      <w:r>
        <w:rPr>
          <w:spacing w:val="1"/>
          <w:w w:val="86"/>
        </w:rPr>
        <w:t>2014.</w:t>
      </w:r>
      <w:r>
        <w:rPr>
          <w:w w:val="86"/>
        </w:rPr>
        <w:t> </w:t>
      </w:r>
      <w:r>
        <w:rPr/>
        <w:t>This process has now also been redeveloped into</w:t>
      </w:r>
      <w:r>
        <w:rPr>
          <w:spacing w:val="-18"/>
        </w:rPr>
        <w:t> </w:t>
      </w:r>
      <w:r>
        <w:rPr/>
        <w:t>a</w:t>
      </w:r>
      <w:r>
        <w:rPr>
          <w:spacing w:val="-18"/>
        </w:rPr>
        <w:t> </w:t>
      </w:r>
      <w:r>
        <w:rPr/>
        <w:t>highly</w:t>
      </w:r>
      <w:r>
        <w:rPr>
          <w:spacing w:val="-18"/>
        </w:rPr>
        <w:t> </w:t>
      </w:r>
      <w:r>
        <w:rPr/>
        <w:t>effective,</w:t>
      </w:r>
      <w:r>
        <w:rPr>
          <w:spacing w:val="-18"/>
        </w:rPr>
        <w:t> </w:t>
      </w:r>
      <w:r>
        <w:rPr/>
        <w:t>problem-based</w:t>
      </w:r>
      <w:r>
        <w:rPr>
          <w:spacing w:val="-18"/>
        </w:rPr>
        <w:t> </w:t>
      </w:r>
      <w:r>
        <w:rPr/>
        <w:t>learning masterclass model. In early December, more than </w:t>
      </w:r>
      <w:r>
        <w:rPr>
          <w:spacing w:val="2"/>
        </w:rPr>
        <w:t>200 </w:t>
      </w:r>
      <w:r>
        <w:rPr/>
        <w:t>senior high school students took </w:t>
      </w:r>
      <w:r>
        <w:rPr>
          <w:spacing w:val="2"/>
        </w:rPr>
        <w:t>part</w:t>
      </w:r>
      <w:r>
        <w:rPr>
          <w:spacing w:val="-15"/>
        </w:rPr>
        <w:t> </w:t>
      </w:r>
      <w:r>
        <w:rPr/>
        <w:t>while</w:t>
      </w:r>
      <w:r>
        <w:rPr>
          <w:spacing w:val="-15"/>
        </w:rPr>
        <w:t> </w:t>
      </w:r>
      <w:r>
        <w:rPr/>
        <w:t>developing</w:t>
      </w:r>
      <w:r>
        <w:rPr>
          <w:spacing w:val="-15"/>
        </w:rPr>
        <w:t> </w:t>
      </w:r>
      <w:r>
        <w:rPr/>
        <w:t>solutions</w:t>
      </w:r>
      <w:r>
        <w:rPr>
          <w:spacing w:val="-15"/>
        </w:rPr>
        <w:t> </w:t>
      </w:r>
      <w:r>
        <w:rPr/>
        <w:t>for</w:t>
      </w:r>
      <w:r>
        <w:rPr>
          <w:spacing w:val="-15"/>
        </w:rPr>
        <w:t> </w:t>
      </w:r>
      <w:r>
        <w:rPr/>
        <w:t>social</w:t>
      </w:r>
    </w:p>
    <w:p>
      <w:pPr>
        <w:pStyle w:val="BodyText"/>
        <w:spacing w:line="249" w:lineRule="auto"/>
        <w:ind w:left="107" w:right="3548"/>
      </w:pPr>
      <w:r>
        <w:rPr/>
        <w:t>and educational issues they identified in their school environments.</w:t>
      </w:r>
    </w:p>
    <w:p>
      <w:pPr>
        <w:pStyle w:val="BodyText"/>
        <w:rPr>
          <w:sz w:val="14"/>
        </w:rPr>
      </w:pPr>
    </w:p>
    <w:p>
      <w:pPr>
        <w:pStyle w:val="BodyText"/>
        <w:spacing w:line="249" w:lineRule="auto"/>
        <w:ind w:left="107" w:right="3664"/>
      </w:pPr>
      <w:r>
        <w:rPr/>
        <w:t>The Academy rounded out the year with The Academy’s Access Awards event. More</w:t>
      </w:r>
    </w:p>
    <w:p>
      <w:pPr>
        <w:pStyle w:val="BodyText"/>
        <w:spacing w:line="249" w:lineRule="auto"/>
        <w:ind w:left="107" w:right="3542"/>
      </w:pPr>
      <w:r>
        <w:rPr>
          <w:spacing w:val="1"/>
          <w:w w:val="97"/>
        </w:rPr>
        <w:t>than</w:t>
      </w:r>
      <w:r>
        <w:rPr>
          <w:w w:val="97"/>
        </w:rPr>
        <w:t> </w:t>
      </w:r>
      <w:r>
        <w:rPr>
          <w:spacing w:val="-1"/>
          <w:w w:val="85"/>
        </w:rPr>
        <w:t>170</w:t>
      </w:r>
      <w:r>
        <w:rPr>
          <w:w w:val="85"/>
        </w:rPr>
        <w:t> </w:t>
      </w:r>
      <w:r>
        <w:rPr>
          <w:spacing w:val="2"/>
          <w:w w:val="98"/>
        </w:rPr>
        <w:t>secondary</w:t>
      </w:r>
      <w:r>
        <w:rPr>
          <w:w w:val="98"/>
        </w:rPr>
        <w:t> </w:t>
      </w:r>
      <w:r>
        <w:rPr>
          <w:spacing w:val="2"/>
          <w:w w:val="94"/>
        </w:rPr>
        <w:t>students,</w:t>
      </w:r>
      <w:r>
        <w:rPr>
          <w:w w:val="94"/>
        </w:rPr>
        <w:t> </w:t>
      </w:r>
      <w:r>
        <w:rPr>
          <w:spacing w:val="1"/>
          <w:w w:val="97"/>
        </w:rPr>
        <w:t>along</w:t>
      </w:r>
      <w:r>
        <w:rPr>
          <w:w w:val="97"/>
        </w:rPr>
        <w:t> </w:t>
      </w:r>
      <w:r>
        <w:rPr>
          <w:w w:val="98"/>
        </w:rPr>
        <w:t>with </w:t>
      </w:r>
      <w:r>
        <w:rPr>
          <w:w w:val="102"/>
        </w:rPr>
        <w:t>420 </w:t>
      </w:r>
      <w:r>
        <w:rPr/>
        <w:t>teachers and relatives, attended this event at the Parramatta South </w:t>
      </w:r>
      <w:r>
        <w:rPr>
          <w:spacing w:val="2"/>
        </w:rPr>
        <w:t>campus. </w:t>
      </w:r>
      <w:r>
        <w:rPr/>
        <w:t>This program </w:t>
      </w:r>
      <w:r>
        <w:rPr>
          <w:spacing w:val="2"/>
        </w:rPr>
        <w:t>connects </w:t>
      </w:r>
      <w:r>
        <w:rPr/>
        <w:t>the University to Greater Western Sydney</w:t>
      </w:r>
      <w:r>
        <w:rPr>
          <w:spacing w:val="-16"/>
        </w:rPr>
        <w:t> </w:t>
      </w:r>
      <w:r>
        <w:rPr/>
        <w:t>high</w:t>
      </w:r>
      <w:r>
        <w:rPr>
          <w:spacing w:val="-16"/>
        </w:rPr>
        <w:t> </w:t>
      </w:r>
      <w:r>
        <w:rPr/>
        <w:t>schools</w:t>
      </w:r>
      <w:r>
        <w:rPr>
          <w:spacing w:val="-16"/>
        </w:rPr>
        <w:t> </w:t>
      </w:r>
      <w:r>
        <w:rPr/>
        <w:t>and</w:t>
      </w:r>
      <w:r>
        <w:rPr>
          <w:spacing w:val="-16"/>
        </w:rPr>
        <w:t> </w:t>
      </w:r>
      <w:r>
        <w:rPr/>
        <w:t>allows</w:t>
      </w:r>
      <w:r>
        <w:rPr>
          <w:spacing w:val="-16"/>
        </w:rPr>
        <w:t> </w:t>
      </w:r>
      <w:r>
        <w:rPr/>
        <w:t>each</w:t>
      </w:r>
      <w:r>
        <w:rPr>
          <w:spacing w:val="-16"/>
        </w:rPr>
        <w:t> </w:t>
      </w:r>
      <w:r>
        <w:rPr/>
        <w:t>member school to nominate their most outstanding student</w:t>
      </w:r>
      <w:r>
        <w:rPr>
          <w:spacing w:val="-20"/>
        </w:rPr>
        <w:t> </w:t>
      </w:r>
      <w:r>
        <w:rPr/>
        <w:t>starting</w:t>
      </w:r>
      <w:r>
        <w:rPr>
          <w:spacing w:val="-20"/>
        </w:rPr>
        <w:t> </w:t>
      </w:r>
      <w:r>
        <w:rPr/>
        <w:t>Year</w:t>
      </w:r>
      <w:r>
        <w:rPr>
          <w:spacing w:val="-20"/>
        </w:rPr>
        <w:t> </w:t>
      </w:r>
      <w:r>
        <w:rPr/>
        <w:t>12</w:t>
      </w:r>
      <w:r>
        <w:rPr>
          <w:spacing w:val="-20"/>
        </w:rPr>
        <w:t> </w:t>
      </w:r>
      <w:r>
        <w:rPr/>
        <w:t>in</w:t>
      </w:r>
      <w:r>
        <w:rPr>
          <w:spacing w:val="-20"/>
        </w:rPr>
        <w:t> </w:t>
      </w:r>
      <w:r>
        <w:rPr/>
        <w:t>the</w:t>
      </w:r>
      <w:r>
        <w:rPr>
          <w:spacing w:val="-20"/>
        </w:rPr>
        <w:t> </w:t>
      </w:r>
      <w:r>
        <w:rPr/>
        <w:t>following</w:t>
      </w:r>
      <w:r>
        <w:rPr>
          <w:spacing w:val="-20"/>
        </w:rPr>
        <w:t> </w:t>
      </w:r>
      <w:r>
        <w:rPr/>
        <w:t>school year.</w:t>
      </w:r>
      <w:r>
        <w:rPr>
          <w:spacing w:val="-22"/>
        </w:rPr>
        <w:t> </w:t>
      </w:r>
      <w:r>
        <w:rPr/>
        <w:t>This</w:t>
      </w:r>
      <w:r>
        <w:rPr>
          <w:spacing w:val="-22"/>
        </w:rPr>
        <w:t> </w:t>
      </w:r>
      <w:r>
        <w:rPr/>
        <w:t>awardee</w:t>
      </w:r>
      <w:r>
        <w:rPr>
          <w:spacing w:val="-22"/>
        </w:rPr>
        <w:t> </w:t>
      </w:r>
      <w:r>
        <w:rPr/>
        <w:t>is</w:t>
      </w:r>
      <w:r>
        <w:rPr>
          <w:spacing w:val="-22"/>
        </w:rPr>
        <w:t> </w:t>
      </w:r>
      <w:r>
        <w:rPr/>
        <w:t>invited</w:t>
      </w:r>
      <w:r>
        <w:rPr>
          <w:spacing w:val="-22"/>
        </w:rPr>
        <w:t> </w:t>
      </w:r>
      <w:r>
        <w:rPr/>
        <w:t>to</w:t>
      </w:r>
      <w:r>
        <w:rPr>
          <w:spacing w:val="-22"/>
        </w:rPr>
        <w:t> </w:t>
      </w:r>
      <w:r>
        <w:rPr/>
        <w:t>participate</w:t>
      </w:r>
    </w:p>
    <w:p>
      <w:pPr>
        <w:pStyle w:val="BodyText"/>
        <w:spacing w:line="249" w:lineRule="auto"/>
        <w:ind w:left="107" w:right="3558"/>
      </w:pPr>
      <w:r>
        <w:rPr/>
        <w:t>in a year-long pre-tertiary program linked with The Academy and receives a conditional scholarship offer. The mood at this event</w:t>
      </w:r>
    </w:p>
    <w:p>
      <w:pPr>
        <w:pStyle w:val="BodyText"/>
        <w:spacing w:line="249" w:lineRule="auto"/>
        <w:ind w:left="107" w:right="3626"/>
      </w:pPr>
      <w:r>
        <w:rPr/>
        <w:t>was very positive and energised, with the recipients</w:t>
      </w:r>
      <w:r>
        <w:rPr>
          <w:spacing w:val="-18"/>
        </w:rPr>
        <w:t> </w:t>
      </w:r>
      <w:r>
        <w:rPr/>
        <w:t>expressing</w:t>
      </w:r>
      <w:r>
        <w:rPr>
          <w:spacing w:val="-18"/>
        </w:rPr>
        <w:t> </w:t>
      </w:r>
      <w:r>
        <w:rPr/>
        <w:t>clear</w:t>
      </w:r>
      <w:r>
        <w:rPr>
          <w:spacing w:val="-18"/>
        </w:rPr>
        <w:t> </w:t>
      </w:r>
      <w:r>
        <w:rPr/>
        <w:t>desires</w:t>
      </w:r>
      <w:r>
        <w:rPr>
          <w:spacing w:val="-18"/>
        </w:rPr>
        <w:t> </w:t>
      </w:r>
      <w:r>
        <w:rPr/>
        <w:t>to</w:t>
      </w:r>
      <w:r>
        <w:rPr>
          <w:spacing w:val="-18"/>
        </w:rPr>
        <w:t> </w:t>
      </w:r>
      <w:r>
        <w:rPr/>
        <w:t>join</w:t>
      </w:r>
      <w:r>
        <w:rPr>
          <w:spacing w:val="-18"/>
        </w:rPr>
        <w:t> </w:t>
      </w:r>
      <w:r>
        <w:rPr/>
        <w:t>the University</w:t>
      </w:r>
      <w:r>
        <w:rPr>
          <w:spacing w:val="-19"/>
        </w:rPr>
        <w:t> </w:t>
      </w:r>
      <w:r>
        <w:rPr/>
        <w:t>and</w:t>
      </w:r>
      <w:r>
        <w:rPr>
          <w:spacing w:val="-19"/>
        </w:rPr>
        <w:t> </w:t>
      </w:r>
      <w:r>
        <w:rPr/>
        <w:t>The</w:t>
      </w:r>
      <w:r>
        <w:rPr>
          <w:spacing w:val="-19"/>
        </w:rPr>
        <w:t> </w:t>
      </w:r>
      <w:r>
        <w:rPr/>
        <w:t>Academy.</w:t>
      </w:r>
    </w:p>
    <w:p>
      <w:pPr>
        <w:spacing w:after="0" w:line="249" w:lineRule="auto"/>
        <w:sectPr>
          <w:type w:val="continuous"/>
          <w:pgSz w:w="11910" w:h="16840"/>
          <w:pgMar w:top="1580" w:bottom="280" w:left="800" w:right="800"/>
          <w:cols w:num="2" w:equalWidth="0">
            <w:col w:w="3313" w:space="127"/>
            <w:col w:w="6870"/>
          </w:cols>
        </w:sectPr>
      </w:pPr>
    </w:p>
    <w:p>
      <w:pPr>
        <w:pStyle w:val="BodyText"/>
        <w:spacing w:before="10"/>
        <w:rPr>
          <w:sz w:val="28"/>
        </w:rPr>
      </w:pPr>
    </w:p>
    <w:p>
      <w:pPr>
        <w:pStyle w:val="Heading2"/>
        <w:spacing w:line="240" w:lineRule="auto" w:before="27"/>
        <w:ind w:right="6642"/>
        <w:rPr>
          <w:b w:val="0"/>
        </w:rPr>
      </w:pPr>
      <w:r>
        <w:rPr>
          <w:b w:val="0"/>
        </w:rPr>
        <w:t>International</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24"/>
        </w:rPr>
      </w:pPr>
    </w:p>
    <w:p>
      <w:pPr>
        <w:spacing w:after="0"/>
        <w:rPr>
          <w:rFonts w:ascii="Chronicle Text G1"/>
          <w:sz w:val="24"/>
        </w:rPr>
        <w:sectPr>
          <w:footerReference w:type="even" r:id="rId55"/>
          <w:footerReference w:type="default" r:id="rId56"/>
          <w:pgSz w:w="11910" w:h="16840"/>
          <w:pgMar w:footer="473" w:header="494" w:top="680" w:bottom="660" w:left="800" w:right="800"/>
        </w:sectPr>
      </w:pPr>
    </w:p>
    <w:p>
      <w:pPr>
        <w:pStyle w:val="BodyText"/>
        <w:spacing w:line="249" w:lineRule="auto" w:before="72"/>
        <w:ind w:left="107" w:right="-7"/>
      </w:pPr>
      <w:r>
        <w:rPr/>
        <w:t>Comprehensive internationalisation is critical to the future competitiveness, impact and </w:t>
      </w:r>
      <w:r>
        <w:rPr>
          <w:spacing w:val="1"/>
          <w:w w:val="97"/>
        </w:rPr>
        <w:t>sustainability</w:t>
      </w:r>
      <w:r>
        <w:rPr>
          <w:w w:val="97"/>
        </w:rPr>
        <w:t> </w:t>
      </w:r>
      <w:r>
        <w:rPr>
          <w:w w:val="99"/>
        </w:rPr>
        <w:t>of </w:t>
      </w:r>
      <w:r>
        <w:rPr>
          <w:w w:val="97"/>
        </w:rPr>
        <w:t>the </w:t>
      </w:r>
      <w:r>
        <w:rPr>
          <w:w w:val="95"/>
        </w:rPr>
        <w:t>University. </w:t>
      </w:r>
      <w:r>
        <w:rPr>
          <w:spacing w:val="1"/>
          <w:w w:val="80"/>
        </w:rPr>
        <w:t>In</w:t>
      </w:r>
      <w:r>
        <w:rPr>
          <w:w w:val="80"/>
        </w:rPr>
        <w:t> </w:t>
      </w:r>
      <w:r>
        <w:rPr>
          <w:spacing w:val="1"/>
          <w:w w:val="84"/>
        </w:rPr>
        <w:t>2015,</w:t>
      </w:r>
      <w:r>
        <w:rPr>
          <w:w w:val="84"/>
        </w:rPr>
        <w:t> </w:t>
      </w:r>
      <w:r>
        <w:rPr>
          <w:w w:val="97"/>
        </w:rPr>
        <w:t>the </w:t>
      </w:r>
      <w:r>
        <w:rPr/>
        <w:t>international</w:t>
      </w:r>
      <w:r>
        <w:rPr>
          <w:spacing w:val="-19"/>
        </w:rPr>
        <w:t> </w:t>
      </w:r>
      <w:r>
        <w:rPr/>
        <w:t>strategy</w:t>
      </w:r>
      <w:r>
        <w:rPr>
          <w:spacing w:val="-19"/>
        </w:rPr>
        <w:t> </w:t>
      </w:r>
      <w:r>
        <w:rPr/>
        <w:t>known</w:t>
      </w:r>
      <w:r>
        <w:rPr>
          <w:spacing w:val="-19"/>
        </w:rPr>
        <w:t> </w:t>
      </w:r>
      <w:r>
        <w:rPr/>
        <w:t>as</w:t>
      </w:r>
      <w:r>
        <w:rPr>
          <w:spacing w:val="-19"/>
        </w:rPr>
        <w:t> </w:t>
      </w:r>
      <w:r>
        <w:rPr/>
        <w:t>Global</w:t>
      </w:r>
      <w:r>
        <w:rPr>
          <w:spacing w:val="-19"/>
        </w:rPr>
        <w:t> </w:t>
      </w:r>
      <w:r>
        <w:rPr/>
        <w:t>Futures </w:t>
      </w:r>
      <w:r>
        <w:rPr>
          <w:spacing w:val="1"/>
          <w:w w:val="94"/>
        </w:rPr>
        <w:t>2015–2020</w:t>
      </w:r>
      <w:r>
        <w:rPr>
          <w:w w:val="94"/>
        </w:rPr>
        <w:t> </w:t>
      </w:r>
      <w:r>
        <w:rPr>
          <w:w w:val="96"/>
        </w:rPr>
        <w:t>was </w:t>
      </w:r>
      <w:r>
        <w:rPr>
          <w:spacing w:val="1"/>
          <w:w w:val="93"/>
        </w:rPr>
        <w:t>released.</w:t>
      </w:r>
      <w:r>
        <w:rPr>
          <w:w w:val="93"/>
        </w:rPr>
        <w:t> </w:t>
      </w:r>
      <w:r>
        <w:rPr>
          <w:w w:val="83"/>
        </w:rPr>
        <w:t>It </w:t>
      </w:r>
      <w:r>
        <w:rPr>
          <w:w w:val="95"/>
        </w:rPr>
        <w:t>is </w:t>
      </w:r>
      <w:r>
        <w:rPr>
          <w:w w:val="94"/>
        </w:rPr>
        <w:t>a </w:t>
      </w:r>
      <w:r>
        <w:rPr>
          <w:w w:val="98"/>
        </w:rPr>
        <w:t>strategic </w:t>
      </w:r>
      <w:r>
        <w:rPr/>
        <w:t>framework to create an unrivalled experience for international students, forge international partnerships,</w:t>
      </w:r>
      <w:r>
        <w:rPr>
          <w:spacing w:val="-18"/>
        </w:rPr>
        <w:t> </w:t>
      </w:r>
      <w:r>
        <w:rPr/>
        <w:t>increase</w:t>
      </w:r>
      <w:r>
        <w:rPr>
          <w:spacing w:val="-18"/>
        </w:rPr>
        <w:t> </w:t>
      </w:r>
      <w:r>
        <w:rPr/>
        <w:t>the</w:t>
      </w:r>
      <w:r>
        <w:rPr>
          <w:spacing w:val="-18"/>
        </w:rPr>
        <w:t> </w:t>
      </w:r>
      <w:r>
        <w:rPr/>
        <w:t>number</w:t>
      </w:r>
      <w:r>
        <w:rPr>
          <w:spacing w:val="-18"/>
        </w:rPr>
        <w:t> </w:t>
      </w:r>
      <w:r>
        <w:rPr/>
        <w:t>of</w:t>
      </w:r>
      <w:r>
        <w:rPr>
          <w:spacing w:val="-18"/>
        </w:rPr>
        <w:t> </w:t>
      </w:r>
      <w:r>
        <w:rPr/>
        <w:t>inbound international students and expand outbound mobility</w:t>
      </w:r>
      <w:r>
        <w:rPr>
          <w:spacing w:val="-24"/>
        </w:rPr>
        <w:t> </w:t>
      </w:r>
      <w:r>
        <w:rPr/>
        <w:t>experiences.</w:t>
      </w:r>
    </w:p>
    <w:p>
      <w:pPr>
        <w:pStyle w:val="BodyText"/>
      </w:pPr>
    </w:p>
    <w:p>
      <w:pPr>
        <w:pStyle w:val="Heading5"/>
        <w:spacing w:line="260" w:lineRule="exact" w:before="101"/>
      </w:pPr>
      <w:r>
        <w:rPr>
          <w:w w:val="95"/>
        </w:rPr>
        <w:t>INTERNATIONAL STUDENT </w:t>
      </w:r>
      <w:r>
        <w:rPr/>
        <w:t>EXPERIENCE</w:t>
      </w:r>
    </w:p>
    <w:p>
      <w:pPr>
        <w:pStyle w:val="BodyText"/>
        <w:spacing w:line="249" w:lineRule="auto" w:before="214"/>
        <w:ind w:left="107" w:right="386"/>
      </w:pPr>
      <w:r>
        <w:rPr/>
        <w:t>The International Student Barometer (ISB)</w:t>
      </w:r>
      <w:r>
        <w:rPr>
          <w:spacing w:val="-30"/>
        </w:rPr>
        <w:t> </w:t>
      </w:r>
      <w:r>
        <w:rPr/>
        <w:t>survey</w:t>
      </w:r>
      <w:r>
        <w:rPr>
          <w:spacing w:val="-30"/>
        </w:rPr>
        <w:t> </w:t>
      </w:r>
      <w:r>
        <w:rPr/>
        <w:t>provides</w:t>
      </w:r>
      <w:r>
        <w:rPr>
          <w:spacing w:val="-30"/>
        </w:rPr>
        <w:t> </w:t>
      </w:r>
      <w:r>
        <w:rPr/>
        <w:t>a</w:t>
      </w:r>
      <w:r>
        <w:rPr>
          <w:spacing w:val="-30"/>
        </w:rPr>
        <w:t> </w:t>
      </w:r>
      <w:r>
        <w:rPr/>
        <w:t>global</w:t>
      </w:r>
      <w:r>
        <w:rPr>
          <w:spacing w:val="-30"/>
        </w:rPr>
        <w:t> </w:t>
      </w:r>
      <w:r>
        <w:rPr/>
        <w:t>benchmark for</w:t>
      </w:r>
      <w:r>
        <w:rPr>
          <w:spacing w:val="-28"/>
        </w:rPr>
        <w:t> </w:t>
      </w:r>
      <w:r>
        <w:rPr/>
        <w:t>the</w:t>
      </w:r>
      <w:r>
        <w:rPr>
          <w:spacing w:val="-28"/>
        </w:rPr>
        <w:t> </w:t>
      </w:r>
      <w:r>
        <w:rPr/>
        <w:t>international</w:t>
      </w:r>
      <w:r>
        <w:rPr>
          <w:spacing w:val="-28"/>
        </w:rPr>
        <w:t> </w:t>
      </w:r>
      <w:r>
        <w:rPr/>
        <w:t>student</w:t>
      </w:r>
      <w:r>
        <w:rPr>
          <w:spacing w:val="-28"/>
        </w:rPr>
        <w:t> </w:t>
      </w:r>
      <w:r>
        <w:rPr/>
        <w:t>experience, which</w:t>
      </w:r>
      <w:r>
        <w:rPr>
          <w:spacing w:val="-26"/>
        </w:rPr>
        <w:t> </w:t>
      </w:r>
      <w:r>
        <w:rPr/>
        <w:t>is</w:t>
      </w:r>
      <w:r>
        <w:rPr>
          <w:spacing w:val="-26"/>
        </w:rPr>
        <w:t> </w:t>
      </w:r>
      <w:r>
        <w:rPr/>
        <w:t>at</w:t>
      </w:r>
      <w:r>
        <w:rPr>
          <w:spacing w:val="-26"/>
        </w:rPr>
        <w:t> </w:t>
      </w:r>
      <w:r>
        <w:rPr/>
        <w:t>the</w:t>
      </w:r>
      <w:r>
        <w:rPr>
          <w:spacing w:val="-26"/>
        </w:rPr>
        <w:t> </w:t>
      </w:r>
      <w:r>
        <w:rPr/>
        <w:t>centre</w:t>
      </w:r>
      <w:r>
        <w:rPr>
          <w:spacing w:val="-26"/>
        </w:rPr>
        <w:t> </w:t>
      </w:r>
      <w:r>
        <w:rPr/>
        <w:t>of</w:t>
      </w:r>
      <w:r>
        <w:rPr>
          <w:spacing w:val="-26"/>
        </w:rPr>
        <w:t> </w:t>
      </w:r>
      <w:r>
        <w:rPr/>
        <w:t>the</w:t>
      </w:r>
      <w:r>
        <w:rPr>
          <w:spacing w:val="-26"/>
        </w:rPr>
        <w:t> </w:t>
      </w:r>
      <w:r>
        <w:rPr/>
        <w:t>University’s</w:t>
      </w:r>
    </w:p>
    <w:p>
      <w:pPr>
        <w:pStyle w:val="BodyText"/>
        <w:spacing w:line="249" w:lineRule="auto"/>
        <w:ind w:left="107" w:right="10"/>
      </w:pPr>
      <w:r>
        <w:rPr>
          <w:spacing w:val="-1"/>
          <w:w w:val="97"/>
        </w:rPr>
        <w:t>internationalisation</w:t>
      </w:r>
      <w:r>
        <w:rPr>
          <w:w w:val="97"/>
        </w:rPr>
        <w:t> </w:t>
      </w:r>
      <w:r>
        <w:rPr>
          <w:spacing w:val="-2"/>
          <w:w w:val="95"/>
        </w:rPr>
        <w:t>strategy.</w:t>
      </w:r>
      <w:r>
        <w:rPr>
          <w:w w:val="95"/>
        </w:rPr>
        <w:t> </w:t>
      </w:r>
      <w:r>
        <w:rPr>
          <w:w w:val="94"/>
        </w:rPr>
        <w:t>The </w:t>
      </w:r>
      <w:r>
        <w:rPr>
          <w:w w:val="88"/>
        </w:rPr>
        <w:t>2015 </w:t>
      </w:r>
      <w:r>
        <w:rPr>
          <w:spacing w:val="-1"/>
          <w:w w:val="97"/>
        </w:rPr>
        <w:t>survey</w:t>
      </w:r>
      <w:r>
        <w:rPr>
          <w:w w:val="97"/>
        </w:rPr>
        <w:t> </w:t>
      </w:r>
      <w:r>
        <w:rPr/>
        <w:t>results</w:t>
      </w:r>
      <w:r>
        <w:rPr>
          <w:spacing w:val="-30"/>
        </w:rPr>
        <w:t> </w:t>
      </w:r>
      <w:r>
        <w:rPr/>
        <w:t>found</w:t>
      </w:r>
      <w:r>
        <w:rPr>
          <w:spacing w:val="-30"/>
        </w:rPr>
        <w:t> </w:t>
      </w:r>
      <w:r>
        <w:rPr/>
        <w:t>a</w:t>
      </w:r>
      <w:r>
        <w:rPr>
          <w:spacing w:val="-30"/>
        </w:rPr>
        <w:t> </w:t>
      </w:r>
      <w:r>
        <w:rPr/>
        <w:t>high</w:t>
      </w:r>
      <w:r>
        <w:rPr>
          <w:spacing w:val="-30"/>
        </w:rPr>
        <w:t> </w:t>
      </w:r>
      <w:r>
        <w:rPr/>
        <w:t>percentage</w:t>
      </w:r>
      <w:r>
        <w:rPr>
          <w:spacing w:val="-30"/>
        </w:rPr>
        <w:t> </w:t>
      </w:r>
      <w:r>
        <w:rPr/>
        <w:t>of</w:t>
      </w:r>
      <w:r>
        <w:rPr>
          <w:spacing w:val="-30"/>
        </w:rPr>
        <w:t> </w:t>
      </w:r>
      <w:r>
        <w:rPr/>
        <w:t>international students </w:t>
      </w:r>
      <w:r>
        <w:rPr>
          <w:spacing w:val="-3"/>
        </w:rPr>
        <w:t>(overall </w:t>
      </w:r>
      <w:r>
        <w:rPr/>
        <w:t>88 per cent) are satisfied or very satisfied with their living, support and arrival</w:t>
      </w:r>
      <w:r>
        <w:rPr>
          <w:spacing w:val="-32"/>
        </w:rPr>
        <w:t> </w:t>
      </w:r>
      <w:r>
        <w:rPr/>
        <w:t>experience</w:t>
      </w:r>
      <w:r>
        <w:rPr>
          <w:spacing w:val="-32"/>
        </w:rPr>
        <w:t> </w:t>
      </w:r>
      <w:r>
        <w:rPr/>
        <w:t>at</w:t>
      </w:r>
      <w:r>
        <w:rPr>
          <w:spacing w:val="-32"/>
        </w:rPr>
        <w:t> </w:t>
      </w:r>
      <w:r>
        <w:rPr/>
        <w:t>the</w:t>
      </w:r>
      <w:r>
        <w:rPr>
          <w:spacing w:val="-32"/>
        </w:rPr>
        <w:t> </w:t>
      </w:r>
      <w:r>
        <w:rPr/>
        <w:t>University.</w:t>
      </w:r>
      <w:r>
        <w:rPr>
          <w:spacing w:val="-32"/>
        </w:rPr>
        <w:t> </w:t>
      </w:r>
      <w:r>
        <w:rPr/>
        <w:t>This</w:t>
      </w:r>
      <w:r>
        <w:rPr>
          <w:spacing w:val="-32"/>
        </w:rPr>
        <w:t> </w:t>
      </w:r>
      <w:r>
        <w:rPr/>
        <w:t>is</w:t>
      </w:r>
      <w:r>
        <w:rPr>
          <w:spacing w:val="-32"/>
        </w:rPr>
        <w:t> </w:t>
      </w:r>
      <w:r>
        <w:rPr/>
        <w:t>a</w:t>
      </w:r>
    </w:p>
    <w:p>
      <w:pPr>
        <w:pStyle w:val="BodyText"/>
        <w:spacing w:line="249" w:lineRule="auto"/>
        <w:ind w:left="107" w:right="165"/>
      </w:pPr>
      <w:r>
        <w:rPr>
          <w:spacing w:val="1"/>
          <w:w w:val="91"/>
        </w:rPr>
        <w:t>4.6</w:t>
      </w:r>
      <w:r>
        <w:rPr>
          <w:w w:val="91"/>
        </w:rPr>
        <w:t> </w:t>
      </w:r>
      <w:r>
        <w:rPr>
          <w:w w:val="97"/>
        </w:rPr>
        <w:t>per </w:t>
      </w:r>
      <w:r>
        <w:rPr>
          <w:spacing w:val="-1"/>
          <w:w w:val="99"/>
        </w:rPr>
        <w:t>cent</w:t>
      </w:r>
      <w:r>
        <w:rPr>
          <w:w w:val="99"/>
        </w:rPr>
        <w:t> </w:t>
      </w:r>
      <w:r>
        <w:rPr>
          <w:spacing w:val="-1"/>
          <w:w w:val="98"/>
        </w:rPr>
        <w:t>improvement</w:t>
      </w:r>
      <w:r>
        <w:rPr>
          <w:w w:val="98"/>
        </w:rPr>
        <w:t> </w:t>
      </w:r>
      <w:r>
        <w:rPr>
          <w:w w:val="98"/>
        </w:rPr>
        <w:t>on </w:t>
      </w:r>
      <w:r>
        <w:rPr>
          <w:spacing w:val="-1"/>
          <w:w w:val="90"/>
        </w:rPr>
        <w:t>2014</w:t>
      </w:r>
      <w:r>
        <w:rPr>
          <w:w w:val="90"/>
        </w:rPr>
        <w:t> </w:t>
      </w:r>
      <w:r>
        <w:rPr>
          <w:w w:val="92"/>
        </w:rPr>
        <w:t>results. </w:t>
      </w:r>
      <w:r>
        <w:rPr/>
        <w:t>The</w:t>
      </w:r>
      <w:r>
        <w:rPr>
          <w:spacing w:val="-25"/>
        </w:rPr>
        <w:t> </w:t>
      </w:r>
      <w:r>
        <w:rPr/>
        <w:t>rating</w:t>
      </w:r>
      <w:r>
        <w:rPr>
          <w:spacing w:val="-25"/>
        </w:rPr>
        <w:t> </w:t>
      </w:r>
      <w:r>
        <w:rPr/>
        <w:t>for</w:t>
      </w:r>
      <w:r>
        <w:rPr>
          <w:spacing w:val="-25"/>
        </w:rPr>
        <w:t> </w:t>
      </w:r>
      <w:r>
        <w:rPr/>
        <w:t>the</w:t>
      </w:r>
      <w:r>
        <w:rPr>
          <w:spacing w:val="-25"/>
        </w:rPr>
        <w:t> </w:t>
      </w:r>
      <w:r>
        <w:rPr/>
        <w:t>‘propensity</w:t>
      </w:r>
      <w:r>
        <w:rPr>
          <w:spacing w:val="-25"/>
        </w:rPr>
        <w:t> </w:t>
      </w:r>
      <w:r>
        <w:rPr/>
        <w:t>to</w:t>
      </w:r>
      <w:r>
        <w:rPr>
          <w:spacing w:val="-25"/>
        </w:rPr>
        <w:t> </w:t>
      </w:r>
      <w:r>
        <w:rPr/>
        <w:t>recommend’ </w:t>
      </w:r>
      <w:r>
        <w:rPr>
          <w:w w:val="97"/>
        </w:rPr>
        <w:t>the </w:t>
      </w:r>
      <w:r>
        <w:rPr>
          <w:spacing w:val="-1"/>
          <w:w w:val="97"/>
        </w:rPr>
        <w:t>University</w:t>
      </w:r>
      <w:r>
        <w:rPr>
          <w:w w:val="97"/>
        </w:rPr>
        <w:t> </w:t>
      </w:r>
      <w:r>
        <w:rPr>
          <w:spacing w:val="-1"/>
          <w:w w:val="99"/>
        </w:rPr>
        <w:t>improved</w:t>
      </w:r>
      <w:r>
        <w:rPr>
          <w:w w:val="99"/>
        </w:rPr>
        <w:t> </w:t>
      </w:r>
      <w:r>
        <w:rPr>
          <w:spacing w:val="-1"/>
          <w:w w:val="97"/>
        </w:rPr>
        <w:t>significantly</w:t>
      </w:r>
      <w:r>
        <w:rPr>
          <w:w w:val="97"/>
        </w:rPr>
        <w:t> </w:t>
      </w:r>
      <w:r>
        <w:rPr>
          <w:spacing w:val="-1"/>
          <w:w w:val="95"/>
        </w:rPr>
        <w:t>in</w:t>
      </w:r>
      <w:r>
        <w:rPr>
          <w:w w:val="95"/>
        </w:rPr>
        <w:t> </w:t>
      </w:r>
      <w:r>
        <w:rPr>
          <w:w w:val="84"/>
        </w:rPr>
        <w:t>2015, </w:t>
      </w:r>
      <w:r>
        <w:rPr>
          <w:spacing w:val="-1"/>
          <w:w w:val="96"/>
        </w:rPr>
        <w:t>increasing</w:t>
      </w:r>
      <w:r>
        <w:rPr>
          <w:spacing w:val="-11"/>
          <w:w w:val="96"/>
        </w:rPr>
        <w:t> </w:t>
      </w:r>
      <w:r>
        <w:rPr>
          <w:w w:val="101"/>
        </w:rPr>
        <w:t>9</w:t>
      </w:r>
      <w:r>
        <w:rPr>
          <w:spacing w:val="-13"/>
          <w:w w:val="101"/>
        </w:rPr>
        <w:t> </w:t>
      </w:r>
      <w:r>
        <w:rPr>
          <w:w w:val="97"/>
        </w:rPr>
        <w:t>per</w:t>
      </w:r>
      <w:r>
        <w:rPr>
          <w:spacing w:val="-11"/>
          <w:w w:val="97"/>
        </w:rPr>
        <w:t> </w:t>
      </w:r>
      <w:r>
        <w:rPr>
          <w:spacing w:val="-1"/>
          <w:w w:val="99"/>
        </w:rPr>
        <w:t>cent</w:t>
      </w:r>
      <w:r>
        <w:rPr>
          <w:spacing w:val="-12"/>
          <w:w w:val="99"/>
        </w:rPr>
        <w:t> </w:t>
      </w:r>
      <w:r>
        <w:rPr>
          <w:w w:val="98"/>
        </w:rPr>
        <w:t>on</w:t>
      </w:r>
      <w:r>
        <w:rPr>
          <w:spacing w:val="-12"/>
          <w:w w:val="98"/>
        </w:rPr>
        <w:t> </w:t>
      </w:r>
      <w:r>
        <w:rPr>
          <w:w w:val="86"/>
        </w:rPr>
        <w:t>2014.</w:t>
      </w:r>
    </w:p>
    <w:p>
      <w:pPr>
        <w:pStyle w:val="BodyText"/>
        <w:spacing w:before="7"/>
        <w:rPr>
          <w:sz w:val="21"/>
        </w:rPr>
      </w:pPr>
    </w:p>
    <w:p>
      <w:pPr>
        <w:pStyle w:val="Heading8"/>
        <w:spacing w:line="249" w:lineRule="auto"/>
      </w:pPr>
      <w:r>
        <w:rPr>
          <w:w w:val="95"/>
        </w:rPr>
        <w:t>SOCIAL ENGAGEMENT AND LEADERSHIP </w:t>
      </w:r>
      <w:r>
        <w:rPr/>
        <w:t>PROGRAM</w:t>
      </w:r>
    </w:p>
    <w:p>
      <w:pPr>
        <w:pStyle w:val="BodyText"/>
        <w:spacing w:line="249" w:lineRule="auto" w:before="79"/>
        <w:ind w:left="107" w:right="39"/>
      </w:pPr>
      <w:r>
        <w:rPr/>
        <w:t>The Social Engagement and Leadership Program (SELP) facilitates connections between</w:t>
      </w:r>
      <w:r>
        <w:rPr>
          <w:spacing w:val="-17"/>
        </w:rPr>
        <w:t> </w:t>
      </w:r>
      <w:r>
        <w:rPr/>
        <w:t>international</w:t>
      </w:r>
      <w:r>
        <w:rPr>
          <w:spacing w:val="-17"/>
        </w:rPr>
        <w:t> </w:t>
      </w:r>
      <w:r>
        <w:rPr/>
        <w:t>and</w:t>
      </w:r>
      <w:r>
        <w:rPr>
          <w:spacing w:val="-17"/>
        </w:rPr>
        <w:t> </w:t>
      </w:r>
      <w:r>
        <w:rPr/>
        <w:t>domestic</w:t>
      </w:r>
      <w:r>
        <w:rPr>
          <w:spacing w:val="-17"/>
        </w:rPr>
        <w:t> </w:t>
      </w:r>
      <w:r>
        <w:rPr/>
        <w:t>students, and between students and community- </w:t>
      </w:r>
      <w:r>
        <w:rPr>
          <w:spacing w:val="1"/>
          <w:w w:val="98"/>
        </w:rPr>
        <w:t>based</w:t>
      </w:r>
      <w:r>
        <w:rPr>
          <w:w w:val="98"/>
        </w:rPr>
        <w:t> </w:t>
      </w:r>
      <w:r>
        <w:rPr>
          <w:spacing w:val="1"/>
          <w:w w:val="95"/>
        </w:rPr>
        <w:t>organisations.</w:t>
      </w:r>
      <w:r>
        <w:rPr>
          <w:w w:val="95"/>
        </w:rPr>
        <w:t> </w:t>
      </w:r>
      <w:r>
        <w:rPr>
          <w:spacing w:val="1"/>
          <w:w w:val="80"/>
        </w:rPr>
        <w:t>In</w:t>
      </w:r>
      <w:r>
        <w:rPr>
          <w:w w:val="80"/>
        </w:rPr>
        <w:t> </w:t>
      </w:r>
      <w:r>
        <w:rPr>
          <w:spacing w:val="1"/>
          <w:w w:val="84"/>
        </w:rPr>
        <w:t>2015,</w:t>
      </w:r>
      <w:r>
        <w:rPr>
          <w:w w:val="84"/>
        </w:rPr>
        <w:t> </w:t>
      </w:r>
      <w:r>
        <w:rPr>
          <w:spacing w:val="3"/>
          <w:w w:val="101"/>
        </w:rPr>
        <w:t>84</w:t>
      </w:r>
      <w:r>
        <w:rPr>
          <w:w w:val="101"/>
        </w:rPr>
        <w:t> </w:t>
      </w:r>
      <w:r>
        <w:rPr>
          <w:spacing w:val="1"/>
          <w:w w:val="99"/>
        </w:rPr>
        <w:t>domestic</w:t>
      </w:r>
      <w:r>
        <w:rPr>
          <w:w w:val="99"/>
        </w:rPr>
        <w:t>  </w:t>
      </w:r>
      <w:r>
        <w:rPr/>
        <w:t>and international students participated in group work and a team project to develop a greater awareness of different cultural views and</w:t>
      </w:r>
      <w:r>
        <w:rPr>
          <w:spacing w:val="-16"/>
        </w:rPr>
        <w:t> </w:t>
      </w:r>
      <w:r>
        <w:rPr/>
        <w:t>a</w:t>
      </w:r>
      <w:r>
        <w:rPr>
          <w:spacing w:val="-16"/>
        </w:rPr>
        <w:t> </w:t>
      </w:r>
      <w:r>
        <w:rPr/>
        <w:t>sense</w:t>
      </w:r>
      <w:r>
        <w:rPr>
          <w:spacing w:val="-16"/>
        </w:rPr>
        <w:t> </w:t>
      </w:r>
      <w:r>
        <w:rPr/>
        <w:t>of</w:t>
      </w:r>
      <w:r>
        <w:rPr>
          <w:spacing w:val="-16"/>
        </w:rPr>
        <w:t> </w:t>
      </w:r>
      <w:r>
        <w:rPr/>
        <w:t>belonging,</w:t>
      </w:r>
      <w:r>
        <w:rPr>
          <w:spacing w:val="-16"/>
        </w:rPr>
        <w:t> </w:t>
      </w:r>
      <w:r>
        <w:rPr/>
        <w:t>as</w:t>
      </w:r>
      <w:r>
        <w:rPr>
          <w:spacing w:val="-16"/>
        </w:rPr>
        <w:t> </w:t>
      </w:r>
      <w:r>
        <w:rPr/>
        <w:t>well</w:t>
      </w:r>
      <w:r>
        <w:rPr>
          <w:spacing w:val="-16"/>
        </w:rPr>
        <w:t> </w:t>
      </w:r>
      <w:r>
        <w:rPr/>
        <w:t>as</w:t>
      </w:r>
      <w:r>
        <w:rPr>
          <w:spacing w:val="-16"/>
        </w:rPr>
        <w:t> </w:t>
      </w:r>
      <w:r>
        <w:rPr/>
        <w:t>improve the English language skills of international students. Throughout the program, </w:t>
      </w:r>
      <w:r>
        <w:rPr>
          <w:spacing w:val="2"/>
        </w:rPr>
        <w:t>academics </w:t>
      </w:r>
      <w:r>
        <w:rPr/>
        <w:t>and program leaders provided advice and support to participants to help them collaborate, communicate and share their</w:t>
      </w:r>
      <w:r>
        <w:rPr>
          <w:spacing w:val="-38"/>
        </w:rPr>
        <w:t> </w:t>
      </w:r>
      <w:r>
        <w:rPr/>
        <w:t>cultures.</w:t>
      </w:r>
    </w:p>
    <w:p>
      <w:pPr>
        <w:pStyle w:val="Heading5"/>
        <w:spacing w:line="260" w:lineRule="exact" w:before="88"/>
      </w:pPr>
      <w:r>
        <w:rPr>
          <w:b w:val="0"/>
        </w:rPr>
        <w:br w:type="column"/>
      </w:r>
      <w:r>
        <w:rPr>
          <w:w w:val="95"/>
        </w:rPr>
        <w:t>INTERNATIONAL </w:t>
      </w:r>
      <w:r>
        <w:rPr/>
        <w:t>PARTNERSHIPS</w:t>
      </w:r>
    </w:p>
    <w:p>
      <w:pPr>
        <w:pStyle w:val="BodyText"/>
        <w:spacing w:line="249" w:lineRule="auto" w:before="214"/>
        <w:ind w:left="107"/>
      </w:pPr>
      <w:r>
        <w:rPr>
          <w:w w:val="80"/>
        </w:rPr>
        <w:t>In </w:t>
      </w:r>
      <w:r>
        <w:rPr>
          <w:w w:val="84"/>
        </w:rPr>
        <w:t>2015, </w:t>
      </w:r>
      <w:r>
        <w:rPr>
          <w:w w:val="97"/>
        </w:rPr>
        <w:t>there </w:t>
      </w:r>
      <w:r>
        <w:rPr>
          <w:w w:val="96"/>
        </w:rPr>
        <w:t>was </w:t>
      </w:r>
      <w:r>
        <w:rPr>
          <w:w w:val="97"/>
        </w:rPr>
        <w:t>increased </w:t>
      </w:r>
      <w:r>
        <w:rPr>
          <w:w w:val="96"/>
        </w:rPr>
        <w:t>emphasis </w:t>
      </w:r>
      <w:r>
        <w:rPr>
          <w:w w:val="98"/>
        </w:rPr>
        <w:t>on </w:t>
      </w:r>
      <w:r>
        <w:rPr/>
        <w:t>building partnerships with international institutions that support collaborative research, joint degrees, articulations</w:t>
      </w:r>
    </w:p>
    <w:p>
      <w:pPr>
        <w:pStyle w:val="BodyText"/>
        <w:spacing w:line="249" w:lineRule="auto"/>
        <w:ind w:left="107" w:right="88"/>
      </w:pPr>
      <w:r>
        <w:rPr/>
        <w:t>and academic pathways. Forty-two new agreements were signed, bringing the total number of agreements to 182 across the Americas, Europe (including the UK), Africa, East Asia, South-East Asia and the Indian subcontinent.</w:t>
      </w:r>
    </w:p>
    <w:p>
      <w:pPr>
        <w:pStyle w:val="BodyText"/>
        <w:rPr>
          <w:sz w:val="14"/>
        </w:rPr>
      </w:pPr>
    </w:p>
    <w:p>
      <w:pPr>
        <w:pStyle w:val="BodyText"/>
        <w:spacing w:line="249" w:lineRule="auto"/>
        <w:ind w:left="107"/>
      </w:pPr>
      <w:r>
        <w:rPr/>
        <w:t>In a major development, the University built on the long-term commitment to offshore collaboration</w:t>
      </w:r>
      <w:r>
        <w:rPr>
          <w:spacing w:val="-19"/>
        </w:rPr>
        <w:t> </w:t>
      </w:r>
      <w:r>
        <w:rPr/>
        <w:t>with</w:t>
      </w:r>
      <w:r>
        <w:rPr>
          <w:spacing w:val="-19"/>
        </w:rPr>
        <w:t> </w:t>
      </w:r>
      <w:r>
        <w:rPr/>
        <w:t>the</w:t>
      </w:r>
      <w:r>
        <w:rPr>
          <w:spacing w:val="-19"/>
        </w:rPr>
        <w:t> </w:t>
      </w:r>
      <w:r>
        <w:rPr/>
        <w:t>University</w:t>
      </w:r>
      <w:r>
        <w:rPr>
          <w:spacing w:val="-19"/>
        </w:rPr>
        <w:t> </w:t>
      </w:r>
      <w:r>
        <w:rPr/>
        <w:t>of</w:t>
      </w:r>
      <w:r>
        <w:rPr>
          <w:spacing w:val="-19"/>
        </w:rPr>
        <w:t> </w:t>
      </w:r>
      <w:r>
        <w:rPr/>
        <w:t>Economics (UEH) in Ho Chi Minh City, Vietnam, by contributing funds to a newly refurbished Western Sydney University campus within UEH.</w:t>
      </w:r>
      <w:r>
        <w:rPr>
          <w:spacing w:val="-20"/>
        </w:rPr>
        <w:t> </w:t>
      </w:r>
      <w:r>
        <w:rPr/>
        <w:t>Officially</w:t>
      </w:r>
      <w:r>
        <w:rPr>
          <w:spacing w:val="-20"/>
        </w:rPr>
        <w:t> </w:t>
      </w:r>
      <w:r>
        <w:rPr/>
        <w:t>launched</w:t>
      </w:r>
      <w:r>
        <w:rPr>
          <w:spacing w:val="-20"/>
        </w:rPr>
        <w:t> </w:t>
      </w:r>
      <w:r>
        <w:rPr/>
        <w:t>on</w:t>
      </w:r>
      <w:r>
        <w:rPr>
          <w:spacing w:val="-20"/>
        </w:rPr>
        <w:t> </w:t>
      </w:r>
      <w:r>
        <w:rPr/>
        <w:t>4</w:t>
      </w:r>
      <w:r>
        <w:rPr>
          <w:spacing w:val="-20"/>
        </w:rPr>
        <w:t> </w:t>
      </w:r>
      <w:r>
        <w:rPr/>
        <w:t>December</w:t>
      </w:r>
    </w:p>
    <w:p>
      <w:pPr>
        <w:pStyle w:val="BodyText"/>
        <w:spacing w:line="249" w:lineRule="auto"/>
        <w:ind w:left="107" w:right="139"/>
      </w:pPr>
      <w:r>
        <w:rPr>
          <w:w w:val="84"/>
        </w:rPr>
        <w:t>2015, </w:t>
      </w:r>
      <w:r>
        <w:rPr>
          <w:w w:val="97"/>
        </w:rPr>
        <w:t>the </w:t>
      </w:r>
      <w:r>
        <w:rPr>
          <w:w w:val="98"/>
        </w:rPr>
        <w:t>campus </w:t>
      </w:r>
      <w:r>
        <w:rPr>
          <w:w w:val="98"/>
        </w:rPr>
        <w:t>provides </w:t>
      </w:r>
      <w:r>
        <w:rPr>
          <w:w w:val="97"/>
        </w:rPr>
        <w:t>offshore </w:t>
      </w:r>
      <w:r>
        <w:rPr>
          <w:w w:val="97"/>
        </w:rPr>
        <w:t>English </w:t>
      </w:r>
      <w:r>
        <w:rPr/>
        <w:t>for Academic Purposes programs and undergraduate and postgraduate business</w:t>
      </w:r>
    </w:p>
    <w:p>
      <w:pPr>
        <w:pStyle w:val="BodyText"/>
        <w:spacing w:line="249" w:lineRule="auto"/>
        <w:ind w:left="107"/>
      </w:pPr>
      <w:r>
        <w:rPr/>
        <w:t>programs,</w:t>
      </w:r>
      <w:r>
        <w:rPr>
          <w:spacing w:val="-26"/>
        </w:rPr>
        <w:t> </w:t>
      </w:r>
      <w:r>
        <w:rPr/>
        <w:t>as</w:t>
      </w:r>
      <w:r>
        <w:rPr>
          <w:spacing w:val="-26"/>
        </w:rPr>
        <w:t> </w:t>
      </w:r>
      <w:r>
        <w:rPr/>
        <w:t>well</w:t>
      </w:r>
      <w:r>
        <w:rPr>
          <w:spacing w:val="-26"/>
        </w:rPr>
        <w:t> </w:t>
      </w:r>
      <w:r>
        <w:rPr/>
        <w:t>as</w:t>
      </w:r>
      <w:r>
        <w:rPr>
          <w:spacing w:val="-26"/>
        </w:rPr>
        <w:t> </w:t>
      </w:r>
      <w:r>
        <w:rPr/>
        <w:t>enabling</w:t>
      </w:r>
      <w:r>
        <w:rPr>
          <w:spacing w:val="-26"/>
        </w:rPr>
        <w:t> </w:t>
      </w:r>
      <w:r>
        <w:rPr/>
        <w:t>future</w:t>
      </w:r>
      <w:r>
        <w:rPr>
          <w:spacing w:val="-26"/>
        </w:rPr>
        <w:t> </w:t>
      </w:r>
      <w:r>
        <w:rPr/>
        <w:t>expansion opportunities</w:t>
      </w:r>
      <w:r>
        <w:rPr>
          <w:spacing w:val="-26"/>
        </w:rPr>
        <w:t> </w:t>
      </w:r>
      <w:r>
        <w:rPr/>
        <w:t>to</w:t>
      </w:r>
      <w:r>
        <w:rPr>
          <w:spacing w:val="-26"/>
        </w:rPr>
        <w:t> </w:t>
      </w:r>
      <w:r>
        <w:rPr/>
        <w:t>other</w:t>
      </w:r>
      <w:r>
        <w:rPr>
          <w:spacing w:val="-26"/>
        </w:rPr>
        <w:t> </w:t>
      </w:r>
      <w:r>
        <w:rPr/>
        <w:t>discipline</w:t>
      </w:r>
      <w:r>
        <w:rPr>
          <w:spacing w:val="-26"/>
        </w:rPr>
        <w:t> </w:t>
      </w:r>
      <w:r>
        <w:rPr/>
        <w:t>areas.</w:t>
      </w:r>
    </w:p>
    <w:p>
      <w:pPr>
        <w:pStyle w:val="BodyText"/>
        <w:rPr>
          <w:sz w:val="14"/>
        </w:rPr>
      </w:pPr>
    </w:p>
    <w:p>
      <w:pPr>
        <w:pStyle w:val="BodyText"/>
        <w:spacing w:line="249" w:lineRule="auto"/>
        <w:ind w:left="107"/>
      </w:pPr>
      <w:r>
        <w:rPr/>
        <w:t>New agreements, including articulations and pathways</w:t>
      </w:r>
      <w:r>
        <w:rPr>
          <w:spacing w:val="-18"/>
        </w:rPr>
        <w:t> </w:t>
      </w:r>
      <w:r>
        <w:rPr/>
        <w:t>to</w:t>
      </w:r>
      <w:r>
        <w:rPr>
          <w:spacing w:val="-18"/>
        </w:rPr>
        <w:t> </w:t>
      </w:r>
      <w:r>
        <w:rPr/>
        <w:t>facilitate</w:t>
      </w:r>
      <w:r>
        <w:rPr>
          <w:spacing w:val="-18"/>
        </w:rPr>
        <w:t> </w:t>
      </w:r>
      <w:r>
        <w:rPr/>
        <w:t>student</w:t>
      </w:r>
      <w:r>
        <w:rPr>
          <w:spacing w:val="-18"/>
        </w:rPr>
        <w:t> </w:t>
      </w:r>
      <w:r>
        <w:rPr/>
        <w:t>recruitment</w:t>
      </w:r>
      <w:r>
        <w:rPr>
          <w:spacing w:val="-18"/>
        </w:rPr>
        <w:t> </w:t>
      </w:r>
      <w:r>
        <w:rPr/>
        <w:t>and research</w:t>
      </w:r>
      <w:r>
        <w:rPr>
          <w:spacing w:val="-36"/>
        </w:rPr>
        <w:t> </w:t>
      </w:r>
      <w:r>
        <w:rPr/>
        <w:t>projects,</w:t>
      </w:r>
      <w:r>
        <w:rPr>
          <w:spacing w:val="-36"/>
        </w:rPr>
        <w:t> </w:t>
      </w:r>
      <w:r>
        <w:rPr/>
        <w:t>include:</w:t>
      </w:r>
    </w:p>
    <w:p>
      <w:pPr>
        <w:pStyle w:val="BodyText"/>
        <w:spacing w:before="11"/>
        <w:rPr>
          <w:sz w:val="13"/>
        </w:rPr>
      </w:pPr>
    </w:p>
    <w:p>
      <w:pPr>
        <w:pStyle w:val="BodyText"/>
        <w:spacing w:line="247" w:lineRule="auto"/>
        <w:ind w:left="333" w:hanging="227"/>
      </w:pPr>
      <w:r>
        <w:rPr>
          <w:rFonts w:ascii="Century Gothic" w:hAnsi="Century Gothic"/>
          <w:b/>
          <w:w w:val="115"/>
        </w:rPr>
        <w:t>≥ </w:t>
      </w:r>
      <w:r>
        <w:rPr/>
        <w:t>Sri Lanka Institute of Information Technology</w:t>
      </w:r>
      <w:r>
        <w:rPr>
          <w:spacing w:val="-17"/>
        </w:rPr>
        <w:t> </w:t>
      </w:r>
      <w:r>
        <w:rPr/>
        <w:t>–</w:t>
      </w:r>
      <w:r>
        <w:rPr>
          <w:spacing w:val="-17"/>
        </w:rPr>
        <w:t> </w:t>
      </w:r>
      <w:r>
        <w:rPr/>
        <w:t>articulation</w:t>
      </w:r>
      <w:r>
        <w:rPr>
          <w:spacing w:val="-17"/>
        </w:rPr>
        <w:t> </w:t>
      </w:r>
      <w:r>
        <w:rPr/>
        <w:t>into</w:t>
      </w:r>
      <w:r>
        <w:rPr>
          <w:spacing w:val="-17"/>
        </w:rPr>
        <w:t> </w:t>
      </w:r>
      <w:r>
        <w:rPr/>
        <w:t>the</w:t>
      </w:r>
      <w:r>
        <w:rPr>
          <w:spacing w:val="-17"/>
        </w:rPr>
        <w:t> </w:t>
      </w:r>
      <w:r>
        <w:rPr/>
        <w:t>Bachelor of</w:t>
      </w:r>
      <w:r>
        <w:rPr>
          <w:spacing w:val="-31"/>
        </w:rPr>
        <w:t> </w:t>
      </w:r>
      <w:r>
        <w:rPr/>
        <w:t>Information</w:t>
      </w:r>
      <w:r>
        <w:rPr>
          <w:spacing w:val="-31"/>
        </w:rPr>
        <w:t> </w:t>
      </w:r>
      <w:r>
        <w:rPr/>
        <w:t>Systems</w:t>
      </w:r>
    </w:p>
    <w:p>
      <w:pPr>
        <w:pStyle w:val="BodyText"/>
        <w:spacing w:line="244" w:lineRule="auto" w:before="57"/>
        <w:ind w:left="333" w:right="259" w:hanging="227"/>
      </w:pPr>
      <w:r>
        <w:rPr>
          <w:rFonts w:ascii="Century Gothic" w:hAnsi="Century Gothic"/>
          <w:b/>
          <w:w w:val="115"/>
        </w:rPr>
        <w:t>≥ </w:t>
      </w:r>
      <w:r>
        <w:rPr>
          <w:w w:val="105"/>
        </w:rPr>
        <w:t>TMC</w:t>
      </w:r>
      <w:r>
        <w:rPr>
          <w:spacing w:val="-33"/>
          <w:w w:val="105"/>
        </w:rPr>
        <w:t> </w:t>
      </w:r>
      <w:r>
        <w:rPr>
          <w:w w:val="105"/>
        </w:rPr>
        <w:t>Academy,</w:t>
      </w:r>
      <w:r>
        <w:rPr>
          <w:spacing w:val="-33"/>
          <w:w w:val="105"/>
        </w:rPr>
        <w:t> </w:t>
      </w:r>
      <w:r>
        <w:rPr>
          <w:w w:val="105"/>
        </w:rPr>
        <w:t>Singapore</w:t>
      </w:r>
      <w:r>
        <w:rPr>
          <w:spacing w:val="-33"/>
          <w:w w:val="105"/>
        </w:rPr>
        <w:t> </w:t>
      </w:r>
      <w:r>
        <w:rPr>
          <w:w w:val="105"/>
        </w:rPr>
        <w:t>–</w:t>
      </w:r>
      <w:r>
        <w:rPr>
          <w:spacing w:val="-33"/>
          <w:w w:val="105"/>
        </w:rPr>
        <w:t> </w:t>
      </w:r>
      <w:r>
        <w:rPr>
          <w:w w:val="105"/>
        </w:rPr>
        <w:t>articulation </w:t>
      </w:r>
      <w:r>
        <w:rPr/>
        <w:t>into</w:t>
      </w:r>
      <w:r>
        <w:rPr>
          <w:spacing w:val="-13"/>
        </w:rPr>
        <w:t> </w:t>
      </w:r>
      <w:r>
        <w:rPr/>
        <w:t>the</w:t>
      </w:r>
      <w:r>
        <w:rPr>
          <w:spacing w:val="-13"/>
        </w:rPr>
        <w:t> </w:t>
      </w:r>
      <w:r>
        <w:rPr/>
        <w:t>Bachelor</w:t>
      </w:r>
      <w:r>
        <w:rPr>
          <w:spacing w:val="-13"/>
        </w:rPr>
        <w:t> </w:t>
      </w:r>
      <w:r>
        <w:rPr/>
        <w:t>of</w:t>
      </w:r>
      <w:r>
        <w:rPr>
          <w:spacing w:val="-13"/>
        </w:rPr>
        <w:t> </w:t>
      </w:r>
      <w:r>
        <w:rPr/>
        <w:t>Communication</w:t>
      </w:r>
    </w:p>
    <w:p>
      <w:pPr>
        <w:pStyle w:val="BodyText"/>
        <w:spacing w:line="247" w:lineRule="auto" w:before="58"/>
        <w:ind w:left="333" w:right="456" w:hanging="227"/>
      </w:pPr>
      <w:r>
        <w:rPr>
          <w:rFonts w:ascii="Century Gothic" w:hAnsi="Century Gothic"/>
          <w:b/>
          <w:w w:val="115"/>
        </w:rPr>
        <w:t>≥ </w:t>
      </w:r>
      <w:r>
        <w:rPr/>
        <w:t>Xiamen University, China – tuition </w:t>
      </w:r>
      <w:r>
        <w:rPr>
          <w:w w:val="96"/>
        </w:rPr>
        <w:t>fee </w:t>
      </w:r>
      <w:r>
        <w:rPr>
          <w:w w:val="97"/>
        </w:rPr>
        <w:t>waiver </w:t>
      </w:r>
      <w:r>
        <w:rPr>
          <w:w w:val="98"/>
        </w:rPr>
        <w:t>pathway </w:t>
      </w:r>
      <w:r>
        <w:rPr>
          <w:w w:val="98"/>
        </w:rPr>
        <w:t>for </w:t>
      </w:r>
      <w:r>
        <w:rPr>
          <w:w w:val="98"/>
        </w:rPr>
        <w:t>up </w:t>
      </w:r>
      <w:r>
        <w:rPr>
          <w:w w:val="101"/>
        </w:rPr>
        <w:t>to </w:t>
      </w:r>
      <w:r>
        <w:rPr>
          <w:w w:val="82"/>
        </w:rPr>
        <w:t>10 </w:t>
      </w:r>
      <w:r>
        <w:rPr>
          <w:w w:val="99"/>
        </w:rPr>
        <w:t>PhD </w:t>
      </w:r>
      <w:r>
        <w:rPr/>
        <w:t>candidates per year</w:t>
      </w:r>
    </w:p>
    <w:p>
      <w:pPr>
        <w:pStyle w:val="BodyText"/>
        <w:spacing w:line="244" w:lineRule="auto" w:before="57"/>
        <w:ind w:left="333" w:right="51" w:hanging="227"/>
      </w:pPr>
      <w:r>
        <w:rPr>
          <w:rFonts w:ascii="Century Gothic" w:hAnsi="Century Gothic"/>
          <w:b/>
          <w:w w:val="115"/>
        </w:rPr>
        <w:t>≥ </w:t>
      </w:r>
      <w:r>
        <w:rPr/>
        <w:t>a research partnership agreement for dual PhDs with the University of Padua, Italy.</w:t>
      </w:r>
    </w:p>
    <w:p>
      <w:pPr>
        <w:pStyle w:val="BodyText"/>
        <w:spacing w:before="4"/>
        <w:rPr>
          <w:sz w:val="14"/>
        </w:rPr>
      </w:pPr>
    </w:p>
    <w:p>
      <w:pPr>
        <w:pStyle w:val="BodyText"/>
        <w:spacing w:line="249" w:lineRule="auto"/>
        <w:ind w:left="107" w:right="58"/>
      </w:pPr>
      <w:r>
        <w:rPr/>
        <w:t>Existing agreements that were strengthened or updated include:</w:t>
      </w:r>
    </w:p>
    <w:p>
      <w:pPr>
        <w:pStyle w:val="BodyText"/>
        <w:spacing w:before="11"/>
        <w:rPr>
          <w:sz w:val="13"/>
        </w:rPr>
      </w:pPr>
    </w:p>
    <w:p>
      <w:pPr>
        <w:pStyle w:val="BodyText"/>
        <w:spacing w:line="247" w:lineRule="auto"/>
        <w:ind w:left="333" w:right="-2" w:hanging="227"/>
      </w:pPr>
      <w:r>
        <w:rPr>
          <w:rFonts w:ascii="Century Gothic" w:hAnsi="Century Gothic"/>
          <w:b/>
          <w:w w:val="115"/>
        </w:rPr>
        <w:t>≥ </w:t>
      </w:r>
      <w:r>
        <w:rPr/>
        <w:t>the offshore licence to deliver the MBA at </w:t>
      </w:r>
      <w:r>
        <w:rPr>
          <w:spacing w:val="2"/>
        </w:rPr>
        <w:t>UEH,</w:t>
      </w:r>
      <w:r>
        <w:rPr>
          <w:spacing w:val="-18"/>
        </w:rPr>
        <w:t> </w:t>
      </w:r>
      <w:r>
        <w:rPr/>
        <w:t>which</w:t>
      </w:r>
      <w:r>
        <w:rPr>
          <w:spacing w:val="-18"/>
        </w:rPr>
        <w:t> </w:t>
      </w:r>
      <w:r>
        <w:rPr/>
        <w:t>was</w:t>
      </w:r>
      <w:r>
        <w:rPr>
          <w:spacing w:val="-18"/>
        </w:rPr>
        <w:t> </w:t>
      </w:r>
      <w:r>
        <w:rPr/>
        <w:t>expanded</w:t>
      </w:r>
      <w:r>
        <w:rPr>
          <w:spacing w:val="-18"/>
        </w:rPr>
        <w:t> </w:t>
      </w:r>
      <w:r>
        <w:rPr/>
        <w:t>with</w:t>
      </w:r>
      <w:r>
        <w:rPr>
          <w:spacing w:val="-18"/>
        </w:rPr>
        <w:t> </w:t>
      </w:r>
      <w:r>
        <w:rPr/>
        <w:t>an</w:t>
      </w:r>
      <w:r>
        <w:rPr>
          <w:spacing w:val="-18"/>
        </w:rPr>
        <w:t> </w:t>
      </w:r>
      <w:r>
        <w:rPr/>
        <w:t>offshore licence for the Bachelor of Business and Commerce</w:t>
      </w:r>
    </w:p>
    <w:p>
      <w:pPr>
        <w:pStyle w:val="BodyText"/>
        <w:spacing w:line="247" w:lineRule="auto" w:before="57"/>
        <w:ind w:left="333" w:hanging="227"/>
      </w:pPr>
      <w:r>
        <w:rPr>
          <w:rFonts w:ascii="Century Gothic" w:hAnsi="Century Gothic"/>
          <w:b/>
          <w:w w:val="115"/>
        </w:rPr>
        <w:t>≥ </w:t>
      </w:r>
      <w:r>
        <w:rPr/>
        <w:t>the Ningbo Education Bureau, China, and the NSW Department of Education and Communities agreement for scholarships for Master of Education (Hons) students</w:t>
      </w:r>
    </w:p>
    <w:p>
      <w:pPr>
        <w:pStyle w:val="BodyText"/>
        <w:spacing w:line="249" w:lineRule="auto" w:before="72"/>
        <w:ind w:left="333" w:right="80"/>
      </w:pPr>
      <w:r>
        <w:rPr/>
        <w:br w:type="column"/>
      </w:r>
      <w:r>
        <w:rPr/>
        <w:t>in the research area of bilingualism teaching in schools was updated to enable expansion beyond the Western Sydney region across NSW.</w:t>
      </w:r>
    </w:p>
    <w:p>
      <w:pPr>
        <w:pStyle w:val="BodyText"/>
        <w:spacing w:before="7"/>
        <w:rPr>
          <w:sz w:val="21"/>
        </w:rPr>
      </w:pPr>
    </w:p>
    <w:p>
      <w:pPr>
        <w:pStyle w:val="Heading8"/>
        <w:ind w:right="287"/>
      </w:pPr>
      <w:r>
        <w:rPr>
          <w:w w:val="95"/>
        </w:rPr>
        <w:t>INTERNATIONAL  DELEGATIONS</w:t>
      </w:r>
    </w:p>
    <w:p>
      <w:pPr>
        <w:pStyle w:val="BodyText"/>
        <w:spacing w:line="249" w:lineRule="auto" w:before="86"/>
        <w:ind w:left="107" w:right="10"/>
      </w:pPr>
      <w:r>
        <w:rPr>
          <w:w w:val="80"/>
        </w:rPr>
        <w:t>In </w:t>
      </w:r>
      <w:r>
        <w:rPr>
          <w:w w:val="84"/>
        </w:rPr>
        <w:t>2015, </w:t>
      </w:r>
      <w:r>
        <w:rPr>
          <w:w w:val="97"/>
        </w:rPr>
        <w:t>the </w:t>
      </w:r>
      <w:r>
        <w:rPr>
          <w:w w:val="97"/>
        </w:rPr>
        <w:t>University </w:t>
      </w:r>
      <w:r>
        <w:rPr>
          <w:w w:val="98"/>
        </w:rPr>
        <w:t>hosted </w:t>
      </w:r>
      <w:r>
        <w:rPr>
          <w:w w:val="95"/>
        </w:rPr>
        <w:t>an </w:t>
      </w:r>
      <w:r>
        <w:rPr>
          <w:w w:val="97"/>
        </w:rPr>
        <w:t>average </w:t>
      </w:r>
      <w:r>
        <w:rPr>
          <w:w w:val="99"/>
        </w:rPr>
        <w:t>of </w:t>
      </w:r>
      <w:r>
        <w:rPr/>
        <w:t>more than one delegation per week to support the growth of partnerships. Delegations included:</w:t>
      </w:r>
    </w:p>
    <w:p>
      <w:pPr>
        <w:pStyle w:val="BodyText"/>
        <w:spacing w:before="11"/>
        <w:rPr>
          <w:sz w:val="13"/>
        </w:rPr>
      </w:pPr>
    </w:p>
    <w:p>
      <w:pPr>
        <w:pStyle w:val="BodyText"/>
        <w:spacing w:line="244" w:lineRule="auto"/>
        <w:ind w:left="333" w:right="290" w:hanging="227"/>
      </w:pPr>
      <w:r>
        <w:rPr>
          <w:rFonts w:ascii="Century Gothic" w:hAnsi="Century Gothic"/>
          <w:b/>
          <w:w w:val="115"/>
        </w:rPr>
        <w:t>≥ </w:t>
      </w:r>
      <w:r>
        <w:rPr/>
        <w:t>a visit from the Overseas Chinese Affairs Office of the State Council (Qiao Ban).</w:t>
      </w:r>
    </w:p>
    <w:p>
      <w:pPr>
        <w:pStyle w:val="BodyText"/>
        <w:spacing w:line="249" w:lineRule="auto" w:before="3"/>
        <w:ind w:left="333" w:right="484"/>
      </w:pPr>
      <w:r>
        <w:rPr/>
        <w:t>In</w:t>
      </w:r>
      <w:r>
        <w:rPr>
          <w:spacing w:val="-20"/>
        </w:rPr>
        <w:t> </w:t>
      </w:r>
      <w:r>
        <w:rPr/>
        <w:t>an</w:t>
      </w:r>
      <w:r>
        <w:rPr>
          <w:spacing w:val="-20"/>
        </w:rPr>
        <w:t> </w:t>
      </w:r>
      <w:r>
        <w:rPr/>
        <w:t>Australian</w:t>
      </w:r>
      <w:r>
        <w:rPr>
          <w:spacing w:val="-20"/>
        </w:rPr>
        <w:t> </w:t>
      </w:r>
      <w:r>
        <w:rPr/>
        <w:t>first,</w:t>
      </w:r>
      <w:r>
        <w:rPr>
          <w:spacing w:val="-20"/>
        </w:rPr>
        <w:t> </w:t>
      </w:r>
      <w:r>
        <w:rPr/>
        <w:t>Qiao</w:t>
      </w:r>
      <w:r>
        <w:rPr>
          <w:spacing w:val="-20"/>
        </w:rPr>
        <w:t> </w:t>
      </w:r>
      <w:r>
        <w:rPr>
          <w:spacing w:val="2"/>
        </w:rPr>
        <w:t>Ban</w:t>
      </w:r>
      <w:r>
        <w:rPr>
          <w:spacing w:val="-20"/>
        </w:rPr>
        <w:t> </w:t>
      </w:r>
      <w:r>
        <w:rPr/>
        <w:t>signed a</w:t>
      </w:r>
      <w:r>
        <w:rPr>
          <w:spacing w:val="-14"/>
        </w:rPr>
        <w:t> </w:t>
      </w:r>
      <w:r>
        <w:rPr/>
        <w:t>Memorandum</w:t>
      </w:r>
      <w:r>
        <w:rPr>
          <w:spacing w:val="-14"/>
        </w:rPr>
        <w:t> </w:t>
      </w:r>
      <w:r>
        <w:rPr/>
        <w:t>of</w:t>
      </w:r>
      <w:r>
        <w:rPr>
          <w:spacing w:val="-14"/>
        </w:rPr>
        <w:t> </w:t>
      </w:r>
      <w:r>
        <w:rPr/>
        <w:t>Understanding</w:t>
      </w:r>
      <w:r>
        <w:rPr>
          <w:spacing w:val="-14"/>
        </w:rPr>
        <w:t> </w:t>
      </w:r>
      <w:r>
        <w:rPr/>
        <w:t>to</w:t>
      </w:r>
    </w:p>
    <w:p>
      <w:pPr>
        <w:pStyle w:val="BodyText"/>
        <w:spacing w:line="249" w:lineRule="auto"/>
        <w:ind w:left="333" w:right="265"/>
      </w:pPr>
      <w:r>
        <w:rPr/>
        <w:t>develop programs to encourage greater understanding of different cultures</w:t>
      </w:r>
    </w:p>
    <w:p>
      <w:pPr>
        <w:pStyle w:val="BodyText"/>
        <w:spacing w:line="247" w:lineRule="auto" w:before="55"/>
        <w:ind w:left="333" w:right="156" w:hanging="227"/>
      </w:pPr>
      <w:r>
        <w:rPr>
          <w:rFonts w:ascii="Century Gothic" w:hAnsi="Century Gothic"/>
          <w:b/>
          <w:w w:val="115"/>
        </w:rPr>
        <w:t>≥ </w:t>
      </w:r>
      <w:r>
        <w:rPr/>
        <w:t>Vice-Chancellor Professor Barney Glover led delegations to meet university leaders, government representatives and alumni in mainland China, Hong Kong, Taiwan, Vietnam, Indonesia, India, Sri Lanka, Malaysia and Singapore. Activities included signing agreements with partner institutions, launching new campus facilities at UEH in Vietnam, acting as</w:t>
      </w:r>
    </w:p>
    <w:p>
      <w:pPr>
        <w:pStyle w:val="BodyText"/>
        <w:spacing w:line="249" w:lineRule="auto" w:before="1"/>
        <w:ind w:left="333" w:right="34"/>
      </w:pPr>
      <w:r>
        <w:rPr/>
        <w:t>a keynote speaker at the International Conference</w:t>
      </w:r>
      <w:r>
        <w:rPr>
          <w:spacing w:val="-27"/>
        </w:rPr>
        <w:t> </w:t>
      </w:r>
      <w:r>
        <w:rPr/>
        <w:t>on</w:t>
      </w:r>
      <w:r>
        <w:rPr>
          <w:spacing w:val="-27"/>
        </w:rPr>
        <w:t> </w:t>
      </w:r>
      <w:r>
        <w:rPr/>
        <w:t>Islamic</w:t>
      </w:r>
      <w:r>
        <w:rPr>
          <w:spacing w:val="-27"/>
        </w:rPr>
        <w:t> </w:t>
      </w:r>
      <w:r>
        <w:rPr/>
        <w:t>Studies</w:t>
      </w:r>
      <w:r>
        <w:rPr>
          <w:spacing w:val="-27"/>
        </w:rPr>
        <w:t> </w:t>
      </w:r>
      <w:r>
        <w:rPr/>
        <w:t>in</w:t>
      </w:r>
      <w:r>
        <w:rPr>
          <w:spacing w:val="-27"/>
        </w:rPr>
        <w:t> </w:t>
      </w:r>
      <w:r>
        <w:rPr/>
        <w:t>Indonesia, and</w:t>
      </w:r>
      <w:r>
        <w:rPr>
          <w:spacing w:val="-16"/>
        </w:rPr>
        <w:t> </w:t>
      </w:r>
      <w:r>
        <w:rPr/>
        <w:t>hosting</w:t>
      </w:r>
      <w:r>
        <w:rPr>
          <w:spacing w:val="-16"/>
        </w:rPr>
        <w:t> </w:t>
      </w:r>
      <w:r>
        <w:rPr/>
        <w:t>alumni</w:t>
      </w:r>
      <w:r>
        <w:rPr>
          <w:spacing w:val="-16"/>
        </w:rPr>
        <w:t> </w:t>
      </w:r>
      <w:r>
        <w:rPr/>
        <w:t>dinners</w:t>
      </w:r>
      <w:r>
        <w:rPr>
          <w:spacing w:val="-16"/>
        </w:rPr>
        <w:t> </w:t>
      </w:r>
      <w:r>
        <w:rPr/>
        <w:t>to</w:t>
      </w:r>
      <w:r>
        <w:rPr>
          <w:spacing w:val="-16"/>
        </w:rPr>
        <w:t> </w:t>
      </w:r>
      <w:r>
        <w:rPr/>
        <w:t>engage</w:t>
      </w:r>
      <w:r>
        <w:rPr>
          <w:spacing w:val="-16"/>
        </w:rPr>
        <w:t> </w:t>
      </w:r>
      <w:r>
        <w:rPr/>
        <w:t>with </w:t>
      </w:r>
      <w:r>
        <w:rPr>
          <w:w w:val="95"/>
        </w:rPr>
        <w:t>international</w:t>
      </w:r>
      <w:r>
        <w:rPr>
          <w:spacing w:val="20"/>
          <w:w w:val="95"/>
        </w:rPr>
        <w:t> </w:t>
      </w:r>
      <w:r>
        <w:rPr>
          <w:w w:val="95"/>
        </w:rPr>
        <w:t>alumni.</w:t>
      </w:r>
    </w:p>
    <w:p>
      <w:pPr>
        <w:pStyle w:val="BodyText"/>
        <w:spacing w:before="7"/>
        <w:rPr>
          <w:sz w:val="22"/>
        </w:rPr>
      </w:pPr>
    </w:p>
    <w:p>
      <w:pPr>
        <w:pStyle w:val="Heading5"/>
        <w:ind w:right="287"/>
      </w:pPr>
      <w:r>
        <w:rPr>
          <w:w w:val="95"/>
        </w:rPr>
        <w:t>STUDENT MOBILITY</w:t>
      </w:r>
    </w:p>
    <w:p>
      <w:pPr>
        <w:pStyle w:val="BodyText"/>
        <w:spacing w:line="249" w:lineRule="auto" w:before="209"/>
        <w:ind w:left="107" w:right="357"/>
      </w:pPr>
      <w:r>
        <w:rPr/>
        <w:t>Awareness of and access to opportunities abroad for University students continues to increase with Australian Government initiatives and financial support, and University co-contributions to encourage students</w:t>
      </w:r>
      <w:r>
        <w:rPr>
          <w:spacing w:val="-16"/>
        </w:rPr>
        <w:t> </w:t>
      </w:r>
      <w:r>
        <w:rPr/>
        <w:t>to</w:t>
      </w:r>
      <w:r>
        <w:rPr>
          <w:spacing w:val="-16"/>
        </w:rPr>
        <w:t> </w:t>
      </w:r>
      <w:r>
        <w:rPr/>
        <w:t>travel</w:t>
      </w:r>
      <w:r>
        <w:rPr>
          <w:spacing w:val="-16"/>
        </w:rPr>
        <w:t> </w:t>
      </w:r>
      <w:r>
        <w:rPr/>
        <w:t>overseas</w:t>
      </w:r>
      <w:r>
        <w:rPr>
          <w:spacing w:val="-16"/>
        </w:rPr>
        <w:t> </w:t>
      </w:r>
      <w:r>
        <w:rPr/>
        <w:t>as</w:t>
      </w:r>
      <w:r>
        <w:rPr>
          <w:spacing w:val="-16"/>
        </w:rPr>
        <w:t> </w:t>
      </w:r>
      <w:r>
        <w:rPr>
          <w:spacing w:val="2"/>
        </w:rPr>
        <w:t>part</w:t>
      </w:r>
      <w:r>
        <w:rPr>
          <w:spacing w:val="-16"/>
        </w:rPr>
        <w:t> </w:t>
      </w:r>
      <w:r>
        <w:rPr/>
        <w:t>of</w:t>
      </w:r>
      <w:r>
        <w:rPr>
          <w:spacing w:val="-16"/>
        </w:rPr>
        <w:t> </w:t>
      </w:r>
      <w:r>
        <w:rPr/>
        <w:t>their studies.</w:t>
      </w:r>
      <w:r>
        <w:rPr>
          <w:spacing w:val="-17"/>
        </w:rPr>
        <w:t> </w:t>
      </w:r>
      <w:r>
        <w:rPr/>
        <w:t>The</w:t>
      </w:r>
      <w:r>
        <w:rPr>
          <w:spacing w:val="-17"/>
        </w:rPr>
        <w:t> </w:t>
      </w:r>
      <w:r>
        <w:rPr/>
        <w:t>number</w:t>
      </w:r>
      <w:r>
        <w:rPr>
          <w:spacing w:val="-17"/>
        </w:rPr>
        <w:t> </w:t>
      </w:r>
      <w:r>
        <w:rPr/>
        <w:t>of</w:t>
      </w:r>
      <w:r>
        <w:rPr>
          <w:spacing w:val="-17"/>
        </w:rPr>
        <w:t> </w:t>
      </w:r>
      <w:r>
        <w:rPr/>
        <w:t>students</w:t>
      </w:r>
      <w:r>
        <w:rPr>
          <w:spacing w:val="-17"/>
        </w:rPr>
        <w:t> </w:t>
      </w:r>
      <w:r>
        <w:rPr/>
        <w:t>taking</w:t>
      </w:r>
      <w:r>
        <w:rPr>
          <w:spacing w:val="-17"/>
        </w:rPr>
        <w:t> </w:t>
      </w:r>
      <w:r>
        <w:rPr/>
        <w:t>up overseas</w:t>
      </w:r>
      <w:r>
        <w:rPr>
          <w:spacing w:val="-18"/>
        </w:rPr>
        <w:t> </w:t>
      </w:r>
      <w:r>
        <w:rPr/>
        <w:t>study</w:t>
      </w:r>
      <w:r>
        <w:rPr>
          <w:spacing w:val="-18"/>
        </w:rPr>
        <w:t> </w:t>
      </w:r>
      <w:r>
        <w:rPr/>
        <w:t>opportunities</w:t>
      </w:r>
      <w:r>
        <w:rPr>
          <w:spacing w:val="-18"/>
        </w:rPr>
        <w:t> </w:t>
      </w:r>
      <w:r>
        <w:rPr/>
        <w:t>grew</w:t>
      </w:r>
      <w:r>
        <w:rPr>
          <w:spacing w:val="-18"/>
        </w:rPr>
        <w:t> </w:t>
      </w:r>
      <w:r>
        <w:rPr/>
        <w:t>by</w:t>
      </w:r>
      <w:r>
        <w:rPr>
          <w:spacing w:val="-18"/>
        </w:rPr>
        <w:t> </w:t>
      </w:r>
      <w:r>
        <w:rPr>
          <w:spacing w:val="3"/>
        </w:rPr>
        <w:t>23.5</w:t>
      </w:r>
    </w:p>
    <w:p>
      <w:pPr>
        <w:pStyle w:val="BodyText"/>
        <w:spacing w:line="249" w:lineRule="auto"/>
        <w:ind w:left="107" w:right="39"/>
      </w:pPr>
      <w:r>
        <w:rPr>
          <w:w w:val="97"/>
        </w:rPr>
        <w:t>per </w:t>
      </w:r>
      <w:r>
        <w:rPr>
          <w:w w:val="99"/>
        </w:rPr>
        <w:t>cent </w:t>
      </w:r>
      <w:r>
        <w:rPr>
          <w:w w:val="95"/>
        </w:rPr>
        <w:t>in </w:t>
      </w:r>
      <w:r>
        <w:rPr>
          <w:w w:val="84"/>
        </w:rPr>
        <w:t>2015. </w:t>
      </w:r>
      <w:r>
        <w:rPr>
          <w:w w:val="94"/>
        </w:rPr>
        <w:t>These </w:t>
      </w:r>
      <w:r>
        <w:rPr>
          <w:w w:val="98"/>
        </w:rPr>
        <w:t>opportunities </w:t>
      </w:r>
      <w:r>
        <w:rPr>
          <w:w w:val="97"/>
        </w:rPr>
        <w:t>include </w:t>
      </w:r>
      <w:r>
        <w:rPr/>
        <w:t>short-term study, volunteer placement, clinical placement, internship and semester-based study. A significant increase (52 per cent) in students participating in semester exchange </w:t>
      </w:r>
      <w:r>
        <w:rPr>
          <w:w w:val="96"/>
        </w:rPr>
        <w:t>was </w:t>
      </w:r>
      <w:r>
        <w:rPr>
          <w:w w:val="98"/>
        </w:rPr>
        <w:t>recorded </w:t>
      </w:r>
      <w:r>
        <w:rPr>
          <w:w w:val="95"/>
        </w:rPr>
        <w:t>in </w:t>
      </w:r>
      <w:r>
        <w:rPr>
          <w:w w:val="84"/>
        </w:rPr>
        <w:t>2015.</w:t>
      </w:r>
    </w:p>
    <w:p>
      <w:pPr>
        <w:pStyle w:val="BodyText"/>
        <w:spacing w:before="7"/>
        <w:rPr>
          <w:sz w:val="21"/>
        </w:rPr>
      </w:pPr>
    </w:p>
    <w:p>
      <w:pPr>
        <w:pStyle w:val="Heading8"/>
        <w:ind w:right="287"/>
      </w:pPr>
      <w:r>
        <w:rPr>
          <w:w w:val="95"/>
        </w:rPr>
        <w:t>MOBILITY FUNDING</w:t>
      </w:r>
    </w:p>
    <w:p>
      <w:pPr>
        <w:pStyle w:val="BodyText"/>
        <w:spacing w:line="249" w:lineRule="auto" w:before="86"/>
        <w:ind w:left="107" w:right="239"/>
      </w:pPr>
      <w:r>
        <w:rPr>
          <w:spacing w:val="1"/>
          <w:w w:val="80"/>
        </w:rPr>
        <w:t>In</w:t>
      </w:r>
      <w:r>
        <w:rPr>
          <w:w w:val="80"/>
        </w:rPr>
        <w:t> </w:t>
      </w:r>
      <w:r>
        <w:rPr>
          <w:spacing w:val="1"/>
          <w:w w:val="84"/>
        </w:rPr>
        <w:t>2015,</w:t>
      </w:r>
      <w:r>
        <w:rPr>
          <w:w w:val="84"/>
        </w:rPr>
        <w:t> </w:t>
      </w:r>
      <w:r>
        <w:rPr>
          <w:w w:val="97"/>
        </w:rPr>
        <w:t>the </w:t>
      </w:r>
      <w:r>
        <w:rPr>
          <w:spacing w:val="1"/>
          <w:w w:val="97"/>
        </w:rPr>
        <w:t>Australian</w:t>
      </w:r>
      <w:r>
        <w:rPr>
          <w:w w:val="97"/>
        </w:rPr>
        <w:t> </w:t>
      </w:r>
      <w:r>
        <w:rPr>
          <w:spacing w:val="1"/>
          <w:w w:val="98"/>
        </w:rPr>
        <w:t>Government</w:t>
      </w:r>
      <w:r>
        <w:rPr>
          <w:w w:val="98"/>
        </w:rPr>
        <w:t> </w:t>
      </w:r>
      <w:r>
        <w:rPr>
          <w:spacing w:val="1"/>
          <w:w w:val="98"/>
        </w:rPr>
        <w:t>paid</w:t>
      </w:r>
      <w:r>
        <w:rPr>
          <w:w w:val="98"/>
        </w:rPr>
        <w:t> </w:t>
      </w:r>
      <w:r>
        <w:rPr/>
        <w:t>more</w:t>
      </w:r>
      <w:r>
        <w:rPr>
          <w:spacing w:val="-21"/>
        </w:rPr>
        <w:t> </w:t>
      </w:r>
      <w:r>
        <w:rPr/>
        <w:t>than</w:t>
      </w:r>
      <w:r>
        <w:rPr>
          <w:spacing w:val="-21"/>
        </w:rPr>
        <w:t> </w:t>
      </w:r>
      <w:r>
        <w:rPr/>
        <w:t>$1</w:t>
      </w:r>
      <w:r>
        <w:rPr>
          <w:spacing w:val="-21"/>
        </w:rPr>
        <w:t> </w:t>
      </w:r>
      <w:r>
        <w:rPr/>
        <w:t>million</w:t>
      </w:r>
      <w:r>
        <w:rPr>
          <w:spacing w:val="-21"/>
        </w:rPr>
        <w:t> </w:t>
      </w:r>
      <w:r>
        <w:rPr/>
        <w:t>for</w:t>
      </w:r>
      <w:r>
        <w:rPr>
          <w:spacing w:val="-21"/>
        </w:rPr>
        <w:t> </w:t>
      </w:r>
      <w:r>
        <w:rPr/>
        <w:t>248</w:t>
      </w:r>
      <w:r>
        <w:rPr>
          <w:spacing w:val="-21"/>
        </w:rPr>
        <w:t> </w:t>
      </w:r>
      <w:r>
        <w:rPr/>
        <w:t>Western</w:t>
      </w:r>
      <w:r>
        <w:rPr>
          <w:spacing w:val="-21"/>
        </w:rPr>
        <w:t> </w:t>
      </w:r>
      <w:r>
        <w:rPr/>
        <w:t>Sydney University</w:t>
      </w:r>
      <w:r>
        <w:rPr>
          <w:spacing w:val="-14"/>
        </w:rPr>
        <w:t> </w:t>
      </w:r>
      <w:r>
        <w:rPr/>
        <w:t>students</w:t>
      </w:r>
      <w:r>
        <w:rPr>
          <w:spacing w:val="-14"/>
        </w:rPr>
        <w:t> </w:t>
      </w:r>
      <w:r>
        <w:rPr/>
        <w:t>to</w:t>
      </w:r>
      <w:r>
        <w:rPr>
          <w:spacing w:val="-14"/>
        </w:rPr>
        <w:t> </w:t>
      </w:r>
      <w:r>
        <w:rPr/>
        <w:t>participate</w:t>
      </w:r>
      <w:r>
        <w:rPr>
          <w:spacing w:val="-14"/>
        </w:rPr>
        <w:t> </w:t>
      </w:r>
      <w:r>
        <w:rPr/>
        <w:t>in</w:t>
      </w:r>
      <w:r>
        <w:rPr>
          <w:spacing w:val="-14"/>
        </w:rPr>
        <w:t> </w:t>
      </w:r>
      <w:r>
        <w:rPr/>
        <w:t>the</w:t>
      </w:r>
    </w:p>
    <w:p>
      <w:pPr>
        <w:spacing w:after="0" w:line="249" w:lineRule="auto"/>
        <w:sectPr>
          <w:type w:val="continuous"/>
          <w:pgSz w:w="11910" w:h="16840"/>
          <w:pgMar w:top="1580" w:bottom="280" w:left="800" w:right="800"/>
          <w:cols w:num="3" w:equalWidth="0">
            <w:col w:w="3320" w:space="119"/>
            <w:col w:w="3320" w:space="11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111"/>
      </w:pPr>
      <w:r>
        <w:rPr/>
        <w:t>New Colombo Plan (NCP) and through the Endeavour Mobility </w:t>
      </w:r>
      <w:r>
        <w:rPr>
          <w:spacing w:val="2"/>
        </w:rPr>
        <w:t>Grants, </w:t>
      </w:r>
      <w:r>
        <w:rPr/>
        <w:t>including the International Student Exchange Program (ISEP)</w:t>
      </w:r>
      <w:r>
        <w:rPr>
          <w:spacing w:val="-19"/>
        </w:rPr>
        <w:t> </w:t>
      </w:r>
      <w:r>
        <w:rPr/>
        <w:t>and</w:t>
      </w:r>
      <w:r>
        <w:rPr>
          <w:spacing w:val="-19"/>
        </w:rPr>
        <w:t> </w:t>
      </w:r>
      <w:r>
        <w:rPr/>
        <w:t>the</w:t>
      </w:r>
      <w:r>
        <w:rPr>
          <w:spacing w:val="-19"/>
        </w:rPr>
        <w:t> </w:t>
      </w:r>
      <w:r>
        <w:rPr/>
        <w:t>Short-Term</w:t>
      </w:r>
      <w:r>
        <w:rPr>
          <w:spacing w:val="-19"/>
        </w:rPr>
        <w:t> </w:t>
      </w:r>
      <w:r>
        <w:rPr/>
        <w:t>Mobility</w:t>
      </w:r>
      <w:r>
        <w:rPr>
          <w:spacing w:val="-19"/>
        </w:rPr>
        <w:t> </w:t>
      </w:r>
      <w:r>
        <w:rPr/>
        <w:t>Program (STMP).</w:t>
      </w:r>
      <w:r>
        <w:rPr>
          <w:spacing w:val="-16"/>
        </w:rPr>
        <w:t> </w:t>
      </w:r>
      <w:r>
        <w:rPr/>
        <w:t>Through</w:t>
      </w:r>
      <w:r>
        <w:rPr>
          <w:spacing w:val="-16"/>
        </w:rPr>
        <w:t> </w:t>
      </w:r>
      <w:r>
        <w:rPr/>
        <w:t>the</w:t>
      </w:r>
      <w:r>
        <w:rPr>
          <w:spacing w:val="-16"/>
        </w:rPr>
        <w:t> </w:t>
      </w:r>
      <w:r>
        <w:rPr/>
        <w:t>NCP</w:t>
      </w:r>
      <w:r>
        <w:rPr>
          <w:spacing w:val="-16"/>
        </w:rPr>
        <w:t> </w:t>
      </w:r>
      <w:r>
        <w:rPr/>
        <w:t>Mobility</w:t>
      </w:r>
      <w:r>
        <w:rPr>
          <w:spacing w:val="-16"/>
        </w:rPr>
        <w:t> </w:t>
      </w:r>
      <w:r>
        <w:rPr/>
        <w:t>program, the</w:t>
      </w:r>
      <w:r>
        <w:rPr>
          <w:spacing w:val="-11"/>
        </w:rPr>
        <w:t> </w:t>
      </w:r>
      <w:r>
        <w:rPr/>
        <w:t>University</w:t>
      </w:r>
      <w:r>
        <w:rPr>
          <w:spacing w:val="-11"/>
        </w:rPr>
        <w:t> </w:t>
      </w:r>
      <w:r>
        <w:rPr/>
        <w:t>received</w:t>
      </w:r>
      <w:r>
        <w:rPr>
          <w:spacing w:val="-11"/>
        </w:rPr>
        <w:t> </w:t>
      </w:r>
      <w:r>
        <w:rPr>
          <w:spacing w:val="2"/>
        </w:rPr>
        <w:t>$902,300</w:t>
      </w:r>
      <w:r>
        <w:rPr>
          <w:spacing w:val="-11"/>
        </w:rPr>
        <w:t> </w:t>
      </w:r>
      <w:r>
        <w:rPr/>
        <w:t>to</w:t>
      </w:r>
      <w:r>
        <w:rPr>
          <w:spacing w:val="-11"/>
        </w:rPr>
        <w:t> </w:t>
      </w:r>
      <w:r>
        <w:rPr/>
        <w:t>support the participation of 202 students in 14 projects in Indonesia, Nepal, China, India, Vietnam, Singapore and Korea. Under the Endeavour Mobility Grants program, the </w:t>
      </w:r>
      <w:r>
        <w:rPr>
          <w:spacing w:val="1"/>
          <w:w w:val="97"/>
        </w:rPr>
        <w:t>University</w:t>
      </w:r>
      <w:r>
        <w:rPr>
          <w:w w:val="97"/>
        </w:rPr>
        <w:t> </w:t>
      </w:r>
      <w:r>
        <w:rPr>
          <w:w w:val="98"/>
        </w:rPr>
        <w:t>received </w:t>
      </w:r>
      <w:r>
        <w:rPr>
          <w:spacing w:val="2"/>
          <w:w w:val="93"/>
        </w:rPr>
        <w:t>$136,000</w:t>
      </w:r>
      <w:r>
        <w:rPr>
          <w:w w:val="93"/>
        </w:rPr>
        <w:t> </w:t>
      </w:r>
      <w:r>
        <w:rPr>
          <w:spacing w:val="-1"/>
          <w:w w:val="101"/>
        </w:rPr>
        <w:t>to</w:t>
      </w:r>
      <w:r>
        <w:rPr>
          <w:w w:val="101"/>
        </w:rPr>
        <w:t> </w:t>
      </w:r>
      <w:r>
        <w:rPr>
          <w:spacing w:val="1"/>
          <w:w w:val="99"/>
        </w:rPr>
        <w:t>support</w:t>
      </w:r>
      <w:r>
        <w:rPr>
          <w:w w:val="99"/>
        </w:rPr>
        <w:t> </w:t>
      </w:r>
      <w:r>
        <w:rPr/>
        <w:t>four</w:t>
      </w:r>
      <w:r>
        <w:rPr>
          <w:spacing w:val="-14"/>
        </w:rPr>
        <w:t> </w:t>
      </w:r>
      <w:r>
        <w:rPr/>
        <w:t>projects</w:t>
      </w:r>
      <w:r>
        <w:rPr>
          <w:spacing w:val="-14"/>
        </w:rPr>
        <w:t> </w:t>
      </w:r>
      <w:r>
        <w:rPr/>
        <w:t>to</w:t>
      </w:r>
      <w:r>
        <w:rPr>
          <w:spacing w:val="-14"/>
        </w:rPr>
        <w:t> </w:t>
      </w:r>
      <w:r>
        <w:rPr/>
        <w:t>allow</w:t>
      </w:r>
      <w:r>
        <w:rPr>
          <w:spacing w:val="-14"/>
        </w:rPr>
        <w:t> </w:t>
      </w:r>
      <w:r>
        <w:rPr/>
        <w:t>students</w:t>
      </w:r>
      <w:r>
        <w:rPr>
          <w:spacing w:val="-14"/>
        </w:rPr>
        <w:t> </w:t>
      </w:r>
      <w:r>
        <w:rPr/>
        <w:t>to</w:t>
      </w:r>
      <w:r>
        <w:rPr>
          <w:spacing w:val="-14"/>
        </w:rPr>
        <w:t> </w:t>
      </w:r>
      <w:r>
        <w:rPr/>
        <w:t>undertake clinical</w:t>
      </w:r>
      <w:r>
        <w:rPr>
          <w:spacing w:val="-14"/>
        </w:rPr>
        <w:t> </w:t>
      </w:r>
      <w:r>
        <w:rPr/>
        <w:t>placements</w:t>
      </w:r>
      <w:r>
        <w:rPr>
          <w:spacing w:val="-14"/>
        </w:rPr>
        <w:t> </w:t>
      </w:r>
      <w:r>
        <w:rPr/>
        <w:t>for</w:t>
      </w:r>
      <w:r>
        <w:rPr>
          <w:spacing w:val="-14"/>
        </w:rPr>
        <w:t> </w:t>
      </w:r>
      <w:r>
        <w:rPr/>
        <w:t>occupational</w:t>
      </w:r>
      <w:r>
        <w:rPr>
          <w:spacing w:val="-14"/>
        </w:rPr>
        <w:t> </w:t>
      </w:r>
      <w:r>
        <w:rPr/>
        <w:t>therapy and</w:t>
      </w:r>
      <w:r>
        <w:rPr>
          <w:spacing w:val="-25"/>
        </w:rPr>
        <w:t> </w:t>
      </w:r>
      <w:r>
        <w:rPr/>
        <w:t>paramedicine</w:t>
      </w:r>
      <w:r>
        <w:rPr>
          <w:spacing w:val="-25"/>
        </w:rPr>
        <w:t> </w:t>
      </w:r>
      <w:r>
        <w:rPr/>
        <w:t>in</w:t>
      </w:r>
      <w:r>
        <w:rPr>
          <w:spacing w:val="-25"/>
        </w:rPr>
        <w:t> </w:t>
      </w:r>
      <w:r>
        <w:rPr/>
        <w:t>Malta,</w:t>
      </w:r>
      <w:r>
        <w:rPr>
          <w:spacing w:val="-25"/>
        </w:rPr>
        <w:t> </w:t>
      </w:r>
      <w:r>
        <w:rPr>
          <w:spacing w:val="2"/>
        </w:rPr>
        <w:t>Canada,</w:t>
      </w:r>
      <w:r>
        <w:rPr>
          <w:spacing w:val="-25"/>
        </w:rPr>
        <w:t> </w:t>
      </w:r>
      <w:r>
        <w:rPr/>
        <w:t>Ireland, the </w:t>
      </w:r>
      <w:r>
        <w:rPr>
          <w:spacing w:val="2"/>
        </w:rPr>
        <w:t>US, </w:t>
      </w:r>
      <w:r>
        <w:rPr/>
        <w:t>Austria, the </w:t>
      </w:r>
      <w:r>
        <w:rPr>
          <w:spacing w:val="3"/>
        </w:rPr>
        <w:t>UK, </w:t>
      </w:r>
      <w:r>
        <w:rPr/>
        <w:t>South Africa and Finland.</w:t>
      </w:r>
      <w:r>
        <w:rPr>
          <w:spacing w:val="-21"/>
        </w:rPr>
        <w:t> </w:t>
      </w:r>
      <w:r>
        <w:rPr/>
        <w:t>Three</w:t>
      </w:r>
      <w:r>
        <w:rPr>
          <w:spacing w:val="-21"/>
        </w:rPr>
        <w:t> </w:t>
      </w:r>
      <w:r>
        <w:rPr/>
        <w:t>ISEP</w:t>
      </w:r>
      <w:r>
        <w:rPr>
          <w:spacing w:val="-21"/>
        </w:rPr>
        <w:t> </w:t>
      </w:r>
      <w:r>
        <w:rPr/>
        <w:t>grants</w:t>
      </w:r>
      <w:r>
        <w:rPr>
          <w:spacing w:val="-21"/>
        </w:rPr>
        <w:t> </w:t>
      </w:r>
      <w:r>
        <w:rPr/>
        <w:t>were</w:t>
      </w:r>
      <w:r>
        <w:rPr>
          <w:spacing w:val="-21"/>
        </w:rPr>
        <w:t> </w:t>
      </w:r>
      <w:r>
        <w:rPr/>
        <w:t>awarded</w:t>
      </w:r>
      <w:r>
        <w:rPr>
          <w:spacing w:val="-21"/>
        </w:rPr>
        <w:t> </w:t>
      </w:r>
      <w:r>
        <w:rPr/>
        <w:t>to</w:t>
      </w:r>
    </w:p>
    <w:p>
      <w:pPr>
        <w:pStyle w:val="BodyText"/>
        <w:spacing w:line="249" w:lineRule="auto"/>
        <w:ind w:left="107" w:right="69"/>
        <w:jc w:val="both"/>
      </w:pPr>
      <w:r>
        <w:rPr/>
        <w:t>support</w:t>
      </w:r>
      <w:r>
        <w:rPr>
          <w:spacing w:val="-12"/>
        </w:rPr>
        <w:t> </w:t>
      </w:r>
      <w:r>
        <w:rPr/>
        <w:t>30</w:t>
      </w:r>
      <w:r>
        <w:rPr>
          <w:spacing w:val="-12"/>
        </w:rPr>
        <w:t> </w:t>
      </w:r>
      <w:r>
        <w:rPr/>
        <w:t>students</w:t>
      </w:r>
      <w:r>
        <w:rPr>
          <w:spacing w:val="-12"/>
        </w:rPr>
        <w:t> </w:t>
      </w:r>
      <w:r>
        <w:rPr/>
        <w:t>to</w:t>
      </w:r>
      <w:r>
        <w:rPr>
          <w:spacing w:val="-12"/>
        </w:rPr>
        <w:t> </w:t>
      </w:r>
      <w:r>
        <w:rPr/>
        <w:t>undertake</w:t>
      </w:r>
      <w:r>
        <w:rPr>
          <w:spacing w:val="-12"/>
        </w:rPr>
        <w:t> </w:t>
      </w:r>
      <w:r>
        <w:rPr/>
        <w:t>short-term study</w:t>
      </w:r>
      <w:r>
        <w:rPr>
          <w:spacing w:val="-16"/>
        </w:rPr>
        <w:t> </w:t>
      </w:r>
      <w:r>
        <w:rPr/>
        <w:t>programs</w:t>
      </w:r>
      <w:r>
        <w:rPr>
          <w:spacing w:val="-16"/>
        </w:rPr>
        <w:t> </w:t>
      </w:r>
      <w:r>
        <w:rPr/>
        <w:t>and</w:t>
      </w:r>
      <w:r>
        <w:rPr>
          <w:spacing w:val="-16"/>
        </w:rPr>
        <w:t> </w:t>
      </w:r>
      <w:r>
        <w:rPr/>
        <w:t>semester</w:t>
      </w:r>
      <w:r>
        <w:rPr>
          <w:spacing w:val="-16"/>
        </w:rPr>
        <w:t> </w:t>
      </w:r>
      <w:r>
        <w:rPr/>
        <w:t>exchange</w:t>
      </w:r>
      <w:r>
        <w:rPr>
          <w:spacing w:val="-16"/>
        </w:rPr>
        <w:t> </w:t>
      </w:r>
      <w:r>
        <w:rPr/>
        <w:t>with partner</w:t>
      </w:r>
      <w:r>
        <w:rPr>
          <w:spacing w:val="-22"/>
        </w:rPr>
        <w:t> </w:t>
      </w:r>
      <w:r>
        <w:rPr/>
        <w:t>universities</w:t>
      </w:r>
      <w:r>
        <w:rPr>
          <w:spacing w:val="-22"/>
        </w:rPr>
        <w:t> </w:t>
      </w:r>
      <w:r>
        <w:rPr/>
        <w:t>in</w:t>
      </w:r>
      <w:r>
        <w:rPr>
          <w:spacing w:val="-22"/>
        </w:rPr>
        <w:t> </w:t>
      </w:r>
      <w:r>
        <w:rPr>
          <w:spacing w:val="2"/>
        </w:rPr>
        <w:t>Japan,</w:t>
      </w:r>
      <w:r>
        <w:rPr>
          <w:spacing w:val="-22"/>
        </w:rPr>
        <w:t> </w:t>
      </w:r>
      <w:r>
        <w:rPr/>
        <w:t>Sweden,</w:t>
      </w:r>
      <w:r>
        <w:rPr>
          <w:spacing w:val="-22"/>
        </w:rPr>
        <w:t> </w:t>
      </w:r>
      <w:r>
        <w:rPr/>
        <w:t>the</w:t>
      </w:r>
      <w:r>
        <w:rPr>
          <w:spacing w:val="-22"/>
        </w:rPr>
        <w:t> </w:t>
      </w:r>
      <w:r>
        <w:rPr/>
        <w:t>US and</w:t>
      </w:r>
      <w:r>
        <w:rPr>
          <w:spacing w:val="-31"/>
        </w:rPr>
        <w:t> </w:t>
      </w:r>
      <w:r>
        <w:rPr/>
        <w:t>Korea.</w:t>
      </w:r>
    </w:p>
    <w:p>
      <w:pPr>
        <w:pStyle w:val="BodyText"/>
        <w:rPr>
          <w:sz w:val="14"/>
        </w:rPr>
      </w:pPr>
    </w:p>
    <w:p>
      <w:pPr>
        <w:pStyle w:val="BodyText"/>
        <w:spacing w:line="249" w:lineRule="auto"/>
        <w:ind w:left="107" w:right="-2"/>
      </w:pPr>
      <w:r>
        <w:rPr/>
        <w:t>Western</w:t>
      </w:r>
      <w:r>
        <w:rPr>
          <w:spacing w:val="-16"/>
        </w:rPr>
        <w:t> </w:t>
      </w:r>
      <w:r>
        <w:rPr/>
        <w:t>Sydney</w:t>
      </w:r>
      <w:r>
        <w:rPr>
          <w:spacing w:val="-16"/>
        </w:rPr>
        <w:t> </w:t>
      </w:r>
      <w:r>
        <w:rPr/>
        <w:t>University</w:t>
      </w:r>
      <w:r>
        <w:rPr>
          <w:spacing w:val="-16"/>
        </w:rPr>
        <w:t> </w:t>
      </w:r>
      <w:r>
        <w:rPr/>
        <w:t>students</w:t>
      </w:r>
      <w:r>
        <w:rPr>
          <w:spacing w:val="-16"/>
        </w:rPr>
        <w:t> </w:t>
      </w:r>
      <w:r>
        <w:rPr/>
        <w:t>also</w:t>
      </w:r>
      <w:r>
        <w:rPr>
          <w:spacing w:val="-16"/>
        </w:rPr>
        <w:t> </w:t>
      </w:r>
      <w:r>
        <w:rPr/>
        <w:t>used the</w:t>
      </w:r>
      <w:r>
        <w:rPr>
          <w:spacing w:val="-15"/>
        </w:rPr>
        <w:t> </w:t>
      </w:r>
      <w:r>
        <w:rPr/>
        <w:t>Australian</w:t>
      </w:r>
      <w:r>
        <w:rPr>
          <w:spacing w:val="-15"/>
        </w:rPr>
        <w:t> </w:t>
      </w:r>
      <w:r>
        <w:rPr/>
        <w:t>Government’s</w:t>
      </w:r>
      <w:r>
        <w:rPr>
          <w:spacing w:val="-15"/>
        </w:rPr>
        <w:t> </w:t>
      </w:r>
      <w:r>
        <w:rPr>
          <w:spacing w:val="2"/>
        </w:rPr>
        <w:t>OS-HELP</w:t>
      </w:r>
      <w:r>
        <w:rPr>
          <w:spacing w:val="-15"/>
        </w:rPr>
        <w:t> </w:t>
      </w:r>
      <w:r>
        <w:rPr/>
        <w:t>loan</w:t>
      </w:r>
    </w:p>
    <w:p>
      <w:pPr>
        <w:pStyle w:val="BodyText"/>
        <w:spacing w:line="249" w:lineRule="auto"/>
        <w:ind w:left="107" w:right="-2"/>
      </w:pPr>
      <w:r>
        <w:rPr/>
        <w:t>to fund their participation in international learning</w:t>
      </w:r>
      <w:r>
        <w:rPr>
          <w:spacing w:val="-18"/>
        </w:rPr>
        <w:t> </w:t>
      </w:r>
      <w:r>
        <w:rPr/>
        <w:t>opportunities.</w:t>
      </w:r>
      <w:r>
        <w:rPr>
          <w:spacing w:val="-18"/>
        </w:rPr>
        <w:t> </w:t>
      </w:r>
      <w:r>
        <w:rPr>
          <w:spacing w:val="2"/>
        </w:rPr>
        <w:t>Based</w:t>
      </w:r>
      <w:r>
        <w:rPr>
          <w:spacing w:val="-18"/>
        </w:rPr>
        <w:t> </w:t>
      </w:r>
      <w:r>
        <w:rPr/>
        <w:t>on</w:t>
      </w:r>
      <w:r>
        <w:rPr>
          <w:spacing w:val="-18"/>
        </w:rPr>
        <w:t> </w:t>
      </w:r>
      <w:r>
        <w:rPr/>
        <w:t>year-to-date applications,</w:t>
      </w:r>
      <w:r>
        <w:rPr>
          <w:spacing w:val="-15"/>
        </w:rPr>
        <w:t> </w:t>
      </w:r>
      <w:r>
        <w:rPr/>
        <w:t>294</w:t>
      </w:r>
      <w:r>
        <w:rPr>
          <w:spacing w:val="-15"/>
        </w:rPr>
        <w:t> </w:t>
      </w:r>
      <w:r>
        <w:rPr>
          <w:spacing w:val="2"/>
        </w:rPr>
        <w:t>OS-HELP</w:t>
      </w:r>
      <w:r>
        <w:rPr>
          <w:spacing w:val="-15"/>
        </w:rPr>
        <w:t> </w:t>
      </w:r>
      <w:r>
        <w:rPr/>
        <w:t>loans</w:t>
      </w:r>
      <w:r>
        <w:rPr>
          <w:spacing w:val="-15"/>
        </w:rPr>
        <w:t> </w:t>
      </w:r>
      <w:r>
        <w:rPr/>
        <w:t>were</w:t>
      </w:r>
      <w:r>
        <w:rPr>
          <w:spacing w:val="-15"/>
        </w:rPr>
        <w:t> </w:t>
      </w:r>
      <w:r>
        <w:rPr/>
        <w:t>issued </w:t>
      </w:r>
      <w:r>
        <w:rPr>
          <w:spacing w:val="-1"/>
          <w:w w:val="101"/>
        </w:rPr>
        <w:t>to</w:t>
      </w:r>
      <w:r>
        <w:rPr>
          <w:w w:val="101"/>
        </w:rPr>
        <w:t> </w:t>
      </w:r>
      <w:r>
        <w:rPr>
          <w:spacing w:val="1"/>
          <w:w w:val="97"/>
        </w:rPr>
        <w:t>students</w:t>
      </w:r>
      <w:r>
        <w:rPr>
          <w:w w:val="97"/>
        </w:rPr>
        <w:t> </w:t>
      </w:r>
      <w:r>
        <w:rPr>
          <w:w w:val="95"/>
        </w:rPr>
        <w:t>in </w:t>
      </w:r>
      <w:r>
        <w:rPr>
          <w:spacing w:val="1"/>
          <w:w w:val="84"/>
        </w:rPr>
        <w:t>2015,</w:t>
      </w:r>
      <w:r>
        <w:rPr>
          <w:w w:val="84"/>
        </w:rPr>
        <w:t> </w:t>
      </w:r>
      <w:r>
        <w:rPr>
          <w:w w:val="94"/>
        </w:rPr>
        <w:t>a </w:t>
      </w:r>
      <w:r>
        <w:rPr>
          <w:spacing w:val="2"/>
          <w:w w:val="91"/>
        </w:rPr>
        <w:t>28.4</w:t>
      </w:r>
      <w:r>
        <w:rPr>
          <w:w w:val="91"/>
        </w:rPr>
        <w:t> </w:t>
      </w:r>
      <w:r>
        <w:rPr>
          <w:spacing w:val="1"/>
          <w:w w:val="97"/>
        </w:rPr>
        <w:t>per</w:t>
      </w:r>
      <w:r>
        <w:rPr>
          <w:w w:val="97"/>
        </w:rPr>
        <w:t> </w:t>
      </w:r>
      <w:r>
        <w:rPr>
          <w:w w:val="99"/>
        </w:rPr>
        <w:t>cent </w:t>
      </w:r>
      <w:r>
        <w:rPr>
          <w:spacing w:val="1"/>
          <w:w w:val="96"/>
        </w:rPr>
        <w:t>increase</w:t>
      </w:r>
      <w:r>
        <w:rPr>
          <w:w w:val="96"/>
        </w:rPr>
        <w:t> </w:t>
      </w:r>
      <w:r>
        <w:rPr>
          <w:spacing w:val="1"/>
          <w:w w:val="98"/>
        </w:rPr>
        <w:t>on</w:t>
      </w:r>
      <w:r>
        <w:rPr>
          <w:spacing w:val="-8"/>
          <w:w w:val="98"/>
        </w:rPr>
        <w:t> </w:t>
      </w:r>
      <w:r>
        <w:rPr>
          <w:w w:val="97"/>
        </w:rPr>
        <w:t>the</w:t>
      </w:r>
      <w:r>
        <w:rPr>
          <w:spacing w:val="-8"/>
          <w:w w:val="97"/>
        </w:rPr>
        <w:t> </w:t>
      </w:r>
      <w:r>
        <w:rPr>
          <w:spacing w:val="1"/>
          <w:w w:val="97"/>
        </w:rPr>
        <w:t>number</w:t>
      </w:r>
      <w:r>
        <w:rPr>
          <w:spacing w:val="-8"/>
          <w:w w:val="97"/>
        </w:rPr>
        <w:t> </w:t>
      </w:r>
      <w:r>
        <w:rPr>
          <w:w w:val="99"/>
        </w:rPr>
        <w:t>of</w:t>
      </w:r>
      <w:r>
        <w:rPr>
          <w:spacing w:val="-9"/>
          <w:w w:val="99"/>
        </w:rPr>
        <w:t> </w:t>
      </w:r>
      <w:r>
        <w:rPr>
          <w:spacing w:val="1"/>
          <w:w w:val="96"/>
        </w:rPr>
        <w:t>loans</w:t>
      </w:r>
      <w:r>
        <w:rPr>
          <w:spacing w:val="-7"/>
          <w:w w:val="96"/>
        </w:rPr>
        <w:t> </w:t>
      </w:r>
      <w:r>
        <w:rPr>
          <w:spacing w:val="1"/>
          <w:w w:val="96"/>
        </w:rPr>
        <w:t>issued</w:t>
      </w:r>
      <w:r>
        <w:rPr>
          <w:spacing w:val="-7"/>
          <w:w w:val="96"/>
        </w:rPr>
        <w:t> </w:t>
      </w:r>
      <w:r>
        <w:rPr>
          <w:w w:val="95"/>
        </w:rPr>
        <w:t>in</w:t>
      </w:r>
      <w:r>
        <w:rPr>
          <w:spacing w:val="-7"/>
          <w:w w:val="95"/>
        </w:rPr>
        <w:t> </w:t>
      </w:r>
      <w:r>
        <w:rPr>
          <w:spacing w:val="1"/>
          <w:w w:val="86"/>
        </w:rPr>
        <w:t>2014.</w:t>
      </w:r>
    </w:p>
    <w:p>
      <w:pPr>
        <w:pStyle w:val="BodyText"/>
        <w:rPr>
          <w:sz w:val="14"/>
        </w:rPr>
      </w:pPr>
    </w:p>
    <w:p>
      <w:pPr>
        <w:pStyle w:val="BodyText"/>
        <w:spacing w:line="249" w:lineRule="auto"/>
        <w:ind w:left="107" w:right="297"/>
      </w:pPr>
      <w:r>
        <w:rPr/>
        <w:t>Private donors also supported students to participate in international learning </w:t>
      </w:r>
      <w:r>
        <w:rPr>
          <w:w w:val="98"/>
        </w:rPr>
        <w:t>opportunities </w:t>
      </w:r>
      <w:r>
        <w:rPr>
          <w:w w:val="95"/>
        </w:rPr>
        <w:t>in </w:t>
      </w:r>
      <w:r>
        <w:rPr>
          <w:w w:val="84"/>
        </w:rPr>
        <w:t>2015. </w:t>
      </w:r>
      <w:r>
        <w:rPr>
          <w:w w:val="112"/>
        </w:rPr>
        <w:t>A </w:t>
      </w:r>
      <w:r>
        <w:rPr>
          <w:w w:val="98"/>
        </w:rPr>
        <w:t>donation </w:t>
      </w:r>
      <w:r>
        <w:rPr>
          <w:w w:val="98"/>
        </w:rPr>
        <w:t>from </w:t>
      </w:r>
      <w:r>
        <w:rPr>
          <w:w w:val="96"/>
        </w:rPr>
        <w:t>Ms </w:t>
      </w:r>
      <w:r>
        <w:rPr/>
        <w:t>Josephine Lam allowed the University to</w:t>
      </w:r>
    </w:p>
    <w:p>
      <w:pPr>
        <w:pStyle w:val="BodyText"/>
        <w:spacing w:line="249" w:lineRule="auto"/>
        <w:ind w:left="107" w:right="37"/>
      </w:pPr>
      <w:r>
        <w:rPr/>
        <w:t>establish the Bridging Cultures Scholarship </w:t>
      </w:r>
      <w:r>
        <w:rPr>
          <w:w w:val="98"/>
        </w:rPr>
        <w:t>program </w:t>
      </w:r>
      <w:r>
        <w:rPr>
          <w:w w:val="95"/>
        </w:rPr>
        <w:t>in </w:t>
      </w:r>
      <w:r>
        <w:rPr>
          <w:w w:val="90"/>
        </w:rPr>
        <w:t>2014 </w:t>
      </w:r>
      <w:r>
        <w:rPr>
          <w:w w:val="97"/>
        </w:rPr>
        <w:t>and </w:t>
      </w:r>
      <w:r>
        <w:rPr>
          <w:w w:val="95"/>
        </w:rPr>
        <w:t>her </w:t>
      </w:r>
      <w:r>
        <w:rPr>
          <w:w w:val="98"/>
        </w:rPr>
        <w:t>continued </w:t>
      </w:r>
      <w:r>
        <w:rPr>
          <w:w w:val="99"/>
        </w:rPr>
        <w:t>support </w:t>
      </w:r>
      <w:r>
        <w:rPr/>
        <w:t>enabled 30 students to participate in this </w:t>
      </w:r>
      <w:r>
        <w:rPr>
          <w:w w:val="98"/>
        </w:rPr>
        <w:t>program </w:t>
      </w:r>
      <w:r>
        <w:rPr>
          <w:w w:val="95"/>
        </w:rPr>
        <w:t>in </w:t>
      </w:r>
      <w:r>
        <w:rPr>
          <w:w w:val="98"/>
        </w:rPr>
        <w:t>December </w:t>
      </w:r>
      <w:r>
        <w:rPr>
          <w:w w:val="84"/>
        </w:rPr>
        <w:t>2015. </w:t>
      </w:r>
      <w:r>
        <w:rPr>
          <w:w w:val="97"/>
        </w:rPr>
        <w:t>Financial </w:t>
      </w:r>
      <w:r>
        <w:rPr>
          <w:w w:val="99"/>
        </w:rPr>
        <w:t>support </w:t>
      </w:r>
      <w:r>
        <w:rPr/>
        <w:t>from the late Dr William Chiu helped three students participate in a semester exchange in China, while other students were able to take up Traditional Chinese Medicine Clinical Placements in China.</w:t>
      </w:r>
    </w:p>
    <w:p>
      <w:pPr>
        <w:pStyle w:val="BodyText"/>
        <w:rPr>
          <w:sz w:val="14"/>
        </w:rPr>
      </w:pPr>
    </w:p>
    <w:p>
      <w:pPr>
        <w:pStyle w:val="BodyText"/>
        <w:spacing w:line="249" w:lineRule="auto"/>
        <w:ind w:left="107" w:right="78"/>
      </w:pPr>
      <w:r>
        <w:rPr/>
        <w:t>An</w:t>
      </w:r>
      <w:r>
        <w:rPr>
          <w:spacing w:val="-12"/>
        </w:rPr>
        <w:t> </w:t>
      </w:r>
      <w:r>
        <w:rPr/>
        <w:t>anonymous</w:t>
      </w:r>
      <w:r>
        <w:rPr>
          <w:spacing w:val="-12"/>
        </w:rPr>
        <w:t> </w:t>
      </w:r>
      <w:r>
        <w:rPr/>
        <w:t>donor</w:t>
      </w:r>
      <w:r>
        <w:rPr>
          <w:spacing w:val="-12"/>
        </w:rPr>
        <w:t> </w:t>
      </w:r>
      <w:r>
        <w:rPr/>
        <w:t>provided</w:t>
      </w:r>
      <w:r>
        <w:rPr>
          <w:spacing w:val="-12"/>
        </w:rPr>
        <w:t> </w:t>
      </w:r>
      <w:r>
        <w:rPr/>
        <w:t>a</w:t>
      </w:r>
      <w:r>
        <w:rPr>
          <w:spacing w:val="-12"/>
        </w:rPr>
        <w:t> </w:t>
      </w:r>
      <w:r>
        <w:rPr/>
        <w:t>scholarship to establish a student exchange with an existing</w:t>
      </w:r>
      <w:r>
        <w:rPr>
          <w:spacing w:val="-24"/>
        </w:rPr>
        <w:t> </w:t>
      </w:r>
      <w:r>
        <w:rPr/>
        <w:t>partner,</w:t>
      </w:r>
      <w:r>
        <w:rPr>
          <w:spacing w:val="-24"/>
        </w:rPr>
        <w:t> </w:t>
      </w:r>
      <w:r>
        <w:rPr/>
        <w:t>the</w:t>
      </w:r>
      <w:r>
        <w:rPr>
          <w:spacing w:val="-24"/>
        </w:rPr>
        <w:t> </w:t>
      </w:r>
      <w:r>
        <w:rPr/>
        <w:t>Syarif</w:t>
      </w:r>
      <w:r>
        <w:rPr>
          <w:spacing w:val="-24"/>
        </w:rPr>
        <w:t> </w:t>
      </w:r>
      <w:r>
        <w:rPr/>
        <w:t>Hidayatullah</w:t>
      </w:r>
      <w:r>
        <w:rPr>
          <w:spacing w:val="-24"/>
        </w:rPr>
        <w:t> </w:t>
      </w:r>
      <w:r>
        <w:rPr/>
        <w:t>State Islamic</w:t>
      </w:r>
      <w:r>
        <w:rPr>
          <w:spacing w:val="-33"/>
        </w:rPr>
        <w:t> </w:t>
      </w:r>
      <w:r>
        <w:rPr/>
        <w:t>University</w:t>
      </w:r>
      <w:r>
        <w:rPr>
          <w:spacing w:val="-33"/>
        </w:rPr>
        <w:t> </w:t>
      </w:r>
      <w:r>
        <w:rPr/>
        <w:t>Jakarta</w:t>
      </w:r>
      <w:r>
        <w:rPr>
          <w:spacing w:val="-33"/>
        </w:rPr>
        <w:t> </w:t>
      </w:r>
      <w:r>
        <w:rPr>
          <w:spacing w:val="2"/>
        </w:rPr>
        <w:t>(UIN,</w:t>
      </w:r>
      <w:r>
        <w:rPr>
          <w:spacing w:val="-33"/>
        </w:rPr>
        <w:t> </w:t>
      </w:r>
      <w:r>
        <w:rPr/>
        <w:t>Jakarta),</w:t>
      </w:r>
    </w:p>
    <w:p>
      <w:pPr>
        <w:pStyle w:val="BodyText"/>
        <w:spacing w:line="249" w:lineRule="auto"/>
        <w:ind w:left="107" w:right="297"/>
      </w:pPr>
      <w:r>
        <w:rPr/>
        <w:t>the</w:t>
      </w:r>
      <w:r>
        <w:rPr>
          <w:spacing w:val="-20"/>
        </w:rPr>
        <w:t> </w:t>
      </w:r>
      <w:r>
        <w:rPr/>
        <w:t>leading</w:t>
      </w:r>
      <w:r>
        <w:rPr>
          <w:spacing w:val="-20"/>
        </w:rPr>
        <w:t> </w:t>
      </w:r>
      <w:r>
        <w:rPr/>
        <w:t>university</w:t>
      </w:r>
      <w:r>
        <w:rPr>
          <w:spacing w:val="-20"/>
        </w:rPr>
        <w:t> </w:t>
      </w:r>
      <w:r>
        <w:rPr/>
        <w:t>in</w:t>
      </w:r>
      <w:r>
        <w:rPr>
          <w:spacing w:val="-20"/>
        </w:rPr>
        <w:t> </w:t>
      </w:r>
      <w:r>
        <w:rPr/>
        <w:t>the</w:t>
      </w:r>
      <w:r>
        <w:rPr>
          <w:spacing w:val="-20"/>
        </w:rPr>
        <w:t> </w:t>
      </w:r>
      <w:r>
        <w:rPr/>
        <w:t>State</w:t>
      </w:r>
      <w:r>
        <w:rPr>
          <w:spacing w:val="-20"/>
        </w:rPr>
        <w:t> </w:t>
      </w:r>
      <w:r>
        <w:rPr/>
        <w:t>Islamic University</w:t>
      </w:r>
      <w:r>
        <w:rPr>
          <w:spacing w:val="-22"/>
        </w:rPr>
        <w:t> </w:t>
      </w:r>
      <w:r>
        <w:rPr/>
        <w:t>network</w:t>
      </w:r>
      <w:r>
        <w:rPr>
          <w:spacing w:val="-22"/>
        </w:rPr>
        <w:t> </w:t>
      </w:r>
      <w:r>
        <w:rPr/>
        <w:t>in</w:t>
      </w:r>
      <w:r>
        <w:rPr>
          <w:spacing w:val="-22"/>
        </w:rPr>
        <w:t> </w:t>
      </w:r>
      <w:r>
        <w:rPr/>
        <w:t>Indonesia.</w:t>
      </w:r>
      <w:r>
        <w:rPr>
          <w:spacing w:val="-22"/>
        </w:rPr>
        <w:t> </w:t>
      </w:r>
      <w:r>
        <w:rPr/>
        <w:t>This</w:t>
      </w:r>
      <w:r>
        <w:rPr>
          <w:spacing w:val="-22"/>
        </w:rPr>
        <w:t> </w:t>
      </w:r>
      <w:r>
        <w:rPr/>
        <w:t>will provide student exchange scholarships for</w:t>
      </w:r>
      <w:r>
        <w:rPr>
          <w:spacing w:val="-18"/>
        </w:rPr>
        <w:t> </w:t>
      </w:r>
      <w:r>
        <w:rPr/>
        <w:t>Indonesian</w:t>
      </w:r>
      <w:r>
        <w:rPr>
          <w:spacing w:val="-18"/>
        </w:rPr>
        <w:t> </w:t>
      </w:r>
      <w:r>
        <w:rPr/>
        <w:t>students</w:t>
      </w:r>
      <w:r>
        <w:rPr>
          <w:spacing w:val="-18"/>
        </w:rPr>
        <w:t> </w:t>
      </w:r>
      <w:r>
        <w:rPr/>
        <w:t>wanting</w:t>
      </w:r>
      <w:r>
        <w:rPr>
          <w:spacing w:val="-18"/>
        </w:rPr>
        <w:t> </w:t>
      </w:r>
      <w:r>
        <w:rPr/>
        <w:t>to</w:t>
      </w:r>
      <w:r>
        <w:rPr>
          <w:spacing w:val="-18"/>
        </w:rPr>
        <w:t> </w:t>
      </w:r>
      <w:r>
        <w:rPr/>
        <w:t>study international</w:t>
      </w:r>
      <w:r>
        <w:rPr>
          <w:spacing w:val="-19"/>
        </w:rPr>
        <w:t> </w:t>
      </w:r>
      <w:r>
        <w:rPr/>
        <w:t>relations,</w:t>
      </w:r>
      <w:r>
        <w:rPr>
          <w:spacing w:val="-19"/>
        </w:rPr>
        <w:t> </w:t>
      </w:r>
      <w:r>
        <w:rPr/>
        <w:t>Asian</w:t>
      </w:r>
      <w:r>
        <w:rPr>
          <w:spacing w:val="-19"/>
        </w:rPr>
        <w:t> </w:t>
      </w:r>
      <w:r>
        <w:rPr/>
        <w:t>studies</w:t>
      </w:r>
      <w:r>
        <w:rPr>
          <w:spacing w:val="-19"/>
        </w:rPr>
        <w:t> </w:t>
      </w:r>
      <w:r>
        <w:rPr/>
        <w:t>and related</w:t>
      </w:r>
      <w:r>
        <w:rPr>
          <w:spacing w:val="-22"/>
        </w:rPr>
        <w:t> </w:t>
      </w:r>
      <w:r>
        <w:rPr/>
        <w:t>discipline</w:t>
      </w:r>
      <w:r>
        <w:rPr>
          <w:spacing w:val="-22"/>
        </w:rPr>
        <w:t> </w:t>
      </w:r>
      <w:r>
        <w:rPr/>
        <w:t>areas</w:t>
      </w:r>
      <w:r>
        <w:rPr>
          <w:spacing w:val="-22"/>
        </w:rPr>
        <w:t> </w:t>
      </w:r>
      <w:r>
        <w:rPr/>
        <w:t>in</w:t>
      </w:r>
      <w:r>
        <w:rPr>
          <w:spacing w:val="-22"/>
        </w:rPr>
        <w:t> </w:t>
      </w:r>
      <w:r>
        <w:rPr/>
        <w:t>Australia.</w:t>
      </w:r>
    </w:p>
    <w:p>
      <w:pPr>
        <w:pStyle w:val="BodyText"/>
        <w:spacing w:before="9"/>
        <w:rPr>
          <w:sz w:val="20"/>
        </w:rPr>
      </w:pPr>
      <w:r>
        <w:rPr/>
        <w:br w:type="column"/>
      </w:r>
      <w:r>
        <w:rPr>
          <w:sz w:val="20"/>
        </w:rPr>
      </w:r>
    </w:p>
    <w:p>
      <w:pPr>
        <w:pStyle w:val="Heading8"/>
        <w:ind w:right="126"/>
      </w:pPr>
      <w:r>
        <w:rPr>
          <w:w w:val="95"/>
        </w:rPr>
        <w:t>NEW COLOMBO PLAN SCHOLARSHIPS</w:t>
      </w:r>
    </w:p>
    <w:p>
      <w:pPr>
        <w:pStyle w:val="BodyText"/>
        <w:spacing w:line="249" w:lineRule="auto" w:before="86"/>
        <w:ind w:left="107" w:right="126"/>
      </w:pPr>
      <w:r>
        <w:rPr/>
        <w:t>The NCP Scholarship program provides opportunities for Australian undergraduate students to study, participate in internship/ mentorship opportunities and receive language training for one to two semesters in</w:t>
      </w:r>
      <w:r>
        <w:rPr>
          <w:spacing w:val="-20"/>
        </w:rPr>
        <w:t> </w:t>
      </w:r>
      <w:r>
        <w:rPr/>
        <w:t>an</w:t>
      </w:r>
      <w:r>
        <w:rPr>
          <w:spacing w:val="-20"/>
        </w:rPr>
        <w:t> </w:t>
      </w:r>
      <w:r>
        <w:rPr/>
        <w:t>eligible</w:t>
      </w:r>
      <w:r>
        <w:rPr>
          <w:spacing w:val="-20"/>
        </w:rPr>
        <w:t> </w:t>
      </w:r>
      <w:r>
        <w:rPr/>
        <w:t>host</w:t>
      </w:r>
      <w:r>
        <w:rPr>
          <w:spacing w:val="-20"/>
        </w:rPr>
        <w:t> </w:t>
      </w:r>
      <w:r>
        <w:rPr/>
        <w:t>location</w:t>
      </w:r>
      <w:r>
        <w:rPr>
          <w:spacing w:val="-20"/>
        </w:rPr>
        <w:t> </w:t>
      </w:r>
      <w:r>
        <w:rPr/>
        <w:t>in</w:t>
      </w:r>
      <w:r>
        <w:rPr>
          <w:spacing w:val="-20"/>
        </w:rPr>
        <w:t> </w:t>
      </w:r>
      <w:r>
        <w:rPr/>
        <w:t>the</w:t>
      </w:r>
      <w:r>
        <w:rPr>
          <w:spacing w:val="-20"/>
        </w:rPr>
        <w:t> </w:t>
      </w:r>
      <w:r>
        <w:rPr/>
        <w:t>Indo-Pacific region.</w:t>
      </w:r>
      <w:r>
        <w:rPr>
          <w:spacing w:val="-27"/>
        </w:rPr>
        <w:t> </w:t>
      </w:r>
      <w:r>
        <w:rPr/>
        <w:t>The</w:t>
      </w:r>
      <w:r>
        <w:rPr>
          <w:spacing w:val="-27"/>
        </w:rPr>
        <w:t> </w:t>
      </w:r>
      <w:r>
        <w:rPr/>
        <w:t>Australian</w:t>
      </w:r>
      <w:r>
        <w:rPr>
          <w:spacing w:val="-27"/>
        </w:rPr>
        <w:t> </w:t>
      </w:r>
      <w:r>
        <w:rPr/>
        <w:t>Government</w:t>
      </w:r>
      <w:r>
        <w:rPr>
          <w:spacing w:val="-27"/>
        </w:rPr>
        <w:t> </w:t>
      </w:r>
      <w:r>
        <w:rPr/>
        <w:t>awarded 60</w:t>
      </w:r>
      <w:r>
        <w:rPr>
          <w:spacing w:val="-17"/>
        </w:rPr>
        <w:t> </w:t>
      </w:r>
      <w:r>
        <w:rPr/>
        <w:t>NCP</w:t>
      </w:r>
      <w:r>
        <w:rPr>
          <w:spacing w:val="-17"/>
        </w:rPr>
        <w:t> </w:t>
      </w:r>
      <w:r>
        <w:rPr/>
        <w:t>scholarships,</w:t>
      </w:r>
      <w:r>
        <w:rPr>
          <w:spacing w:val="-17"/>
        </w:rPr>
        <w:t> </w:t>
      </w:r>
      <w:r>
        <w:rPr/>
        <w:t>each</w:t>
      </w:r>
      <w:r>
        <w:rPr>
          <w:spacing w:val="-17"/>
        </w:rPr>
        <w:t> </w:t>
      </w:r>
      <w:r>
        <w:rPr/>
        <w:t>worth</w:t>
      </w:r>
      <w:r>
        <w:rPr>
          <w:spacing w:val="-17"/>
        </w:rPr>
        <w:t> </w:t>
      </w:r>
      <w:r>
        <w:rPr/>
        <w:t>up</w:t>
      </w:r>
      <w:r>
        <w:rPr>
          <w:spacing w:val="-17"/>
        </w:rPr>
        <w:t> </w:t>
      </w:r>
      <w:r>
        <w:rPr/>
        <w:t>to</w:t>
      </w:r>
    </w:p>
    <w:p>
      <w:pPr>
        <w:pStyle w:val="BodyText"/>
        <w:spacing w:line="249" w:lineRule="auto"/>
        <w:ind w:left="107"/>
      </w:pPr>
      <w:r>
        <w:rPr>
          <w:w w:val="95"/>
        </w:rPr>
        <w:t>$67,000, </w:t>
      </w:r>
      <w:r>
        <w:rPr>
          <w:w w:val="98"/>
        </w:rPr>
        <w:t>for </w:t>
      </w:r>
      <w:r>
        <w:rPr>
          <w:w w:val="99"/>
        </w:rPr>
        <w:t>study </w:t>
      </w:r>
      <w:r>
        <w:rPr>
          <w:w w:val="98"/>
        </w:rPr>
        <w:t>commencing </w:t>
      </w:r>
      <w:r>
        <w:rPr>
          <w:w w:val="95"/>
        </w:rPr>
        <w:t>in </w:t>
      </w:r>
      <w:r>
        <w:rPr>
          <w:spacing w:val="1"/>
          <w:w w:val="84"/>
        </w:rPr>
        <w:t>2015,</w:t>
      </w:r>
      <w:r>
        <w:rPr>
          <w:w w:val="84"/>
        </w:rPr>
        <w:t> </w:t>
      </w:r>
      <w:r>
        <w:rPr/>
        <w:t>allowing two of our students to begin their overseas</w:t>
      </w:r>
      <w:r>
        <w:rPr>
          <w:spacing w:val="-32"/>
        </w:rPr>
        <w:t> </w:t>
      </w:r>
      <w:r>
        <w:rPr/>
        <w:t>study</w:t>
      </w:r>
      <w:r>
        <w:rPr>
          <w:spacing w:val="-32"/>
        </w:rPr>
        <w:t> </w:t>
      </w:r>
      <w:r>
        <w:rPr/>
        <w:t>program.</w:t>
      </w:r>
      <w:r>
        <w:rPr>
          <w:spacing w:val="-32"/>
        </w:rPr>
        <w:t> </w:t>
      </w:r>
      <w:r>
        <w:rPr/>
        <w:t>These</w:t>
      </w:r>
      <w:r>
        <w:rPr>
          <w:spacing w:val="-32"/>
        </w:rPr>
        <w:t> </w:t>
      </w:r>
      <w:r>
        <w:rPr/>
        <w:t>students</w:t>
      </w:r>
      <w:r>
        <w:rPr>
          <w:spacing w:val="-32"/>
        </w:rPr>
        <w:t> </w:t>
      </w:r>
      <w:r>
        <w:rPr/>
        <w:t>were:</w:t>
      </w:r>
    </w:p>
    <w:p>
      <w:pPr>
        <w:pStyle w:val="BodyText"/>
        <w:spacing w:before="11"/>
        <w:rPr>
          <w:sz w:val="13"/>
        </w:rPr>
      </w:pPr>
    </w:p>
    <w:p>
      <w:pPr>
        <w:pStyle w:val="BodyText"/>
        <w:spacing w:line="247" w:lineRule="auto"/>
        <w:ind w:left="333" w:hanging="227"/>
      </w:pPr>
      <w:r>
        <w:rPr>
          <w:rFonts w:ascii="Century Gothic" w:hAnsi="Century Gothic"/>
          <w:b/>
          <w:w w:val="115"/>
        </w:rPr>
        <w:t>≥ </w:t>
      </w:r>
      <w:r>
        <w:rPr/>
        <w:t>Charlee Law, Bachelor of Natural Science, Environment and Health (Singapore, </w:t>
      </w:r>
      <w:r>
        <w:rPr>
          <w:w w:val="97"/>
        </w:rPr>
        <w:t>National </w:t>
      </w:r>
      <w:r>
        <w:rPr>
          <w:w w:val="97"/>
        </w:rPr>
        <w:t>University </w:t>
      </w:r>
      <w:r>
        <w:rPr>
          <w:w w:val="99"/>
        </w:rPr>
        <w:t>of </w:t>
      </w:r>
      <w:r>
        <w:rPr>
          <w:w w:val="94"/>
        </w:rPr>
        <w:t>Singapore, </w:t>
      </w:r>
      <w:r>
        <w:rPr>
          <w:w w:val="90"/>
        </w:rPr>
        <w:t>2015)</w:t>
      </w:r>
    </w:p>
    <w:p>
      <w:pPr>
        <w:pStyle w:val="BodyText"/>
        <w:spacing w:line="247" w:lineRule="auto" w:before="57"/>
        <w:ind w:left="333" w:right="220" w:hanging="227"/>
      </w:pPr>
      <w:r>
        <w:rPr>
          <w:rFonts w:ascii="Century Gothic" w:hAnsi="Century Gothic"/>
          <w:b/>
          <w:w w:val="115"/>
        </w:rPr>
        <w:t>≥ </w:t>
      </w:r>
      <w:r>
        <w:rPr/>
        <w:t>Lakshmi Logathassan, Bachelor of International Studies/Bachelor of Laws (Singapore, National University of </w:t>
      </w:r>
      <w:r>
        <w:rPr>
          <w:w w:val="95"/>
        </w:rPr>
        <w:t>Singapore, 2015).</w:t>
      </w:r>
    </w:p>
    <w:p>
      <w:pPr>
        <w:pStyle w:val="BodyText"/>
        <w:spacing w:before="2"/>
        <w:rPr>
          <w:sz w:val="14"/>
        </w:rPr>
      </w:pPr>
    </w:p>
    <w:p>
      <w:pPr>
        <w:pStyle w:val="BodyText"/>
        <w:spacing w:line="249" w:lineRule="auto"/>
        <w:ind w:left="107" w:right="177"/>
        <w:jc w:val="both"/>
      </w:pPr>
      <w:r>
        <w:rPr>
          <w:spacing w:val="1"/>
          <w:w w:val="80"/>
        </w:rPr>
        <w:t>In</w:t>
      </w:r>
      <w:r>
        <w:rPr>
          <w:w w:val="80"/>
        </w:rPr>
        <w:t> </w:t>
      </w:r>
      <w:r>
        <w:rPr>
          <w:spacing w:val="1"/>
          <w:w w:val="84"/>
        </w:rPr>
        <w:t>2015,</w:t>
      </w:r>
      <w:r>
        <w:rPr>
          <w:w w:val="84"/>
        </w:rPr>
        <w:t> </w:t>
      </w:r>
      <w:r>
        <w:rPr>
          <w:spacing w:val="2"/>
          <w:w w:val="102"/>
        </w:rPr>
        <w:t>NCP</w:t>
      </w:r>
      <w:r>
        <w:rPr>
          <w:w w:val="102"/>
        </w:rPr>
        <w:t> </w:t>
      </w:r>
      <w:r>
        <w:rPr>
          <w:spacing w:val="1"/>
          <w:w w:val="97"/>
        </w:rPr>
        <w:t>Scholarships</w:t>
      </w:r>
      <w:r>
        <w:rPr>
          <w:w w:val="97"/>
        </w:rPr>
        <w:t> </w:t>
      </w:r>
      <w:r>
        <w:rPr>
          <w:w w:val="97"/>
        </w:rPr>
        <w:t>were </w:t>
      </w:r>
      <w:r>
        <w:rPr>
          <w:w w:val="98"/>
        </w:rPr>
        <w:t>awarded </w:t>
      </w:r>
      <w:r>
        <w:rPr>
          <w:spacing w:val="-1"/>
          <w:w w:val="101"/>
        </w:rPr>
        <w:t>to</w:t>
      </w:r>
      <w:r>
        <w:rPr>
          <w:w w:val="101"/>
        </w:rPr>
        <w:t> </w:t>
      </w:r>
      <w:r>
        <w:rPr/>
        <w:t>two</w:t>
      </w:r>
      <w:r>
        <w:rPr>
          <w:spacing w:val="-14"/>
        </w:rPr>
        <w:t> </w:t>
      </w:r>
      <w:r>
        <w:rPr/>
        <w:t>students</w:t>
      </w:r>
      <w:r>
        <w:rPr>
          <w:spacing w:val="-14"/>
        </w:rPr>
        <w:t> </w:t>
      </w:r>
      <w:r>
        <w:rPr/>
        <w:t>to</w:t>
      </w:r>
      <w:r>
        <w:rPr>
          <w:spacing w:val="-14"/>
        </w:rPr>
        <w:t> </w:t>
      </w:r>
      <w:r>
        <w:rPr/>
        <w:t>begin</w:t>
      </w:r>
      <w:r>
        <w:rPr>
          <w:spacing w:val="-14"/>
        </w:rPr>
        <w:t> </w:t>
      </w:r>
      <w:r>
        <w:rPr/>
        <w:t>overseas</w:t>
      </w:r>
      <w:r>
        <w:rPr>
          <w:spacing w:val="-14"/>
        </w:rPr>
        <w:t> </w:t>
      </w:r>
      <w:r>
        <w:rPr/>
        <w:t>study</w:t>
      </w:r>
      <w:r>
        <w:rPr>
          <w:spacing w:val="-14"/>
        </w:rPr>
        <w:t> </w:t>
      </w:r>
      <w:r>
        <w:rPr/>
        <w:t>in</w:t>
      </w:r>
      <w:r>
        <w:rPr>
          <w:spacing w:val="-14"/>
        </w:rPr>
        <w:t> </w:t>
      </w:r>
      <w:r>
        <w:rPr/>
        <w:t>the </w:t>
      </w:r>
      <w:r>
        <w:rPr>
          <w:spacing w:val="1"/>
          <w:w w:val="96"/>
        </w:rPr>
        <w:t>Indo-Pacific</w:t>
      </w:r>
      <w:r>
        <w:rPr>
          <w:w w:val="96"/>
        </w:rPr>
        <w:t> </w:t>
      </w:r>
      <w:r>
        <w:rPr>
          <w:w w:val="95"/>
        </w:rPr>
        <w:t>in </w:t>
      </w:r>
      <w:r>
        <w:rPr>
          <w:spacing w:val="2"/>
          <w:w w:val="85"/>
        </w:rPr>
        <w:t>2016.</w:t>
      </w:r>
      <w:r>
        <w:rPr>
          <w:w w:val="85"/>
        </w:rPr>
        <w:t> </w:t>
      </w:r>
      <w:r>
        <w:rPr>
          <w:spacing w:val="1"/>
          <w:w w:val="94"/>
        </w:rPr>
        <w:t>These</w:t>
      </w:r>
      <w:r>
        <w:rPr>
          <w:w w:val="94"/>
        </w:rPr>
        <w:t> </w:t>
      </w:r>
      <w:r>
        <w:rPr>
          <w:spacing w:val="1"/>
          <w:w w:val="97"/>
        </w:rPr>
        <w:t>students</w:t>
      </w:r>
      <w:r>
        <w:rPr>
          <w:spacing w:val="-1"/>
          <w:w w:val="97"/>
        </w:rPr>
        <w:t> </w:t>
      </w:r>
      <w:r>
        <w:rPr>
          <w:w w:val="90"/>
        </w:rPr>
        <w:t>were:</w:t>
      </w:r>
    </w:p>
    <w:p>
      <w:pPr>
        <w:pStyle w:val="BodyText"/>
        <w:spacing w:before="11"/>
        <w:rPr>
          <w:sz w:val="13"/>
        </w:rPr>
      </w:pPr>
    </w:p>
    <w:p>
      <w:pPr>
        <w:pStyle w:val="BodyText"/>
        <w:spacing w:line="247" w:lineRule="auto"/>
        <w:ind w:left="333" w:right="246" w:hanging="227"/>
      </w:pPr>
      <w:r>
        <w:rPr>
          <w:rFonts w:ascii="Century Gothic" w:hAnsi="Century Gothic"/>
          <w:b/>
          <w:w w:val="115"/>
        </w:rPr>
        <w:t>≥ </w:t>
      </w:r>
      <w:r>
        <w:rPr/>
        <w:t>Caitlin Alderson, Bachelor of Policing Studies (Hong Kong, City University of Hong Kong, 2016)</w:t>
      </w:r>
    </w:p>
    <w:p>
      <w:pPr>
        <w:pStyle w:val="BodyText"/>
        <w:spacing w:line="244" w:lineRule="auto" w:before="57"/>
        <w:ind w:left="333" w:hanging="227"/>
      </w:pPr>
      <w:r>
        <w:rPr>
          <w:rFonts w:ascii="Century Gothic" w:hAnsi="Century Gothic"/>
          <w:b/>
          <w:w w:val="115"/>
        </w:rPr>
        <w:t>≥ </w:t>
      </w:r>
      <w:r>
        <w:rPr/>
        <w:t>Justin Whittle, Bachelor of Natural Science </w:t>
      </w:r>
      <w:r>
        <w:rPr>
          <w:w w:val="93"/>
        </w:rPr>
        <w:t>(Thailand, </w:t>
      </w:r>
      <w:r>
        <w:rPr>
          <w:w w:val="97"/>
        </w:rPr>
        <w:t>Kasetsart </w:t>
      </w:r>
      <w:r>
        <w:rPr>
          <w:w w:val="95"/>
        </w:rPr>
        <w:t>University, </w:t>
      </w:r>
      <w:r>
        <w:rPr>
          <w:w w:val="87"/>
        </w:rPr>
        <w:t>2016).</w:t>
      </w:r>
    </w:p>
    <w:p>
      <w:pPr>
        <w:pStyle w:val="BodyText"/>
        <w:spacing w:before="4"/>
        <w:rPr>
          <w:sz w:val="14"/>
        </w:rPr>
      </w:pPr>
    </w:p>
    <w:p>
      <w:pPr>
        <w:pStyle w:val="BodyText"/>
        <w:spacing w:line="249" w:lineRule="auto"/>
        <w:ind w:left="107"/>
      </w:pPr>
      <w:r>
        <w:rPr/>
        <w:t>As the top-ranked candidate for his host location,</w:t>
      </w:r>
      <w:r>
        <w:rPr>
          <w:spacing w:val="-14"/>
        </w:rPr>
        <w:t> </w:t>
      </w:r>
      <w:r>
        <w:rPr/>
        <w:t>Justin</w:t>
      </w:r>
      <w:r>
        <w:rPr>
          <w:spacing w:val="-14"/>
        </w:rPr>
        <w:t> </w:t>
      </w:r>
      <w:r>
        <w:rPr/>
        <w:t>Whittle</w:t>
      </w:r>
      <w:r>
        <w:rPr>
          <w:spacing w:val="-14"/>
        </w:rPr>
        <w:t> </w:t>
      </w:r>
      <w:r>
        <w:rPr/>
        <w:t>was</w:t>
      </w:r>
      <w:r>
        <w:rPr>
          <w:spacing w:val="-14"/>
        </w:rPr>
        <w:t> </w:t>
      </w:r>
      <w:r>
        <w:rPr/>
        <w:t>also</w:t>
      </w:r>
      <w:r>
        <w:rPr>
          <w:spacing w:val="-14"/>
        </w:rPr>
        <w:t> </w:t>
      </w:r>
      <w:r>
        <w:rPr/>
        <w:t>awarded</w:t>
      </w:r>
      <w:r>
        <w:rPr>
          <w:spacing w:val="-14"/>
        </w:rPr>
        <w:t> </w:t>
      </w:r>
      <w:r>
        <w:rPr/>
        <w:t>the prestigious</w:t>
      </w:r>
      <w:r>
        <w:rPr>
          <w:spacing w:val="-9"/>
        </w:rPr>
        <w:t> </w:t>
      </w:r>
      <w:r>
        <w:rPr/>
        <w:t>title</w:t>
      </w:r>
      <w:r>
        <w:rPr>
          <w:spacing w:val="-9"/>
        </w:rPr>
        <w:t> </w:t>
      </w:r>
      <w:r>
        <w:rPr/>
        <w:t>of</w:t>
      </w:r>
      <w:r>
        <w:rPr>
          <w:spacing w:val="-9"/>
        </w:rPr>
        <w:t> </w:t>
      </w:r>
      <w:r>
        <w:rPr/>
        <w:t>‘New</w:t>
      </w:r>
      <w:r>
        <w:rPr>
          <w:spacing w:val="-9"/>
        </w:rPr>
        <w:t> </w:t>
      </w:r>
      <w:r>
        <w:rPr/>
        <w:t>Colombo</w:t>
      </w:r>
      <w:r>
        <w:rPr>
          <w:spacing w:val="-9"/>
        </w:rPr>
        <w:t> </w:t>
      </w:r>
      <w:r>
        <w:rPr/>
        <w:t>Plan</w:t>
      </w:r>
      <w:r>
        <w:rPr>
          <w:spacing w:val="-9"/>
        </w:rPr>
        <w:t> </w:t>
      </w:r>
      <w:r>
        <w:rPr/>
        <w:t>Fellow’ </w:t>
      </w:r>
      <w:r>
        <w:rPr>
          <w:w w:val="95"/>
        </w:rPr>
        <w:t>for</w:t>
      </w:r>
      <w:r>
        <w:rPr>
          <w:spacing w:val="4"/>
          <w:w w:val="95"/>
        </w:rPr>
        <w:t> </w:t>
      </w:r>
      <w:r>
        <w:rPr>
          <w:w w:val="95"/>
        </w:rPr>
        <w:t>Thailand.</w:t>
      </w:r>
    </w:p>
    <w:p>
      <w:pPr>
        <w:pStyle w:val="BodyText"/>
        <w:spacing w:before="7"/>
        <w:rPr>
          <w:sz w:val="21"/>
        </w:rPr>
      </w:pPr>
    </w:p>
    <w:p>
      <w:pPr>
        <w:pStyle w:val="Heading8"/>
        <w:ind w:right="126"/>
      </w:pPr>
      <w:r>
        <w:rPr/>
        <w:t>ERASMUS+</w:t>
      </w:r>
    </w:p>
    <w:p>
      <w:pPr>
        <w:pStyle w:val="BodyText"/>
        <w:spacing w:line="249" w:lineRule="auto" w:before="86"/>
        <w:ind w:left="107" w:right="604"/>
      </w:pPr>
      <w:r>
        <w:rPr/>
        <w:t>Erasmus+</w:t>
      </w:r>
      <w:r>
        <w:rPr>
          <w:spacing w:val="-30"/>
        </w:rPr>
        <w:t> </w:t>
      </w:r>
      <w:r>
        <w:rPr/>
        <w:t>is</w:t>
      </w:r>
      <w:r>
        <w:rPr>
          <w:spacing w:val="-30"/>
        </w:rPr>
        <w:t> </w:t>
      </w:r>
      <w:r>
        <w:rPr/>
        <w:t>an</w:t>
      </w:r>
      <w:r>
        <w:rPr>
          <w:spacing w:val="-30"/>
        </w:rPr>
        <w:t> </w:t>
      </w:r>
      <w:r>
        <w:rPr/>
        <w:t>education</w:t>
      </w:r>
      <w:r>
        <w:rPr>
          <w:spacing w:val="-30"/>
        </w:rPr>
        <w:t> </w:t>
      </w:r>
      <w:r>
        <w:rPr/>
        <w:t>initiative</w:t>
      </w:r>
      <w:r>
        <w:rPr>
          <w:spacing w:val="-30"/>
        </w:rPr>
        <w:t> </w:t>
      </w:r>
      <w:r>
        <w:rPr/>
        <w:t>of the</w:t>
      </w:r>
      <w:r>
        <w:rPr>
          <w:spacing w:val="-32"/>
        </w:rPr>
        <w:t> </w:t>
      </w:r>
      <w:r>
        <w:rPr/>
        <w:t>European</w:t>
      </w:r>
      <w:r>
        <w:rPr>
          <w:spacing w:val="-32"/>
        </w:rPr>
        <w:t> </w:t>
      </w:r>
      <w:r>
        <w:rPr/>
        <w:t>Commission</w:t>
      </w:r>
      <w:r>
        <w:rPr>
          <w:spacing w:val="-32"/>
        </w:rPr>
        <w:t> </w:t>
      </w:r>
      <w:r>
        <w:rPr/>
        <w:t>that</w:t>
      </w:r>
      <w:r>
        <w:rPr>
          <w:spacing w:val="-32"/>
        </w:rPr>
        <w:t> </w:t>
      </w:r>
      <w:r>
        <w:rPr/>
        <w:t>fosters</w:t>
      </w:r>
    </w:p>
    <w:p>
      <w:pPr>
        <w:pStyle w:val="BodyText"/>
        <w:spacing w:line="249" w:lineRule="auto"/>
        <w:ind w:left="107"/>
      </w:pPr>
      <w:r>
        <w:rPr/>
        <w:t>international collaboration between EU and non-EU</w:t>
      </w:r>
      <w:r>
        <w:rPr>
          <w:spacing w:val="-36"/>
        </w:rPr>
        <w:t> </w:t>
      </w:r>
      <w:r>
        <w:rPr/>
        <w:t>institutions.</w:t>
      </w:r>
      <w:r>
        <w:rPr>
          <w:spacing w:val="-36"/>
        </w:rPr>
        <w:t> </w:t>
      </w:r>
      <w:r>
        <w:rPr/>
        <w:t>The</w:t>
      </w:r>
      <w:r>
        <w:rPr>
          <w:spacing w:val="-36"/>
        </w:rPr>
        <w:t> </w:t>
      </w:r>
      <w:r>
        <w:rPr/>
        <w:t>University</w:t>
      </w:r>
      <w:r>
        <w:rPr>
          <w:spacing w:val="-36"/>
        </w:rPr>
        <w:t> </w:t>
      </w:r>
      <w:r>
        <w:rPr/>
        <w:t>successfully submitted</w:t>
      </w:r>
      <w:r>
        <w:rPr>
          <w:spacing w:val="-25"/>
        </w:rPr>
        <w:t> </w:t>
      </w:r>
      <w:r>
        <w:rPr/>
        <w:t>a</w:t>
      </w:r>
      <w:r>
        <w:rPr>
          <w:spacing w:val="-25"/>
        </w:rPr>
        <w:t> </w:t>
      </w:r>
      <w:r>
        <w:rPr/>
        <w:t>joint</w:t>
      </w:r>
      <w:r>
        <w:rPr>
          <w:spacing w:val="-25"/>
        </w:rPr>
        <w:t> </w:t>
      </w:r>
      <w:r>
        <w:rPr/>
        <w:t>application</w:t>
      </w:r>
      <w:r>
        <w:rPr>
          <w:spacing w:val="-25"/>
        </w:rPr>
        <w:t> </w:t>
      </w:r>
      <w:r>
        <w:rPr/>
        <w:t>with</w:t>
      </w:r>
      <w:r>
        <w:rPr>
          <w:spacing w:val="-25"/>
        </w:rPr>
        <w:t> </w:t>
      </w:r>
      <w:r>
        <w:rPr/>
        <w:t>Universidad Complutense</w:t>
      </w:r>
      <w:r>
        <w:rPr>
          <w:spacing w:val="-24"/>
        </w:rPr>
        <w:t> </w:t>
      </w:r>
      <w:r>
        <w:rPr/>
        <w:t>de</w:t>
      </w:r>
      <w:r>
        <w:rPr>
          <w:spacing w:val="-24"/>
        </w:rPr>
        <w:t> </w:t>
      </w:r>
      <w:r>
        <w:rPr/>
        <w:t>Madrid</w:t>
      </w:r>
      <w:r>
        <w:rPr>
          <w:spacing w:val="-24"/>
        </w:rPr>
        <w:t> </w:t>
      </w:r>
      <w:r>
        <w:rPr/>
        <w:t>(UCM)</w:t>
      </w:r>
      <w:r>
        <w:rPr>
          <w:spacing w:val="-24"/>
        </w:rPr>
        <w:t> </w:t>
      </w:r>
      <w:r>
        <w:rPr/>
        <w:t>for</w:t>
      </w:r>
      <w:r>
        <w:rPr>
          <w:spacing w:val="-24"/>
        </w:rPr>
        <w:t> </w:t>
      </w:r>
      <w:r>
        <w:rPr/>
        <w:t>scholarship </w:t>
      </w:r>
      <w:r>
        <w:rPr>
          <w:w w:val="97"/>
        </w:rPr>
        <w:t>funding </w:t>
      </w:r>
      <w:r>
        <w:rPr>
          <w:spacing w:val="-1"/>
          <w:w w:val="95"/>
        </w:rPr>
        <w:t>in</w:t>
      </w:r>
      <w:r>
        <w:rPr>
          <w:w w:val="95"/>
        </w:rPr>
        <w:t> </w:t>
      </w:r>
      <w:r>
        <w:rPr>
          <w:w w:val="97"/>
        </w:rPr>
        <w:t>the </w:t>
      </w:r>
      <w:r>
        <w:rPr>
          <w:w w:val="88"/>
        </w:rPr>
        <w:t>2015 </w:t>
      </w:r>
      <w:r>
        <w:rPr>
          <w:spacing w:val="-1"/>
          <w:w w:val="99"/>
        </w:rPr>
        <w:t>pilot</w:t>
      </w:r>
      <w:r>
        <w:rPr>
          <w:w w:val="99"/>
        </w:rPr>
        <w:t> </w:t>
      </w:r>
      <w:r>
        <w:rPr>
          <w:w w:val="93"/>
        </w:rPr>
        <w:t>round. </w:t>
      </w:r>
      <w:r>
        <w:rPr>
          <w:spacing w:val="-2"/>
          <w:w w:val="94"/>
        </w:rPr>
        <w:t>Together,</w:t>
      </w:r>
      <w:r>
        <w:rPr>
          <w:w w:val="94"/>
        </w:rPr>
        <w:t> </w:t>
      </w:r>
      <w:r>
        <w:rPr>
          <w:w w:val="97"/>
        </w:rPr>
        <w:t>the </w:t>
      </w:r>
      <w:r>
        <w:rPr/>
        <w:t>universities secured funding that will sponsor bilateral</w:t>
      </w:r>
      <w:r>
        <w:rPr>
          <w:spacing w:val="-26"/>
        </w:rPr>
        <w:t> </w:t>
      </w:r>
      <w:r>
        <w:rPr/>
        <w:t>staff</w:t>
      </w:r>
      <w:r>
        <w:rPr>
          <w:spacing w:val="-26"/>
        </w:rPr>
        <w:t> </w:t>
      </w:r>
      <w:r>
        <w:rPr/>
        <w:t>and</w:t>
      </w:r>
      <w:r>
        <w:rPr>
          <w:spacing w:val="-26"/>
        </w:rPr>
        <w:t> </w:t>
      </w:r>
      <w:r>
        <w:rPr/>
        <w:t>student</w:t>
      </w:r>
      <w:r>
        <w:rPr>
          <w:spacing w:val="-26"/>
        </w:rPr>
        <w:t> </w:t>
      </w:r>
      <w:r>
        <w:rPr/>
        <w:t>exchanges</w:t>
      </w:r>
      <w:r>
        <w:rPr>
          <w:spacing w:val="-26"/>
        </w:rPr>
        <w:t> </w:t>
      </w:r>
      <w:r>
        <w:rPr/>
        <w:t>between </w:t>
      </w:r>
      <w:r>
        <w:rPr>
          <w:w w:val="97"/>
        </w:rPr>
        <w:t>the</w:t>
      </w:r>
      <w:r>
        <w:rPr>
          <w:spacing w:val="-12"/>
          <w:w w:val="97"/>
        </w:rPr>
        <w:t> </w:t>
      </w:r>
      <w:r>
        <w:rPr>
          <w:spacing w:val="-1"/>
          <w:w w:val="101"/>
        </w:rPr>
        <w:t>two</w:t>
      </w:r>
      <w:r>
        <w:rPr>
          <w:spacing w:val="-14"/>
          <w:w w:val="101"/>
        </w:rPr>
        <w:t> </w:t>
      </w:r>
      <w:r>
        <w:rPr>
          <w:spacing w:val="-2"/>
          <w:w w:val="98"/>
        </w:rPr>
        <w:t>over</w:t>
      </w:r>
      <w:r>
        <w:rPr>
          <w:spacing w:val="-12"/>
          <w:w w:val="98"/>
        </w:rPr>
        <w:t> </w:t>
      </w:r>
      <w:r>
        <w:rPr>
          <w:w w:val="97"/>
        </w:rPr>
        <w:t>the</w:t>
      </w:r>
      <w:r>
        <w:rPr>
          <w:spacing w:val="-12"/>
          <w:w w:val="97"/>
        </w:rPr>
        <w:t> </w:t>
      </w:r>
      <w:r>
        <w:rPr>
          <w:w w:val="85"/>
        </w:rPr>
        <w:t>2016–17</w:t>
      </w:r>
      <w:r>
        <w:rPr>
          <w:spacing w:val="-6"/>
          <w:w w:val="85"/>
        </w:rPr>
        <w:t> </w:t>
      </w:r>
      <w:r>
        <w:rPr>
          <w:w w:val="94"/>
        </w:rPr>
        <w:t>period.</w:t>
      </w:r>
    </w:p>
    <w:p>
      <w:pPr>
        <w:pStyle w:val="BodyText"/>
        <w:spacing w:before="7"/>
        <w:rPr>
          <w:sz w:val="21"/>
        </w:rPr>
      </w:pPr>
    </w:p>
    <w:p>
      <w:pPr>
        <w:pStyle w:val="Heading8"/>
        <w:ind w:right="126"/>
      </w:pPr>
      <w:r>
        <w:rPr>
          <w:w w:val="95"/>
        </w:rPr>
        <w:t>NEW EXCHANGE AGREEMENTS</w:t>
      </w:r>
    </w:p>
    <w:p>
      <w:pPr>
        <w:pStyle w:val="BodyText"/>
        <w:spacing w:line="249" w:lineRule="auto" w:before="86"/>
        <w:ind w:left="107" w:right="225"/>
      </w:pPr>
      <w:r>
        <w:rPr/>
        <w:t>New exchange agreements with Nagasaki University in Japan, Comillas Pontifical University in Spain and SRM University, in</w:t>
      </w:r>
    </w:p>
    <w:p>
      <w:pPr>
        <w:pStyle w:val="BodyText"/>
        <w:spacing w:before="2"/>
        <w:rPr>
          <w:sz w:val="20"/>
        </w:rPr>
      </w:pPr>
      <w:r>
        <w:rPr/>
        <w:br w:type="column"/>
      </w:r>
      <w:r>
        <w:rPr>
          <w:sz w:val="20"/>
        </w:rPr>
      </w:r>
    </w:p>
    <w:p>
      <w:pPr>
        <w:pStyle w:val="BodyText"/>
        <w:spacing w:line="249" w:lineRule="auto"/>
        <w:ind w:left="107" w:right="112"/>
      </w:pPr>
      <w:r>
        <w:rPr/>
        <w:t>Chennai,</w:t>
      </w:r>
      <w:r>
        <w:rPr>
          <w:spacing w:val="-24"/>
        </w:rPr>
        <w:t> </w:t>
      </w:r>
      <w:r>
        <w:rPr/>
        <w:t>India</w:t>
      </w:r>
      <w:r>
        <w:rPr>
          <w:spacing w:val="-24"/>
        </w:rPr>
        <w:t> </w:t>
      </w:r>
      <w:r>
        <w:rPr/>
        <w:t>have</w:t>
      </w:r>
      <w:r>
        <w:rPr>
          <w:spacing w:val="-24"/>
        </w:rPr>
        <w:t> </w:t>
      </w:r>
      <w:r>
        <w:rPr/>
        <w:t>increased</w:t>
      </w:r>
      <w:r>
        <w:rPr>
          <w:spacing w:val="-24"/>
        </w:rPr>
        <w:t> </w:t>
      </w:r>
      <w:r>
        <w:rPr/>
        <w:t>and</w:t>
      </w:r>
      <w:r>
        <w:rPr>
          <w:spacing w:val="-24"/>
        </w:rPr>
        <w:t> </w:t>
      </w:r>
      <w:r>
        <w:rPr/>
        <w:t>broadened the</w:t>
      </w:r>
      <w:r>
        <w:rPr>
          <w:spacing w:val="-17"/>
        </w:rPr>
        <w:t> </w:t>
      </w:r>
      <w:r>
        <w:rPr/>
        <w:t>opportunities</w:t>
      </w:r>
      <w:r>
        <w:rPr>
          <w:spacing w:val="-17"/>
        </w:rPr>
        <w:t> </w:t>
      </w:r>
      <w:r>
        <w:rPr/>
        <w:t>available</w:t>
      </w:r>
      <w:r>
        <w:rPr>
          <w:spacing w:val="-17"/>
        </w:rPr>
        <w:t> </w:t>
      </w:r>
      <w:r>
        <w:rPr/>
        <w:t>for</w:t>
      </w:r>
      <w:r>
        <w:rPr>
          <w:spacing w:val="-17"/>
        </w:rPr>
        <w:t> </w:t>
      </w:r>
      <w:r>
        <w:rPr/>
        <w:t>students.</w:t>
      </w:r>
    </w:p>
    <w:p>
      <w:pPr>
        <w:pStyle w:val="BodyText"/>
      </w:pPr>
    </w:p>
    <w:p>
      <w:pPr>
        <w:pStyle w:val="Heading5"/>
        <w:spacing w:line="260" w:lineRule="exact" w:before="102"/>
        <w:ind w:right="112"/>
      </w:pPr>
      <w:r>
        <w:rPr>
          <w:w w:val="95"/>
        </w:rPr>
        <w:t>INTERNATIONAL STUDENT </w:t>
      </w:r>
      <w:r>
        <w:rPr/>
        <w:t>RECRUITMENT</w:t>
      </w:r>
    </w:p>
    <w:p>
      <w:pPr>
        <w:pStyle w:val="BodyText"/>
        <w:spacing w:line="249" w:lineRule="auto" w:before="214"/>
        <w:ind w:left="107" w:right="98"/>
      </w:pPr>
      <w:r>
        <w:rPr/>
        <w:t>The equivalent full-time student load (EFTSL) for international students increased by 4.1</w:t>
      </w:r>
    </w:p>
    <w:p>
      <w:pPr>
        <w:pStyle w:val="BodyText"/>
        <w:spacing w:line="247" w:lineRule="auto"/>
        <w:ind w:left="107" w:right="99"/>
      </w:pPr>
      <w:r>
        <w:rPr>
          <w:w w:val="97"/>
        </w:rPr>
        <w:t>per </w:t>
      </w:r>
      <w:r>
        <w:rPr>
          <w:w w:val="99"/>
        </w:rPr>
        <w:t>cent </w:t>
      </w:r>
      <w:r>
        <w:rPr>
          <w:w w:val="98"/>
        </w:rPr>
        <w:t>from </w:t>
      </w:r>
      <w:r>
        <w:rPr>
          <w:w w:val="90"/>
        </w:rPr>
        <w:t>2014 </w:t>
      </w:r>
      <w:r>
        <w:rPr>
          <w:w w:val="101"/>
        </w:rPr>
        <w:t>to </w:t>
      </w:r>
      <w:r>
        <w:rPr>
          <w:w w:val="84"/>
        </w:rPr>
        <w:t>2015. </w:t>
      </w:r>
      <w:r>
        <w:rPr>
          <w:w w:val="94"/>
        </w:rPr>
        <w:t>This </w:t>
      </w:r>
      <w:r>
        <w:rPr>
          <w:w w:val="96"/>
        </w:rPr>
        <w:t>was </w:t>
      </w:r>
      <w:r>
        <w:rPr>
          <w:w w:val="82"/>
        </w:rPr>
        <w:t>138 </w:t>
      </w:r>
      <w:r>
        <w:rPr/>
        <w:t>enrolments below the target set in </w:t>
      </w:r>
      <w:r>
        <w:rPr>
          <w:rFonts w:ascii="Century Gothic" w:hAnsi="Century Gothic"/>
          <w:i/>
        </w:rPr>
        <w:t>Securing </w:t>
      </w:r>
      <w:r>
        <w:rPr>
          <w:rFonts w:ascii="Century Gothic" w:hAnsi="Century Gothic"/>
          <w:i/>
          <w:w w:val="90"/>
        </w:rPr>
        <w:t>Success </w:t>
      </w:r>
      <w:r>
        <w:rPr>
          <w:w w:val="92"/>
        </w:rPr>
        <w:t>2015–2020. </w:t>
      </w:r>
      <w:r>
        <w:rPr>
          <w:w w:val="97"/>
        </w:rPr>
        <w:t>While </w:t>
      </w:r>
      <w:r>
        <w:rPr>
          <w:w w:val="94"/>
        </w:rPr>
        <w:t>a </w:t>
      </w:r>
      <w:r>
        <w:rPr>
          <w:w w:val="97"/>
        </w:rPr>
        <w:t>number </w:t>
      </w:r>
      <w:r>
        <w:rPr>
          <w:w w:val="99"/>
        </w:rPr>
        <w:t>of </w:t>
      </w:r>
      <w:r>
        <w:rPr>
          <w:w w:val="98"/>
        </w:rPr>
        <w:t>factors </w:t>
      </w:r>
      <w:r>
        <w:rPr/>
        <w:t>contributed to this, managing Streamlined Visa Processing (SVP) risk constrained recruitment growth. International student recruitment income increased 4.5 per cent in </w:t>
      </w:r>
      <w:r>
        <w:rPr>
          <w:w w:val="88"/>
        </w:rPr>
        <w:t>2015 </w:t>
      </w:r>
      <w:r>
        <w:rPr>
          <w:w w:val="97"/>
        </w:rPr>
        <w:t>(from </w:t>
      </w:r>
      <w:r>
        <w:rPr>
          <w:w w:val="99"/>
        </w:rPr>
        <w:t>$68 </w:t>
      </w:r>
      <w:r>
        <w:rPr>
          <w:w w:val="96"/>
        </w:rPr>
        <w:t>million </w:t>
      </w:r>
      <w:r>
        <w:rPr>
          <w:w w:val="95"/>
        </w:rPr>
        <w:t>in </w:t>
      </w:r>
      <w:r>
        <w:rPr>
          <w:w w:val="90"/>
        </w:rPr>
        <w:t>2014 </w:t>
      </w:r>
      <w:r>
        <w:rPr>
          <w:w w:val="101"/>
        </w:rPr>
        <w:t>to </w:t>
      </w:r>
      <w:r>
        <w:rPr>
          <w:w w:val="81"/>
        </w:rPr>
        <w:t>$71 </w:t>
      </w:r>
      <w:r>
        <w:rPr>
          <w:w w:val="96"/>
        </w:rPr>
        <w:t>million</w:t>
      </w:r>
    </w:p>
    <w:p>
      <w:pPr>
        <w:pStyle w:val="BodyText"/>
        <w:spacing w:line="249" w:lineRule="auto" w:before="1"/>
        <w:ind w:left="107" w:right="112"/>
      </w:pPr>
      <w:r>
        <w:rPr>
          <w:w w:val="95"/>
        </w:rPr>
        <w:t>in </w:t>
      </w:r>
      <w:r>
        <w:rPr>
          <w:w w:val="86"/>
        </w:rPr>
        <w:t>2015), </w:t>
      </w:r>
      <w:r>
        <w:rPr>
          <w:w w:val="97"/>
        </w:rPr>
        <w:t>primarily </w:t>
      </w:r>
      <w:r>
        <w:rPr>
          <w:w w:val="97"/>
        </w:rPr>
        <w:t>due </w:t>
      </w:r>
      <w:r>
        <w:rPr>
          <w:w w:val="101"/>
        </w:rPr>
        <w:t>to </w:t>
      </w:r>
      <w:r>
        <w:rPr>
          <w:w w:val="97"/>
        </w:rPr>
        <w:t>the </w:t>
      </w:r>
      <w:r>
        <w:rPr>
          <w:w w:val="97"/>
        </w:rPr>
        <w:t>enrolment </w:t>
      </w:r>
      <w:r>
        <w:rPr>
          <w:w w:val="99"/>
        </w:rPr>
        <w:t>of </w:t>
      </w:r>
      <w:r>
        <w:rPr/>
        <w:t>continuing students.</w:t>
      </w:r>
    </w:p>
    <w:p>
      <w:pPr>
        <w:pStyle w:val="BodyText"/>
        <w:rPr>
          <w:sz w:val="14"/>
        </w:rPr>
      </w:pPr>
    </w:p>
    <w:p>
      <w:pPr>
        <w:pStyle w:val="BodyText"/>
        <w:spacing w:line="249" w:lineRule="auto"/>
        <w:ind w:left="107" w:right="91"/>
      </w:pPr>
      <w:r>
        <w:rPr>
          <w:spacing w:val="1"/>
          <w:w w:val="80"/>
        </w:rPr>
        <w:t>In</w:t>
      </w:r>
      <w:r>
        <w:rPr>
          <w:w w:val="80"/>
        </w:rPr>
        <w:t> </w:t>
      </w:r>
      <w:r>
        <w:rPr>
          <w:spacing w:val="1"/>
          <w:w w:val="84"/>
        </w:rPr>
        <w:t>2015,</w:t>
      </w:r>
      <w:r>
        <w:rPr>
          <w:w w:val="84"/>
        </w:rPr>
        <w:t> </w:t>
      </w:r>
      <w:r>
        <w:rPr>
          <w:w w:val="97"/>
        </w:rPr>
        <w:t>the </w:t>
      </w:r>
      <w:r>
        <w:rPr>
          <w:w w:val="101"/>
        </w:rPr>
        <w:t>top </w:t>
      </w:r>
      <w:r>
        <w:rPr>
          <w:w w:val="97"/>
        </w:rPr>
        <w:t>five </w:t>
      </w:r>
      <w:r>
        <w:rPr>
          <w:w w:val="97"/>
        </w:rPr>
        <w:t>source </w:t>
      </w:r>
      <w:r>
        <w:rPr>
          <w:w w:val="97"/>
        </w:rPr>
        <w:t>countries </w:t>
      </w:r>
      <w:r>
        <w:rPr>
          <w:w w:val="98"/>
        </w:rPr>
        <w:t>for </w:t>
      </w:r>
      <w:r>
        <w:rPr/>
        <w:t>recruitment</w:t>
      </w:r>
      <w:r>
        <w:rPr>
          <w:spacing w:val="-24"/>
        </w:rPr>
        <w:t> </w:t>
      </w:r>
      <w:r>
        <w:rPr/>
        <w:t>were</w:t>
      </w:r>
      <w:r>
        <w:rPr>
          <w:spacing w:val="-24"/>
        </w:rPr>
        <w:t> </w:t>
      </w:r>
      <w:r>
        <w:rPr/>
        <w:t>India,</w:t>
      </w:r>
      <w:r>
        <w:rPr>
          <w:spacing w:val="-24"/>
        </w:rPr>
        <w:t> </w:t>
      </w:r>
      <w:r>
        <w:rPr/>
        <w:t>China,</w:t>
      </w:r>
      <w:r>
        <w:rPr>
          <w:spacing w:val="-24"/>
        </w:rPr>
        <w:t> </w:t>
      </w:r>
      <w:r>
        <w:rPr/>
        <w:t>Nepal,</w:t>
      </w:r>
      <w:r>
        <w:rPr>
          <w:spacing w:val="-24"/>
        </w:rPr>
        <w:t> </w:t>
      </w:r>
      <w:r>
        <w:rPr/>
        <w:t>Vietnam and the Philippines. Recruitment strategies to diversify markets saw growth in commencing students (by headcount) from the US (440 </w:t>
      </w:r>
      <w:r>
        <w:rPr>
          <w:spacing w:val="1"/>
          <w:w w:val="97"/>
        </w:rPr>
        <w:t>per</w:t>
      </w:r>
      <w:r>
        <w:rPr>
          <w:w w:val="97"/>
        </w:rPr>
        <w:t> </w:t>
      </w:r>
      <w:r>
        <w:rPr>
          <w:spacing w:val="-1"/>
          <w:w w:val="93"/>
        </w:rPr>
        <w:t>cent),</w:t>
      </w:r>
      <w:r>
        <w:rPr>
          <w:w w:val="93"/>
        </w:rPr>
        <w:t> </w:t>
      </w:r>
      <w:r>
        <w:rPr>
          <w:w w:val="98"/>
        </w:rPr>
        <w:t>Kuwait </w:t>
      </w:r>
      <w:r>
        <w:rPr>
          <w:spacing w:val="3"/>
          <w:w w:val="90"/>
        </w:rPr>
        <w:t>(160</w:t>
      </w:r>
      <w:r>
        <w:rPr>
          <w:w w:val="90"/>
        </w:rPr>
        <w:t> </w:t>
      </w:r>
      <w:r>
        <w:rPr>
          <w:spacing w:val="1"/>
          <w:w w:val="97"/>
        </w:rPr>
        <w:t>per</w:t>
      </w:r>
      <w:r>
        <w:rPr>
          <w:w w:val="97"/>
        </w:rPr>
        <w:t> </w:t>
      </w:r>
      <w:r>
        <w:rPr>
          <w:spacing w:val="-1"/>
          <w:w w:val="93"/>
        </w:rPr>
        <w:t>cent),</w:t>
      </w:r>
      <w:r>
        <w:rPr>
          <w:w w:val="93"/>
        </w:rPr>
        <w:t> </w:t>
      </w:r>
      <w:r>
        <w:rPr>
          <w:spacing w:val="1"/>
          <w:w w:val="93"/>
        </w:rPr>
        <w:t>Indonesia</w:t>
      </w:r>
      <w:r>
        <w:rPr>
          <w:w w:val="93"/>
        </w:rPr>
        <w:t> </w:t>
      </w:r>
      <w:r>
        <w:rPr>
          <w:spacing w:val="1"/>
          <w:w w:val="98"/>
        </w:rPr>
        <w:t>(86</w:t>
      </w:r>
      <w:r>
        <w:rPr>
          <w:w w:val="98"/>
        </w:rPr>
        <w:t> </w:t>
      </w:r>
      <w:r>
        <w:rPr/>
        <w:t>per</w:t>
      </w:r>
      <w:r>
        <w:rPr>
          <w:spacing w:val="-20"/>
        </w:rPr>
        <w:t> </w:t>
      </w:r>
      <w:r>
        <w:rPr/>
        <w:t>cent),</w:t>
      </w:r>
      <w:r>
        <w:rPr>
          <w:spacing w:val="-20"/>
        </w:rPr>
        <w:t> </w:t>
      </w:r>
      <w:r>
        <w:rPr/>
        <w:t>Saudi</w:t>
      </w:r>
      <w:r>
        <w:rPr>
          <w:spacing w:val="-20"/>
        </w:rPr>
        <w:t> </w:t>
      </w:r>
      <w:r>
        <w:rPr/>
        <w:t>Arabia</w:t>
      </w:r>
      <w:r>
        <w:rPr>
          <w:spacing w:val="-20"/>
        </w:rPr>
        <w:t> </w:t>
      </w:r>
      <w:r>
        <w:rPr/>
        <w:t>(62</w:t>
      </w:r>
      <w:r>
        <w:rPr>
          <w:spacing w:val="-20"/>
        </w:rPr>
        <w:t> </w:t>
      </w:r>
      <w:r>
        <w:rPr/>
        <w:t>per</w:t>
      </w:r>
      <w:r>
        <w:rPr>
          <w:spacing w:val="-20"/>
        </w:rPr>
        <w:t> </w:t>
      </w:r>
      <w:r>
        <w:rPr/>
        <w:t>cent),</w:t>
      </w:r>
      <w:r>
        <w:rPr>
          <w:spacing w:val="-20"/>
        </w:rPr>
        <w:t> </w:t>
      </w:r>
      <w:r>
        <w:rPr/>
        <w:t>Germany (25</w:t>
      </w:r>
      <w:r>
        <w:rPr>
          <w:spacing w:val="-18"/>
        </w:rPr>
        <w:t> </w:t>
      </w:r>
      <w:r>
        <w:rPr/>
        <w:t>per</w:t>
      </w:r>
      <w:r>
        <w:rPr>
          <w:spacing w:val="-18"/>
        </w:rPr>
        <w:t> </w:t>
      </w:r>
      <w:r>
        <w:rPr/>
        <w:t>cent)</w:t>
      </w:r>
      <w:r>
        <w:rPr>
          <w:spacing w:val="-18"/>
        </w:rPr>
        <w:t> </w:t>
      </w:r>
      <w:r>
        <w:rPr/>
        <w:t>and</w:t>
      </w:r>
      <w:r>
        <w:rPr>
          <w:spacing w:val="-18"/>
        </w:rPr>
        <w:t> </w:t>
      </w:r>
      <w:r>
        <w:rPr/>
        <w:t>Hong</w:t>
      </w:r>
      <w:r>
        <w:rPr>
          <w:spacing w:val="-18"/>
        </w:rPr>
        <w:t> </w:t>
      </w:r>
      <w:r>
        <w:rPr/>
        <w:t>Kong</w:t>
      </w:r>
      <w:r>
        <w:rPr>
          <w:spacing w:val="-18"/>
        </w:rPr>
        <w:t> </w:t>
      </w:r>
      <w:r>
        <w:rPr/>
        <w:t>(22</w:t>
      </w:r>
      <w:r>
        <w:rPr>
          <w:spacing w:val="-18"/>
        </w:rPr>
        <w:t> </w:t>
      </w:r>
      <w:r>
        <w:rPr/>
        <w:t>per</w:t>
      </w:r>
      <w:r>
        <w:rPr>
          <w:spacing w:val="-18"/>
        </w:rPr>
        <w:t> </w:t>
      </w:r>
      <w:r>
        <w:rPr/>
        <w:t>cent).</w:t>
      </w:r>
    </w:p>
    <w:p>
      <w:pPr>
        <w:pStyle w:val="BodyText"/>
        <w:spacing w:before="7"/>
        <w:rPr>
          <w:sz w:val="21"/>
        </w:rPr>
      </w:pPr>
    </w:p>
    <w:p>
      <w:pPr>
        <w:pStyle w:val="Heading8"/>
        <w:ind w:right="112"/>
      </w:pPr>
      <w:r>
        <w:rPr>
          <w:w w:val="95"/>
        </w:rPr>
        <w:t>AGENT MANAGEMENT</w:t>
      </w:r>
    </w:p>
    <w:p>
      <w:pPr>
        <w:pStyle w:val="BodyText"/>
        <w:spacing w:line="249" w:lineRule="auto" w:before="86"/>
        <w:ind w:left="107" w:right="88"/>
      </w:pPr>
      <w:r>
        <w:rPr/>
        <w:t>The University manages agent risk through the agent international agreement, which ensures compliance with the Education Services for Overseas Students (ESOS) National Code Standard 4, and through the International Agent Management Framework. International education agent agreements </w:t>
      </w:r>
      <w:r>
        <w:rPr>
          <w:w w:val="98"/>
        </w:rPr>
        <w:t>expired </w:t>
      </w:r>
      <w:r>
        <w:rPr>
          <w:w w:val="95"/>
        </w:rPr>
        <w:t>in </w:t>
      </w:r>
      <w:r>
        <w:rPr>
          <w:w w:val="98"/>
        </w:rPr>
        <w:t>June </w:t>
      </w:r>
      <w:r>
        <w:rPr>
          <w:w w:val="84"/>
        </w:rPr>
        <w:t>2015, </w:t>
      </w:r>
      <w:r>
        <w:rPr>
          <w:w w:val="97"/>
        </w:rPr>
        <w:t>and </w:t>
      </w:r>
      <w:r>
        <w:rPr>
          <w:w w:val="98"/>
        </w:rPr>
        <w:t>following </w:t>
      </w:r>
      <w:r>
        <w:rPr>
          <w:w w:val="95"/>
        </w:rPr>
        <w:t>an </w:t>
      </w:r>
      <w:r>
        <w:rPr/>
        <w:t>extensive review that assessed agent performance against recruitment and risk </w:t>
      </w:r>
      <w:r>
        <w:rPr>
          <w:w w:val="94"/>
        </w:rPr>
        <w:t>criteria, </w:t>
      </w:r>
      <w:r>
        <w:rPr>
          <w:w w:val="89"/>
        </w:rPr>
        <w:t>140 </w:t>
      </w:r>
      <w:r>
        <w:rPr>
          <w:w w:val="97"/>
        </w:rPr>
        <w:t>agreements </w:t>
      </w:r>
      <w:r>
        <w:rPr>
          <w:w w:val="97"/>
        </w:rPr>
        <w:t>were </w:t>
      </w:r>
      <w:r>
        <w:rPr>
          <w:w w:val="93"/>
        </w:rPr>
        <w:t>renewed. </w:t>
      </w:r>
      <w:r>
        <w:rPr>
          <w:w w:val="112"/>
        </w:rPr>
        <w:t>A </w:t>
      </w:r>
      <w:r>
        <w:rPr/>
        <w:t>further 52 agents from the Navitas agent network were appointed because of the new Western Sydney University International College joint venture arrangement. KPIs</w:t>
      </w:r>
    </w:p>
    <w:p>
      <w:pPr>
        <w:pStyle w:val="BodyText"/>
        <w:spacing w:line="249" w:lineRule="auto"/>
        <w:ind w:left="107" w:right="331"/>
      </w:pPr>
      <w:r>
        <w:rPr/>
        <w:t>in the new agent agreements include visa rejection</w:t>
      </w:r>
      <w:r>
        <w:rPr>
          <w:spacing w:val="-18"/>
        </w:rPr>
        <w:t> </w:t>
      </w:r>
      <w:r>
        <w:rPr/>
        <w:t>rates</w:t>
      </w:r>
      <w:r>
        <w:rPr>
          <w:spacing w:val="-18"/>
        </w:rPr>
        <w:t> </w:t>
      </w:r>
      <w:r>
        <w:rPr/>
        <w:t>to</w:t>
      </w:r>
      <w:r>
        <w:rPr>
          <w:spacing w:val="-18"/>
        </w:rPr>
        <w:t> </w:t>
      </w:r>
      <w:r>
        <w:rPr/>
        <w:t>assist</w:t>
      </w:r>
      <w:r>
        <w:rPr>
          <w:spacing w:val="-18"/>
        </w:rPr>
        <w:t> </w:t>
      </w:r>
      <w:r>
        <w:rPr/>
        <w:t>management</w:t>
      </w:r>
      <w:r>
        <w:rPr>
          <w:spacing w:val="-18"/>
        </w:rPr>
        <w:t> </w:t>
      </w:r>
      <w:r>
        <w:rPr/>
        <w:t>of</w:t>
      </w:r>
      <w:r>
        <w:rPr>
          <w:spacing w:val="-18"/>
        </w:rPr>
        <w:t> </w:t>
      </w:r>
      <w:r>
        <w:rPr/>
        <w:t>the University’s participation in the Australian Government’s</w:t>
      </w:r>
      <w:r>
        <w:rPr>
          <w:spacing w:val="-16"/>
        </w:rPr>
        <w:t> </w:t>
      </w:r>
      <w:r>
        <w:rPr/>
        <w:t>Streamlined</w:t>
      </w:r>
      <w:r>
        <w:rPr>
          <w:spacing w:val="-16"/>
        </w:rPr>
        <w:t> </w:t>
      </w:r>
      <w:r>
        <w:rPr/>
        <w:t>Visa</w:t>
      </w:r>
      <w:r>
        <w:rPr>
          <w:spacing w:val="-16"/>
        </w:rPr>
        <w:t> </w:t>
      </w:r>
      <w:r>
        <w:rPr/>
        <w:t>Processing (SVP)</w:t>
      </w:r>
      <w:r>
        <w:rPr>
          <w:spacing w:val="-26"/>
        </w:rPr>
        <w:t> </w:t>
      </w:r>
      <w:r>
        <w:rPr/>
        <w:t>arrangement.</w:t>
      </w:r>
    </w:p>
    <w:p>
      <w:pPr>
        <w:pStyle w:val="BodyText"/>
        <w:rPr>
          <w:sz w:val="14"/>
        </w:rPr>
      </w:pPr>
    </w:p>
    <w:p>
      <w:pPr>
        <w:pStyle w:val="BodyText"/>
        <w:spacing w:line="249" w:lineRule="auto"/>
        <w:ind w:left="107" w:right="486"/>
      </w:pPr>
      <w:r>
        <w:rPr/>
        <w:t>To further enhance the University’s international agent relationship strategy</w:t>
      </w:r>
    </w:p>
    <w:p>
      <w:pPr>
        <w:spacing w:after="0" w:line="249" w:lineRule="auto"/>
        <w:sectPr>
          <w:type w:val="continuous"/>
          <w:pgSz w:w="11910" w:h="16840"/>
          <w:pgMar w:top="1580" w:bottom="280" w:left="800" w:right="800"/>
          <w:cols w:num="3" w:equalWidth="0">
            <w:col w:w="3297" w:space="143"/>
            <w:col w:w="3300" w:space="139"/>
            <w:col w:w="3431"/>
          </w:cols>
        </w:sectPr>
      </w:pPr>
    </w:p>
    <w:p>
      <w:pPr>
        <w:pStyle w:val="BodyText"/>
        <w:spacing w:before="10"/>
        <w:rPr>
          <w:sz w:val="28"/>
        </w:rPr>
      </w:pPr>
    </w:p>
    <w:p>
      <w:pPr>
        <w:pStyle w:val="Heading2"/>
        <w:spacing w:line="240" w:lineRule="auto" w:before="27"/>
        <w:ind w:right="6642"/>
        <w:rPr>
          <w:b w:val="0"/>
        </w:rPr>
      </w:pPr>
      <w:r>
        <w:rPr>
          <w:b w:val="0"/>
        </w:rPr>
        <w:t>International</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5"/>
        </w:rPr>
      </w:pPr>
    </w:p>
    <w:p>
      <w:pPr>
        <w:spacing w:after="0"/>
        <w:rPr>
          <w:rFonts w:ascii="Chronicle Text G1"/>
          <w:sz w:val="25"/>
        </w:rPr>
        <w:sectPr>
          <w:footerReference w:type="even" r:id="rId57"/>
          <w:footerReference w:type="default" r:id="rId58"/>
          <w:pgSz w:w="11910" w:h="16840"/>
          <w:pgMar w:footer="473" w:header="494" w:top="680" w:bottom="660" w:left="800" w:right="800"/>
          <w:pgNumType w:start="62"/>
        </w:sectPr>
      </w:pPr>
    </w:p>
    <w:p>
      <w:pPr>
        <w:pStyle w:val="BodyText"/>
        <w:spacing w:line="249" w:lineRule="auto" w:before="71"/>
        <w:ind w:left="107" w:right="60"/>
      </w:pPr>
      <w:r>
        <w:rPr/>
        <w:t>and grow international onshore student enrolments,</w:t>
      </w:r>
      <w:r>
        <w:rPr>
          <w:spacing w:val="-19"/>
        </w:rPr>
        <w:t> </w:t>
      </w:r>
      <w:r>
        <w:rPr/>
        <w:t>the</w:t>
      </w:r>
      <w:r>
        <w:rPr>
          <w:spacing w:val="-19"/>
        </w:rPr>
        <w:t> </w:t>
      </w:r>
      <w:r>
        <w:rPr/>
        <w:t>University</w:t>
      </w:r>
      <w:r>
        <w:rPr>
          <w:spacing w:val="-19"/>
        </w:rPr>
        <w:t> </w:t>
      </w:r>
      <w:r>
        <w:rPr/>
        <w:t>hosted</w:t>
      </w:r>
      <w:r>
        <w:rPr>
          <w:spacing w:val="-19"/>
        </w:rPr>
        <w:t> </w:t>
      </w:r>
      <w:r>
        <w:rPr/>
        <w:t>42</w:t>
      </w:r>
      <w:r>
        <w:rPr>
          <w:spacing w:val="-19"/>
        </w:rPr>
        <w:t> </w:t>
      </w:r>
      <w:r>
        <w:rPr/>
        <w:t>Sydney- based</w:t>
      </w:r>
      <w:r>
        <w:rPr>
          <w:spacing w:val="-14"/>
        </w:rPr>
        <w:t> </w:t>
      </w:r>
      <w:r>
        <w:rPr/>
        <w:t>agents</w:t>
      </w:r>
      <w:r>
        <w:rPr>
          <w:spacing w:val="-14"/>
        </w:rPr>
        <w:t> </w:t>
      </w:r>
      <w:r>
        <w:rPr/>
        <w:t>at</w:t>
      </w:r>
      <w:r>
        <w:rPr>
          <w:spacing w:val="-14"/>
        </w:rPr>
        <w:t> </w:t>
      </w:r>
      <w:r>
        <w:rPr/>
        <w:t>Parramatta</w:t>
      </w:r>
      <w:r>
        <w:rPr>
          <w:spacing w:val="-14"/>
        </w:rPr>
        <w:t> </w:t>
      </w:r>
      <w:r>
        <w:rPr/>
        <w:t>campus</w:t>
      </w:r>
      <w:r>
        <w:rPr>
          <w:spacing w:val="-14"/>
        </w:rPr>
        <w:t> </w:t>
      </w:r>
      <w:r>
        <w:rPr/>
        <w:t>in</w:t>
      </w:r>
    </w:p>
    <w:p>
      <w:pPr>
        <w:pStyle w:val="BodyText"/>
        <w:spacing w:line="249" w:lineRule="auto"/>
        <w:ind w:left="107" w:right="-11"/>
      </w:pPr>
      <w:r>
        <w:rPr/>
        <w:t>early December. Agents were briefed about the new brand, and Schools presented key programs</w:t>
      </w:r>
      <w:r>
        <w:rPr>
          <w:spacing w:val="-19"/>
        </w:rPr>
        <w:t> </w:t>
      </w:r>
      <w:r>
        <w:rPr/>
        <w:t>and</w:t>
      </w:r>
      <w:r>
        <w:rPr>
          <w:spacing w:val="-19"/>
        </w:rPr>
        <w:t> </w:t>
      </w:r>
      <w:r>
        <w:rPr/>
        <w:t>developments</w:t>
      </w:r>
      <w:r>
        <w:rPr>
          <w:spacing w:val="-19"/>
        </w:rPr>
        <w:t> </w:t>
      </w:r>
      <w:r>
        <w:rPr/>
        <w:t>at</w:t>
      </w:r>
      <w:r>
        <w:rPr>
          <w:spacing w:val="-19"/>
        </w:rPr>
        <w:t> </w:t>
      </w:r>
      <w:r>
        <w:rPr/>
        <w:t>the</w:t>
      </w:r>
      <w:r>
        <w:rPr>
          <w:spacing w:val="-19"/>
        </w:rPr>
        <w:t> </w:t>
      </w:r>
      <w:r>
        <w:rPr/>
        <w:t>University.</w:t>
      </w:r>
    </w:p>
    <w:p>
      <w:pPr>
        <w:pStyle w:val="BodyText"/>
        <w:spacing w:line="249" w:lineRule="auto"/>
        <w:ind w:left="107" w:right="318"/>
      </w:pPr>
      <w:r>
        <w:rPr/>
        <w:t>A training session on genuine student and</w:t>
      </w:r>
      <w:r>
        <w:rPr>
          <w:spacing w:val="-17"/>
        </w:rPr>
        <w:t> </w:t>
      </w:r>
      <w:r>
        <w:rPr/>
        <w:t>genuine</w:t>
      </w:r>
      <w:r>
        <w:rPr>
          <w:spacing w:val="-17"/>
        </w:rPr>
        <w:t> </w:t>
      </w:r>
      <w:r>
        <w:rPr/>
        <w:t>temporary</w:t>
      </w:r>
      <w:r>
        <w:rPr>
          <w:spacing w:val="-17"/>
        </w:rPr>
        <w:t> </w:t>
      </w:r>
      <w:r>
        <w:rPr/>
        <w:t>entrant</w:t>
      </w:r>
      <w:r>
        <w:rPr>
          <w:spacing w:val="-17"/>
        </w:rPr>
        <w:t> </w:t>
      </w:r>
      <w:r>
        <w:rPr/>
        <w:t>university admission</w:t>
      </w:r>
      <w:r>
        <w:rPr>
          <w:spacing w:val="-21"/>
        </w:rPr>
        <w:t> </w:t>
      </w:r>
      <w:r>
        <w:rPr/>
        <w:t>guidelines</w:t>
      </w:r>
      <w:r>
        <w:rPr>
          <w:spacing w:val="-21"/>
        </w:rPr>
        <w:t> </w:t>
      </w:r>
      <w:r>
        <w:rPr/>
        <w:t>was</w:t>
      </w:r>
      <w:r>
        <w:rPr>
          <w:spacing w:val="-21"/>
        </w:rPr>
        <w:t> </w:t>
      </w:r>
      <w:r>
        <w:rPr/>
        <w:t>also</w:t>
      </w:r>
      <w:r>
        <w:rPr>
          <w:spacing w:val="-21"/>
        </w:rPr>
        <w:t> </w:t>
      </w:r>
      <w:r>
        <w:rPr/>
        <w:t>held.</w:t>
      </w:r>
    </w:p>
    <w:p>
      <w:pPr>
        <w:pStyle w:val="BodyText"/>
        <w:spacing w:before="7"/>
        <w:rPr>
          <w:sz w:val="21"/>
        </w:rPr>
      </w:pPr>
    </w:p>
    <w:p>
      <w:pPr>
        <w:pStyle w:val="Heading8"/>
        <w:ind w:right="58"/>
      </w:pPr>
      <w:r>
        <w:rPr>
          <w:w w:val="95"/>
        </w:rPr>
        <w:t>OFFSHORE REPRESENTATIVES</w:t>
      </w:r>
    </w:p>
    <w:p>
      <w:pPr>
        <w:pStyle w:val="BodyText"/>
        <w:spacing w:line="249" w:lineRule="auto" w:before="86"/>
        <w:ind w:left="107" w:right="490"/>
      </w:pPr>
      <w:r>
        <w:rPr>
          <w:spacing w:val="1"/>
          <w:w w:val="80"/>
        </w:rPr>
        <w:t>In</w:t>
      </w:r>
      <w:r>
        <w:rPr>
          <w:w w:val="80"/>
        </w:rPr>
        <w:t> </w:t>
      </w:r>
      <w:r>
        <w:rPr>
          <w:spacing w:val="1"/>
          <w:w w:val="84"/>
        </w:rPr>
        <w:t>2015,</w:t>
      </w:r>
      <w:r>
        <w:rPr>
          <w:w w:val="84"/>
        </w:rPr>
        <w:t> </w:t>
      </w:r>
      <w:r>
        <w:rPr>
          <w:spacing w:val="1"/>
          <w:w w:val="98"/>
        </w:rPr>
        <w:t>in-country</w:t>
      </w:r>
      <w:r>
        <w:rPr>
          <w:w w:val="98"/>
        </w:rPr>
        <w:t> </w:t>
      </w:r>
      <w:r>
        <w:rPr>
          <w:w w:val="97"/>
        </w:rPr>
        <w:t>representatives </w:t>
      </w:r>
      <w:r>
        <w:rPr/>
        <w:t>were</w:t>
      </w:r>
      <w:r>
        <w:rPr>
          <w:spacing w:val="-23"/>
        </w:rPr>
        <w:t> </w:t>
      </w:r>
      <w:r>
        <w:rPr/>
        <w:t>appointed</w:t>
      </w:r>
      <w:r>
        <w:rPr>
          <w:spacing w:val="-23"/>
        </w:rPr>
        <w:t> </w:t>
      </w:r>
      <w:r>
        <w:rPr/>
        <w:t>in</w:t>
      </w:r>
      <w:r>
        <w:rPr>
          <w:spacing w:val="-23"/>
        </w:rPr>
        <w:t> </w:t>
      </w:r>
      <w:r>
        <w:rPr/>
        <w:t>China</w:t>
      </w:r>
      <w:r>
        <w:rPr>
          <w:spacing w:val="-23"/>
        </w:rPr>
        <w:t> </w:t>
      </w:r>
      <w:r>
        <w:rPr/>
        <w:t>and</w:t>
      </w:r>
      <w:r>
        <w:rPr>
          <w:spacing w:val="-23"/>
        </w:rPr>
        <w:t> </w:t>
      </w:r>
      <w:r>
        <w:rPr/>
        <w:t>Indonesia.</w:t>
      </w:r>
    </w:p>
    <w:p>
      <w:pPr>
        <w:pStyle w:val="BodyText"/>
        <w:spacing w:line="249" w:lineRule="auto"/>
        <w:ind w:left="107" w:right="-2"/>
      </w:pPr>
      <w:r>
        <w:rPr/>
        <w:t>Representatives are responsible for building the University brand to increase enrolments for</w:t>
      </w:r>
      <w:r>
        <w:rPr>
          <w:spacing w:val="-20"/>
        </w:rPr>
        <w:t> </w:t>
      </w:r>
      <w:r>
        <w:rPr/>
        <w:t>undergraduate,</w:t>
      </w:r>
      <w:r>
        <w:rPr>
          <w:spacing w:val="-20"/>
        </w:rPr>
        <w:t> </w:t>
      </w:r>
      <w:r>
        <w:rPr/>
        <w:t>postgraduate</w:t>
      </w:r>
      <w:r>
        <w:rPr>
          <w:spacing w:val="-20"/>
        </w:rPr>
        <w:t> </w:t>
      </w:r>
      <w:r>
        <w:rPr/>
        <w:t>and</w:t>
      </w:r>
      <w:r>
        <w:rPr>
          <w:spacing w:val="-20"/>
        </w:rPr>
        <w:t> </w:t>
      </w:r>
      <w:r>
        <w:rPr/>
        <w:t>pathway study</w:t>
      </w:r>
      <w:r>
        <w:rPr>
          <w:spacing w:val="-18"/>
        </w:rPr>
        <w:t> </w:t>
      </w:r>
      <w:r>
        <w:rPr/>
        <w:t>to</w:t>
      </w:r>
      <w:r>
        <w:rPr>
          <w:spacing w:val="-18"/>
        </w:rPr>
        <w:t> </w:t>
      </w:r>
      <w:r>
        <w:rPr/>
        <w:t>the</w:t>
      </w:r>
      <w:r>
        <w:rPr>
          <w:spacing w:val="-18"/>
        </w:rPr>
        <w:t> </w:t>
      </w:r>
      <w:r>
        <w:rPr/>
        <w:t>University.</w:t>
      </w:r>
      <w:r>
        <w:rPr>
          <w:spacing w:val="-18"/>
        </w:rPr>
        <w:t> </w:t>
      </w:r>
      <w:r>
        <w:rPr/>
        <w:t>Similarly,</w:t>
      </w:r>
      <w:r>
        <w:rPr>
          <w:spacing w:val="-18"/>
        </w:rPr>
        <w:t> </w:t>
      </w:r>
      <w:r>
        <w:rPr/>
        <w:t>a</w:t>
      </w:r>
      <w:r>
        <w:rPr>
          <w:spacing w:val="-18"/>
        </w:rPr>
        <w:t> </w:t>
      </w:r>
      <w:r>
        <w:rPr/>
        <w:t>South</w:t>
      </w:r>
      <w:r>
        <w:rPr>
          <w:spacing w:val="-18"/>
        </w:rPr>
        <w:t> </w:t>
      </w:r>
      <w:r>
        <w:rPr/>
        <w:t>Asia regional representative will commence in </w:t>
      </w:r>
      <w:r>
        <w:rPr>
          <w:spacing w:val="2"/>
          <w:w w:val="98"/>
        </w:rPr>
        <w:t>January</w:t>
      </w:r>
      <w:r>
        <w:rPr>
          <w:w w:val="98"/>
        </w:rPr>
        <w:t> </w:t>
      </w:r>
      <w:r>
        <w:rPr>
          <w:spacing w:val="2"/>
          <w:w w:val="85"/>
        </w:rPr>
        <w:t>2016.</w:t>
      </w:r>
      <w:r>
        <w:rPr>
          <w:w w:val="85"/>
        </w:rPr>
        <w:t> </w:t>
      </w:r>
      <w:r>
        <w:rPr>
          <w:w w:val="112"/>
        </w:rPr>
        <w:t>A </w:t>
      </w:r>
      <w:r>
        <w:rPr>
          <w:spacing w:val="1"/>
          <w:w w:val="97"/>
        </w:rPr>
        <w:t>regional</w:t>
      </w:r>
      <w:r>
        <w:rPr>
          <w:w w:val="97"/>
        </w:rPr>
        <w:t> </w:t>
      </w:r>
      <w:r>
        <w:rPr>
          <w:w w:val="97"/>
        </w:rPr>
        <w:t>representative</w:t>
      </w:r>
      <w:r>
        <w:rPr>
          <w:spacing w:val="-35"/>
          <w:w w:val="97"/>
        </w:rPr>
        <w:t> </w:t>
      </w:r>
      <w:r>
        <w:rPr>
          <w:spacing w:val="1"/>
          <w:w w:val="98"/>
        </w:rPr>
        <w:t>based</w:t>
      </w:r>
      <w:r>
        <w:rPr>
          <w:w w:val="98"/>
        </w:rPr>
        <w:t> </w:t>
      </w:r>
      <w:r>
        <w:rPr>
          <w:w w:val="95"/>
        </w:rPr>
        <w:t>in </w:t>
      </w:r>
      <w:r>
        <w:rPr>
          <w:w w:val="97"/>
        </w:rPr>
        <w:t>Chile </w:t>
      </w:r>
      <w:r>
        <w:rPr>
          <w:w w:val="96"/>
        </w:rPr>
        <w:t>was </w:t>
      </w:r>
      <w:r>
        <w:rPr>
          <w:spacing w:val="1"/>
          <w:w w:val="96"/>
        </w:rPr>
        <w:t>also</w:t>
      </w:r>
      <w:r>
        <w:rPr>
          <w:w w:val="96"/>
        </w:rPr>
        <w:t> </w:t>
      </w:r>
      <w:r>
        <w:rPr>
          <w:spacing w:val="1"/>
          <w:w w:val="99"/>
        </w:rPr>
        <w:t>appointed</w:t>
      </w:r>
      <w:r>
        <w:rPr>
          <w:w w:val="99"/>
        </w:rPr>
        <w:t> </w:t>
      </w:r>
      <w:r>
        <w:rPr>
          <w:w w:val="95"/>
        </w:rPr>
        <w:t>in </w:t>
      </w:r>
      <w:r>
        <w:rPr>
          <w:spacing w:val="1"/>
          <w:w w:val="88"/>
        </w:rPr>
        <w:t>2015</w:t>
      </w:r>
      <w:r>
        <w:rPr>
          <w:w w:val="88"/>
        </w:rPr>
        <w:t> </w:t>
      </w:r>
      <w:r>
        <w:rPr>
          <w:spacing w:val="-1"/>
          <w:w w:val="101"/>
        </w:rPr>
        <w:t>to</w:t>
      </w:r>
      <w:r>
        <w:rPr>
          <w:w w:val="101"/>
        </w:rPr>
        <w:t> </w:t>
      </w:r>
      <w:r>
        <w:rPr>
          <w:w w:val="98"/>
        </w:rPr>
        <w:t>build </w:t>
      </w:r>
      <w:r>
        <w:rPr/>
        <w:t>relationships</w:t>
      </w:r>
      <w:r>
        <w:rPr>
          <w:spacing w:val="-16"/>
        </w:rPr>
        <w:t> </w:t>
      </w:r>
      <w:r>
        <w:rPr/>
        <w:t>in</w:t>
      </w:r>
      <w:r>
        <w:rPr>
          <w:spacing w:val="-16"/>
        </w:rPr>
        <w:t> </w:t>
      </w:r>
      <w:r>
        <w:rPr/>
        <w:t>the</w:t>
      </w:r>
      <w:r>
        <w:rPr>
          <w:spacing w:val="-16"/>
        </w:rPr>
        <w:t> </w:t>
      </w:r>
      <w:r>
        <w:rPr/>
        <w:t>Latin</w:t>
      </w:r>
      <w:r>
        <w:rPr>
          <w:spacing w:val="-16"/>
        </w:rPr>
        <w:t> </w:t>
      </w:r>
      <w:r>
        <w:rPr/>
        <w:t>American</w:t>
      </w:r>
      <w:r>
        <w:rPr>
          <w:spacing w:val="-16"/>
        </w:rPr>
        <w:t> </w:t>
      </w:r>
      <w:r>
        <w:rPr/>
        <w:t>region</w:t>
      </w:r>
    </w:p>
    <w:p>
      <w:pPr>
        <w:pStyle w:val="BodyText"/>
        <w:spacing w:line="249" w:lineRule="auto"/>
        <w:ind w:left="107" w:right="-11"/>
      </w:pPr>
      <w:r>
        <w:rPr/>
        <w:t>with government ministries and agencies for scholarship</w:t>
      </w:r>
      <w:r>
        <w:rPr>
          <w:spacing w:val="-15"/>
        </w:rPr>
        <w:t> </w:t>
      </w:r>
      <w:r>
        <w:rPr/>
        <w:t>opportunities,</w:t>
      </w:r>
      <w:r>
        <w:rPr>
          <w:spacing w:val="-15"/>
        </w:rPr>
        <w:t> </w:t>
      </w:r>
      <w:r>
        <w:rPr/>
        <w:t>and</w:t>
      </w:r>
      <w:r>
        <w:rPr>
          <w:spacing w:val="-15"/>
        </w:rPr>
        <w:t> </w:t>
      </w:r>
      <w:r>
        <w:rPr/>
        <w:t>to</w:t>
      </w:r>
      <w:r>
        <w:rPr>
          <w:spacing w:val="-15"/>
        </w:rPr>
        <w:t> </w:t>
      </w:r>
      <w:r>
        <w:rPr/>
        <w:t>develop</w:t>
      </w:r>
      <w:r>
        <w:rPr>
          <w:spacing w:val="-15"/>
        </w:rPr>
        <w:t> </w:t>
      </w:r>
      <w:r>
        <w:rPr/>
        <w:t>and expand</w:t>
      </w:r>
      <w:r>
        <w:rPr>
          <w:spacing w:val="-26"/>
        </w:rPr>
        <w:t> </w:t>
      </w:r>
      <w:r>
        <w:rPr/>
        <w:t>linkages</w:t>
      </w:r>
      <w:r>
        <w:rPr>
          <w:spacing w:val="-26"/>
        </w:rPr>
        <w:t> </w:t>
      </w:r>
      <w:r>
        <w:rPr/>
        <w:t>to</w:t>
      </w:r>
      <w:r>
        <w:rPr>
          <w:spacing w:val="-26"/>
        </w:rPr>
        <w:t> </w:t>
      </w:r>
      <w:r>
        <w:rPr/>
        <w:t>universities.</w:t>
      </w:r>
    </w:p>
    <w:p>
      <w:pPr>
        <w:pStyle w:val="BodyText"/>
        <w:spacing w:before="7"/>
        <w:rPr>
          <w:sz w:val="21"/>
        </w:rPr>
      </w:pPr>
    </w:p>
    <w:p>
      <w:pPr>
        <w:pStyle w:val="Heading8"/>
        <w:spacing w:line="249" w:lineRule="auto"/>
        <w:ind w:right="58"/>
      </w:pPr>
      <w:r>
        <w:rPr>
          <w:w w:val="95"/>
        </w:rPr>
        <w:t>WESTERN SYDNEY UNIVERSITY INTERNATIONAL  COLLEGE</w:t>
      </w:r>
    </w:p>
    <w:p>
      <w:pPr>
        <w:pStyle w:val="BodyText"/>
        <w:spacing w:line="249" w:lineRule="auto" w:before="79"/>
        <w:ind w:left="107" w:right="117"/>
      </w:pPr>
      <w:r>
        <w:rPr>
          <w:w w:val="80"/>
        </w:rPr>
        <w:t>In </w:t>
      </w:r>
      <w:r>
        <w:rPr>
          <w:w w:val="100"/>
        </w:rPr>
        <w:t>October </w:t>
      </w:r>
      <w:r>
        <w:rPr>
          <w:w w:val="84"/>
        </w:rPr>
        <w:t>2015, </w:t>
      </w:r>
      <w:r>
        <w:rPr>
          <w:w w:val="97"/>
        </w:rPr>
        <w:t>the </w:t>
      </w:r>
      <w:r>
        <w:rPr>
          <w:w w:val="97"/>
        </w:rPr>
        <w:t>University </w:t>
      </w:r>
      <w:r>
        <w:rPr>
          <w:w w:val="97"/>
        </w:rPr>
        <w:t>and </w:t>
      </w:r>
      <w:r>
        <w:rPr>
          <w:w w:val="97"/>
        </w:rPr>
        <w:t>Navitas </w:t>
      </w:r>
      <w:r>
        <w:rPr/>
        <w:t>announced a new partnership to establish a pathway college for international students in Parramatta. As a result, Western Sydney</w:t>
      </w:r>
    </w:p>
    <w:p>
      <w:pPr>
        <w:pStyle w:val="BodyText"/>
        <w:spacing w:line="249" w:lineRule="auto"/>
        <w:ind w:left="107" w:right="55"/>
      </w:pPr>
      <w:r>
        <w:rPr/>
        <w:t>University</w:t>
      </w:r>
      <w:r>
        <w:rPr>
          <w:spacing w:val="-31"/>
        </w:rPr>
        <w:t> </w:t>
      </w:r>
      <w:r>
        <w:rPr/>
        <w:t>International</w:t>
      </w:r>
      <w:r>
        <w:rPr>
          <w:spacing w:val="-31"/>
        </w:rPr>
        <w:t> </w:t>
      </w:r>
      <w:r>
        <w:rPr/>
        <w:t>College</w:t>
      </w:r>
      <w:r>
        <w:rPr>
          <w:spacing w:val="-31"/>
        </w:rPr>
        <w:t> </w:t>
      </w:r>
      <w:r>
        <w:rPr/>
        <w:t>(International College) commenced teaching international </w:t>
      </w:r>
      <w:r>
        <w:rPr>
          <w:spacing w:val="1"/>
          <w:w w:val="97"/>
        </w:rPr>
        <w:t>students</w:t>
      </w:r>
      <w:r>
        <w:rPr>
          <w:w w:val="97"/>
        </w:rPr>
        <w:t> </w:t>
      </w:r>
      <w:r>
        <w:rPr>
          <w:w w:val="95"/>
        </w:rPr>
        <w:t>in </w:t>
      </w:r>
      <w:r>
        <w:rPr>
          <w:spacing w:val="1"/>
          <w:w w:val="100"/>
        </w:rPr>
        <w:t>October</w:t>
      </w:r>
      <w:r>
        <w:rPr>
          <w:spacing w:val="-14"/>
          <w:w w:val="100"/>
        </w:rPr>
        <w:t> </w:t>
      </w:r>
      <w:r>
        <w:rPr>
          <w:spacing w:val="1"/>
          <w:w w:val="84"/>
        </w:rPr>
        <w:t>2015.</w:t>
      </w:r>
    </w:p>
    <w:p>
      <w:pPr>
        <w:pStyle w:val="BodyText"/>
        <w:rPr>
          <w:sz w:val="14"/>
        </w:rPr>
      </w:pPr>
    </w:p>
    <w:p>
      <w:pPr>
        <w:pStyle w:val="BodyText"/>
        <w:spacing w:line="249" w:lineRule="auto"/>
        <w:ind w:left="107" w:right="50"/>
      </w:pPr>
      <w:r>
        <w:rPr/>
        <w:t>Students who successfully complete International</w:t>
      </w:r>
      <w:r>
        <w:rPr>
          <w:spacing w:val="-18"/>
        </w:rPr>
        <w:t> </w:t>
      </w:r>
      <w:r>
        <w:rPr/>
        <w:t>College</w:t>
      </w:r>
      <w:r>
        <w:rPr>
          <w:spacing w:val="-18"/>
        </w:rPr>
        <w:t> </w:t>
      </w:r>
      <w:r>
        <w:rPr/>
        <w:t>programs</w:t>
      </w:r>
      <w:r>
        <w:rPr>
          <w:spacing w:val="-18"/>
        </w:rPr>
        <w:t> </w:t>
      </w:r>
      <w:r>
        <w:rPr/>
        <w:t>will</w:t>
      </w:r>
      <w:r>
        <w:rPr>
          <w:spacing w:val="-18"/>
        </w:rPr>
        <w:t> </w:t>
      </w:r>
      <w:r>
        <w:rPr/>
        <w:t>be</w:t>
      </w:r>
      <w:r>
        <w:rPr>
          <w:spacing w:val="-18"/>
        </w:rPr>
        <w:t> </w:t>
      </w:r>
      <w:r>
        <w:rPr/>
        <w:t>eligible to</w:t>
      </w:r>
      <w:r>
        <w:rPr>
          <w:spacing w:val="-16"/>
        </w:rPr>
        <w:t> </w:t>
      </w:r>
      <w:r>
        <w:rPr/>
        <w:t>continue</w:t>
      </w:r>
      <w:r>
        <w:rPr>
          <w:spacing w:val="-16"/>
        </w:rPr>
        <w:t> </w:t>
      </w:r>
      <w:r>
        <w:rPr/>
        <w:t>their</w:t>
      </w:r>
      <w:r>
        <w:rPr>
          <w:spacing w:val="-16"/>
        </w:rPr>
        <w:t> </w:t>
      </w:r>
      <w:r>
        <w:rPr/>
        <w:t>studies</w:t>
      </w:r>
      <w:r>
        <w:rPr>
          <w:spacing w:val="-16"/>
        </w:rPr>
        <w:t> </w:t>
      </w:r>
      <w:r>
        <w:rPr/>
        <w:t>in</w:t>
      </w:r>
      <w:r>
        <w:rPr>
          <w:spacing w:val="-16"/>
        </w:rPr>
        <w:t> </w:t>
      </w:r>
      <w:r>
        <w:rPr/>
        <w:t>degree</w:t>
      </w:r>
      <w:r>
        <w:rPr>
          <w:spacing w:val="-16"/>
        </w:rPr>
        <w:t> </w:t>
      </w:r>
      <w:r>
        <w:rPr/>
        <w:t>courses</w:t>
      </w:r>
    </w:p>
    <w:p>
      <w:pPr>
        <w:pStyle w:val="BodyText"/>
        <w:spacing w:line="249" w:lineRule="auto"/>
        <w:ind w:left="107" w:right="228"/>
      </w:pPr>
      <w:r>
        <w:rPr/>
        <w:t>at the University. Four college programs have</w:t>
      </w:r>
      <w:r>
        <w:rPr>
          <w:spacing w:val="-17"/>
        </w:rPr>
        <w:t> </w:t>
      </w:r>
      <w:r>
        <w:rPr/>
        <w:t>been</w:t>
      </w:r>
      <w:r>
        <w:rPr>
          <w:spacing w:val="-17"/>
        </w:rPr>
        <w:t> </w:t>
      </w:r>
      <w:r>
        <w:rPr/>
        <w:t>selected</w:t>
      </w:r>
      <w:r>
        <w:rPr>
          <w:spacing w:val="-17"/>
        </w:rPr>
        <w:t> </w:t>
      </w:r>
      <w:r>
        <w:rPr/>
        <w:t>for</w:t>
      </w:r>
      <w:r>
        <w:rPr>
          <w:spacing w:val="-17"/>
        </w:rPr>
        <w:t> </w:t>
      </w:r>
      <w:r>
        <w:rPr/>
        <w:t>teaching</w:t>
      </w:r>
      <w:r>
        <w:rPr>
          <w:spacing w:val="-17"/>
        </w:rPr>
        <w:t> </w:t>
      </w:r>
      <w:r>
        <w:rPr/>
        <w:t>at</w:t>
      </w:r>
      <w:r>
        <w:rPr>
          <w:spacing w:val="-17"/>
        </w:rPr>
        <w:t> </w:t>
      </w:r>
      <w:r>
        <w:rPr/>
        <w:t>the</w:t>
      </w:r>
      <w:r>
        <w:rPr>
          <w:spacing w:val="-17"/>
        </w:rPr>
        <w:t> </w:t>
      </w:r>
      <w:r>
        <w:rPr/>
        <w:t>joint</w:t>
      </w:r>
    </w:p>
    <w:p>
      <w:pPr>
        <w:pStyle w:val="BodyText"/>
        <w:spacing w:line="249" w:lineRule="auto"/>
        <w:ind w:left="107" w:right="-10"/>
      </w:pPr>
      <w:r>
        <w:rPr/>
        <w:t>venture</w:t>
      </w:r>
      <w:r>
        <w:rPr>
          <w:spacing w:val="-25"/>
        </w:rPr>
        <w:t> </w:t>
      </w:r>
      <w:r>
        <w:rPr/>
        <w:t>–</w:t>
      </w:r>
      <w:r>
        <w:rPr>
          <w:spacing w:val="-25"/>
        </w:rPr>
        <w:t> </w:t>
      </w:r>
      <w:r>
        <w:rPr/>
        <w:t>Diploma</w:t>
      </w:r>
      <w:r>
        <w:rPr>
          <w:spacing w:val="-25"/>
        </w:rPr>
        <w:t> </w:t>
      </w:r>
      <w:r>
        <w:rPr/>
        <w:t>of</w:t>
      </w:r>
      <w:r>
        <w:rPr>
          <w:spacing w:val="-25"/>
        </w:rPr>
        <w:t> </w:t>
      </w:r>
      <w:r>
        <w:rPr>
          <w:spacing w:val="2"/>
        </w:rPr>
        <w:t>Business,</w:t>
      </w:r>
      <w:r>
        <w:rPr>
          <w:spacing w:val="-25"/>
        </w:rPr>
        <w:t> </w:t>
      </w:r>
      <w:r>
        <w:rPr/>
        <w:t>Diploma</w:t>
      </w:r>
      <w:r>
        <w:rPr>
          <w:spacing w:val="-25"/>
        </w:rPr>
        <w:t> </w:t>
      </w:r>
      <w:r>
        <w:rPr/>
        <w:t>of</w:t>
      </w:r>
      <w:r>
        <w:rPr>
          <w:spacing w:val="-25"/>
        </w:rPr>
        <w:t> </w:t>
      </w:r>
      <w:r>
        <w:rPr/>
        <w:t>ICT, Foundation </w:t>
      </w:r>
      <w:r>
        <w:rPr>
          <w:spacing w:val="2"/>
        </w:rPr>
        <w:t>Business, </w:t>
      </w:r>
      <w:r>
        <w:rPr/>
        <w:t>and Foundation Health Science and Nursing, with scope to include further</w:t>
      </w:r>
      <w:r>
        <w:rPr>
          <w:spacing w:val="-21"/>
        </w:rPr>
        <w:t> </w:t>
      </w:r>
      <w:r>
        <w:rPr/>
        <w:t>programs</w:t>
      </w:r>
      <w:r>
        <w:rPr>
          <w:spacing w:val="-21"/>
        </w:rPr>
        <w:t> </w:t>
      </w:r>
      <w:r>
        <w:rPr/>
        <w:t>in</w:t>
      </w:r>
      <w:r>
        <w:rPr>
          <w:spacing w:val="-21"/>
        </w:rPr>
        <w:t> </w:t>
      </w:r>
      <w:r>
        <w:rPr/>
        <w:t>the</w:t>
      </w:r>
      <w:r>
        <w:rPr>
          <w:spacing w:val="-21"/>
        </w:rPr>
        <w:t> </w:t>
      </w:r>
      <w:r>
        <w:rPr/>
        <w:t>future.</w:t>
      </w:r>
    </w:p>
    <w:p>
      <w:pPr>
        <w:pStyle w:val="Heading8"/>
        <w:spacing w:before="77"/>
        <w:ind w:right="3542"/>
      </w:pPr>
      <w:r>
        <w:rPr>
          <w:b w:val="0"/>
        </w:rPr>
        <w:br w:type="column"/>
      </w:r>
      <w:r>
        <w:rPr>
          <w:w w:val="95"/>
        </w:rPr>
        <w:t>INTERNATIONAL  STUDENT SCHOLARSHIPS</w:t>
      </w:r>
    </w:p>
    <w:p>
      <w:pPr>
        <w:pStyle w:val="BodyText"/>
        <w:spacing w:line="249" w:lineRule="auto" w:before="86"/>
        <w:ind w:left="107" w:right="3599"/>
      </w:pPr>
      <w:r>
        <w:rPr>
          <w:spacing w:val="-5"/>
        </w:rPr>
        <w:t>To</w:t>
      </w:r>
      <w:r>
        <w:rPr>
          <w:spacing w:val="-16"/>
        </w:rPr>
        <w:t> </w:t>
      </w:r>
      <w:r>
        <w:rPr/>
        <w:t>attract</w:t>
      </w:r>
      <w:r>
        <w:rPr>
          <w:spacing w:val="-16"/>
        </w:rPr>
        <w:t> </w:t>
      </w:r>
      <w:r>
        <w:rPr/>
        <w:t>talented</w:t>
      </w:r>
      <w:r>
        <w:rPr>
          <w:spacing w:val="-16"/>
        </w:rPr>
        <w:t> </w:t>
      </w:r>
      <w:r>
        <w:rPr/>
        <w:t>international</w:t>
      </w:r>
      <w:r>
        <w:rPr>
          <w:spacing w:val="-16"/>
        </w:rPr>
        <w:t> </w:t>
      </w:r>
      <w:r>
        <w:rPr/>
        <w:t>students</w:t>
      </w:r>
      <w:r>
        <w:rPr>
          <w:spacing w:val="-16"/>
        </w:rPr>
        <w:t> </w:t>
      </w:r>
      <w:r>
        <w:rPr/>
        <w:t>and raise the international profile, scholarships for international students were offered for </w:t>
      </w:r>
      <w:r>
        <w:rPr>
          <w:w w:val="97"/>
        </w:rPr>
        <w:t>the </w:t>
      </w:r>
      <w:r>
        <w:rPr>
          <w:spacing w:val="1"/>
          <w:w w:val="97"/>
        </w:rPr>
        <w:t>first</w:t>
      </w:r>
      <w:r>
        <w:rPr>
          <w:w w:val="97"/>
        </w:rPr>
        <w:t> </w:t>
      </w:r>
      <w:r>
        <w:rPr>
          <w:w w:val="98"/>
        </w:rPr>
        <w:t>time </w:t>
      </w:r>
      <w:r>
        <w:rPr>
          <w:w w:val="95"/>
        </w:rPr>
        <w:t>in </w:t>
      </w:r>
      <w:r>
        <w:rPr>
          <w:spacing w:val="1"/>
          <w:w w:val="84"/>
        </w:rPr>
        <w:t>2015.</w:t>
      </w:r>
      <w:r>
        <w:rPr>
          <w:w w:val="84"/>
        </w:rPr>
        <w:t> </w:t>
      </w:r>
      <w:r>
        <w:rPr>
          <w:spacing w:val="1"/>
          <w:w w:val="94"/>
        </w:rPr>
        <w:t>The</w:t>
      </w:r>
      <w:r>
        <w:rPr>
          <w:w w:val="94"/>
        </w:rPr>
        <w:t> </w:t>
      </w:r>
      <w:r>
        <w:rPr>
          <w:spacing w:val="1"/>
          <w:w w:val="98"/>
        </w:rPr>
        <w:t>Vice-Chancellor’s</w:t>
      </w:r>
      <w:r>
        <w:rPr>
          <w:w w:val="98"/>
        </w:rPr>
        <w:t> </w:t>
      </w:r>
      <w:r>
        <w:rPr/>
        <w:t>Academic</w:t>
      </w:r>
      <w:r>
        <w:rPr>
          <w:spacing w:val="-15"/>
        </w:rPr>
        <w:t> </w:t>
      </w:r>
      <w:r>
        <w:rPr/>
        <w:t>Excellence</w:t>
      </w:r>
      <w:r>
        <w:rPr>
          <w:spacing w:val="-15"/>
        </w:rPr>
        <w:t> </w:t>
      </w:r>
      <w:r>
        <w:rPr/>
        <w:t>Scholarships,</w:t>
      </w:r>
      <w:r>
        <w:rPr>
          <w:spacing w:val="-15"/>
        </w:rPr>
        <w:t> </w:t>
      </w:r>
      <w:r>
        <w:rPr/>
        <w:t>offering</w:t>
      </w:r>
      <w:r>
        <w:rPr>
          <w:spacing w:val="-15"/>
        </w:rPr>
        <w:t> </w:t>
      </w:r>
      <w:r>
        <w:rPr/>
        <w:t>a</w:t>
      </w:r>
    </w:p>
    <w:p>
      <w:pPr>
        <w:pStyle w:val="BodyText"/>
        <w:spacing w:line="249" w:lineRule="auto"/>
        <w:ind w:left="107" w:right="3544"/>
        <w:jc w:val="both"/>
      </w:pPr>
      <w:r>
        <w:rPr/>
        <w:t>50</w:t>
      </w:r>
      <w:r>
        <w:rPr>
          <w:spacing w:val="-15"/>
        </w:rPr>
        <w:t> </w:t>
      </w:r>
      <w:r>
        <w:rPr/>
        <w:t>per</w:t>
      </w:r>
      <w:r>
        <w:rPr>
          <w:spacing w:val="-15"/>
        </w:rPr>
        <w:t> </w:t>
      </w:r>
      <w:r>
        <w:rPr/>
        <w:t>cent</w:t>
      </w:r>
      <w:r>
        <w:rPr>
          <w:spacing w:val="-15"/>
        </w:rPr>
        <w:t> </w:t>
      </w:r>
      <w:r>
        <w:rPr/>
        <w:t>reduction</w:t>
      </w:r>
      <w:r>
        <w:rPr>
          <w:spacing w:val="-15"/>
        </w:rPr>
        <w:t> </w:t>
      </w:r>
      <w:r>
        <w:rPr/>
        <w:t>of</w:t>
      </w:r>
      <w:r>
        <w:rPr>
          <w:spacing w:val="-15"/>
        </w:rPr>
        <w:t> </w:t>
      </w:r>
      <w:r>
        <w:rPr/>
        <w:t>annual</w:t>
      </w:r>
      <w:r>
        <w:rPr>
          <w:spacing w:val="-15"/>
        </w:rPr>
        <w:t> </w:t>
      </w:r>
      <w:r>
        <w:rPr/>
        <w:t>tuition</w:t>
      </w:r>
      <w:r>
        <w:rPr>
          <w:spacing w:val="-15"/>
        </w:rPr>
        <w:t> </w:t>
      </w:r>
      <w:r>
        <w:rPr/>
        <w:t>fees</w:t>
      </w:r>
      <w:r>
        <w:rPr>
          <w:spacing w:val="-15"/>
        </w:rPr>
        <w:t> </w:t>
      </w:r>
      <w:r>
        <w:rPr/>
        <w:t>for either</w:t>
      </w:r>
      <w:r>
        <w:rPr>
          <w:spacing w:val="-16"/>
        </w:rPr>
        <w:t> </w:t>
      </w:r>
      <w:r>
        <w:rPr/>
        <w:t>two</w:t>
      </w:r>
      <w:r>
        <w:rPr>
          <w:spacing w:val="-16"/>
        </w:rPr>
        <w:t> </w:t>
      </w:r>
      <w:r>
        <w:rPr/>
        <w:t>years</w:t>
      </w:r>
      <w:r>
        <w:rPr>
          <w:spacing w:val="-16"/>
        </w:rPr>
        <w:t> </w:t>
      </w:r>
      <w:r>
        <w:rPr/>
        <w:t>(postgraduate</w:t>
      </w:r>
      <w:r>
        <w:rPr>
          <w:spacing w:val="-16"/>
        </w:rPr>
        <w:t> </w:t>
      </w:r>
      <w:r>
        <w:rPr/>
        <w:t>study)</w:t>
      </w:r>
      <w:r>
        <w:rPr>
          <w:spacing w:val="-16"/>
        </w:rPr>
        <w:t> </w:t>
      </w:r>
      <w:r>
        <w:rPr/>
        <w:t>or</w:t>
      </w:r>
      <w:r>
        <w:rPr>
          <w:spacing w:val="-16"/>
        </w:rPr>
        <w:t> </w:t>
      </w:r>
      <w:r>
        <w:rPr/>
        <w:t>three years</w:t>
      </w:r>
      <w:r>
        <w:rPr>
          <w:spacing w:val="-24"/>
        </w:rPr>
        <w:t> </w:t>
      </w:r>
      <w:r>
        <w:rPr/>
        <w:t>(undergraduate</w:t>
      </w:r>
      <w:r>
        <w:rPr>
          <w:spacing w:val="-24"/>
        </w:rPr>
        <w:t> </w:t>
      </w:r>
      <w:r>
        <w:rPr/>
        <w:t>study)</w:t>
      </w:r>
      <w:r>
        <w:rPr>
          <w:spacing w:val="-24"/>
        </w:rPr>
        <w:t> </w:t>
      </w:r>
      <w:r>
        <w:rPr/>
        <w:t>were</w:t>
      </w:r>
      <w:r>
        <w:rPr>
          <w:spacing w:val="-24"/>
        </w:rPr>
        <w:t> </w:t>
      </w:r>
      <w:r>
        <w:rPr/>
        <w:t>awarded</w:t>
      </w:r>
    </w:p>
    <w:p>
      <w:pPr>
        <w:pStyle w:val="BodyText"/>
        <w:spacing w:line="249" w:lineRule="auto"/>
        <w:ind w:left="107" w:right="3542"/>
      </w:pPr>
      <w:r>
        <w:rPr/>
        <w:t>to three students from India, Nepal and Malaysia. International Academic Excellence Postgraduate Scholarships, offering a $5,000 tuition waiver from the first year of tuition fees, were awarded to five students from India, China, Vietnam and Nepal.</w:t>
      </w:r>
    </w:p>
    <w:p>
      <w:pPr>
        <w:pStyle w:val="BodyText"/>
        <w:rPr>
          <w:sz w:val="14"/>
        </w:rPr>
      </w:pPr>
    </w:p>
    <w:p>
      <w:pPr>
        <w:pStyle w:val="BodyText"/>
        <w:spacing w:line="249" w:lineRule="auto"/>
        <w:ind w:left="107" w:right="3487"/>
      </w:pPr>
      <w:r>
        <w:rPr>
          <w:w w:val="80"/>
        </w:rPr>
        <w:t>In </w:t>
      </w:r>
      <w:r>
        <w:rPr>
          <w:w w:val="97"/>
        </w:rPr>
        <w:t>late </w:t>
      </w:r>
      <w:r>
        <w:rPr>
          <w:w w:val="84"/>
        </w:rPr>
        <w:t>2015, </w:t>
      </w:r>
      <w:r>
        <w:rPr>
          <w:w w:val="97"/>
        </w:rPr>
        <w:t>the </w:t>
      </w:r>
      <w:r>
        <w:rPr>
          <w:w w:val="96"/>
        </w:rPr>
        <w:t>international </w:t>
      </w:r>
      <w:r>
        <w:rPr>
          <w:w w:val="98"/>
        </w:rPr>
        <w:t>student </w:t>
      </w:r>
      <w:r>
        <w:rPr/>
        <w:t>scholarship program was expanded to provide an additional 200 scholarships for students </w:t>
      </w:r>
      <w:r>
        <w:rPr>
          <w:w w:val="97"/>
        </w:rPr>
        <w:t>enrolling </w:t>
      </w:r>
      <w:r>
        <w:rPr>
          <w:w w:val="95"/>
        </w:rPr>
        <w:t>in </w:t>
      </w:r>
      <w:r>
        <w:rPr>
          <w:w w:val="85"/>
        </w:rPr>
        <w:t>2016.</w:t>
      </w:r>
    </w:p>
    <w:p>
      <w:pPr>
        <w:spacing w:after="0" w:line="249" w:lineRule="auto"/>
        <w:sectPr>
          <w:type w:val="continuous"/>
          <w:pgSz w:w="11910" w:h="16840"/>
          <w:pgMar w:top="1580" w:bottom="280" w:left="800" w:right="800"/>
          <w:cols w:num="2" w:equalWidth="0">
            <w:col w:w="3316" w:space="124"/>
            <w:col w:w="6870"/>
          </w:cols>
        </w:sectPr>
      </w:pPr>
    </w:p>
    <w:p>
      <w:pPr>
        <w:pStyle w:val="BodyText"/>
        <w:spacing w:before="10"/>
        <w:rPr>
          <w:sz w:val="28"/>
        </w:rPr>
      </w:pPr>
    </w:p>
    <w:p>
      <w:pPr>
        <w:pStyle w:val="Heading2"/>
        <w:ind w:right="7947"/>
        <w:rPr>
          <w:b w:val="0"/>
        </w:rPr>
      </w:pPr>
      <w:r>
        <w:rPr>
          <w:b w:val="0"/>
        </w:rPr>
        <w:t>Community and Regional Engagement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15"/>
        </w:rPr>
      </w:pPr>
    </w:p>
    <w:p>
      <w:pPr>
        <w:spacing w:after="0"/>
        <w:rPr>
          <w:rFonts w:ascii="Chronicle Text G1"/>
          <w:sz w:val="15"/>
        </w:rPr>
        <w:sectPr>
          <w:pgSz w:w="11910" w:h="16840"/>
          <w:pgMar w:header="494" w:footer="473" w:top="680" w:bottom="660" w:left="800" w:right="800"/>
        </w:sectPr>
      </w:pPr>
    </w:p>
    <w:p>
      <w:pPr>
        <w:pStyle w:val="Heading5"/>
        <w:spacing w:line="260" w:lineRule="exact" w:before="88"/>
        <w:ind w:right="277"/>
      </w:pPr>
      <w:r>
        <w:rPr>
          <w:w w:val="95"/>
        </w:rPr>
        <w:t>OFFICE OF ADVANCEMENT AND ALUMNI</w:t>
      </w:r>
    </w:p>
    <w:p>
      <w:pPr>
        <w:pStyle w:val="BodyText"/>
        <w:spacing w:line="249" w:lineRule="auto" w:before="214"/>
        <w:ind w:left="107" w:right="126"/>
      </w:pPr>
      <w:r>
        <w:rPr/>
        <w:t>The Office of Advancement and Alumni </w:t>
      </w:r>
      <w:r>
        <w:rPr>
          <w:w w:val="98"/>
        </w:rPr>
        <w:t>introduced </w:t>
      </w:r>
      <w:r>
        <w:rPr>
          <w:spacing w:val="1"/>
          <w:w w:val="97"/>
        </w:rPr>
        <w:t>strategies</w:t>
      </w:r>
      <w:r>
        <w:rPr>
          <w:w w:val="97"/>
        </w:rPr>
        <w:t> </w:t>
      </w:r>
      <w:r>
        <w:rPr>
          <w:w w:val="95"/>
        </w:rPr>
        <w:t>in </w:t>
      </w:r>
      <w:r>
        <w:rPr>
          <w:spacing w:val="1"/>
          <w:w w:val="88"/>
        </w:rPr>
        <w:t>2015</w:t>
      </w:r>
      <w:r>
        <w:rPr>
          <w:w w:val="88"/>
        </w:rPr>
        <w:t> </w:t>
      </w:r>
      <w:r>
        <w:rPr>
          <w:spacing w:val="-1"/>
          <w:w w:val="101"/>
        </w:rPr>
        <w:t>to</w:t>
      </w:r>
      <w:r>
        <w:rPr>
          <w:w w:val="101"/>
        </w:rPr>
        <w:t> </w:t>
      </w:r>
      <w:r>
        <w:rPr>
          <w:w w:val="98"/>
        </w:rPr>
        <w:t>cultivate </w:t>
      </w:r>
      <w:r>
        <w:rPr/>
        <w:t>philanthropic leadership and major gift support,</w:t>
      </w:r>
      <w:r>
        <w:rPr>
          <w:spacing w:val="-17"/>
        </w:rPr>
        <w:t> </w:t>
      </w:r>
      <w:r>
        <w:rPr/>
        <w:t>and</w:t>
      </w:r>
      <w:r>
        <w:rPr>
          <w:spacing w:val="-17"/>
        </w:rPr>
        <w:t> </w:t>
      </w:r>
      <w:r>
        <w:rPr/>
        <w:t>also</w:t>
      </w:r>
      <w:r>
        <w:rPr>
          <w:spacing w:val="-17"/>
        </w:rPr>
        <w:t> </w:t>
      </w:r>
      <w:r>
        <w:rPr/>
        <w:t>sought</w:t>
      </w:r>
      <w:r>
        <w:rPr>
          <w:spacing w:val="-17"/>
        </w:rPr>
        <w:t> </w:t>
      </w:r>
      <w:r>
        <w:rPr/>
        <w:t>financial</w:t>
      </w:r>
      <w:r>
        <w:rPr>
          <w:spacing w:val="-17"/>
        </w:rPr>
        <w:t> </w:t>
      </w:r>
      <w:r>
        <w:rPr/>
        <w:t>and</w:t>
      </w:r>
      <w:r>
        <w:rPr>
          <w:spacing w:val="-17"/>
        </w:rPr>
        <w:t> </w:t>
      </w:r>
      <w:r>
        <w:rPr/>
        <w:t>other help</w:t>
      </w:r>
      <w:r>
        <w:rPr>
          <w:spacing w:val="-20"/>
        </w:rPr>
        <w:t> </w:t>
      </w:r>
      <w:r>
        <w:rPr/>
        <w:t>from</w:t>
      </w:r>
      <w:r>
        <w:rPr>
          <w:spacing w:val="-20"/>
        </w:rPr>
        <w:t> </w:t>
      </w:r>
      <w:r>
        <w:rPr/>
        <w:t>alumni.</w:t>
      </w:r>
      <w:r>
        <w:rPr>
          <w:spacing w:val="-20"/>
        </w:rPr>
        <w:t> </w:t>
      </w:r>
      <w:r>
        <w:rPr/>
        <w:t>Under</w:t>
      </w:r>
      <w:r>
        <w:rPr>
          <w:spacing w:val="-20"/>
        </w:rPr>
        <w:t> </w:t>
      </w:r>
      <w:r>
        <w:rPr/>
        <w:t>the</w:t>
      </w:r>
      <w:r>
        <w:rPr>
          <w:spacing w:val="-20"/>
        </w:rPr>
        <w:t> </w:t>
      </w:r>
      <w:r>
        <w:rPr/>
        <w:t>leadership</w:t>
      </w:r>
    </w:p>
    <w:p>
      <w:pPr>
        <w:pStyle w:val="BodyText"/>
        <w:spacing w:line="249" w:lineRule="auto"/>
        <w:ind w:left="107" w:right="334"/>
      </w:pPr>
      <w:r>
        <w:rPr/>
        <w:t>of</w:t>
      </w:r>
      <w:r>
        <w:rPr>
          <w:spacing w:val="-16"/>
        </w:rPr>
        <w:t> </w:t>
      </w:r>
      <w:r>
        <w:rPr/>
        <w:t>the</w:t>
      </w:r>
      <w:r>
        <w:rPr>
          <w:spacing w:val="-16"/>
        </w:rPr>
        <w:t> </w:t>
      </w:r>
      <w:r>
        <w:rPr/>
        <w:t>Foundation</w:t>
      </w:r>
      <w:r>
        <w:rPr>
          <w:spacing w:val="-16"/>
        </w:rPr>
        <w:t> </w:t>
      </w:r>
      <w:r>
        <w:rPr/>
        <w:t>Council,</w:t>
      </w:r>
      <w:r>
        <w:rPr>
          <w:spacing w:val="-16"/>
        </w:rPr>
        <w:t> </w:t>
      </w:r>
      <w:r>
        <w:rPr/>
        <w:t>the</w:t>
      </w:r>
      <w:r>
        <w:rPr>
          <w:spacing w:val="-16"/>
        </w:rPr>
        <w:t> </w:t>
      </w:r>
      <w:r>
        <w:rPr/>
        <w:t>University strengthened its culture of philanthropy and drew on its networks to connect with individuals, businesses, trusts and foundations, alumni and the broader community.</w:t>
      </w:r>
    </w:p>
    <w:p>
      <w:pPr>
        <w:pStyle w:val="BodyText"/>
        <w:rPr>
          <w:sz w:val="14"/>
        </w:rPr>
      </w:pPr>
    </w:p>
    <w:p>
      <w:pPr>
        <w:pStyle w:val="BodyText"/>
        <w:spacing w:line="249" w:lineRule="auto"/>
        <w:ind w:left="107"/>
      </w:pPr>
      <w:r>
        <w:rPr>
          <w:w w:val="80"/>
        </w:rPr>
        <w:t>In </w:t>
      </w:r>
      <w:r>
        <w:rPr>
          <w:w w:val="84"/>
        </w:rPr>
        <w:t>2015, </w:t>
      </w:r>
      <w:r>
        <w:rPr>
          <w:w w:val="97"/>
        </w:rPr>
        <w:t>the </w:t>
      </w:r>
      <w:r>
        <w:rPr>
          <w:w w:val="98"/>
        </w:rPr>
        <w:t>prominent </w:t>
      </w:r>
      <w:r>
        <w:rPr>
          <w:w w:val="96"/>
        </w:rPr>
        <w:t>business </w:t>
      </w:r>
      <w:r>
        <w:rPr>
          <w:w w:val="96"/>
        </w:rPr>
        <w:t>leaders </w:t>
      </w:r>
      <w:r>
        <w:rPr>
          <w:w w:val="98"/>
        </w:rPr>
        <w:t>on </w:t>
      </w:r>
      <w:r>
        <w:rPr>
          <w:w w:val="97"/>
        </w:rPr>
        <w:t>the </w:t>
      </w:r>
      <w:r>
        <w:rPr/>
        <w:t>Foundation Council were:</w:t>
      </w:r>
    </w:p>
    <w:p>
      <w:pPr>
        <w:pStyle w:val="BodyText"/>
        <w:spacing w:before="11"/>
        <w:rPr>
          <w:sz w:val="13"/>
        </w:rPr>
      </w:pPr>
    </w:p>
    <w:p>
      <w:pPr>
        <w:pStyle w:val="BodyText"/>
        <w:ind w:left="107" w:right="126"/>
      </w:pPr>
      <w:r>
        <w:rPr>
          <w:rFonts w:ascii="Century Gothic" w:hAnsi="Century Gothic"/>
          <w:b/>
          <w:w w:val="115"/>
        </w:rPr>
        <w:t>≥ </w:t>
      </w:r>
      <w:r>
        <w:rPr>
          <w:w w:val="105"/>
        </w:rPr>
        <w:t>Mr Danny Gilbert, AM</w:t>
      </w:r>
    </w:p>
    <w:p>
      <w:pPr>
        <w:pStyle w:val="BodyText"/>
        <w:spacing w:before="60"/>
        <w:ind w:left="107" w:right="126"/>
      </w:pPr>
      <w:r>
        <w:rPr>
          <w:rFonts w:ascii="Century Gothic" w:hAnsi="Century Gothic"/>
          <w:b/>
          <w:w w:val="115"/>
        </w:rPr>
        <w:t>≥ </w:t>
      </w:r>
      <w:r>
        <w:rPr>
          <w:w w:val="105"/>
        </w:rPr>
        <w:t>Professor Peter Shergold, AC</w:t>
      </w:r>
    </w:p>
    <w:p>
      <w:pPr>
        <w:pStyle w:val="BodyText"/>
        <w:spacing w:before="60"/>
        <w:ind w:left="107" w:right="126"/>
      </w:pPr>
      <w:r>
        <w:rPr>
          <w:rFonts w:ascii="Century Gothic" w:hAnsi="Century Gothic"/>
          <w:b/>
          <w:w w:val="105"/>
        </w:rPr>
        <w:t>≥ </w:t>
      </w:r>
      <w:r>
        <w:rPr>
          <w:w w:val="105"/>
        </w:rPr>
        <w:t>Professor Barney Glover</w:t>
      </w:r>
    </w:p>
    <w:p>
      <w:pPr>
        <w:pStyle w:val="BodyText"/>
        <w:spacing w:before="60"/>
        <w:ind w:left="107" w:right="126"/>
      </w:pPr>
      <w:r>
        <w:rPr>
          <w:rFonts w:ascii="Century Gothic" w:hAnsi="Century Gothic"/>
          <w:b/>
          <w:w w:val="115"/>
        </w:rPr>
        <w:t>≥ </w:t>
      </w:r>
      <w:r>
        <w:rPr>
          <w:w w:val="110"/>
        </w:rPr>
        <w:t>Mr John Banks</w:t>
      </w:r>
    </w:p>
    <w:p>
      <w:pPr>
        <w:pStyle w:val="BodyText"/>
        <w:spacing w:before="60"/>
        <w:ind w:left="107" w:right="126"/>
      </w:pPr>
      <w:r>
        <w:rPr>
          <w:rFonts w:ascii="Century Gothic" w:hAnsi="Century Gothic"/>
          <w:b/>
          <w:w w:val="115"/>
        </w:rPr>
        <w:t>≥ </w:t>
      </w:r>
      <w:r>
        <w:rPr>
          <w:w w:val="105"/>
        </w:rPr>
        <w:t>Professor Richard Bawden, AM</w:t>
      </w:r>
    </w:p>
    <w:p>
      <w:pPr>
        <w:pStyle w:val="BodyText"/>
        <w:spacing w:before="60"/>
        <w:ind w:left="107" w:right="126"/>
      </w:pPr>
      <w:r>
        <w:rPr>
          <w:rFonts w:ascii="Century Gothic" w:hAnsi="Century Gothic"/>
          <w:b/>
          <w:w w:val="115"/>
        </w:rPr>
        <w:t>≥ </w:t>
      </w:r>
      <w:r>
        <w:rPr>
          <w:w w:val="105"/>
        </w:rPr>
        <w:t>Mr Mark Bouris, AM</w:t>
      </w:r>
    </w:p>
    <w:p>
      <w:pPr>
        <w:pStyle w:val="BodyText"/>
        <w:spacing w:before="60"/>
        <w:ind w:left="107" w:right="126"/>
      </w:pPr>
      <w:r>
        <w:rPr>
          <w:rFonts w:ascii="Century Gothic" w:hAnsi="Century Gothic"/>
          <w:b/>
          <w:w w:val="115"/>
        </w:rPr>
        <w:t>≥ </w:t>
      </w:r>
      <w:r>
        <w:rPr>
          <w:w w:val="110"/>
        </w:rPr>
        <w:t>Mr Cameron Clyne</w:t>
      </w:r>
    </w:p>
    <w:p>
      <w:pPr>
        <w:pStyle w:val="BodyText"/>
        <w:spacing w:before="60"/>
        <w:ind w:left="107" w:right="126"/>
      </w:pPr>
      <w:r>
        <w:rPr>
          <w:rFonts w:ascii="Century Gothic" w:hAnsi="Century Gothic"/>
          <w:b/>
          <w:w w:val="115"/>
        </w:rPr>
        <w:t>≥ </w:t>
      </w:r>
      <w:r>
        <w:rPr>
          <w:w w:val="110"/>
        </w:rPr>
        <w:t>Mr Matt Graham</w:t>
      </w:r>
    </w:p>
    <w:p>
      <w:pPr>
        <w:pStyle w:val="BodyText"/>
        <w:spacing w:before="60"/>
        <w:ind w:left="107" w:right="126"/>
      </w:pPr>
      <w:r>
        <w:rPr>
          <w:rFonts w:ascii="Century Gothic" w:hAnsi="Century Gothic"/>
          <w:b/>
          <w:w w:val="115"/>
        </w:rPr>
        <w:t>≥ </w:t>
      </w:r>
      <w:r>
        <w:rPr>
          <w:w w:val="110"/>
        </w:rPr>
        <w:t>Mr Peeyush Gupta</w:t>
      </w:r>
    </w:p>
    <w:p>
      <w:pPr>
        <w:pStyle w:val="BodyText"/>
        <w:spacing w:before="60"/>
        <w:ind w:left="107" w:right="126"/>
      </w:pPr>
      <w:r>
        <w:rPr>
          <w:rFonts w:ascii="Century Gothic" w:hAnsi="Century Gothic"/>
          <w:b/>
          <w:w w:val="115"/>
        </w:rPr>
        <w:t>≥ </w:t>
      </w:r>
      <w:r>
        <w:rPr>
          <w:w w:val="105"/>
        </w:rPr>
        <w:t>Ms Katie Lahey, AM</w:t>
      </w:r>
    </w:p>
    <w:p>
      <w:pPr>
        <w:pStyle w:val="BodyText"/>
        <w:spacing w:before="60"/>
        <w:ind w:left="107" w:right="126"/>
      </w:pPr>
      <w:r>
        <w:rPr>
          <w:rFonts w:ascii="Century Gothic" w:hAnsi="Century Gothic"/>
          <w:b/>
          <w:w w:val="105"/>
        </w:rPr>
        <w:t>≥ </w:t>
      </w:r>
      <w:r>
        <w:rPr>
          <w:w w:val="105"/>
        </w:rPr>
        <w:t>Ms Susan Lloyd-Hurwitz</w:t>
      </w:r>
    </w:p>
    <w:p>
      <w:pPr>
        <w:pStyle w:val="BodyText"/>
        <w:spacing w:before="60"/>
        <w:ind w:left="107" w:right="126"/>
      </w:pPr>
      <w:r>
        <w:rPr>
          <w:rFonts w:ascii="Century Gothic" w:hAnsi="Century Gothic"/>
          <w:b/>
          <w:w w:val="115"/>
        </w:rPr>
        <w:t>≥ </w:t>
      </w:r>
      <w:r>
        <w:rPr>
          <w:w w:val="105"/>
        </w:rPr>
        <w:t>Mr Nick Moraitis, AM</w:t>
      </w:r>
    </w:p>
    <w:p>
      <w:pPr>
        <w:pStyle w:val="BodyText"/>
        <w:spacing w:before="60"/>
        <w:ind w:left="107" w:right="126"/>
      </w:pPr>
      <w:r>
        <w:rPr>
          <w:rFonts w:ascii="Century Gothic" w:hAnsi="Century Gothic"/>
          <w:b/>
          <w:w w:val="115"/>
        </w:rPr>
        <w:t>≥ </w:t>
      </w:r>
      <w:r>
        <w:rPr>
          <w:w w:val="105"/>
        </w:rPr>
        <w:t>Ms Pip Marlow*</w:t>
      </w:r>
    </w:p>
    <w:p>
      <w:pPr>
        <w:pStyle w:val="BodyText"/>
        <w:spacing w:before="60"/>
        <w:ind w:left="107" w:right="126"/>
      </w:pPr>
      <w:r>
        <w:rPr>
          <w:rFonts w:ascii="Century Gothic" w:hAnsi="Century Gothic"/>
          <w:b/>
          <w:w w:val="115"/>
        </w:rPr>
        <w:t>≥ </w:t>
      </w:r>
      <w:r>
        <w:rPr>
          <w:w w:val="105"/>
        </w:rPr>
        <w:t>Mr Harold Mitchell, AC</w:t>
      </w:r>
    </w:p>
    <w:p>
      <w:pPr>
        <w:pStyle w:val="BodyText"/>
        <w:spacing w:before="60"/>
        <w:ind w:left="107" w:right="126"/>
      </w:pPr>
      <w:r>
        <w:rPr>
          <w:rFonts w:ascii="Century Gothic" w:hAnsi="Century Gothic"/>
          <w:b/>
          <w:w w:val="115"/>
        </w:rPr>
        <w:t>≥ </w:t>
      </w:r>
      <w:r>
        <w:rPr>
          <w:w w:val="110"/>
        </w:rPr>
        <w:t>Ms Katie Page</w:t>
      </w:r>
    </w:p>
    <w:p>
      <w:pPr>
        <w:pStyle w:val="BodyText"/>
        <w:spacing w:before="60"/>
        <w:ind w:left="107" w:right="126"/>
      </w:pPr>
      <w:r>
        <w:rPr>
          <w:rFonts w:ascii="Century Gothic" w:hAnsi="Century Gothic"/>
          <w:b/>
          <w:w w:val="105"/>
        </w:rPr>
        <w:t>≥ </w:t>
      </w:r>
      <w:r>
        <w:rPr>
          <w:w w:val="105"/>
        </w:rPr>
        <w:t>Ms Gabrielle Trainor</w:t>
      </w:r>
    </w:p>
    <w:p>
      <w:pPr>
        <w:pStyle w:val="BodyText"/>
        <w:spacing w:before="60"/>
        <w:ind w:left="107" w:right="126"/>
      </w:pPr>
      <w:r>
        <w:rPr>
          <w:rFonts w:ascii="Century Gothic" w:hAnsi="Century Gothic"/>
          <w:b/>
          <w:w w:val="115"/>
        </w:rPr>
        <w:t>≥ </w:t>
      </w:r>
      <w:r>
        <w:rPr>
          <w:w w:val="105"/>
        </w:rPr>
        <w:t>Mr Kim Williams, AM</w:t>
      </w:r>
    </w:p>
    <w:p>
      <w:pPr>
        <w:pStyle w:val="BodyText"/>
        <w:spacing w:before="61"/>
        <w:ind w:left="107" w:right="126"/>
      </w:pPr>
      <w:r>
        <w:rPr/>
        <w:t>* January to October</w:t>
      </w:r>
    </w:p>
    <w:p>
      <w:pPr>
        <w:pStyle w:val="BodyText"/>
        <w:spacing w:before="7"/>
        <w:rPr>
          <w:sz w:val="14"/>
        </w:rPr>
      </w:pPr>
    </w:p>
    <w:p>
      <w:pPr>
        <w:pStyle w:val="BodyText"/>
        <w:spacing w:line="249" w:lineRule="auto" w:before="1"/>
        <w:ind w:left="107"/>
      </w:pPr>
      <w:r>
        <w:rPr/>
        <w:t>The Office worked with the Foundation Council to engage with the corporate and philanthropic sectors, and build relationships with</w:t>
      </w:r>
      <w:r>
        <w:rPr>
          <w:spacing w:val="-22"/>
        </w:rPr>
        <w:t> </w:t>
      </w:r>
      <w:r>
        <w:rPr/>
        <w:t>alumni</w:t>
      </w:r>
      <w:r>
        <w:rPr>
          <w:spacing w:val="-22"/>
        </w:rPr>
        <w:t> </w:t>
      </w:r>
      <w:r>
        <w:rPr/>
        <w:t>and</w:t>
      </w:r>
      <w:r>
        <w:rPr>
          <w:spacing w:val="-22"/>
        </w:rPr>
        <w:t> </w:t>
      </w:r>
      <w:r>
        <w:rPr/>
        <w:t>other</w:t>
      </w:r>
      <w:r>
        <w:rPr>
          <w:spacing w:val="-22"/>
        </w:rPr>
        <w:t> </w:t>
      </w:r>
      <w:r>
        <w:rPr/>
        <w:t>University</w:t>
      </w:r>
      <w:r>
        <w:rPr>
          <w:spacing w:val="-22"/>
        </w:rPr>
        <w:t> </w:t>
      </w:r>
      <w:r>
        <w:rPr/>
        <w:t>associates.</w:t>
      </w:r>
      <w:r>
        <w:rPr>
          <w:spacing w:val="-22"/>
        </w:rPr>
        <w:t> </w:t>
      </w:r>
      <w:r>
        <w:rPr/>
        <w:t>It participated</w:t>
      </w:r>
      <w:r>
        <w:rPr>
          <w:spacing w:val="-14"/>
        </w:rPr>
        <w:t> </w:t>
      </w:r>
      <w:r>
        <w:rPr/>
        <w:t>in</w:t>
      </w:r>
      <w:r>
        <w:rPr>
          <w:spacing w:val="-14"/>
        </w:rPr>
        <w:t> </w:t>
      </w:r>
      <w:r>
        <w:rPr/>
        <w:t>holding</w:t>
      </w:r>
      <w:r>
        <w:rPr>
          <w:spacing w:val="-14"/>
        </w:rPr>
        <w:t> </w:t>
      </w:r>
      <w:r>
        <w:rPr/>
        <w:t>functions</w:t>
      </w:r>
      <w:r>
        <w:rPr>
          <w:spacing w:val="-14"/>
        </w:rPr>
        <w:t> </w:t>
      </w:r>
      <w:r>
        <w:rPr/>
        <w:t>for</w:t>
      </w:r>
      <w:r>
        <w:rPr>
          <w:spacing w:val="-14"/>
        </w:rPr>
        <w:t> </w:t>
      </w:r>
      <w:r>
        <w:rPr/>
        <w:t>industry, community and political leaders to increase awareness of the philanthropic and business opportunities at the University. These included:</w:t>
      </w:r>
    </w:p>
    <w:p>
      <w:pPr>
        <w:pStyle w:val="BodyText"/>
        <w:spacing w:before="11"/>
        <w:rPr>
          <w:sz w:val="13"/>
        </w:rPr>
      </w:pPr>
    </w:p>
    <w:p>
      <w:pPr>
        <w:pStyle w:val="BodyText"/>
        <w:spacing w:line="244" w:lineRule="auto"/>
        <w:ind w:left="333" w:right="-9" w:hanging="227"/>
      </w:pPr>
      <w:r>
        <w:rPr>
          <w:rFonts w:ascii="Century Gothic" w:hAnsi="Century Gothic"/>
          <w:b/>
          <w:w w:val="115"/>
        </w:rPr>
        <w:t>≥ </w:t>
      </w:r>
      <w:r>
        <w:rPr/>
        <w:t>corporate lunches hosted by Foundation Council Chair Danny Gilbert, AM of Gilbert</w:t>
      </w:r>
    </w:p>
    <w:p>
      <w:pPr>
        <w:pStyle w:val="BodyText"/>
        <w:spacing w:line="249" w:lineRule="auto" w:before="71"/>
        <w:ind w:left="333" w:right="314"/>
      </w:pPr>
      <w:r>
        <w:rPr/>
        <w:br w:type="column"/>
      </w:r>
      <w:r>
        <w:rPr/>
        <w:t>+ Tobin to showcase the University’s leadership in environmental research, complementary medicine and social cohesion</w:t>
      </w:r>
    </w:p>
    <w:p>
      <w:pPr>
        <w:pStyle w:val="BodyText"/>
        <w:spacing w:line="247" w:lineRule="auto" w:before="55"/>
        <w:ind w:left="333" w:hanging="227"/>
      </w:pPr>
      <w:r>
        <w:rPr>
          <w:rFonts w:ascii="Century Gothic" w:hAnsi="Century Gothic"/>
          <w:b/>
          <w:w w:val="115"/>
        </w:rPr>
        <w:t>≥ </w:t>
      </w:r>
      <w:r>
        <w:rPr/>
        <w:t>three corporate </w:t>
      </w:r>
      <w:r>
        <w:rPr>
          <w:spacing w:val="2"/>
        </w:rPr>
        <w:t>breakfasts </w:t>
      </w:r>
      <w:r>
        <w:rPr/>
        <w:t>the University hosted in partnership with Talent2. </w:t>
      </w:r>
      <w:r>
        <w:rPr>
          <w:spacing w:val="2"/>
        </w:rPr>
        <w:t>Guest </w:t>
      </w:r>
      <w:r>
        <w:rPr/>
        <w:t>speakers University Vice-President</w:t>
      </w:r>
      <w:r>
        <w:rPr>
          <w:spacing w:val="-33"/>
        </w:rPr>
        <w:t> </w:t>
      </w:r>
      <w:r>
        <w:rPr/>
        <w:t>(People and Advancement) Mr Angelo Kourtis, Dean of Social Sciences and Psychology Professor Kevin Dunn and Vice-Chancellor and</w:t>
      </w:r>
      <w:r>
        <w:rPr>
          <w:spacing w:val="-15"/>
        </w:rPr>
        <w:t> </w:t>
      </w:r>
      <w:r>
        <w:rPr/>
        <w:t>University</w:t>
      </w:r>
      <w:r>
        <w:rPr>
          <w:spacing w:val="-15"/>
        </w:rPr>
        <w:t> </w:t>
      </w:r>
      <w:r>
        <w:rPr/>
        <w:t>President</w:t>
      </w:r>
      <w:r>
        <w:rPr>
          <w:spacing w:val="-15"/>
        </w:rPr>
        <w:t> </w:t>
      </w:r>
      <w:r>
        <w:rPr/>
        <w:t>Professor</w:t>
      </w:r>
    </w:p>
    <w:p>
      <w:pPr>
        <w:pStyle w:val="BodyText"/>
        <w:spacing w:line="249" w:lineRule="auto" w:before="1"/>
        <w:ind w:left="333" w:right="1"/>
      </w:pPr>
      <w:r>
        <w:rPr/>
        <w:t>Barney Glover spoke to Western Sydney business executives about the University’s leadership role in the region</w:t>
      </w:r>
    </w:p>
    <w:p>
      <w:pPr>
        <w:pStyle w:val="BodyText"/>
        <w:spacing w:line="247" w:lineRule="auto" w:before="55"/>
        <w:ind w:left="333" w:right="23" w:hanging="227"/>
      </w:pPr>
      <w:r>
        <w:rPr>
          <w:rFonts w:ascii="Century Gothic" w:hAnsi="Century Gothic"/>
          <w:b/>
          <w:w w:val="115"/>
        </w:rPr>
        <w:t>≥  </w:t>
      </w:r>
      <w:r>
        <w:rPr/>
        <w:t>a boardroom lunch for 18 people hosted by Marsdens Law Group in February to focus</w:t>
      </w:r>
      <w:r>
        <w:rPr>
          <w:spacing w:val="-14"/>
        </w:rPr>
        <w:t> </w:t>
      </w:r>
      <w:r>
        <w:rPr/>
        <w:t>on</w:t>
      </w:r>
      <w:r>
        <w:rPr>
          <w:spacing w:val="-14"/>
        </w:rPr>
        <w:t> </w:t>
      </w:r>
      <w:r>
        <w:rPr/>
        <w:t>philanthropic</w:t>
      </w:r>
      <w:r>
        <w:rPr>
          <w:spacing w:val="-14"/>
        </w:rPr>
        <w:t> </w:t>
      </w:r>
      <w:r>
        <w:rPr/>
        <w:t>opportunities</w:t>
      </w:r>
      <w:r>
        <w:rPr>
          <w:spacing w:val="-14"/>
        </w:rPr>
        <w:t> </w:t>
      </w:r>
      <w:r>
        <w:rPr/>
        <w:t>at</w:t>
      </w:r>
      <w:r>
        <w:rPr>
          <w:spacing w:val="-14"/>
        </w:rPr>
        <w:t> </w:t>
      </w:r>
      <w:r>
        <w:rPr/>
        <w:t>the University</w:t>
      </w:r>
    </w:p>
    <w:p>
      <w:pPr>
        <w:pStyle w:val="BodyText"/>
        <w:spacing w:line="247" w:lineRule="auto" w:before="57"/>
        <w:ind w:left="333" w:right="66" w:hanging="227"/>
      </w:pPr>
      <w:r>
        <w:rPr>
          <w:rFonts w:ascii="Century Gothic" w:hAnsi="Century Gothic"/>
          <w:b/>
          <w:w w:val="115"/>
        </w:rPr>
        <w:t>≥ </w:t>
      </w:r>
      <w:r>
        <w:rPr/>
        <w:t>a private dinner hosted by the Honourable Peter Collins, AM and Mrs Jennine Leonarder-Collins for 23 Western</w:t>
      </w:r>
    </w:p>
    <w:p>
      <w:pPr>
        <w:pStyle w:val="BodyText"/>
        <w:spacing w:line="249" w:lineRule="auto" w:before="1"/>
        <w:ind w:left="333" w:right="143"/>
      </w:pPr>
      <w:r>
        <w:rPr/>
        <w:t>Sydney industry and local government leaders in July at Werrington House, with guest speaker Chancellor Professor Peter Shergold, AC focusing on building</w:t>
      </w:r>
    </w:p>
    <w:p>
      <w:pPr>
        <w:pStyle w:val="BodyText"/>
        <w:spacing w:line="249" w:lineRule="auto"/>
        <w:ind w:left="333" w:right="16"/>
      </w:pPr>
      <w:r>
        <w:rPr/>
        <w:t>awareness</w:t>
      </w:r>
      <w:r>
        <w:rPr>
          <w:spacing w:val="-17"/>
        </w:rPr>
        <w:t> </w:t>
      </w:r>
      <w:r>
        <w:rPr/>
        <w:t>and</w:t>
      </w:r>
      <w:r>
        <w:rPr>
          <w:spacing w:val="-17"/>
        </w:rPr>
        <w:t> </w:t>
      </w:r>
      <w:r>
        <w:rPr/>
        <w:t>engaging</w:t>
      </w:r>
      <w:r>
        <w:rPr>
          <w:spacing w:val="-17"/>
        </w:rPr>
        <w:t> </w:t>
      </w:r>
      <w:r>
        <w:rPr/>
        <w:t>the</w:t>
      </w:r>
      <w:r>
        <w:rPr>
          <w:spacing w:val="-17"/>
        </w:rPr>
        <w:t> </w:t>
      </w:r>
      <w:r>
        <w:rPr/>
        <w:t>community</w:t>
      </w:r>
      <w:r>
        <w:rPr>
          <w:spacing w:val="-17"/>
        </w:rPr>
        <w:t> </w:t>
      </w:r>
      <w:r>
        <w:rPr/>
        <w:t>in the</w:t>
      </w:r>
      <w:r>
        <w:rPr>
          <w:spacing w:val="-17"/>
        </w:rPr>
        <w:t> </w:t>
      </w:r>
      <w:r>
        <w:rPr/>
        <w:t>University’s</w:t>
      </w:r>
      <w:r>
        <w:rPr>
          <w:spacing w:val="-17"/>
        </w:rPr>
        <w:t> </w:t>
      </w:r>
      <w:r>
        <w:rPr/>
        <w:t>scholarship</w:t>
      </w:r>
      <w:r>
        <w:rPr>
          <w:spacing w:val="-17"/>
        </w:rPr>
        <w:t> </w:t>
      </w:r>
      <w:r>
        <w:rPr/>
        <w:t>campaign</w:t>
      </w:r>
    </w:p>
    <w:p>
      <w:pPr>
        <w:pStyle w:val="BodyText"/>
        <w:spacing w:line="247" w:lineRule="auto" w:before="55"/>
        <w:ind w:left="333" w:right="151" w:hanging="227"/>
      </w:pPr>
      <w:r>
        <w:rPr>
          <w:rFonts w:ascii="Century Gothic" w:hAnsi="Century Gothic"/>
          <w:b/>
          <w:w w:val="115"/>
        </w:rPr>
        <w:t>≥ </w:t>
      </w:r>
      <w:r>
        <w:rPr/>
        <w:t>the Robert Hayes Memorial dinner which was organised by the Office with the support</w:t>
      </w:r>
      <w:r>
        <w:rPr>
          <w:spacing w:val="-18"/>
        </w:rPr>
        <w:t> </w:t>
      </w:r>
      <w:r>
        <w:rPr/>
        <w:t>of</w:t>
      </w:r>
      <w:r>
        <w:rPr>
          <w:spacing w:val="-18"/>
        </w:rPr>
        <w:t> </w:t>
      </w:r>
      <w:r>
        <w:rPr/>
        <w:t>Mrs</w:t>
      </w:r>
      <w:r>
        <w:rPr>
          <w:spacing w:val="-18"/>
        </w:rPr>
        <w:t> </w:t>
      </w:r>
      <w:r>
        <w:rPr/>
        <w:t>Elayne</w:t>
      </w:r>
      <w:r>
        <w:rPr>
          <w:spacing w:val="-18"/>
        </w:rPr>
        <w:t> </w:t>
      </w:r>
      <w:r>
        <w:rPr/>
        <w:t>Hayes.</w:t>
      </w:r>
      <w:r>
        <w:rPr>
          <w:spacing w:val="-18"/>
        </w:rPr>
        <w:t> </w:t>
      </w:r>
      <w:r>
        <w:rPr/>
        <w:t>It</w:t>
      </w:r>
      <w:r>
        <w:rPr>
          <w:spacing w:val="-18"/>
        </w:rPr>
        <w:t> </w:t>
      </w:r>
      <w:r>
        <w:rPr/>
        <w:t>was</w:t>
      </w:r>
      <w:r>
        <w:rPr>
          <w:spacing w:val="-18"/>
        </w:rPr>
        <w:t> </w:t>
      </w:r>
      <w:r>
        <w:rPr/>
        <w:t>held at King &amp; Wood Mallesons law firm and </w:t>
      </w:r>
      <w:r>
        <w:rPr>
          <w:spacing w:val="1"/>
          <w:w w:val="76"/>
        </w:rPr>
        <w:t>81</w:t>
      </w:r>
      <w:r>
        <w:rPr>
          <w:w w:val="76"/>
        </w:rPr>
        <w:t> </w:t>
      </w:r>
      <w:r>
        <w:rPr>
          <w:spacing w:val="1"/>
          <w:w w:val="98"/>
        </w:rPr>
        <w:t>people</w:t>
      </w:r>
      <w:r>
        <w:rPr>
          <w:w w:val="98"/>
        </w:rPr>
        <w:t> </w:t>
      </w:r>
      <w:r>
        <w:rPr>
          <w:spacing w:val="1"/>
          <w:w w:val="95"/>
        </w:rPr>
        <w:t>attended,</w:t>
      </w:r>
      <w:r>
        <w:rPr>
          <w:w w:val="95"/>
        </w:rPr>
        <w:t> </w:t>
      </w:r>
      <w:r>
        <w:rPr>
          <w:spacing w:val="1"/>
          <w:w w:val="96"/>
        </w:rPr>
        <w:t>raising</w:t>
      </w:r>
      <w:r>
        <w:rPr>
          <w:w w:val="96"/>
        </w:rPr>
        <w:t> </w:t>
      </w:r>
      <w:r>
        <w:rPr>
          <w:spacing w:val="2"/>
          <w:w w:val="94"/>
        </w:rPr>
        <w:t>$14,000</w:t>
      </w:r>
      <w:r>
        <w:rPr>
          <w:w w:val="94"/>
        </w:rPr>
        <w:t> </w:t>
      </w:r>
      <w:r>
        <w:rPr>
          <w:w w:val="98"/>
        </w:rPr>
        <w:t>for </w:t>
      </w:r>
      <w:r>
        <w:rPr>
          <w:w w:val="94"/>
        </w:rPr>
        <w:t>a </w:t>
      </w:r>
      <w:r>
        <w:rPr/>
        <w:t>scholarship</w:t>
      </w:r>
      <w:r>
        <w:rPr>
          <w:spacing w:val="-18"/>
        </w:rPr>
        <w:t> </w:t>
      </w:r>
      <w:r>
        <w:rPr/>
        <w:t>in</w:t>
      </w:r>
      <w:r>
        <w:rPr>
          <w:spacing w:val="-18"/>
        </w:rPr>
        <w:t> </w:t>
      </w:r>
      <w:r>
        <w:rPr/>
        <w:t>the</w:t>
      </w:r>
      <w:r>
        <w:rPr>
          <w:spacing w:val="-18"/>
        </w:rPr>
        <w:t> </w:t>
      </w:r>
      <w:r>
        <w:rPr/>
        <w:t>School</w:t>
      </w:r>
      <w:r>
        <w:rPr>
          <w:spacing w:val="-18"/>
        </w:rPr>
        <w:t> </w:t>
      </w:r>
      <w:r>
        <w:rPr/>
        <w:t>of</w:t>
      </w:r>
      <w:r>
        <w:rPr>
          <w:spacing w:val="-18"/>
        </w:rPr>
        <w:t> </w:t>
      </w:r>
      <w:r>
        <w:rPr/>
        <w:t>Law.</w:t>
      </w:r>
    </w:p>
    <w:p>
      <w:pPr>
        <w:pStyle w:val="BodyText"/>
        <w:spacing w:before="2"/>
        <w:rPr>
          <w:sz w:val="14"/>
        </w:rPr>
      </w:pPr>
    </w:p>
    <w:p>
      <w:pPr>
        <w:pStyle w:val="BodyText"/>
        <w:spacing w:line="249" w:lineRule="auto"/>
        <w:ind w:left="107" w:right="79"/>
      </w:pPr>
      <w:r>
        <w:rPr>
          <w:spacing w:val="1"/>
          <w:w w:val="80"/>
        </w:rPr>
        <w:t>In</w:t>
      </w:r>
      <w:r>
        <w:rPr>
          <w:w w:val="80"/>
        </w:rPr>
        <w:t> </w:t>
      </w:r>
      <w:r>
        <w:rPr>
          <w:spacing w:val="1"/>
          <w:w w:val="84"/>
        </w:rPr>
        <w:t>2015,</w:t>
      </w:r>
      <w:r>
        <w:rPr>
          <w:w w:val="84"/>
        </w:rPr>
        <w:t> </w:t>
      </w:r>
      <w:r>
        <w:rPr>
          <w:w w:val="97"/>
        </w:rPr>
        <w:t>the </w:t>
      </w:r>
      <w:r>
        <w:rPr>
          <w:spacing w:val="1"/>
          <w:w w:val="97"/>
        </w:rPr>
        <w:t>University</w:t>
      </w:r>
      <w:r>
        <w:rPr>
          <w:w w:val="97"/>
        </w:rPr>
        <w:t> </w:t>
      </w:r>
      <w:r>
        <w:rPr>
          <w:spacing w:val="1"/>
          <w:w w:val="97"/>
        </w:rPr>
        <w:t>held</w:t>
      </w:r>
      <w:r>
        <w:rPr>
          <w:w w:val="97"/>
        </w:rPr>
        <w:t> </w:t>
      </w:r>
      <w:r>
        <w:rPr>
          <w:w w:val="97"/>
        </w:rPr>
        <w:t>stewardship </w:t>
      </w:r>
      <w:r>
        <w:rPr/>
        <w:t>events</w:t>
      </w:r>
      <w:r>
        <w:rPr>
          <w:spacing w:val="-14"/>
        </w:rPr>
        <w:t> </w:t>
      </w:r>
      <w:r>
        <w:rPr/>
        <w:t>for</w:t>
      </w:r>
      <w:r>
        <w:rPr>
          <w:spacing w:val="-14"/>
        </w:rPr>
        <w:t> </w:t>
      </w:r>
      <w:r>
        <w:rPr/>
        <w:t>existing</w:t>
      </w:r>
      <w:r>
        <w:rPr>
          <w:spacing w:val="-14"/>
        </w:rPr>
        <w:t> </w:t>
      </w:r>
      <w:r>
        <w:rPr/>
        <w:t>donors</w:t>
      </w:r>
      <w:r>
        <w:rPr>
          <w:spacing w:val="-14"/>
        </w:rPr>
        <w:t> </w:t>
      </w:r>
      <w:r>
        <w:rPr/>
        <w:t>and</w:t>
      </w:r>
      <w:r>
        <w:rPr>
          <w:spacing w:val="-14"/>
        </w:rPr>
        <w:t> </w:t>
      </w:r>
      <w:r>
        <w:rPr/>
        <w:t>engaged</w:t>
      </w:r>
      <w:r>
        <w:rPr>
          <w:spacing w:val="-14"/>
        </w:rPr>
        <w:t> </w:t>
      </w:r>
      <w:r>
        <w:rPr/>
        <w:t>with Western Sydney business and industry. This included providing invitations to University events,</w:t>
      </w:r>
      <w:r>
        <w:rPr>
          <w:spacing w:val="-20"/>
        </w:rPr>
        <w:t> </w:t>
      </w:r>
      <w:r>
        <w:rPr/>
        <w:t>for</w:t>
      </w:r>
      <w:r>
        <w:rPr>
          <w:spacing w:val="-20"/>
        </w:rPr>
        <w:t> </w:t>
      </w:r>
      <w:r>
        <w:rPr/>
        <w:t>example</w:t>
      </w:r>
      <w:r>
        <w:rPr>
          <w:spacing w:val="-20"/>
        </w:rPr>
        <w:t> </w:t>
      </w:r>
      <w:r>
        <w:rPr/>
        <w:t>School</w:t>
      </w:r>
      <w:r>
        <w:rPr>
          <w:spacing w:val="-20"/>
        </w:rPr>
        <w:t> </w:t>
      </w:r>
      <w:r>
        <w:rPr/>
        <w:t>prize</w:t>
      </w:r>
      <w:r>
        <w:rPr>
          <w:spacing w:val="-20"/>
        </w:rPr>
        <w:t> </w:t>
      </w:r>
      <w:r>
        <w:rPr/>
        <w:t>ceremonies, the Whitlam Oration, graduation and scholarship</w:t>
      </w:r>
      <w:r>
        <w:rPr>
          <w:spacing w:val="-23"/>
        </w:rPr>
        <w:t> </w:t>
      </w:r>
      <w:r>
        <w:rPr/>
        <w:t>ceremonies,</w:t>
      </w:r>
      <w:r>
        <w:rPr>
          <w:spacing w:val="-23"/>
        </w:rPr>
        <w:t> </w:t>
      </w:r>
      <w:r>
        <w:rPr/>
        <w:t>exhibition</w:t>
      </w:r>
      <w:r>
        <w:rPr>
          <w:spacing w:val="-23"/>
        </w:rPr>
        <w:t> </w:t>
      </w:r>
      <w:r>
        <w:rPr/>
        <w:t>openings, Open Fora events, a Sisters of Charity morning</w:t>
      </w:r>
      <w:r>
        <w:rPr>
          <w:spacing w:val="-17"/>
        </w:rPr>
        <w:t> </w:t>
      </w:r>
      <w:r>
        <w:rPr/>
        <w:t>tea</w:t>
      </w:r>
      <w:r>
        <w:rPr>
          <w:spacing w:val="-17"/>
        </w:rPr>
        <w:t> </w:t>
      </w:r>
      <w:r>
        <w:rPr/>
        <w:t>with</w:t>
      </w:r>
      <w:r>
        <w:rPr>
          <w:spacing w:val="-17"/>
        </w:rPr>
        <w:t> </w:t>
      </w:r>
      <w:r>
        <w:rPr/>
        <w:t>the</w:t>
      </w:r>
      <w:r>
        <w:rPr>
          <w:spacing w:val="-17"/>
        </w:rPr>
        <w:t> </w:t>
      </w:r>
      <w:r>
        <w:rPr/>
        <w:t>NSW</w:t>
      </w:r>
      <w:r>
        <w:rPr>
          <w:spacing w:val="-17"/>
        </w:rPr>
        <w:t> </w:t>
      </w:r>
      <w:r>
        <w:rPr/>
        <w:t>Governor,</w:t>
      </w:r>
      <w:r>
        <w:rPr>
          <w:spacing w:val="-17"/>
        </w:rPr>
        <w:t> </w:t>
      </w:r>
      <w:r>
        <w:rPr/>
        <w:t>and</w:t>
      </w:r>
      <w:r>
        <w:rPr>
          <w:spacing w:val="-17"/>
        </w:rPr>
        <w:t> </w:t>
      </w:r>
      <w:r>
        <w:rPr/>
        <w:t>the opening of the new Penrith campus library and the Werrington Park Corporate Centre, as well as individual donor guest speaking opportunities, meetings, Board meeting presentations, scholarship interviews and fundraising</w:t>
      </w:r>
      <w:r>
        <w:rPr>
          <w:spacing w:val="-25"/>
        </w:rPr>
        <w:t> </w:t>
      </w:r>
      <w:r>
        <w:rPr/>
        <w:t>campaign</w:t>
      </w:r>
      <w:r>
        <w:rPr>
          <w:spacing w:val="-25"/>
        </w:rPr>
        <w:t> </w:t>
      </w:r>
      <w:r>
        <w:rPr/>
        <w:t>consultations.</w:t>
      </w:r>
    </w:p>
    <w:p>
      <w:pPr>
        <w:pStyle w:val="BodyText"/>
        <w:rPr>
          <w:sz w:val="14"/>
        </w:rPr>
      </w:pPr>
    </w:p>
    <w:p>
      <w:pPr>
        <w:pStyle w:val="BodyText"/>
        <w:spacing w:line="249" w:lineRule="auto"/>
        <w:ind w:left="107" w:right="185"/>
      </w:pPr>
      <w:r>
        <w:rPr/>
        <w:t>The</w:t>
      </w:r>
      <w:r>
        <w:rPr>
          <w:spacing w:val="-19"/>
        </w:rPr>
        <w:t> </w:t>
      </w:r>
      <w:r>
        <w:rPr/>
        <w:t>main</w:t>
      </w:r>
      <w:r>
        <w:rPr>
          <w:spacing w:val="-19"/>
        </w:rPr>
        <w:t> </w:t>
      </w:r>
      <w:r>
        <w:rPr/>
        <w:t>stewardship</w:t>
      </w:r>
      <w:r>
        <w:rPr>
          <w:spacing w:val="-19"/>
        </w:rPr>
        <w:t> </w:t>
      </w:r>
      <w:r>
        <w:rPr/>
        <w:t>event</w:t>
      </w:r>
      <w:r>
        <w:rPr>
          <w:spacing w:val="-19"/>
        </w:rPr>
        <w:t> </w:t>
      </w:r>
      <w:r>
        <w:rPr/>
        <w:t>of</w:t>
      </w:r>
      <w:r>
        <w:rPr>
          <w:spacing w:val="-19"/>
        </w:rPr>
        <w:t> </w:t>
      </w:r>
      <w:r>
        <w:rPr/>
        <w:t>the</w:t>
      </w:r>
      <w:r>
        <w:rPr>
          <w:spacing w:val="-19"/>
        </w:rPr>
        <w:t> </w:t>
      </w:r>
      <w:r>
        <w:rPr/>
        <w:t>year</w:t>
      </w:r>
      <w:r>
        <w:rPr>
          <w:spacing w:val="-19"/>
        </w:rPr>
        <w:t> </w:t>
      </w:r>
      <w:r>
        <w:rPr/>
        <w:t>was the Donor Thank </w:t>
      </w:r>
      <w:r>
        <w:rPr>
          <w:spacing w:val="-3"/>
        </w:rPr>
        <w:t>You </w:t>
      </w:r>
      <w:r>
        <w:rPr/>
        <w:t>function held in April at</w:t>
      </w:r>
      <w:r>
        <w:rPr>
          <w:spacing w:val="-14"/>
        </w:rPr>
        <w:t> </w:t>
      </w:r>
      <w:r>
        <w:rPr/>
        <w:t>the</w:t>
      </w:r>
      <w:r>
        <w:rPr>
          <w:spacing w:val="-14"/>
        </w:rPr>
        <w:t> </w:t>
      </w:r>
      <w:r>
        <w:rPr/>
        <w:t>Female</w:t>
      </w:r>
      <w:r>
        <w:rPr>
          <w:spacing w:val="-14"/>
        </w:rPr>
        <w:t> </w:t>
      </w:r>
      <w:r>
        <w:rPr/>
        <w:t>Orphan</w:t>
      </w:r>
      <w:r>
        <w:rPr>
          <w:spacing w:val="-14"/>
        </w:rPr>
        <w:t> </w:t>
      </w:r>
      <w:r>
        <w:rPr/>
        <w:t>School</w:t>
      </w:r>
      <w:r>
        <w:rPr>
          <w:spacing w:val="-14"/>
        </w:rPr>
        <w:t> </w:t>
      </w:r>
      <w:r>
        <w:rPr/>
        <w:t>to</w:t>
      </w:r>
      <w:r>
        <w:rPr>
          <w:spacing w:val="-14"/>
        </w:rPr>
        <w:t> </w:t>
      </w:r>
      <w:r>
        <w:rPr/>
        <w:t>recognise</w:t>
      </w:r>
    </w:p>
    <w:p>
      <w:pPr>
        <w:pStyle w:val="BodyText"/>
        <w:spacing w:line="247" w:lineRule="auto" w:before="71"/>
        <w:ind w:left="107" w:right="121"/>
      </w:pPr>
      <w:r>
        <w:rPr/>
        <w:br w:type="column"/>
      </w:r>
      <w:r>
        <w:rPr/>
        <w:t>and acknowledge the University’s generous donors.</w:t>
      </w:r>
      <w:r>
        <w:rPr>
          <w:spacing w:val="-17"/>
        </w:rPr>
        <w:t> </w:t>
      </w:r>
      <w:r>
        <w:rPr/>
        <w:t>At</w:t>
      </w:r>
      <w:r>
        <w:rPr>
          <w:spacing w:val="-17"/>
        </w:rPr>
        <w:t> </w:t>
      </w:r>
      <w:r>
        <w:rPr/>
        <w:t>this</w:t>
      </w:r>
      <w:r>
        <w:rPr>
          <w:spacing w:val="-17"/>
        </w:rPr>
        <w:t> </w:t>
      </w:r>
      <w:r>
        <w:rPr/>
        <w:t>event,</w:t>
      </w:r>
      <w:r>
        <w:rPr>
          <w:spacing w:val="-17"/>
        </w:rPr>
        <w:t> </w:t>
      </w:r>
      <w:r>
        <w:rPr/>
        <w:t>the</w:t>
      </w:r>
      <w:r>
        <w:rPr>
          <w:spacing w:val="-17"/>
        </w:rPr>
        <w:t> </w:t>
      </w:r>
      <w:r>
        <w:rPr/>
        <w:t>Office</w:t>
      </w:r>
      <w:r>
        <w:rPr>
          <w:spacing w:val="-17"/>
        </w:rPr>
        <w:t> </w:t>
      </w:r>
      <w:r>
        <w:rPr/>
        <w:t>launched</w:t>
      </w:r>
      <w:r>
        <w:rPr>
          <w:spacing w:val="-17"/>
        </w:rPr>
        <w:t> </w:t>
      </w:r>
      <w:r>
        <w:rPr/>
        <w:t>the </w:t>
      </w:r>
      <w:r>
        <w:rPr>
          <w:rFonts w:ascii="Century Gothic" w:hAnsi="Century Gothic"/>
          <w:i/>
          <w:spacing w:val="1"/>
          <w:w w:val="88"/>
        </w:rPr>
        <w:t>2014</w:t>
      </w:r>
      <w:r>
        <w:rPr>
          <w:rFonts w:ascii="Century Gothic" w:hAnsi="Century Gothic"/>
          <w:i/>
          <w:w w:val="88"/>
        </w:rPr>
        <w:t> </w:t>
      </w:r>
      <w:r>
        <w:rPr>
          <w:rFonts w:ascii="Century Gothic" w:hAnsi="Century Gothic"/>
          <w:i/>
          <w:spacing w:val="1"/>
          <w:w w:val="87"/>
        </w:rPr>
        <w:t>Impact</w:t>
      </w:r>
      <w:r>
        <w:rPr>
          <w:rFonts w:ascii="Century Gothic" w:hAnsi="Century Gothic"/>
          <w:i/>
          <w:w w:val="87"/>
        </w:rPr>
        <w:t> </w:t>
      </w:r>
      <w:r>
        <w:rPr>
          <w:rFonts w:ascii="Century Gothic" w:hAnsi="Century Gothic"/>
          <w:i/>
          <w:spacing w:val="2"/>
          <w:w w:val="90"/>
        </w:rPr>
        <w:t>Report</w:t>
      </w:r>
      <w:r>
        <w:rPr>
          <w:rFonts w:ascii="Century Gothic" w:hAnsi="Century Gothic"/>
          <w:i/>
          <w:w w:val="90"/>
        </w:rPr>
        <w:t> </w:t>
      </w:r>
      <w:r>
        <w:rPr>
          <w:rFonts w:ascii="Century Gothic" w:hAnsi="Century Gothic"/>
          <w:i/>
          <w:spacing w:val="-1"/>
          <w:w w:val="91"/>
        </w:rPr>
        <w:t>to</w:t>
      </w:r>
      <w:r>
        <w:rPr>
          <w:rFonts w:ascii="Century Gothic" w:hAnsi="Century Gothic"/>
          <w:i/>
          <w:w w:val="91"/>
        </w:rPr>
        <w:t> </w:t>
      </w:r>
      <w:r>
        <w:rPr>
          <w:rFonts w:ascii="Century Gothic" w:hAnsi="Century Gothic"/>
          <w:i/>
          <w:spacing w:val="2"/>
          <w:w w:val="91"/>
        </w:rPr>
        <w:t>Donors</w:t>
      </w:r>
      <w:r>
        <w:rPr>
          <w:rFonts w:ascii="Century Gothic" w:hAnsi="Century Gothic"/>
          <w:i/>
          <w:w w:val="91"/>
        </w:rPr>
        <w:t> </w:t>
      </w:r>
      <w:r>
        <w:rPr>
          <w:w w:val="98"/>
        </w:rPr>
        <w:t>with </w:t>
      </w:r>
      <w:r>
        <w:rPr>
          <w:spacing w:val="1"/>
          <w:w w:val="97"/>
        </w:rPr>
        <w:t>inspiring</w:t>
      </w:r>
      <w:r>
        <w:rPr>
          <w:w w:val="97"/>
        </w:rPr>
        <w:t> </w:t>
      </w:r>
      <w:r>
        <w:rPr/>
        <w:t>speeches by the Vice-Chancellor Professor Barney</w:t>
      </w:r>
      <w:r>
        <w:rPr>
          <w:spacing w:val="-17"/>
        </w:rPr>
        <w:t> </w:t>
      </w:r>
      <w:r>
        <w:rPr/>
        <w:t>Glover,</w:t>
      </w:r>
      <w:r>
        <w:rPr>
          <w:spacing w:val="-17"/>
        </w:rPr>
        <w:t> </w:t>
      </w:r>
      <w:r>
        <w:rPr/>
        <w:t>Dean</w:t>
      </w:r>
      <w:r>
        <w:rPr>
          <w:spacing w:val="-17"/>
        </w:rPr>
        <w:t> </w:t>
      </w:r>
      <w:r>
        <w:rPr/>
        <w:t>of</w:t>
      </w:r>
      <w:r>
        <w:rPr>
          <w:spacing w:val="-17"/>
        </w:rPr>
        <w:t> </w:t>
      </w:r>
      <w:r>
        <w:rPr/>
        <w:t>the</w:t>
      </w:r>
      <w:r>
        <w:rPr>
          <w:spacing w:val="-17"/>
        </w:rPr>
        <w:t> </w:t>
      </w:r>
      <w:r>
        <w:rPr/>
        <w:t>Graduate</w:t>
      </w:r>
      <w:r>
        <w:rPr>
          <w:spacing w:val="-17"/>
        </w:rPr>
        <w:t> </w:t>
      </w:r>
      <w:r>
        <w:rPr/>
        <w:t>School and Head of The Academy Professor James Arvanitakis</w:t>
      </w:r>
      <w:r>
        <w:rPr>
          <w:spacing w:val="-17"/>
        </w:rPr>
        <w:t> </w:t>
      </w:r>
      <w:r>
        <w:rPr/>
        <w:t>and</w:t>
      </w:r>
      <w:r>
        <w:rPr>
          <w:spacing w:val="-17"/>
        </w:rPr>
        <w:t> </w:t>
      </w:r>
      <w:r>
        <w:rPr/>
        <w:t>University</w:t>
      </w:r>
      <w:r>
        <w:rPr>
          <w:spacing w:val="-17"/>
        </w:rPr>
        <w:t> </w:t>
      </w:r>
      <w:r>
        <w:rPr/>
        <w:t>researcher</w:t>
      </w:r>
    </w:p>
    <w:p>
      <w:pPr>
        <w:pStyle w:val="BodyText"/>
        <w:spacing w:line="249" w:lineRule="auto" w:before="1"/>
        <w:ind w:left="107" w:right="121"/>
      </w:pPr>
      <w:r>
        <w:rPr/>
        <w:t>Grace Micali. Ms Micali talked about how philanthropic support helped her succeed in </w:t>
      </w:r>
      <w:r>
        <w:rPr>
          <w:w w:val="95"/>
        </w:rPr>
        <w:t>her research.</w:t>
      </w:r>
    </w:p>
    <w:p>
      <w:pPr>
        <w:pStyle w:val="BodyText"/>
        <w:rPr>
          <w:sz w:val="14"/>
        </w:rPr>
      </w:pPr>
    </w:p>
    <w:p>
      <w:pPr>
        <w:pStyle w:val="BodyText"/>
        <w:spacing w:line="249" w:lineRule="auto"/>
        <w:ind w:left="107" w:right="194"/>
      </w:pPr>
      <w:r>
        <w:rPr/>
        <w:t>During the year, the Office also worked on building a culture of philanthropy across the University. The Office invited the Council</w:t>
      </w:r>
    </w:p>
    <w:p>
      <w:pPr>
        <w:pStyle w:val="BodyText"/>
        <w:spacing w:line="249" w:lineRule="auto"/>
        <w:ind w:left="107" w:right="267"/>
      </w:pPr>
      <w:r>
        <w:rPr/>
        <w:t>for Advancement &amp; Support of Education’s (CASE’s) internationally recognised representative Colin McCallum (University of</w:t>
      </w:r>
      <w:r>
        <w:rPr>
          <w:spacing w:val="-17"/>
        </w:rPr>
        <w:t> </w:t>
      </w:r>
      <w:r>
        <w:rPr/>
        <w:t>Salford,</w:t>
      </w:r>
      <w:r>
        <w:rPr>
          <w:spacing w:val="-17"/>
        </w:rPr>
        <w:t> </w:t>
      </w:r>
      <w:r>
        <w:rPr>
          <w:spacing w:val="3"/>
        </w:rPr>
        <w:t>UK)</w:t>
      </w:r>
      <w:r>
        <w:rPr>
          <w:spacing w:val="-17"/>
        </w:rPr>
        <w:t> </w:t>
      </w:r>
      <w:r>
        <w:rPr/>
        <w:t>to</w:t>
      </w:r>
      <w:r>
        <w:rPr>
          <w:spacing w:val="-17"/>
        </w:rPr>
        <w:t> </w:t>
      </w:r>
      <w:r>
        <w:rPr/>
        <w:t>present</w:t>
      </w:r>
      <w:r>
        <w:rPr>
          <w:spacing w:val="-17"/>
        </w:rPr>
        <w:t> </w:t>
      </w:r>
      <w:r>
        <w:rPr>
          <w:spacing w:val="2"/>
        </w:rPr>
        <w:t>CASE</w:t>
      </w:r>
      <w:r>
        <w:rPr>
          <w:spacing w:val="-17"/>
        </w:rPr>
        <w:t> </w:t>
      </w:r>
      <w:r>
        <w:rPr/>
        <w:t>on</w:t>
      </w:r>
      <w:r>
        <w:rPr>
          <w:spacing w:val="-17"/>
        </w:rPr>
        <w:t> </w:t>
      </w:r>
      <w:r>
        <w:rPr>
          <w:spacing w:val="2"/>
        </w:rPr>
        <w:t>Campus.</w:t>
      </w:r>
    </w:p>
    <w:p>
      <w:pPr>
        <w:pStyle w:val="BodyText"/>
        <w:spacing w:line="249" w:lineRule="auto"/>
        <w:ind w:left="107" w:right="155"/>
      </w:pPr>
      <w:r>
        <w:rPr/>
        <w:t>This</w:t>
      </w:r>
      <w:r>
        <w:rPr>
          <w:spacing w:val="-20"/>
        </w:rPr>
        <w:t> </w:t>
      </w:r>
      <w:r>
        <w:rPr/>
        <w:t>one-day,</w:t>
      </w:r>
      <w:r>
        <w:rPr>
          <w:spacing w:val="-20"/>
        </w:rPr>
        <w:t> </w:t>
      </w:r>
      <w:r>
        <w:rPr/>
        <w:t>philanthropy-tailored</w:t>
      </w:r>
      <w:r>
        <w:rPr>
          <w:spacing w:val="-20"/>
        </w:rPr>
        <w:t> </w:t>
      </w:r>
      <w:r>
        <w:rPr/>
        <w:t>workshop in June attracted 55 senior University staff including Executive members, deans and senior</w:t>
      </w:r>
      <w:r>
        <w:rPr>
          <w:spacing w:val="-19"/>
        </w:rPr>
        <w:t> </w:t>
      </w:r>
      <w:r>
        <w:rPr/>
        <w:t>leaders.</w:t>
      </w:r>
      <w:r>
        <w:rPr>
          <w:spacing w:val="-19"/>
        </w:rPr>
        <w:t> </w:t>
      </w:r>
      <w:r>
        <w:rPr/>
        <w:t>The</w:t>
      </w:r>
      <w:r>
        <w:rPr>
          <w:spacing w:val="-19"/>
        </w:rPr>
        <w:t> </w:t>
      </w:r>
      <w:r>
        <w:rPr/>
        <w:t>Office</w:t>
      </w:r>
      <w:r>
        <w:rPr>
          <w:spacing w:val="-19"/>
        </w:rPr>
        <w:t> </w:t>
      </w:r>
      <w:r>
        <w:rPr/>
        <w:t>also</w:t>
      </w:r>
      <w:r>
        <w:rPr>
          <w:spacing w:val="-19"/>
        </w:rPr>
        <w:t> </w:t>
      </w:r>
      <w:r>
        <w:rPr/>
        <w:t>delivered</w:t>
      </w:r>
      <w:r>
        <w:rPr>
          <w:spacing w:val="-19"/>
        </w:rPr>
        <w:t> </w:t>
      </w:r>
      <w:r>
        <w:rPr/>
        <w:t>many presentations about scholarships, alumni relations and fundraising strategies to staff and executives in Schools and Institutes, including the School of Business External Advisory</w:t>
      </w:r>
      <w:r>
        <w:rPr>
          <w:spacing w:val="-20"/>
        </w:rPr>
        <w:t> </w:t>
      </w:r>
      <w:r>
        <w:rPr/>
        <w:t>Panel,</w:t>
      </w:r>
      <w:r>
        <w:rPr>
          <w:spacing w:val="-20"/>
        </w:rPr>
        <w:t> </w:t>
      </w:r>
      <w:r>
        <w:rPr/>
        <w:t>the</w:t>
      </w:r>
      <w:r>
        <w:rPr>
          <w:spacing w:val="-20"/>
        </w:rPr>
        <w:t> </w:t>
      </w:r>
      <w:r>
        <w:rPr/>
        <w:t>Institute</w:t>
      </w:r>
      <w:r>
        <w:rPr>
          <w:spacing w:val="-20"/>
        </w:rPr>
        <w:t> </w:t>
      </w:r>
      <w:r>
        <w:rPr/>
        <w:t>of</w:t>
      </w:r>
      <w:r>
        <w:rPr>
          <w:spacing w:val="-20"/>
        </w:rPr>
        <w:t> </w:t>
      </w:r>
      <w:r>
        <w:rPr/>
        <w:t>Infrastructure Engineering, and the School of Humanities and Communication</w:t>
      </w:r>
      <w:r>
        <w:rPr>
          <w:spacing w:val="-35"/>
        </w:rPr>
        <w:t> </w:t>
      </w:r>
      <w:r>
        <w:rPr>
          <w:spacing w:val="3"/>
        </w:rPr>
        <w:t>Arts.</w:t>
      </w:r>
    </w:p>
    <w:p>
      <w:pPr>
        <w:pStyle w:val="BodyText"/>
        <w:rPr>
          <w:sz w:val="14"/>
        </w:rPr>
      </w:pPr>
    </w:p>
    <w:p>
      <w:pPr>
        <w:pStyle w:val="BodyText"/>
        <w:spacing w:line="249" w:lineRule="auto"/>
        <w:ind w:left="107" w:right="96"/>
      </w:pPr>
      <w:r>
        <w:rPr/>
        <w:t>The</w:t>
      </w:r>
      <w:r>
        <w:rPr>
          <w:spacing w:val="-16"/>
        </w:rPr>
        <w:t> </w:t>
      </w:r>
      <w:r>
        <w:rPr/>
        <w:t>University</w:t>
      </w:r>
      <w:r>
        <w:rPr>
          <w:spacing w:val="-16"/>
        </w:rPr>
        <w:t> </w:t>
      </w:r>
      <w:r>
        <w:rPr/>
        <w:t>is</w:t>
      </w:r>
      <w:r>
        <w:rPr>
          <w:spacing w:val="-16"/>
        </w:rPr>
        <w:t> </w:t>
      </w:r>
      <w:r>
        <w:rPr/>
        <w:t>fortunate</w:t>
      </w:r>
      <w:r>
        <w:rPr>
          <w:spacing w:val="-16"/>
        </w:rPr>
        <w:t> </w:t>
      </w:r>
      <w:r>
        <w:rPr/>
        <w:t>to</w:t>
      </w:r>
      <w:r>
        <w:rPr>
          <w:spacing w:val="-16"/>
        </w:rPr>
        <w:t> </w:t>
      </w:r>
      <w:r>
        <w:rPr/>
        <w:t>have</w:t>
      </w:r>
      <w:r>
        <w:rPr>
          <w:spacing w:val="-16"/>
        </w:rPr>
        <w:t> </w:t>
      </w:r>
      <w:r>
        <w:rPr/>
        <w:t>the</w:t>
      </w:r>
      <w:r>
        <w:rPr>
          <w:spacing w:val="-16"/>
        </w:rPr>
        <w:t> </w:t>
      </w:r>
      <w:r>
        <w:rPr/>
        <w:t>support of many generous donors and it increased </w:t>
      </w:r>
      <w:r>
        <w:rPr>
          <w:spacing w:val="1"/>
          <w:w w:val="97"/>
        </w:rPr>
        <w:t>their</w:t>
      </w:r>
      <w:r>
        <w:rPr>
          <w:w w:val="97"/>
        </w:rPr>
        <w:t> </w:t>
      </w:r>
      <w:r>
        <w:rPr>
          <w:spacing w:val="1"/>
          <w:w w:val="97"/>
        </w:rPr>
        <w:t>number</w:t>
      </w:r>
      <w:r>
        <w:rPr>
          <w:w w:val="97"/>
        </w:rPr>
        <w:t> </w:t>
      </w:r>
      <w:r>
        <w:rPr>
          <w:w w:val="95"/>
        </w:rPr>
        <w:t>in </w:t>
      </w:r>
      <w:r>
        <w:rPr>
          <w:spacing w:val="1"/>
          <w:w w:val="84"/>
        </w:rPr>
        <w:t>2015.</w:t>
      </w:r>
      <w:r>
        <w:rPr>
          <w:w w:val="84"/>
        </w:rPr>
        <w:t> </w:t>
      </w:r>
      <w:r>
        <w:rPr>
          <w:spacing w:val="1"/>
          <w:w w:val="94"/>
        </w:rPr>
        <w:t>The</w:t>
      </w:r>
      <w:r>
        <w:rPr>
          <w:w w:val="94"/>
        </w:rPr>
        <w:t> </w:t>
      </w:r>
      <w:r>
        <w:rPr>
          <w:w w:val="98"/>
        </w:rPr>
        <w:t>following </w:t>
      </w:r>
      <w:r>
        <w:rPr>
          <w:spacing w:val="1"/>
          <w:w w:val="97"/>
        </w:rPr>
        <w:t>list</w:t>
      </w:r>
      <w:r>
        <w:rPr>
          <w:w w:val="97"/>
        </w:rPr>
        <w:t> </w:t>
      </w:r>
      <w:r>
        <w:rPr/>
        <w:t>highlights</w:t>
      </w:r>
      <w:r>
        <w:rPr>
          <w:spacing w:val="-19"/>
        </w:rPr>
        <w:t> </w:t>
      </w:r>
      <w:r>
        <w:rPr/>
        <w:t>philanthropic</w:t>
      </w:r>
      <w:r>
        <w:rPr>
          <w:spacing w:val="-19"/>
        </w:rPr>
        <w:t> </w:t>
      </w:r>
      <w:r>
        <w:rPr/>
        <w:t>relationships</w:t>
      </w:r>
      <w:r>
        <w:rPr>
          <w:spacing w:val="-19"/>
        </w:rPr>
        <w:t> </w:t>
      </w:r>
      <w:r>
        <w:rPr/>
        <w:t>with</w:t>
      </w:r>
      <w:r>
        <w:rPr>
          <w:spacing w:val="-19"/>
        </w:rPr>
        <w:t> </w:t>
      </w:r>
      <w:r>
        <w:rPr/>
        <w:t>new and continuing</w:t>
      </w:r>
      <w:r>
        <w:rPr>
          <w:spacing w:val="-39"/>
        </w:rPr>
        <w:t> </w:t>
      </w:r>
      <w:r>
        <w:rPr/>
        <w:t>donors.</w:t>
      </w:r>
    </w:p>
    <w:p>
      <w:pPr>
        <w:pStyle w:val="BodyText"/>
        <w:spacing w:before="7"/>
        <w:rPr>
          <w:sz w:val="21"/>
        </w:rPr>
      </w:pPr>
    </w:p>
    <w:p>
      <w:pPr>
        <w:pStyle w:val="Heading8"/>
        <w:ind w:right="287"/>
      </w:pPr>
      <w:r>
        <w:rPr>
          <w:w w:val="95"/>
        </w:rPr>
        <w:t>MR XIANGMO HUANG</w:t>
      </w:r>
    </w:p>
    <w:p>
      <w:pPr>
        <w:pStyle w:val="BodyText"/>
        <w:spacing w:line="249" w:lineRule="auto" w:before="86"/>
        <w:ind w:left="107" w:right="173"/>
      </w:pPr>
      <w:r>
        <w:rPr/>
        <w:t>Businessman and philanthropist Mr Xiangmo Huang pledged $3.5 million to support</w:t>
      </w:r>
    </w:p>
    <w:p>
      <w:pPr>
        <w:pStyle w:val="BodyText"/>
        <w:spacing w:line="249" w:lineRule="auto"/>
        <w:ind w:left="107" w:right="121"/>
      </w:pPr>
      <w:r>
        <w:rPr/>
        <w:t>the establishment of the Australia-China Institute</w:t>
      </w:r>
      <w:r>
        <w:rPr>
          <w:spacing w:val="-20"/>
        </w:rPr>
        <w:t> </w:t>
      </w:r>
      <w:r>
        <w:rPr/>
        <w:t>for</w:t>
      </w:r>
      <w:r>
        <w:rPr>
          <w:spacing w:val="-20"/>
        </w:rPr>
        <w:t> </w:t>
      </w:r>
      <w:r>
        <w:rPr>
          <w:spacing w:val="2"/>
        </w:rPr>
        <w:t>Arts</w:t>
      </w:r>
      <w:r>
        <w:rPr>
          <w:spacing w:val="-20"/>
        </w:rPr>
        <w:t> </w:t>
      </w:r>
      <w:r>
        <w:rPr/>
        <w:t>and</w:t>
      </w:r>
      <w:r>
        <w:rPr>
          <w:spacing w:val="-20"/>
        </w:rPr>
        <w:t> </w:t>
      </w:r>
      <w:r>
        <w:rPr/>
        <w:t>Culture</w:t>
      </w:r>
      <w:r>
        <w:rPr>
          <w:spacing w:val="-20"/>
        </w:rPr>
        <w:t> </w:t>
      </w:r>
      <w:r>
        <w:rPr/>
        <w:t>at</w:t>
      </w:r>
      <w:r>
        <w:rPr>
          <w:spacing w:val="-20"/>
        </w:rPr>
        <w:t> </w:t>
      </w:r>
      <w:r>
        <w:rPr/>
        <w:t>the</w:t>
      </w:r>
      <w:r>
        <w:rPr>
          <w:spacing w:val="-20"/>
        </w:rPr>
        <w:t> </w:t>
      </w:r>
      <w:r>
        <w:rPr/>
        <w:t>University. The donation will fund a professorial chair supported by two four-year research fellowships and a five-year post-doctoral fellowship.</w:t>
      </w:r>
      <w:r>
        <w:rPr>
          <w:spacing w:val="-19"/>
        </w:rPr>
        <w:t> </w:t>
      </w:r>
      <w:r>
        <w:rPr/>
        <w:t>It</w:t>
      </w:r>
      <w:r>
        <w:rPr>
          <w:spacing w:val="-19"/>
        </w:rPr>
        <w:t> </w:t>
      </w:r>
      <w:r>
        <w:rPr/>
        <w:t>will</w:t>
      </w:r>
      <w:r>
        <w:rPr>
          <w:spacing w:val="-19"/>
        </w:rPr>
        <w:t> </w:t>
      </w:r>
      <w:r>
        <w:rPr/>
        <w:t>also</w:t>
      </w:r>
      <w:r>
        <w:rPr>
          <w:spacing w:val="-19"/>
        </w:rPr>
        <w:t> </w:t>
      </w:r>
      <w:r>
        <w:rPr/>
        <w:t>be</w:t>
      </w:r>
      <w:r>
        <w:rPr>
          <w:spacing w:val="-19"/>
        </w:rPr>
        <w:t> </w:t>
      </w:r>
      <w:r>
        <w:rPr/>
        <w:t>used</w:t>
      </w:r>
      <w:r>
        <w:rPr>
          <w:spacing w:val="-19"/>
        </w:rPr>
        <w:t> </w:t>
      </w:r>
      <w:r>
        <w:rPr/>
        <w:t>to</w:t>
      </w:r>
      <w:r>
        <w:rPr>
          <w:spacing w:val="-19"/>
        </w:rPr>
        <w:t> </w:t>
      </w:r>
      <w:r>
        <w:rPr/>
        <w:t>develop</w:t>
      </w:r>
    </w:p>
    <w:p>
      <w:pPr>
        <w:pStyle w:val="BodyText"/>
        <w:spacing w:line="249" w:lineRule="auto"/>
        <w:ind w:left="107" w:right="121"/>
      </w:pPr>
      <w:r>
        <w:rPr/>
        <w:t>a masters program in Chinese arts and literature, with the first students starting in </w:t>
      </w:r>
      <w:r>
        <w:rPr>
          <w:w w:val="83"/>
        </w:rPr>
        <w:t>2017. </w:t>
      </w:r>
      <w:r>
        <w:rPr>
          <w:w w:val="94"/>
        </w:rPr>
        <w:t>The </w:t>
      </w:r>
      <w:r>
        <w:rPr>
          <w:w w:val="99"/>
        </w:rPr>
        <w:t>gift </w:t>
      </w:r>
      <w:r>
        <w:rPr>
          <w:w w:val="98"/>
        </w:rPr>
        <w:t>included </w:t>
      </w:r>
      <w:r>
        <w:rPr>
          <w:w w:val="102"/>
        </w:rPr>
        <w:t>$500,000 </w:t>
      </w:r>
      <w:r>
        <w:rPr>
          <w:w w:val="98"/>
        </w:rPr>
        <w:t>for </w:t>
      </w:r>
      <w:r>
        <w:rPr>
          <w:w w:val="98"/>
        </w:rPr>
        <w:t>student </w:t>
      </w:r>
      <w:r>
        <w:rPr/>
        <w:t>scholarships, which will be matched by the University.</w:t>
      </w:r>
    </w:p>
    <w:p>
      <w:pPr>
        <w:spacing w:after="0" w:line="249" w:lineRule="auto"/>
        <w:sectPr>
          <w:type w:val="continuous"/>
          <w:pgSz w:w="11910" w:h="16840"/>
          <w:pgMar w:top="1580" w:bottom="280" w:left="800" w:right="800"/>
          <w:cols w:num="3" w:equalWidth="0">
            <w:col w:w="3300" w:space="139"/>
            <w:col w:w="3320" w:space="119"/>
            <w:col w:w="3432"/>
          </w:cols>
        </w:sectPr>
      </w:pPr>
    </w:p>
    <w:p>
      <w:pPr>
        <w:pStyle w:val="BodyText"/>
        <w:spacing w:before="10"/>
        <w:rPr>
          <w:sz w:val="28"/>
        </w:rPr>
      </w:pPr>
    </w:p>
    <w:p>
      <w:pPr>
        <w:pStyle w:val="Heading2"/>
        <w:ind w:right="7947"/>
        <w:rPr>
          <w:b w:val="0"/>
        </w:rPr>
      </w:pPr>
      <w:r>
        <w:rPr>
          <w:b w:val="0"/>
        </w:rPr>
        <w:t>Community and Regional Engagement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spacing w:before="11"/>
        <w:rPr>
          <w:rFonts w:ascii="Chronicle Text G1"/>
          <w:b w:val="0"/>
          <w:sz w:val="15"/>
        </w:rPr>
      </w:pPr>
    </w:p>
    <w:p>
      <w:pPr>
        <w:spacing w:after="0"/>
        <w:rPr>
          <w:rFonts w:ascii="Chronicle Text G1"/>
          <w:sz w:val="15"/>
        </w:rPr>
        <w:sectPr>
          <w:pgSz w:w="11910" w:h="16840"/>
          <w:pgMar w:header="494" w:footer="473" w:top="680" w:bottom="660" w:left="800" w:right="800"/>
        </w:sectPr>
      </w:pPr>
    </w:p>
    <w:p>
      <w:pPr>
        <w:pStyle w:val="Heading8"/>
        <w:spacing w:line="249" w:lineRule="auto" w:before="78"/>
        <w:ind w:right="566"/>
      </w:pPr>
      <w:r>
        <w:rPr/>
        <w:t>JACKA FOUNDATION OF NATURAL THERAPIES</w:t>
      </w:r>
    </w:p>
    <w:p>
      <w:pPr>
        <w:pStyle w:val="BodyText"/>
        <w:spacing w:line="249" w:lineRule="auto" w:before="79"/>
        <w:ind w:left="107" w:right="-3"/>
      </w:pPr>
      <w:r>
        <w:rPr/>
        <w:t>The Jacka Foundation of Natural Therapies committed to extending its support for the National</w:t>
      </w:r>
      <w:r>
        <w:rPr>
          <w:spacing w:val="-17"/>
        </w:rPr>
        <w:t> </w:t>
      </w:r>
      <w:r>
        <w:rPr/>
        <w:t>Institute</w:t>
      </w:r>
      <w:r>
        <w:rPr>
          <w:spacing w:val="-17"/>
        </w:rPr>
        <w:t> </w:t>
      </w:r>
      <w:r>
        <w:rPr/>
        <w:t>of</w:t>
      </w:r>
      <w:r>
        <w:rPr>
          <w:spacing w:val="-17"/>
        </w:rPr>
        <w:t> </w:t>
      </w:r>
      <w:r>
        <w:rPr/>
        <w:t>Complementary</w:t>
      </w:r>
      <w:r>
        <w:rPr>
          <w:spacing w:val="-17"/>
        </w:rPr>
        <w:t> </w:t>
      </w:r>
      <w:r>
        <w:rPr/>
        <w:t>Medicine with</w:t>
      </w:r>
      <w:r>
        <w:rPr>
          <w:spacing w:val="-16"/>
        </w:rPr>
        <w:t> </w:t>
      </w:r>
      <w:r>
        <w:rPr/>
        <w:t>a</w:t>
      </w:r>
      <w:r>
        <w:rPr>
          <w:spacing w:val="-16"/>
        </w:rPr>
        <w:t> </w:t>
      </w:r>
      <w:r>
        <w:rPr/>
        <w:t>$2</w:t>
      </w:r>
      <w:r>
        <w:rPr>
          <w:spacing w:val="-16"/>
        </w:rPr>
        <w:t> </w:t>
      </w:r>
      <w:r>
        <w:rPr/>
        <w:t>million</w:t>
      </w:r>
      <w:r>
        <w:rPr>
          <w:spacing w:val="-16"/>
        </w:rPr>
        <w:t> </w:t>
      </w:r>
      <w:r>
        <w:rPr/>
        <w:t>donation</w:t>
      </w:r>
      <w:r>
        <w:rPr>
          <w:spacing w:val="-16"/>
        </w:rPr>
        <w:t> </w:t>
      </w:r>
      <w:r>
        <w:rPr/>
        <w:t>in</w:t>
      </w:r>
      <w:r>
        <w:rPr>
          <w:spacing w:val="-16"/>
        </w:rPr>
        <w:t> </w:t>
      </w:r>
      <w:r>
        <w:rPr/>
        <w:t>addition</w:t>
      </w:r>
      <w:r>
        <w:rPr>
          <w:spacing w:val="-16"/>
        </w:rPr>
        <w:t> </w:t>
      </w:r>
      <w:r>
        <w:rPr/>
        <w:t>to</w:t>
      </w:r>
      <w:r>
        <w:rPr>
          <w:spacing w:val="-16"/>
        </w:rPr>
        <w:t> </w:t>
      </w:r>
      <w:r>
        <w:rPr/>
        <w:t>the</w:t>
      </w:r>
      <w:r>
        <w:rPr>
          <w:spacing w:val="-16"/>
        </w:rPr>
        <w:t> </w:t>
      </w:r>
      <w:r>
        <w:rPr/>
        <w:t>$2 </w:t>
      </w:r>
      <w:r>
        <w:rPr>
          <w:w w:val="96"/>
        </w:rPr>
        <w:t>million</w:t>
      </w:r>
      <w:r>
        <w:rPr>
          <w:spacing w:val="-8"/>
          <w:w w:val="96"/>
        </w:rPr>
        <w:t> </w:t>
      </w:r>
      <w:r>
        <w:rPr>
          <w:spacing w:val="1"/>
          <w:w w:val="99"/>
        </w:rPr>
        <w:t>donated</w:t>
      </w:r>
      <w:r>
        <w:rPr>
          <w:spacing w:val="-9"/>
          <w:w w:val="99"/>
        </w:rPr>
        <w:t> </w:t>
      </w:r>
      <w:r>
        <w:rPr>
          <w:w w:val="95"/>
        </w:rPr>
        <w:t>in</w:t>
      </w:r>
      <w:r>
        <w:rPr>
          <w:spacing w:val="-8"/>
          <w:w w:val="95"/>
        </w:rPr>
        <w:t> </w:t>
      </w:r>
      <w:r>
        <w:rPr>
          <w:spacing w:val="2"/>
          <w:w w:val="84"/>
        </w:rPr>
        <w:t>2013.</w:t>
      </w:r>
      <w:r>
        <w:rPr>
          <w:spacing w:val="-2"/>
          <w:w w:val="84"/>
        </w:rPr>
        <w:t> </w:t>
      </w:r>
      <w:r>
        <w:rPr>
          <w:spacing w:val="1"/>
          <w:w w:val="94"/>
        </w:rPr>
        <w:t>The</w:t>
      </w:r>
      <w:r>
        <w:rPr>
          <w:spacing w:val="-7"/>
          <w:w w:val="94"/>
        </w:rPr>
        <w:t> </w:t>
      </w:r>
      <w:r>
        <w:rPr>
          <w:spacing w:val="1"/>
          <w:w w:val="97"/>
        </w:rPr>
        <w:t>University</w:t>
      </w:r>
      <w:r>
        <w:rPr>
          <w:spacing w:val="-9"/>
          <w:w w:val="97"/>
        </w:rPr>
        <w:t> </w:t>
      </w:r>
      <w:r>
        <w:rPr>
          <w:w w:val="97"/>
        </w:rPr>
        <w:t>will</w:t>
      </w:r>
      <w:r>
        <w:rPr>
          <w:spacing w:val="-8"/>
          <w:w w:val="97"/>
        </w:rPr>
        <w:t> </w:t>
      </w:r>
      <w:r>
        <w:rPr>
          <w:spacing w:val="1"/>
          <w:w w:val="95"/>
        </w:rPr>
        <w:t>use</w:t>
      </w:r>
      <w:r>
        <w:rPr>
          <w:w w:val="95"/>
        </w:rPr>
        <w:t> </w:t>
      </w:r>
      <w:r>
        <w:rPr/>
        <w:t>the</w:t>
      </w:r>
      <w:r>
        <w:rPr>
          <w:spacing w:val="-15"/>
        </w:rPr>
        <w:t> </w:t>
      </w:r>
      <w:r>
        <w:rPr/>
        <w:t>donation</w:t>
      </w:r>
      <w:r>
        <w:rPr>
          <w:spacing w:val="-15"/>
        </w:rPr>
        <w:t> </w:t>
      </w:r>
      <w:r>
        <w:rPr/>
        <w:t>to</w:t>
      </w:r>
      <w:r>
        <w:rPr>
          <w:spacing w:val="-15"/>
        </w:rPr>
        <w:t> </w:t>
      </w:r>
      <w:r>
        <w:rPr/>
        <w:t>appoint</w:t>
      </w:r>
      <w:r>
        <w:rPr>
          <w:spacing w:val="-15"/>
        </w:rPr>
        <w:t> </w:t>
      </w:r>
      <w:r>
        <w:rPr/>
        <w:t>a</w:t>
      </w:r>
      <w:r>
        <w:rPr>
          <w:spacing w:val="-15"/>
        </w:rPr>
        <w:t> </w:t>
      </w:r>
      <w:r>
        <w:rPr/>
        <w:t>Professorial</w:t>
      </w:r>
      <w:r>
        <w:rPr>
          <w:spacing w:val="-15"/>
        </w:rPr>
        <w:t> </w:t>
      </w:r>
      <w:r>
        <w:rPr/>
        <w:t>Chair</w:t>
      </w:r>
      <w:r>
        <w:rPr>
          <w:spacing w:val="-15"/>
        </w:rPr>
        <w:t> </w:t>
      </w:r>
      <w:r>
        <w:rPr/>
        <w:t>in </w:t>
      </w:r>
      <w:r>
        <w:rPr>
          <w:w w:val="95"/>
        </w:rPr>
        <w:t>Integrative </w:t>
      </w:r>
      <w:r>
        <w:rPr>
          <w:spacing w:val="1"/>
          <w:w w:val="97"/>
        </w:rPr>
        <w:t>Medicine</w:t>
      </w:r>
      <w:r>
        <w:rPr>
          <w:w w:val="97"/>
        </w:rPr>
        <w:t> </w:t>
      </w:r>
      <w:r>
        <w:rPr>
          <w:w w:val="95"/>
        </w:rPr>
        <w:t>in</w:t>
      </w:r>
      <w:r>
        <w:rPr>
          <w:spacing w:val="-8"/>
          <w:w w:val="95"/>
        </w:rPr>
        <w:t> </w:t>
      </w:r>
      <w:r>
        <w:rPr>
          <w:spacing w:val="2"/>
          <w:w w:val="85"/>
        </w:rPr>
        <w:t>2016.</w:t>
      </w:r>
    </w:p>
    <w:p>
      <w:pPr>
        <w:pStyle w:val="BodyText"/>
        <w:spacing w:before="7"/>
        <w:rPr>
          <w:sz w:val="21"/>
        </w:rPr>
      </w:pPr>
    </w:p>
    <w:p>
      <w:pPr>
        <w:pStyle w:val="Heading8"/>
        <w:spacing w:line="249" w:lineRule="auto"/>
        <w:ind w:right="177"/>
      </w:pPr>
      <w:r>
        <w:rPr>
          <w:w w:val="95"/>
        </w:rPr>
        <w:t>HARVEY NORMAN SCHOLARSHIP </w:t>
      </w:r>
      <w:r>
        <w:rPr/>
        <w:t>CAMPAIGN</w:t>
      </w:r>
    </w:p>
    <w:p>
      <w:pPr>
        <w:pStyle w:val="BodyText"/>
        <w:spacing w:line="249" w:lineRule="auto" w:before="79"/>
        <w:ind w:left="107" w:right="268"/>
      </w:pPr>
      <w:r>
        <w:rPr>
          <w:w w:val="80"/>
        </w:rPr>
        <w:t>In </w:t>
      </w:r>
      <w:r>
        <w:rPr>
          <w:w w:val="86"/>
        </w:rPr>
        <w:t>2014, </w:t>
      </w:r>
      <w:r>
        <w:rPr>
          <w:w w:val="98"/>
        </w:rPr>
        <w:t>Foundation </w:t>
      </w:r>
      <w:r>
        <w:rPr>
          <w:w w:val="98"/>
        </w:rPr>
        <w:t>Council </w:t>
      </w:r>
      <w:r>
        <w:rPr>
          <w:w w:val="97"/>
        </w:rPr>
        <w:t>member </w:t>
      </w:r>
      <w:r>
        <w:rPr>
          <w:w w:val="97"/>
        </w:rPr>
        <w:t>and </w:t>
      </w:r>
      <w:r>
        <w:rPr/>
        <w:t>Harvey Norman CEO, Katie Page, offered to support a campaign for University scholarships with a commitment to fund </w:t>
      </w:r>
      <w:r>
        <w:rPr>
          <w:w w:val="98"/>
        </w:rPr>
        <w:t>at </w:t>
      </w:r>
      <w:r>
        <w:rPr>
          <w:w w:val="96"/>
        </w:rPr>
        <w:t>least </w:t>
      </w:r>
      <w:r>
        <w:rPr>
          <w:w w:val="82"/>
        </w:rPr>
        <w:t>10 </w:t>
      </w:r>
      <w:r>
        <w:rPr>
          <w:w w:val="96"/>
        </w:rPr>
        <w:t>full </w:t>
      </w:r>
      <w:r>
        <w:rPr>
          <w:w w:val="97"/>
        </w:rPr>
        <w:t>degree </w:t>
      </w:r>
      <w:r>
        <w:rPr>
          <w:w w:val="97"/>
        </w:rPr>
        <w:t>undergraduate </w:t>
      </w:r>
      <w:r>
        <w:rPr/>
        <w:t>scholarships. The scholarships are valued</w:t>
      </w:r>
    </w:p>
    <w:p>
      <w:pPr>
        <w:pStyle w:val="BodyText"/>
        <w:spacing w:line="249" w:lineRule="auto"/>
        <w:ind w:left="107" w:right="201"/>
      </w:pPr>
      <w:r>
        <w:rPr/>
        <w:t>at</w:t>
      </w:r>
      <w:r>
        <w:rPr>
          <w:spacing w:val="-16"/>
        </w:rPr>
        <w:t> </w:t>
      </w:r>
      <w:r>
        <w:rPr/>
        <w:t>$7,500</w:t>
      </w:r>
      <w:r>
        <w:rPr>
          <w:spacing w:val="-16"/>
        </w:rPr>
        <w:t> </w:t>
      </w:r>
      <w:r>
        <w:rPr/>
        <w:t>per</w:t>
      </w:r>
      <w:r>
        <w:rPr>
          <w:spacing w:val="-16"/>
        </w:rPr>
        <w:t> </w:t>
      </w:r>
      <w:r>
        <w:rPr/>
        <w:t>annum</w:t>
      </w:r>
      <w:r>
        <w:rPr>
          <w:spacing w:val="-16"/>
        </w:rPr>
        <w:t> </w:t>
      </w:r>
      <w:r>
        <w:rPr/>
        <w:t>for</w:t>
      </w:r>
      <w:r>
        <w:rPr>
          <w:spacing w:val="-16"/>
        </w:rPr>
        <w:t> </w:t>
      </w:r>
      <w:r>
        <w:rPr/>
        <w:t>the</w:t>
      </w:r>
      <w:r>
        <w:rPr>
          <w:spacing w:val="-16"/>
        </w:rPr>
        <w:t> </w:t>
      </w:r>
      <w:r>
        <w:rPr/>
        <w:t>duration</w:t>
      </w:r>
      <w:r>
        <w:rPr>
          <w:spacing w:val="-16"/>
        </w:rPr>
        <w:t> </w:t>
      </w:r>
      <w:r>
        <w:rPr/>
        <w:t>of</w:t>
      </w:r>
      <w:r>
        <w:rPr>
          <w:spacing w:val="-16"/>
        </w:rPr>
        <w:t> </w:t>
      </w:r>
      <w:r>
        <w:rPr/>
        <w:t>the degree and are for students from diverse and/or disadvantaged backgrounds who demonstrate</w:t>
      </w:r>
      <w:r>
        <w:rPr>
          <w:spacing w:val="-23"/>
        </w:rPr>
        <w:t> </w:t>
      </w:r>
      <w:r>
        <w:rPr/>
        <w:t>academic</w:t>
      </w:r>
      <w:r>
        <w:rPr>
          <w:spacing w:val="-23"/>
        </w:rPr>
        <w:t> </w:t>
      </w:r>
      <w:r>
        <w:rPr/>
        <w:t>potential.</w:t>
      </w:r>
    </w:p>
    <w:p>
      <w:pPr>
        <w:pStyle w:val="BodyText"/>
        <w:rPr>
          <w:sz w:val="14"/>
        </w:rPr>
      </w:pPr>
    </w:p>
    <w:p>
      <w:pPr>
        <w:pStyle w:val="BodyText"/>
        <w:spacing w:line="249" w:lineRule="auto"/>
        <w:ind w:left="107" w:right="104"/>
      </w:pPr>
      <w:r>
        <w:rPr>
          <w:spacing w:val="1"/>
          <w:w w:val="80"/>
        </w:rPr>
        <w:t>In</w:t>
      </w:r>
      <w:r>
        <w:rPr>
          <w:w w:val="80"/>
        </w:rPr>
        <w:t> </w:t>
      </w:r>
      <w:r>
        <w:rPr>
          <w:spacing w:val="1"/>
          <w:w w:val="84"/>
        </w:rPr>
        <w:t>2015,</w:t>
      </w:r>
      <w:r>
        <w:rPr>
          <w:w w:val="84"/>
        </w:rPr>
        <w:t> </w:t>
      </w:r>
      <w:r>
        <w:rPr>
          <w:w w:val="97"/>
        </w:rPr>
        <w:t>the </w:t>
      </w:r>
      <w:r>
        <w:rPr>
          <w:spacing w:val="1"/>
          <w:w w:val="97"/>
        </w:rPr>
        <w:t>Harvey</w:t>
      </w:r>
      <w:r>
        <w:rPr>
          <w:w w:val="97"/>
        </w:rPr>
        <w:t> </w:t>
      </w:r>
      <w:r>
        <w:rPr>
          <w:spacing w:val="1"/>
          <w:w w:val="97"/>
        </w:rPr>
        <w:t>Norman</w:t>
      </w:r>
      <w:r>
        <w:rPr>
          <w:w w:val="97"/>
        </w:rPr>
        <w:t> </w:t>
      </w:r>
      <w:r>
        <w:rPr>
          <w:spacing w:val="1"/>
          <w:w w:val="97"/>
        </w:rPr>
        <w:t>Scholarship</w:t>
      </w:r>
      <w:r>
        <w:rPr>
          <w:w w:val="97"/>
        </w:rPr>
        <w:t> </w:t>
      </w:r>
      <w:r>
        <w:rPr/>
        <w:t>Campaign raised </w:t>
      </w:r>
      <w:r>
        <w:rPr>
          <w:spacing w:val="2"/>
        </w:rPr>
        <w:t>$300,000 </w:t>
      </w:r>
      <w:r>
        <w:rPr/>
        <w:t>pledged from </w:t>
      </w:r>
      <w:r>
        <w:rPr>
          <w:spacing w:val="2"/>
        </w:rPr>
        <w:t>34</w:t>
      </w:r>
      <w:r>
        <w:rPr>
          <w:spacing w:val="-15"/>
        </w:rPr>
        <w:t> </w:t>
      </w:r>
      <w:r>
        <w:rPr/>
        <w:t>new</w:t>
      </w:r>
      <w:r>
        <w:rPr>
          <w:spacing w:val="-15"/>
        </w:rPr>
        <w:t> </w:t>
      </w:r>
      <w:r>
        <w:rPr/>
        <w:t>donors</w:t>
      </w:r>
      <w:r>
        <w:rPr>
          <w:spacing w:val="-15"/>
        </w:rPr>
        <w:t> </w:t>
      </w:r>
      <w:r>
        <w:rPr/>
        <w:t>drawn</w:t>
      </w:r>
      <w:r>
        <w:rPr>
          <w:spacing w:val="-15"/>
        </w:rPr>
        <w:t> </w:t>
      </w:r>
      <w:r>
        <w:rPr/>
        <w:t>from</w:t>
      </w:r>
      <w:r>
        <w:rPr>
          <w:spacing w:val="-15"/>
        </w:rPr>
        <w:t> </w:t>
      </w:r>
      <w:r>
        <w:rPr/>
        <w:t>Harvey</w:t>
      </w:r>
      <w:r>
        <w:rPr>
          <w:spacing w:val="-15"/>
        </w:rPr>
        <w:t> </w:t>
      </w:r>
      <w:r>
        <w:rPr/>
        <w:t>Norman’s suppliers,</w:t>
      </w:r>
      <w:r>
        <w:rPr>
          <w:spacing w:val="-37"/>
        </w:rPr>
        <w:t> </w:t>
      </w:r>
      <w:r>
        <w:rPr/>
        <w:t>realising</w:t>
      </w:r>
      <w:r>
        <w:rPr>
          <w:spacing w:val="-37"/>
        </w:rPr>
        <w:t> </w:t>
      </w:r>
      <w:r>
        <w:rPr/>
        <w:t>13</w:t>
      </w:r>
      <w:r>
        <w:rPr>
          <w:spacing w:val="-37"/>
        </w:rPr>
        <w:t> </w:t>
      </w:r>
      <w:r>
        <w:rPr/>
        <w:t>new</w:t>
      </w:r>
      <w:r>
        <w:rPr>
          <w:spacing w:val="-37"/>
        </w:rPr>
        <w:t> </w:t>
      </w:r>
      <w:r>
        <w:rPr/>
        <w:t>scholarships.</w:t>
      </w:r>
    </w:p>
    <w:p>
      <w:pPr>
        <w:pStyle w:val="BodyText"/>
        <w:spacing w:line="249" w:lineRule="auto"/>
        <w:ind w:left="107" w:right="-4"/>
      </w:pPr>
      <w:r>
        <w:rPr/>
        <w:t>In addition, Harvey Norman ran a media campaign</w:t>
      </w:r>
      <w:r>
        <w:rPr>
          <w:spacing w:val="-17"/>
        </w:rPr>
        <w:t> </w:t>
      </w:r>
      <w:r>
        <w:rPr/>
        <w:t>to</w:t>
      </w:r>
      <w:r>
        <w:rPr>
          <w:spacing w:val="-17"/>
        </w:rPr>
        <w:t> </w:t>
      </w:r>
      <w:r>
        <w:rPr/>
        <w:t>promote</w:t>
      </w:r>
      <w:r>
        <w:rPr>
          <w:spacing w:val="-17"/>
        </w:rPr>
        <w:t> </w:t>
      </w:r>
      <w:r>
        <w:rPr/>
        <w:t>the</w:t>
      </w:r>
      <w:r>
        <w:rPr>
          <w:spacing w:val="-17"/>
        </w:rPr>
        <w:t> </w:t>
      </w:r>
      <w:r>
        <w:rPr/>
        <w:t>University,</w:t>
      </w:r>
      <w:r>
        <w:rPr>
          <w:spacing w:val="-17"/>
        </w:rPr>
        <w:t> </w:t>
      </w:r>
      <w:r>
        <w:rPr/>
        <w:t>including issuing</w:t>
      </w:r>
      <w:r>
        <w:rPr>
          <w:spacing w:val="-17"/>
        </w:rPr>
        <w:t> </w:t>
      </w:r>
      <w:r>
        <w:rPr/>
        <w:t>press</w:t>
      </w:r>
      <w:r>
        <w:rPr>
          <w:spacing w:val="-17"/>
        </w:rPr>
        <w:t> </w:t>
      </w:r>
      <w:r>
        <w:rPr/>
        <w:t>releases</w:t>
      </w:r>
      <w:r>
        <w:rPr>
          <w:spacing w:val="-17"/>
        </w:rPr>
        <w:t> </w:t>
      </w:r>
      <w:r>
        <w:rPr/>
        <w:t>and</w:t>
      </w:r>
      <w:r>
        <w:rPr>
          <w:spacing w:val="-17"/>
        </w:rPr>
        <w:t> </w:t>
      </w:r>
      <w:r>
        <w:rPr/>
        <w:t>advertising</w:t>
      </w:r>
      <w:r>
        <w:rPr>
          <w:spacing w:val="-17"/>
        </w:rPr>
        <w:t> </w:t>
      </w:r>
      <w:r>
        <w:rPr/>
        <w:t>on</w:t>
      </w:r>
      <w:r>
        <w:rPr>
          <w:spacing w:val="-17"/>
        </w:rPr>
        <w:t> </w:t>
      </w:r>
      <w:r>
        <w:rPr/>
        <w:t>radio and television, and using in-store activation. The majority of the campaign, worth more </w:t>
      </w:r>
      <w:r>
        <w:rPr>
          <w:spacing w:val="1"/>
          <w:w w:val="97"/>
        </w:rPr>
        <w:t>than</w:t>
      </w:r>
      <w:r>
        <w:rPr>
          <w:w w:val="97"/>
        </w:rPr>
        <w:t> </w:t>
      </w:r>
      <w:r>
        <w:rPr>
          <w:spacing w:val="2"/>
          <w:w w:val="92"/>
        </w:rPr>
        <w:t>$150,000,</w:t>
      </w:r>
      <w:r>
        <w:rPr>
          <w:w w:val="92"/>
        </w:rPr>
        <w:t> </w:t>
      </w:r>
      <w:r>
        <w:rPr>
          <w:spacing w:val="1"/>
          <w:w w:val="95"/>
        </w:rPr>
        <w:t>ran</w:t>
      </w:r>
      <w:r>
        <w:rPr>
          <w:w w:val="95"/>
        </w:rPr>
        <w:t> </w:t>
      </w:r>
      <w:r>
        <w:rPr>
          <w:spacing w:val="1"/>
          <w:w w:val="97"/>
        </w:rPr>
        <w:t>during</w:t>
      </w:r>
      <w:r>
        <w:rPr>
          <w:w w:val="97"/>
        </w:rPr>
        <w:t> </w:t>
      </w:r>
      <w:r>
        <w:rPr>
          <w:spacing w:val="1"/>
          <w:w w:val="88"/>
        </w:rPr>
        <w:t>20–21</w:t>
      </w:r>
      <w:r>
        <w:rPr>
          <w:w w:val="88"/>
        </w:rPr>
        <w:t> </w:t>
      </w:r>
      <w:r>
        <w:rPr>
          <w:spacing w:val="2"/>
          <w:w w:val="98"/>
        </w:rPr>
        <w:t>February</w:t>
      </w:r>
      <w:r>
        <w:rPr>
          <w:spacing w:val="-30"/>
          <w:w w:val="98"/>
        </w:rPr>
        <w:t> </w:t>
      </w:r>
      <w:r>
        <w:rPr>
          <w:spacing w:val="1"/>
          <w:w w:val="97"/>
        </w:rPr>
        <w:t>and</w:t>
      </w:r>
      <w:r>
        <w:rPr>
          <w:w w:val="97"/>
        </w:rPr>
        <w:t> </w:t>
      </w:r>
      <w:r>
        <w:rPr/>
        <w:t>featured</w:t>
      </w:r>
      <w:r>
        <w:rPr>
          <w:spacing w:val="-20"/>
        </w:rPr>
        <w:t> </w:t>
      </w:r>
      <w:r>
        <w:rPr/>
        <w:t>the</w:t>
      </w:r>
      <w:r>
        <w:rPr>
          <w:spacing w:val="-20"/>
        </w:rPr>
        <w:t> </w:t>
      </w:r>
      <w:r>
        <w:rPr/>
        <w:t>13</w:t>
      </w:r>
      <w:r>
        <w:rPr>
          <w:spacing w:val="-20"/>
        </w:rPr>
        <w:t> </w:t>
      </w:r>
      <w:r>
        <w:rPr/>
        <w:t>recipients</w:t>
      </w:r>
      <w:r>
        <w:rPr>
          <w:spacing w:val="-20"/>
        </w:rPr>
        <w:t> </w:t>
      </w:r>
      <w:r>
        <w:rPr/>
        <w:t>of</w:t>
      </w:r>
      <w:r>
        <w:rPr>
          <w:spacing w:val="-20"/>
        </w:rPr>
        <w:t> </w:t>
      </w:r>
      <w:r>
        <w:rPr/>
        <w:t>a</w:t>
      </w:r>
      <w:r>
        <w:rPr>
          <w:spacing w:val="-20"/>
        </w:rPr>
        <w:t> </w:t>
      </w:r>
      <w:r>
        <w:rPr/>
        <w:t>Harvey</w:t>
      </w:r>
      <w:r>
        <w:rPr>
          <w:spacing w:val="-20"/>
        </w:rPr>
        <w:t> </w:t>
      </w:r>
      <w:r>
        <w:rPr/>
        <w:t>Norman Scholarship.</w:t>
      </w:r>
    </w:p>
    <w:p>
      <w:pPr>
        <w:pStyle w:val="BodyText"/>
        <w:spacing w:before="7"/>
        <w:rPr>
          <w:sz w:val="21"/>
        </w:rPr>
      </w:pPr>
    </w:p>
    <w:p>
      <w:pPr>
        <w:pStyle w:val="Heading8"/>
        <w:spacing w:line="249" w:lineRule="auto"/>
        <w:ind w:right="177"/>
      </w:pPr>
      <w:r>
        <w:rPr>
          <w:w w:val="95"/>
        </w:rPr>
        <w:t>1PSQ SUPPORTING SCHOLARSHIPS AT WESTERN SYDNEY UNIVERSITY</w:t>
      </w:r>
    </w:p>
    <w:p>
      <w:pPr>
        <w:pStyle w:val="BodyText"/>
        <w:spacing w:line="249" w:lineRule="auto" w:before="79"/>
        <w:ind w:left="107" w:right="94"/>
      </w:pPr>
      <w:r>
        <w:rPr/>
        <w:t>The new Parramatta CBD campus is being built in the Parramatta Square development and is a focus for supplier and supporter activity. Leighton Properties pledged</w:t>
      </w:r>
    </w:p>
    <w:p>
      <w:pPr>
        <w:pStyle w:val="BodyText"/>
        <w:spacing w:line="249" w:lineRule="auto"/>
        <w:ind w:left="107" w:right="55"/>
      </w:pPr>
      <w:r>
        <w:rPr/>
        <w:t>$325,000 for scholarships and this year awarded the first five scholarships – three for students studying a Bachelor of Business (Property) and two for students studying a Bachelor of Construction Management.</w:t>
      </w:r>
    </w:p>
    <w:p>
      <w:pPr>
        <w:pStyle w:val="BodyText"/>
        <w:rPr>
          <w:sz w:val="14"/>
        </w:rPr>
      </w:pPr>
    </w:p>
    <w:p>
      <w:pPr>
        <w:pStyle w:val="BodyText"/>
        <w:spacing w:line="249" w:lineRule="auto"/>
        <w:ind w:left="107" w:right="177"/>
      </w:pPr>
      <w:r>
        <w:rPr/>
        <w:t>Charter</w:t>
      </w:r>
      <w:r>
        <w:rPr>
          <w:spacing w:val="-18"/>
        </w:rPr>
        <w:t> </w:t>
      </w:r>
      <w:r>
        <w:rPr/>
        <w:t>Hall,</w:t>
      </w:r>
      <w:r>
        <w:rPr>
          <w:spacing w:val="-18"/>
        </w:rPr>
        <w:t> </w:t>
      </w:r>
      <w:r>
        <w:rPr/>
        <w:t>which</w:t>
      </w:r>
      <w:r>
        <w:rPr>
          <w:spacing w:val="-18"/>
        </w:rPr>
        <w:t> </w:t>
      </w:r>
      <w:r>
        <w:rPr/>
        <w:t>is</w:t>
      </w:r>
      <w:r>
        <w:rPr>
          <w:spacing w:val="-18"/>
        </w:rPr>
        <w:t> </w:t>
      </w:r>
      <w:r>
        <w:rPr/>
        <w:t>financing</w:t>
      </w:r>
      <w:r>
        <w:rPr>
          <w:spacing w:val="-18"/>
        </w:rPr>
        <w:t> </w:t>
      </w:r>
      <w:r>
        <w:rPr/>
        <w:t>the</w:t>
      </w:r>
      <w:r>
        <w:rPr>
          <w:spacing w:val="-18"/>
        </w:rPr>
        <w:t> </w:t>
      </w:r>
      <w:r>
        <w:rPr/>
        <w:t>building and is already a prize donor to the School of</w:t>
      </w:r>
      <w:r>
        <w:rPr>
          <w:spacing w:val="-23"/>
        </w:rPr>
        <w:t> </w:t>
      </w:r>
      <w:r>
        <w:rPr>
          <w:spacing w:val="2"/>
        </w:rPr>
        <w:t>Business,</w:t>
      </w:r>
      <w:r>
        <w:rPr>
          <w:spacing w:val="-23"/>
        </w:rPr>
        <w:t> </w:t>
      </w:r>
      <w:r>
        <w:rPr/>
        <w:t>launched</w:t>
      </w:r>
      <w:r>
        <w:rPr>
          <w:spacing w:val="-23"/>
        </w:rPr>
        <w:t> </w:t>
      </w:r>
      <w:r>
        <w:rPr/>
        <w:t>the</w:t>
      </w:r>
      <w:r>
        <w:rPr>
          <w:spacing w:val="-23"/>
        </w:rPr>
        <w:t> </w:t>
      </w:r>
      <w:r>
        <w:rPr/>
        <w:t>Charter</w:t>
      </w:r>
      <w:r>
        <w:rPr>
          <w:spacing w:val="-23"/>
        </w:rPr>
        <w:t> </w:t>
      </w:r>
      <w:r>
        <w:rPr/>
        <w:t>Hall</w:t>
      </w:r>
    </w:p>
    <w:p>
      <w:pPr>
        <w:pStyle w:val="BodyText"/>
        <w:spacing w:line="249" w:lineRule="auto"/>
        <w:ind w:left="107" w:right="26"/>
      </w:pPr>
      <w:r>
        <w:rPr>
          <w:w w:val="97"/>
        </w:rPr>
        <w:t>Scholarship </w:t>
      </w:r>
      <w:r>
        <w:rPr>
          <w:w w:val="98"/>
        </w:rPr>
        <w:t>Program </w:t>
      </w:r>
      <w:r>
        <w:rPr>
          <w:w w:val="98"/>
        </w:rPr>
        <w:t>at </w:t>
      </w:r>
      <w:r>
        <w:rPr>
          <w:w w:val="97"/>
        </w:rPr>
        <w:t>the </w:t>
      </w:r>
      <w:r>
        <w:rPr>
          <w:w w:val="97"/>
        </w:rPr>
        <w:t>University </w:t>
      </w:r>
      <w:r>
        <w:rPr>
          <w:w w:val="95"/>
        </w:rPr>
        <w:t>in </w:t>
      </w:r>
      <w:r>
        <w:rPr>
          <w:w w:val="84"/>
        </w:rPr>
        <w:t>2015. </w:t>
      </w:r>
      <w:r>
        <w:rPr/>
        <w:t>One male and one female property student</w:t>
      </w:r>
    </w:p>
    <w:p>
      <w:pPr>
        <w:pStyle w:val="BodyText"/>
        <w:spacing w:line="249" w:lineRule="auto" w:before="72"/>
        <w:ind w:left="107" w:right="-3"/>
      </w:pPr>
      <w:r>
        <w:rPr/>
        <w:br w:type="column"/>
      </w:r>
      <w:r>
        <w:rPr/>
        <w:t>will</w:t>
      </w:r>
      <w:r>
        <w:rPr>
          <w:spacing w:val="-19"/>
        </w:rPr>
        <w:t> </w:t>
      </w:r>
      <w:r>
        <w:rPr/>
        <w:t>receive</w:t>
      </w:r>
      <w:r>
        <w:rPr>
          <w:spacing w:val="-19"/>
        </w:rPr>
        <w:t> </w:t>
      </w:r>
      <w:r>
        <w:rPr/>
        <w:t>a</w:t>
      </w:r>
      <w:r>
        <w:rPr>
          <w:spacing w:val="-19"/>
        </w:rPr>
        <w:t> </w:t>
      </w:r>
      <w:r>
        <w:rPr/>
        <w:t>scholarship</w:t>
      </w:r>
      <w:r>
        <w:rPr>
          <w:spacing w:val="-19"/>
        </w:rPr>
        <w:t> </w:t>
      </w:r>
      <w:r>
        <w:rPr/>
        <w:t>and</w:t>
      </w:r>
      <w:r>
        <w:rPr>
          <w:spacing w:val="-19"/>
        </w:rPr>
        <w:t> </w:t>
      </w:r>
      <w:r>
        <w:rPr/>
        <w:t>internship</w:t>
      </w:r>
      <w:r>
        <w:rPr>
          <w:spacing w:val="-19"/>
        </w:rPr>
        <w:t> </w:t>
      </w:r>
      <w:r>
        <w:rPr/>
        <w:t>that will</w:t>
      </w:r>
      <w:r>
        <w:rPr>
          <w:spacing w:val="-18"/>
        </w:rPr>
        <w:t> </w:t>
      </w:r>
      <w:r>
        <w:rPr/>
        <w:t>lead</w:t>
      </w:r>
      <w:r>
        <w:rPr>
          <w:spacing w:val="-18"/>
        </w:rPr>
        <w:t> </w:t>
      </w:r>
      <w:r>
        <w:rPr/>
        <w:t>to</w:t>
      </w:r>
      <w:r>
        <w:rPr>
          <w:spacing w:val="-18"/>
        </w:rPr>
        <w:t> </w:t>
      </w:r>
      <w:r>
        <w:rPr/>
        <w:t>full-time</w:t>
      </w:r>
      <w:r>
        <w:rPr>
          <w:spacing w:val="-18"/>
        </w:rPr>
        <w:t> </w:t>
      </w:r>
      <w:r>
        <w:rPr/>
        <w:t>employment.</w:t>
      </w:r>
    </w:p>
    <w:p>
      <w:pPr>
        <w:pStyle w:val="BodyText"/>
        <w:spacing w:before="7"/>
        <w:rPr>
          <w:sz w:val="21"/>
        </w:rPr>
      </w:pPr>
    </w:p>
    <w:p>
      <w:pPr>
        <w:pStyle w:val="Heading8"/>
        <w:spacing w:line="249" w:lineRule="auto"/>
        <w:ind w:right="177"/>
      </w:pPr>
      <w:r>
        <w:rPr>
          <w:w w:val="95"/>
        </w:rPr>
        <w:t>URBANGROWTH AND MASTER OF </w:t>
      </w:r>
      <w:r>
        <w:rPr/>
        <w:t>PHILOSOPHY</w:t>
      </w:r>
    </w:p>
    <w:p>
      <w:pPr>
        <w:pStyle w:val="BodyText"/>
        <w:spacing w:line="249" w:lineRule="auto" w:before="79"/>
        <w:ind w:left="107" w:right="74"/>
      </w:pPr>
      <w:r>
        <w:rPr/>
        <w:t>The</w:t>
      </w:r>
      <w:r>
        <w:rPr>
          <w:spacing w:val="-14"/>
        </w:rPr>
        <w:t> </w:t>
      </w:r>
      <w:r>
        <w:rPr/>
        <w:t>University</w:t>
      </w:r>
      <w:r>
        <w:rPr>
          <w:spacing w:val="-14"/>
        </w:rPr>
        <w:t> </w:t>
      </w:r>
      <w:r>
        <w:rPr/>
        <w:t>and</w:t>
      </w:r>
      <w:r>
        <w:rPr>
          <w:spacing w:val="-14"/>
        </w:rPr>
        <w:t> </w:t>
      </w:r>
      <w:r>
        <w:rPr/>
        <w:t>UrbanGrowth</w:t>
      </w:r>
      <w:r>
        <w:rPr>
          <w:spacing w:val="-14"/>
        </w:rPr>
        <w:t> </w:t>
      </w:r>
      <w:r>
        <w:rPr/>
        <w:t>NSW</w:t>
      </w:r>
      <w:r>
        <w:rPr>
          <w:spacing w:val="-14"/>
        </w:rPr>
        <w:t> </w:t>
      </w:r>
      <w:r>
        <w:rPr/>
        <w:t>share an</w:t>
      </w:r>
      <w:r>
        <w:rPr>
          <w:spacing w:val="-26"/>
        </w:rPr>
        <w:t> </w:t>
      </w:r>
      <w:r>
        <w:rPr/>
        <w:t>interest</w:t>
      </w:r>
      <w:r>
        <w:rPr>
          <w:spacing w:val="-26"/>
        </w:rPr>
        <w:t> </w:t>
      </w:r>
      <w:r>
        <w:rPr/>
        <w:t>in</w:t>
      </w:r>
      <w:r>
        <w:rPr>
          <w:spacing w:val="-26"/>
        </w:rPr>
        <w:t> </w:t>
      </w:r>
      <w:r>
        <w:rPr/>
        <w:t>urban</w:t>
      </w:r>
      <w:r>
        <w:rPr>
          <w:spacing w:val="-26"/>
        </w:rPr>
        <w:t> </w:t>
      </w:r>
      <w:r>
        <w:rPr/>
        <w:t>transformation.</w:t>
      </w:r>
      <w:r>
        <w:rPr>
          <w:spacing w:val="-26"/>
        </w:rPr>
        <w:t> </w:t>
      </w:r>
      <w:r>
        <w:rPr/>
        <w:t>This</w:t>
      </w:r>
      <w:r>
        <w:rPr>
          <w:spacing w:val="-26"/>
        </w:rPr>
        <w:t> </w:t>
      </w:r>
      <w:r>
        <w:rPr/>
        <w:t>year, UrbanGrowth funded Master of Philosophy scholarships</w:t>
      </w:r>
      <w:r>
        <w:rPr>
          <w:spacing w:val="-16"/>
        </w:rPr>
        <w:t> </w:t>
      </w:r>
      <w:r>
        <w:rPr/>
        <w:t>to</w:t>
      </w:r>
      <w:r>
        <w:rPr>
          <w:spacing w:val="-16"/>
        </w:rPr>
        <w:t> </w:t>
      </w:r>
      <w:r>
        <w:rPr/>
        <w:t>research</w:t>
      </w:r>
      <w:r>
        <w:rPr>
          <w:spacing w:val="-16"/>
        </w:rPr>
        <w:t> </w:t>
      </w:r>
      <w:r>
        <w:rPr/>
        <w:t>‘Valuing</w:t>
      </w:r>
      <w:r>
        <w:rPr>
          <w:spacing w:val="-16"/>
        </w:rPr>
        <w:t> </w:t>
      </w:r>
      <w:r>
        <w:rPr/>
        <w:t>Diversity</w:t>
      </w:r>
      <w:r>
        <w:rPr>
          <w:spacing w:val="-16"/>
        </w:rPr>
        <w:t> </w:t>
      </w:r>
      <w:r>
        <w:rPr/>
        <w:t>in Urban Renewal’ and ‘Rescaling Community Engagement</w:t>
      </w:r>
      <w:r>
        <w:rPr>
          <w:spacing w:val="-20"/>
        </w:rPr>
        <w:t> </w:t>
      </w:r>
      <w:r>
        <w:rPr/>
        <w:t>for</w:t>
      </w:r>
      <w:r>
        <w:rPr>
          <w:spacing w:val="-20"/>
        </w:rPr>
        <w:t> </w:t>
      </w:r>
      <w:r>
        <w:rPr/>
        <w:t>Major</w:t>
      </w:r>
      <w:r>
        <w:rPr>
          <w:spacing w:val="-20"/>
        </w:rPr>
        <w:t> </w:t>
      </w:r>
      <w:r>
        <w:rPr/>
        <w:t>Urban</w:t>
      </w:r>
      <w:r>
        <w:rPr>
          <w:spacing w:val="-20"/>
        </w:rPr>
        <w:t> </w:t>
      </w:r>
      <w:r>
        <w:rPr/>
        <w:t>Transformation Projects’.</w:t>
      </w:r>
    </w:p>
    <w:p>
      <w:pPr>
        <w:pStyle w:val="BodyText"/>
        <w:spacing w:before="7"/>
        <w:rPr>
          <w:sz w:val="21"/>
        </w:rPr>
      </w:pPr>
    </w:p>
    <w:p>
      <w:pPr>
        <w:pStyle w:val="Heading8"/>
        <w:spacing w:line="249" w:lineRule="auto"/>
        <w:ind w:right="177"/>
      </w:pPr>
      <w:r>
        <w:rPr>
          <w:w w:val="95"/>
        </w:rPr>
        <w:t>MARK GRUNDY OESOPHAGEAL CANCER AWARENESS GROUP INC</w:t>
      </w:r>
    </w:p>
    <w:p>
      <w:pPr>
        <w:pStyle w:val="BodyText"/>
        <w:spacing w:line="249" w:lineRule="auto" w:before="79"/>
        <w:ind w:left="107" w:right="168"/>
      </w:pPr>
      <w:r>
        <w:rPr/>
        <w:t>The Mark Grundy Oesophageal Cancer Awareness</w:t>
      </w:r>
      <w:r>
        <w:rPr>
          <w:spacing w:val="-20"/>
        </w:rPr>
        <w:t> </w:t>
      </w:r>
      <w:r>
        <w:rPr/>
        <w:t>Group</w:t>
      </w:r>
      <w:r>
        <w:rPr>
          <w:spacing w:val="-20"/>
        </w:rPr>
        <w:t> </w:t>
      </w:r>
      <w:r>
        <w:rPr/>
        <w:t>Inc,</w:t>
      </w:r>
      <w:r>
        <w:rPr>
          <w:spacing w:val="-20"/>
        </w:rPr>
        <w:t> </w:t>
      </w:r>
      <w:r>
        <w:rPr/>
        <w:t>a</w:t>
      </w:r>
      <w:r>
        <w:rPr>
          <w:spacing w:val="-20"/>
        </w:rPr>
        <w:t> </w:t>
      </w:r>
      <w:r>
        <w:rPr/>
        <w:t>not-for-profit</w:t>
      </w:r>
      <w:r>
        <w:rPr>
          <w:spacing w:val="-20"/>
        </w:rPr>
        <w:t> </w:t>
      </w:r>
      <w:r>
        <w:rPr/>
        <w:t>group based</w:t>
      </w:r>
      <w:r>
        <w:rPr>
          <w:spacing w:val="-12"/>
        </w:rPr>
        <w:t> </w:t>
      </w:r>
      <w:r>
        <w:rPr/>
        <w:t>in</w:t>
      </w:r>
      <w:r>
        <w:rPr>
          <w:spacing w:val="-12"/>
        </w:rPr>
        <w:t> </w:t>
      </w:r>
      <w:r>
        <w:rPr/>
        <w:t>Western</w:t>
      </w:r>
      <w:r>
        <w:rPr>
          <w:spacing w:val="-12"/>
        </w:rPr>
        <w:t> </w:t>
      </w:r>
      <w:r>
        <w:rPr/>
        <w:t>Sydney,</w:t>
      </w:r>
      <w:r>
        <w:rPr>
          <w:spacing w:val="-12"/>
        </w:rPr>
        <w:t> </w:t>
      </w:r>
      <w:r>
        <w:rPr/>
        <w:t>pledged</w:t>
      </w:r>
      <w:r>
        <w:rPr>
          <w:spacing w:val="-12"/>
        </w:rPr>
        <w:t> </w:t>
      </w:r>
      <w:r>
        <w:rPr/>
        <w:t>$39,000 to co-fund a three-year PhD in the School of Medicine to explore mechanisms in the gut</w:t>
      </w:r>
      <w:r>
        <w:rPr>
          <w:spacing w:val="-16"/>
        </w:rPr>
        <w:t> </w:t>
      </w:r>
      <w:r>
        <w:rPr/>
        <w:t>that</w:t>
      </w:r>
      <w:r>
        <w:rPr>
          <w:spacing w:val="-16"/>
        </w:rPr>
        <w:t> </w:t>
      </w:r>
      <w:r>
        <w:rPr/>
        <w:t>lead</w:t>
      </w:r>
      <w:r>
        <w:rPr>
          <w:spacing w:val="-16"/>
        </w:rPr>
        <w:t> </w:t>
      </w:r>
      <w:r>
        <w:rPr/>
        <w:t>to</w:t>
      </w:r>
      <w:r>
        <w:rPr>
          <w:spacing w:val="-16"/>
        </w:rPr>
        <w:t> </w:t>
      </w:r>
      <w:r>
        <w:rPr/>
        <w:t>oesophageal</w:t>
      </w:r>
      <w:r>
        <w:rPr>
          <w:spacing w:val="-16"/>
        </w:rPr>
        <w:t> </w:t>
      </w:r>
      <w:r>
        <w:rPr/>
        <w:t>cancer,</w:t>
      </w:r>
      <w:r>
        <w:rPr>
          <w:spacing w:val="-16"/>
        </w:rPr>
        <w:t> </w:t>
      </w:r>
      <w:r>
        <w:rPr/>
        <w:t>in</w:t>
      </w:r>
      <w:r>
        <w:rPr>
          <w:spacing w:val="-16"/>
        </w:rPr>
        <w:t> </w:t>
      </w:r>
      <w:r>
        <w:rPr/>
        <w:t>the hope of developing early diagnostic tools, prevention strategies and more effective treatments.</w:t>
      </w:r>
    </w:p>
    <w:p>
      <w:pPr>
        <w:pStyle w:val="BodyText"/>
        <w:spacing w:before="7"/>
        <w:rPr>
          <w:sz w:val="21"/>
        </w:rPr>
      </w:pPr>
    </w:p>
    <w:p>
      <w:pPr>
        <w:pStyle w:val="Heading8"/>
        <w:spacing w:line="249" w:lineRule="auto"/>
        <w:ind w:right="177"/>
      </w:pPr>
      <w:r>
        <w:rPr>
          <w:w w:val="95"/>
        </w:rPr>
        <w:t>APPEAL FOR HAWKESBURY CAMPUS SCHOLARSHIPS AND PRIZES</w:t>
      </w:r>
    </w:p>
    <w:p>
      <w:pPr>
        <w:pStyle w:val="BodyText"/>
        <w:spacing w:line="249" w:lineRule="auto" w:before="79"/>
        <w:ind w:left="107" w:right="47"/>
      </w:pPr>
      <w:r>
        <w:rPr/>
        <w:t>The Hawkesbury Alumni Chapter held a lunch at NSW Parliament House in July to raise funds for scholarships and prizes for the Hawkesbury campus. John B Fairfax, AO and George Bennett, a long-time friend of the Hawkesbury campus, donated $7,500. This support and other donations by the Hawkesbury Alumni Chapter have funded</w:t>
      </w:r>
    </w:p>
    <w:p>
      <w:pPr>
        <w:pStyle w:val="BodyText"/>
        <w:spacing w:line="249" w:lineRule="auto"/>
        <w:ind w:left="107" w:right="-6"/>
      </w:pPr>
      <w:r>
        <w:rPr/>
        <w:t>scholarships</w:t>
      </w:r>
      <w:r>
        <w:rPr>
          <w:spacing w:val="-17"/>
        </w:rPr>
        <w:t> </w:t>
      </w:r>
      <w:r>
        <w:rPr/>
        <w:t>for</w:t>
      </w:r>
      <w:r>
        <w:rPr>
          <w:spacing w:val="-17"/>
        </w:rPr>
        <w:t> </w:t>
      </w:r>
      <w:r>
        <w:rPr/>
        <w:t>nursing</w:t>
      </w:r>
      <w:r>
        <w:rPr>
          <w:spacing w:val="-17"/>
        </w:rPr>
        <w:t> </w:t>
      </w:r>
      <w:r>
        <w:rPr/>
        <w:t>and</w:t>
      </w:r>
      <w:r>
        <w:rPr>
          <w:spacing w:val="-17"/>
        </w:rPr>
        <w:t> </w:t>
      </w:r>
      <w:r>
        <w:rPr/>
        <w:t>agriculture</w:t>
      </w:r>
      <w:r>
        <w:rPr>
          <w:spacing w:val="-17"/>
        </w:rPr>
        <w:t> </w:t>
      </w:r>
      <w:r>
        <w:rPr/>
        <w:t>at</w:t>
      </w:r>
      <w:r>
        <w:rPr>
          <w:spacing w:val="-17"/>
        </w:rPr>
        <w:t> </w:t>
      </w:r>
      <w:r>
        <w:rPr/>
        <w:t>the Hawkesbury</w:t>
      </w:r>
      <w:r>
        <w:rPr>
          <w:spacing w:val="-19"/>
        </w:rPr>
        <w:t> </w:t>
      </w:r>
      <w:r>
        <w:rPr>
          <w:spacing w:val="2"/>
        </w:rPr>
        <w:t>campus,</w:t>
      </w:r>
      <w:r>
        <w:rPr>
          <w:spacing w:val="-19"/>
        </w:rPr>
        <w:t> </w:t>
      </w:r>
      <w:r>
        <w:rPr/>
        <w:t>which</w:t>
      </w:r>
      <w:r>
        <w:rPr>
          <w:spacing w:val="-19"/>
        </w:rPr>
        <w:t> </w:t>
      </w:r>
      <w:r>
        <w:rPr/>
        <w:t>will</w:t>
      </w:r>
      <w:r>
        <w:rPr>
          <w:spacing w:val="-19"/>
        </w:rPr>
        <w:t> </w:t>
      </w:r>
      <w:r>
        <w:rPr/>
        <w:t>be</w:t>
      </w:r>
      <w:r>
        <w:rPr>
          <w:spacing w:val="-19"/>
        </w:rPr>
        <w:t> </w:t>
      </w:r>
      <w:r>
        <w:rPr/>
        <w:t>awarded</w:t>
      </w:r>
      <w:r>
        <w:rPr>
          <w:spacing w:val="-19"/>
        </w:rPr>
        <w:t> </w:t>
      </w:r>
      <w:r>
        <w:rPr/>
        <w:t>in </w:t>
      </w:r>
      <w:r>
        <w:rPr>
          <w:spacing w:val="2"/>
          <w:w w:val="85"/>
        </w:rPr>
        <w:t>2016.</w:t>
      </w:r>
      <w:r>
        <w:rPr>
          <w:w w:val="85"/>
        </w:rPr>
        <w:t> </w:t>
      </w:r>
      <w:r>
        <w:rPr>
          <w:spacing w:val="1"/>
          <w:w w:val="94"/>
        </w:rPr>
        <w:t>The</w:t>
      </w:r>
      <w:r>
        <w:rPr>
          <w:w w:val="94"/>
        </w:rPr>
        <w:t> </w:t>
      </w:r>
      <w:r>
        <w:rPr>
          <w:spacing w:val="1"/>
          <w:w w:val="97"/>
        </w:rPr>
        <w:t>appeal</w:t>
      </w:r>
      <w:r>
        <w:rPr>
          <w:w w:val="97"/>
        </w:rPr>
        <w:t> </w:t>
      </w:r>
      <w:r>
        <w:rPr>
          <w:spacing w:val="1"/>
          <w:w w:val="96"/>
        </w:rPr>
        <w:t>also</w:t>
      </w:r>
      <w:r>
        <w:rPr>
          <w:w w:val="96"/>
        </w:rPr>
        <w:t> </w:t>
      </w:r>
      <w:r>
        <w:rPr>
          <w:spacing w:val="1"/>
          <w:w w:val="98"/>
        </w:rPr>
        <w:t>funded</w:t>
      </w:r>
      <w:r>
        <w:rPr>
          <w:w w:val="98"/>
        </w:rPr>
        <w:t> </w:t>
      </w:r>
      <w:r>
        <w:rPr>
          <w:w w:val="94"/>
        </w:rPr>
        <w:t>a </w:t>
      </w:r>
      <w:r>
        <w:rPr>
          <w:spacing w:val="1"/>
          <w:w w:val="98"/>
        </w:rPr>
        <w:t>postgraduate</w:t>
      </w:r>
      <w:r>
        <w:rPr>
          <w:w w:val="98"/>
        </w:rPr>
        <w:t> </w:t>
      </w:r>
      <w:r>
        <w:rPr/>
        <w:t>prize for the Hawkesbury Institute for the Environment, which was awarded to Danielle Creek for her project ‘Living with Drought: Adaptive Responses of Eucalyptus Species to Water</w:t>
      </w:r>
      <w:r>
        <w:rPr>
          <w:spacing w:val="-32"/>
        </w:rPr>
        <w:t> </w:t>
      </w:r>
      <w:r>
        <w:rPr/>
        <w:t>Deficit’.</w:t>
      </w:r>
    </w:p>
    <w:p>
      <w:pPr>
        <w:pStyle w:val="BodyText"/>
        <w:spacing w:before="7"/>
        <w:rPr>
          <w:sz w:val="21"/>
        </w:rPr>
      </w:pPr>
    </w:p>
    <w:p>
      <w:pPr>
        <w:pStyle w:val="Heading8"/>
        <w:spacing w:line="249" w:lineRule="auto"/>
        <w:ind w:right="561"/>
      </w:pPr>
      <w:r>
        <w:rPr/>
        <w:t>MACQUARIE TELECOM AND CYBER SECURITY</w:t>
      </w:r>
    </w:p>
    <w:p>
      <w:pPr>
        <w:pStyle w:val="BodyText"/>
        <w:spacing w:line="249" w:lineRule="auto" w:before="79"/>
        <w:ind w:left="107" w:right="-3"/>
      </w:pPr>
      <w:r>
        <w:rPr/>
        <w:t>Macquarie Telecom has funded two scholarships</w:t>
      </w:r>
      <w:r>
        <w:rPr>
          <w:spacing w:val="-15"/>
        </w:rPr>
        <w:t> </w:t>
      </w:r>
      <w:r>
        <w:rPr/>
        <w:t>in</w:t>
      </w:r>
      <w:r>
        <w:rPr>
          <w:spacing w:val="-15"/>
        </w:rPr>
        <w:t> </w:t>
      </w:r>
      <w:r>
        <w:rPr/>
        <w:t>cyber</w:t>
      </w:r>
      <w:r>
        <w:rPr>
          <w:spacing w:val="-15"/>
        </w:rPr>
        <w:t> </w:t>
      </w:r>
      <w:r>
        <w:rPr/>
        <w:t>security</w:t>
      </w:r>
      <w:r>
        <w:rPr>
          <w:spacing w:val="-15"/>
        </w:rPr>
        <w:t> </w:t>
      </w:r>
      <w:r>
        <w:rPr/>
        <w:t>to</w:t>
      </w:r>
      <w:r>
        <w:rPr>
          <w:spacing w:val="-15"/>
        </w:rPr>
        <w:t> </w:t>
      </w:r>
      <w:r>
        <w:rPr/>
        <w:t>improve</w:t>
      </w:r>
      <w:r>
        <w:rPr>
          <w:spacing w:val="-15"/>
        </w:rPr>
        <w:t> </w:t>
      </w:r>
      <w:r>
        <w:rPr/>
        <w:t>skills in the industry and to support the Australian Government’s Cyber Security Strategy. The </w:t>
      </w:r>
      <w:r>
        <w:rPr>
          <w:spacing w:val="1"/>
          <w:w w:val="94"/>
        </w:rPr>
        <w:t>scholarships,</w:t>
      </w:r>
      <w:r>
        <w:rPr>
          <w:w w:val="94"/>
        </w:rPr>
        <w:t> </w:t>
      </w:r>
      <w:r>
        <w:rPr>
          <w:w w:val="98"/>
        </w:rPr>
        <w:t>which </w:t>
      </w:r>
      <w:r>
        <w:rPr>
          <w:w w:val="97"/>
        </w:rPr>
        <w:t>will </w:t>
      </w:r>
      <w:r>
        <w:rPr>
          <w:spacing w:val="1"/>
          <w:w w:val="98"/>
        </w:rPr>
        <w:t>begin</w:t>
      </w:r>
      <w:r>
        <w:rPr>
          <w:w w:val="98"/>
        </w:rPr>
        <w:t> </w:t>
      </w:r>
      <w:r>
        <w:rPr>
          <w:w w:val="95"/>
        </w:rPr>
        <w:t>in </w:t>
      </w:r>
      <w:r>
        <w:rPr>
          <w:spacing w:val="2"/>
          <w:w w:val="85"/>
        </w:rPr>
        <w:t>2016,</w:t>
      </w:r>
      <w:r>
        <w:rPr>
          <w:spacing w:val="-19"/>
          <w:w w:val="85"/>
        </w:rPr>
        <w:t> </w:t>
      </w:r>
      <w:r>
        <w:rPr>
          <w:w w:val="96"/>
        </w:rPr>
        <w:t>aim</w:t>
      </w:r>
    </w:p>
    <w:p>
      <w:pPr>
        <w:pStyle w:val="BodyText"/>
        <w:spacing w:line="249" w:lineRule="auto" w:before="72"/>
        <w:ind w:left="107" w:right="480"/>
      </w:pPr>
      <w:r>
        <w:rPr/>
        <w:br w:type="column"/>
      </w:r>
      <w:r>
        <w:rPr/>
        <w:t>to encourage female participation in the industry.</w:t>
      </w:r>
    </w:p>
    <w:p>
      <w:pPr>
        <w:pStyle w:val="BodyText"/>
        <w:spacing w:before="7"/>
        <w:rPr>
          <w:sz w:val="21"/>
        </w:rPr>
      </w:pPr>
    </w:p>
    <w:p>
      <w:pPr>
        <w:pStyle w:val="Heading8"/>
        <w:ind w:right="287"/>
      </w:pPr>
      <w:r>
        <w:rPr>
          <w:w w:val="95"/>
        </w:rPr>
        <w:t>SIDNEY MYER CREATIVE FELLOWSHIP</w:t>
      </w:r>
    </w:p>
    <w:p>
      <w:pPr>
        <w:pStyle w:val="BodyText"/>
        <w:spacing w:line="249" w:lineRule="auto" w:before="86"/>
        <w:ind w:left="107" w:right="237"/>
      </w:pPr>
      <w:r>
        <w:rPr/>
        <w:t>Alexis Wright, Research Fellow at the University’s Writing and Society Research </w:t>
      </w:r>
      <w:r>
        <w:rPr>
          <w:w w:val="93"/>
        </w:rPr>
        <w:t>Centre, </w:t>
      </w:r>
      <w:r>
        <w:rPr>
          <w:w w:val="96"/>
        </w:rPr>
        <w:t>was </w:t>
      </w:r>
      <w:r>
        <w:rPr>
          <w:w w:val="98"/>
        </w:rPr>
        <w:t>awarded </w:t>
      </w:r>
      <w:r>
        <w:rPr>
          <w:w w:val="94"/>
        </w:rPr>
        <w:t>a </w:t>
      </w:r>
      <w:r>
        <w:rPr>
          <w:w w:val="97"/>
        </w:rPr>
        <w:t>prestigious </w:t>
      </w:r>
      <w:r>
        <w:rPr>
          <w:w w:val="96"/>
        </w:rPr>
        <w:t>$160,000 </w:t>
      </w:r>
      <w:r>
        <w:rPr/>
        <w:t>two-year Sidney Myer Creative Fellowship following the University’s nomination and support from the Office.</w:t>
      </w:r>
    </w:p>
    <w:p>
      <w:pPr>
        <w:pStyle w:val="BodyText"/>
        <w:spacing w:before="7"/>
        <w:rPr>
          <w:sz w:val="21"/>
        </w:rPr>
      </w:pPr>
    </w:p>
    <w:p>
      <w:pPr>
        <w:pStyle w:val="Heading8"/>
        <w:ind w:right="287"/>
      </w:pPr>
      <w:r>
        <w:rPr>
          <w:w w:val="95"/>
        </w:rPr>
        <w:t>CENTENARY OF ANZAC GRANT</w:t>
      </w:r>
    </w:p>
    <w:p>
      <w:pPr>
        <w:pStyle w:val="BodyText"/>
        <w:spacing w:line="249" w:lineRule="auto" w:before="86"/>
        <w:ind w:left="107" w:right="445"/>
      </w:pPr>
      <w:r>
        <w:rPr/>
        <w:t>The</w:t>
      </w:r>
      <w:r>
        <w:rPr>
          <w:spacing w:val="-16"/>
        </w:rPr>
        <w:t> </w:t>
      </w:r>
      <w:r>
        <w:rPr/>
        <w:t>Department</w:t>
      </w:r>
      <w:r>
        <w:rPr>
          <w:spacing w:val="-16"/>
        </w:rPr>
        <w:t> </w:t>
      </w:r>
      <w:r>
        <w:rPr/>
        <w:t>of</w:t>
      </w:r>
      <w:r>
        <w:rPr>
          <w:spacing w:val="-16"/>
        </w:rPr>
        <w:t> </w:t>
      </w:r>
      <w:r>
        <w:rPr/>
        <w:t>Veterans</w:t>
      </w:r>
      <w:r>
        <w:rPr>
          <w:spacing w:val="-16"/>
        </w:rPr>
        <w:t> </w:t>
      </w:r>
      <w:r>
        <w:rPr/>
        <w:t>Affairs</w:t>
      </w:r>
      <w:r>
        <w:rPr>
          <w:spacing w:val="-16"/>
        </w:rPr>
        <w:t> </w:t>
      </w:r>
      <w:r>
        <w:rPr/>
        <w:t>gave a</w:t>
      </w:r>
      <w:r>
        <w:rPr>
          <w:spacing w:val="-13"/>
        </w:rPr>
        <w:t> </w:t>
      </w:r>
      <w:r>
        <w:rPr>
          <w:spacing w:val="2"/>
        </w:rPr>
        <w:t>$90,000</w:t>
      </w:r>
      <w:r>
        <w:rPr>
          <w:spacing w:val="-13"/>
        </w:rPr>
        <w:t> </w:t>
      </w:r>
      <w:r>
        <w:rPr/>
        <w:t>grant</w:t>
      </w:r>
      <w:r>
        <w:rPr>
          <w:spacing w:val="-13"/>
        </w:rPr>
        <w:t> </w:t>
      </w:r>
      <w:r>
        <w:rPr/>
        <w:t>from</w:t>
      </w:r>
      <w:r>
        <w:rPr>
          <w:spacing w:val="-13"/>
        </w:rPr>
        <w:t> </w:t>
      </w:r>
      <w:r>
        <w:rPr/>
        <w:t>their</w:t>
      </w:r>
      <w:r>
        <w:rPr>
          <w:spacing w:val="-13"/>
        </w:rPr>
        <w:t> </w:t>
      </w:r>
      <w:r>
        <w:rPr/>
        <w:t>Saluting</w:t>
      </w:r>
      <w:r>
        <w:rPr>
          <w:spacing w:val="-13"/>
        </w:rPr>
        <w:t> </w:t>
      </w:r>
      <w:r>
        <w:rPr/>
        <w:t>Their</w:t>
      </w:r>
    </w:p>
    <w:p>
      <w:pPr>
        <w:pStyle w:val="BodyText"/>
        <w:spacing w:line="249" w:lineRule="auto"/>
        <w:ind w:left="107" w:right="45"/>
      </w:pPr>
      <w:r>
        <w:rPr/>
        <w:t>Service Commemorative Grants Programme (Major Commemorative Grants) for an ANZAC centenary project developed jointly by the Office and the University’s Office of Aboriginal and Torres Strait Islander Employment and Engagement (OATSIEE). OATSIEE will run the project, ‘Sharing the Spirit of the ANZACS</w:t>
      </w:r>
    </w:p>
    <w:p>
      <w:pPr>
        <w:pStyle w:val="BodyText"/>
        <w:spacing w:line="249" w:lineRule="auto"/>
        <w:ind w:left="107" w:right="113"/>
      </w:pPr>
      <w:r>
        <w:rPr/>
        <w:t>– Celebrating Australia’s Aboriginal Military History’, and produce a documentary and website about the involvement of Indigenous Australians in Australia’s wartime history.</w:t>
      </w:r>
    </w:p>
    <w:p>
      <w:pPr>
        <w:pStyle w:val="BodyText"/>
        <w:spacing w:before="7"/>
        <w:rPr>
          <w:sz w:val="21"/>
        </w:rPr>
      </w:pPr>
    </w:p>
    <w:p>
      <w:pPr>
        <w:pStyle w:val="Heading8"/>
        <w:ind w:right="287"/>
      </w:pPr>
      <w:r>
        <w:rPr>
          <w:w w:val="95"/>
        </w:rPr>
        <w:t>VINCENT FAIRFAX FAMILY FOUNDATION</w:t>
      </w:r>
    </w:p>
    <w:p>
      <w:pPr>
        <w:pStyle w:val="BodyText"/>
        <w:spacing w:line="249" w:lineRule="auto" w:before="86"/>
        <w:ind w:left="107" w:right="54"/>
      </w:pPr>
      <w:r>
        <w:rPr/>
        <w:t>The Vincent Fairfax Family Foundation is a long-time supporter of the University through its endowment of the Chair in Sustainable Agriculture at the Hawkesbury campus. This year, the foundation also donated $50,000 for student internships and a project to establish the first Australian university chapter of the Youth Food Movement. To celebrate the launch of this chapter, University agriculture students conceived and delivered a ‘One</w:t>
      </w:r>
    </w:p>
    <w:p>
      <w:pPr>
        <w:pStyle w:val="BodyText"/>
        <w:spacing w:line="249" w:lineRule="auto"/>
        <w:ind w:left="107" w:right="121"/>
      </w:pPr>
      <w:r>
        <w:rPr/>
        <w:t>Mile’ dinner for 40 community guests at the Hawkesbury campus. ABC celebrity gardener Costa Georgiadis delivered a motivational speech promoting sustainable food production.</w:t>
      </w:r>
    </w:p>
    <w:p>
      <w:pPr>
        <w:pStyle w:val="BodyText"/>
        <w:spacing w:before="7"/>
        <w:rPr>
          <w:sz w:val="21"/>
        </w:rPr>
      </w:pPr>
    </w:p>
    <w:p>
      <w:pPr>
        <w:pStyle w:val="Heading8"/>
        <w:spacing w:line="249" w:lineRule="auto"/>
        <w:ind w:right="287"/>
      </w:pPr>
      <w:r>
        <w:rPr>
          <w:w w:val="95"/>
        </w:rPr>
        <w:t>ORDER OF AUSTRALIA ASSOCIATION </w:t>
      </w:r>
      <w:r>
        <w:rPr/>
        <w:t>FOUNDATION</w:t>
      </w:r>
    </w:p>
    <w:p>
      <w:pPr>
        <w:pStyle w:val="BodyText"/>
        <w:spacing w:line="249" w:lineRule="auto" w:before="79"/>
        <w:ind w:left="107" w:right="121"/>
      </w:pPr>
      <w:r>
        <w:rPr/>
        <w:t>For the first time, the Order of Australia Association Foundation funded a prestigious</w:t>
      </w:r>
    </w:p>
    <w:p>
      <w:pPr>
        <w:pStyle w:val="BodyText"/>
        <w:spacing w:line="249" w:lineRule="auto"/>
        <w:ind w:left="107" w:right="59"/>
      </w:pPr>
      <w:r>
        <w:rPr/>
        <w:t>$40,000 scholarship for a top Bachelor of Business student. Scholarship interviews were </w:t>
      </w:r>
      <w:r>
        <w:rPr>
          <w:w w:val="99"/>
        </w:rPr>
        <w:t>conducted </w:t>
      </w:r>
      <w:r>
        <w:rPr>
          <w:w w:val="95"/>
        </w:rPr>
        <w:t>in </w:t>
      </w:r>
      <w:r>
        <w:rPr>
          <w:w w:val="97"/>
        </w:rPr>
        <w:t>late </w:t>
      </w:r>
      <w:r>
        <w:rPr>
          <w:w w:val="88"/>
        </w:rPr>
        <w:t>2015 </w:t>
      </w:r>
      <w:r>
        <w:rPr>
          <w:w w:val="97"/>
        </w:rPr>
        <w:t>and </w:t>
      </w:r>
      <w:r>
        <w:rPr>
          <w:w w:val="97"/>
        </w:rPr>
        <w:t>the </w:t>
      </w:r>
      <w:r>
        <w:rPr>
          <w:w w:val="97"/>
        </w:rPr>
        <w:t>foundation’s </w:t>
      </w:r>
      <w:r>
        <w:rPr/>
        <w:t>National Selection Committee made the</w:t>
      </w:r>
    </w:p>
    <w:p>
      <w:pPr>
        <w:spacing w:after="0" w:line="249" w:lineRule="auto"/>
        <w:sectPr>
          <w:type w:val="continuous"/>
          <w:pgSz w:w="11910" w:h="16840"/>
          <w:pgMar w:top="1580" w:bottom="280" w:left="800" w:right="800"/>
          <w:cols w:num="3" w:equalWidth="0">
            <w:col w:w="3312" w:space="127"/>
            <w:col w:w="3312" w:space="127"/>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pPr>
      <w:r>
        <w:rPr/>
        <w:t>final selection. The scholarship, which will </w:t>
      </w:r>
      <w:r>
        <w:rPr>
          <w:w w:val="98"/>
        </w:rPr>
        <w:t>begin </w:t>
      </w:r>
      <w:r>
        <w:rPr>
          <w:w w:val="95"/>
        </w:rPr>
        <w:t>in </w:t>
      </w:r>
      <w:r>
        <w:rPr>
          <w:w w:val="85"/>
        </w:rPr>
        <w:t>2016, </w:t>
      </w:r>
      <w:r>
        <w:rPr>
          <w:w w:val="97"/>
        </w:rPr>
        <w:t>will </w:t>
      </w:r>
      <w:r>
        <w:rPr>
          <w:w w:val="99"/>
        </w:rPr>
        <w:t>be </w:t>
      </w:r>
      <w:r>
        <w:rPr>
          <w:w w:val="98"/>
        </w:rPr>
        <w:t>officially </w:t>
      </w:r>
      <w:r>
        <w:rPr>
          <w:w w:val="97"/>
        </w:rPr>
        <w:t>presented </w:t>
      </w:r>
      <w:r>
        <w:rPr>
          <w:w w:val="98"/>
        </w:rPr>
        <w:t>at </w:t>
      </w:r>
      <w:r>
        <w:rPr>
          <w:w w:val="94"/>
        </w:rPr>
        <w:t>a </w:t>
      </w:r>
      <w:r>
        <w:rPr>
          <w:w w:val="97"/>
        </w:rPr>
        <w:t>prestigious </w:t>
      </w:r>
      <w:r>
        <w:rPr>
          <w:w w:val="97"/>
        </w:rPr>
        <w:t>awards </w:t>
      </w:r>
      <w:r>
        <w:rPr>
          <w:w w:val="98"/>
        </w:rPr>
        <w:t>function </w:t>
      </w:r>
      <w:r>
        <w:rPr>
          <w:w w:val="95"/>
        </w:rPr>
        <w:t>in </w:t>
      </w:r>
      <w:r>
        <w:rPr>
          <w:w w:val="97"/>
        </w:rPr>
        <w:t>March </w:t>
      </w:r>
      <w:r>
        <w:rPr>
          <w:w w:val="85"/>
        </w:rPr>
        <w:t>2016.</w:t>
      </w:r>
    </w:p>
    <w:p>
      <w:pPr>
        <w:pStyle w:val="BodyText"/>
        <w:spacing w:before="7"/>
        <w:rPr>
          <w:sz w:val="21"/>
        </w:rPr>
      </w:pPr>
    </w:p>
    <w:p>
      <w:pPr>
        <w:pStyle w:val="Heading8"/>
        <w:spacing w:line="249" w:lineRule="auto"/>
      </w:pPr>
      <w:r>
        <w:rPr>
          <w:w w:val="95"/>
        </w:rPr>
        <w:t>COMMUNITY CRICKET DAY WITH BRIAN </w:t>
      </w:r>
      <w:r>
        <w:rPr/>
        <w:t>LARA</w:t>
      </w:r>
    </w:p>
    <w:p>
      <w:pPr>
        <w:pStyle w:val="BodyText"/>
        <w:spacing w:line="249" w:lineRule="auto" w:before="79"/>
        <w:ind w:left="107"/>
      </w:pPr>
      <w:r>
        <w:rPr/>
        <w:t>In April, The Office held a University Community Cricket Day featuring cricketing great, Brian </w:t>
      </w:r>
      <w:r>
        <w:rPr>
          <w:spacing w:val="2"/>
        </w:rPr>
        <w:t>Lara, </w:t>
      </w:r>
      <w:r>
        <w:rPr/>
        <w:t>who batted for both the student and staff teams, signed University merchandise,</w:t>
      </w:r>
      <w:r>
        <w:rPr>
          <w:spacing w:val="-18"/>
        </w:rPr>
        <w:t> </w:t>
      </w:r>
      <w:r>
        <w:rPr/>
        <w:t>and</w:t>
      </w:r>
      <w:r>
        <w:rPr>
          <w:spacing w:val="-18"/>
        </w:rPr>
        <w:t> </w:t>
      </w:r>
      <w:r>
        <w:rPr/>
        <w:t>mixed</w:t>
      </w:r>
      <w:r>
        <w:rPr>
          <w:spacing w:val="-18"/>
        </w:rPr>
        <w:t> </w:t>
      </w:r>
      <w:r>
        <w:rPr/>
        <w:t>with</w:t>
      </w:r>
      <w:r>
        <w:rPr>
          <w:spacing w:val="-18"/>
        </w:rPr>
        <w:t> </w:t>
      </w:r>
      <w:r>
        <w:rPr/>
        <w:t>the</w:t>
      </w:r>
      <w:r>
        <w:rPr>
          <w:spacing w:val="-18"/>
        </w:rPr>
        <w:t> </w:t>
      </w:r>
      <w:r>
        <w:rPr/>
        <w:t>participants </w:t>
      </w:r>
      <w:r>
        <w:rPr>
          <w:spacing w:val="1"/>
          <w:w w:val="97"/>
        </w:rPr>
        <w:t>and</w:t>
      </w:r>
      <w:r>
        <w:rPr>
          <w:w w:val="97"/>
        </w:rPr>
        <w:t> </w:t>
      </w:r>
      <w:r>
        <w:rPr>
          <w:spacing w:val="1"/>
          <w:w w:val="95"/>
        </w:rPr>
        <w:t>spectators.</w:t>
      </w:r>
      <w:r>
        <w:rPr>
          <w:w w:val="95"/>
        </w:rPr>
        <w:t> </w:t>
      </w:r>
      <w:r>
        <w:rPr>
          <w:spacing w:val="1"/>
          <w:w w:val="97"/>
        </w:rPr>
        <w:t>More</w:t>
      </w:r>
      <w:r>
        <w:rPr>
          <w:w w:val="97"/>
        </w:rPr>
        <w:t> </w:t>
      </w:r>
      <w:r>
        <w:rPr>
          <w:spacing w:val="1"/>
          <w:w w:val="97"/>
        </w:rPr>
        <w:t>than</w:t>
      </w:r>
      <w:r>
        <w:rPr>
          <w:w w:val="97"/>
        </w:rPr>
        <w:t> </w:t>
      </w:r>
      <w:r>
        <w:rPr>
          <w:spacing w:val="2"/>
          <w:w w:val="91"/>
        </w:rPr>
        <w:t>1,000</w:t>
      </w:r>
      <w:r>
        <w:rPr>
          <w:w w:val="91"/>
        </w:rPr>
        <w:t> </w:t>
      </w:r>
      <w:r>
        <w:rPr>
          <w:spacing w:val="1"/>
          <w:w w:val="94"/>
        </w:rPr>
        <w:t>people,</w:t>
      </w:r>
      <w:r>
        <w:rPr>
          <w:w w:val="94"/>
        </w:rPr>
        <w:t> </w:t>
      </w:r>
      <w:r>
        <w:rPr/>
        <w:t>including alumni, University students and staff, Western Sydney primary school students, donors, friends, University charity </w:t>
      </w:r>
      <w:r>
        <w:rPr>
          <w:spacing w:val="2"/>
        </w:rPr>
        <w:t>partners, </w:t>
      </w:r>
      <w:r>
        <w:rPr/>
        <w:t>and local police, ambulance and Lions</w:t>
      </w:r>
      <w:r>
        <w:rPr>
          <w:spacing w:val="-16"/>
        </w:rPr>
        <w:t> </w:t>
      </w:r>
      <w:r>
        <w:rPr/>
        <w:t>Club</w:t>
      </w:r>
      <w:r>
        <w:rPr>
          <w:spacing w:val="-16"/>
        </w:rPr>
        <w:t> </w:t>
      </w:r>
      <w:r>
        <w:rPr/>
        <w:t>members</w:t>
      </w:r>
      <w:r>
        <w:rPr>
          <w:spacing w:val="-16"/>
        </w:rPr>
        <w:t> </w:t>
      </w:r>
      <w:r>
        <w:rPr/>
        <w:t>attended.</w:t>
      </w:r>
    </w:p>
    <w:p>
      <w:pPr>
        <w:pStyle w:val="BodyText"/>
        <w:spacing w:before="7"/>
        <w:rPr>
          <w:sz w:val="21"/>
        </w:rPr>
      </w:pPr>
    </w:p>
    <w:p>
      <w:pPr>
        <w:pStyle w:val="Heading8"/>
      </w:pPr>
      <w:r>
        <w:rPr>
          <w:w w:val="95"/>
        </w:rPr>
        <w:t>REFUGEE SCHOLARSHIP CAMPAIGN</w:t>
      </w:r>
    </w:p>
    <w:p>
      <w:pPr>
        <w:pStyle w:val="BodyText"/>
        <w:spacing w:line="249" w:lineRule="auto" w:before="86"/>
        <w:ind w:left="107" w:right="28"/>
      </w:pPr>
      <w:r>
        <w:rPr/>
        <w:t>The University launched the Refugee </w:t>
      </w:r>
      <w:r>
        <w:rPr>
          <w:spacing w:val="1"/>
          <w:w w:val="97"/>
        </w:rPr>
        <w:t>Scholarship</w:t>
      </w:r>
      <w:r>
        <w:rPr>
          <w:w w:val="97"/>
        </w:rPr>
        <w:t> </w:t>
      </w:r>
      <w:r>
        <w:rPr>
          <w:spacing w:val="1"/>
          <w:w w:val="98"/>
        </w:rPr>
        <w:t>Campaign</w:t>
      </w:r>
      <w:r>
        <w:rPr>
          <w:w w:val="98"/>
        </w:rPr>
        <w:t> </w:t>
      </w:r>
      <w:r>
        <w:rPr>
          <w:w w:val="95"/>
        </w:rPr>
        <w:t>in </w:t>
      </w:r>
      <w:r>
        <w:rPr>
          <w:spacing w:val="1"/>
          <w:w w:val="84"/>
        </w:rPr>
        <w:t>2015,</w:t>
      </w:r>
      <w:r>
        <w:rPr>
          <w:w w:val="84"/>
        </w:rPr>
        <w:t> </w:t>
      </w:r>
      <w:r>
        <w:rPr>
          <w:spacing w:val="1"/>
          <w:w w:val="97"/>
        </w:rPr>
        <w:t>establishing</w:t>
      </w:r>
      <w:r>
        <w:rPr>
          <w:w w:val="97"/>
        </w:rPr>
        <w:t> </w:t>
      </w:r>
      <w:r>
        <w:rPr/>
        <w:t>the</w:t>
      </w:r>
      <w:r>
        <w:rPr>
          <w:spacing w:val="-11"/>
        </w:rPr>
        <w:t> </w:t>
      </w:r>
      <w:r>
        <w:rPr/>
        <w:t>fund</w:t>
      </w:r>
      <w:r>
        <w:rPr>
          <w:spacing w:val="-11"/>
        </w:rPr>
        <w:t> </w:t>
      </w:r>
      <w:r>
        <w:rPr/>
        <w:t>with</w:t>
      </w:r>
      <w:r>
        <w:rPr>
          <w:spacing w:val="-11"/>
        </w:rPr>
        <w:t> </w:t>
      </w:r>
      <w:r>
        <w:rPr/>
        <w:t>a</w:t>
      </w:r>
      <w:r>
        <w:rPr>
          <w:spacing w:val="-11"/>
        </w:rPr>
        <w:t> </w:t>
      </w:r>
      <w:r>
        <w:rPr>
          <w:spacing w:val="2"/>
        </w:rPr>
        <w:t>$500,000</w:t>
      </w:r>
      <w:r>
        <w:rPr>
          <w:spacing w:val="-11"/>
        </w:rPr>
        <w:t> </w:t>
      </w:r>
      <w:r>
        <w:rPr/>
        <w:t>contribution,</w:t>
      </w:r>
      <w:r>
        <w:rPr>
          <w:spacing w:val="-11"/>
        </w:rPr>
        <w:t> </w:t>
      </w:r>
      <w:r>
        <w:rPr/>
        <w:t>which community</w:t>
      </w:r>
      <w:r>
        <w:rPr>
          <w:spacing w:val="-15"/>
        </w:rPr>
        <w:t> </w:t>
      </w:r>
      <w:r>
        <w:rPr/>
        <w:t>and</w:t>
      </w:r>
      <w:r>
        <w:rPr>
          <w:spacing w:val="-15"/>
        </w:rPr>
        <w:t> </w:t>
      </w:r>
      <w:r>
        <w:rPr/>
        <w:t>staff</w:t>
      </w:r>
      <w:r>
        <w:rPr>
          <w:spacing w:val="-15"/>
        </w:rPr>
        <w:t> </w:t>
      </w:r>
      <w:r>
        <w:rPr/>
        <w:t>then</w:t>
      </w:r>
      <w:r>
        <w:rPr>
          <w:spacing w:val="-15"/>
        </w:rPr>
        <w:t> </w:t>
      </w:r>
      <w:r>
        <w:rPr/>
        <w:t>topped</w:t>
      </w:r>
      <w:r>
        <w:rPr>
          <w:spacing w:val="-15"/>
        </w:rPr>
        <w:t> </w:t>
      </w:r>
      <w:r>
        <w:rPr/>
        <w:t>up.</w:t>
      </w:r>
      <w:r>
        <w:rPr>
          <w:spacing w:val="-15"/>
        </w:rPr>
        <w:t> </w:t>
      </w:r>
      <w:r>
        <w:rPr/>
        <w:t>The</w:t>
      </w:r>
      <w:r>
        <w:rPr>
          <w:spacing w:val="-15"/>
        </w:rPr>
        <w:t> </w:t>
      </w:r>
      <w:r>
        <w:rPr/>
        <w:t>first </w:t>
      </w:r>
      <w:r>
        <w:rPr>
          <w:spacing w:val="1"/>
          <w:w w:val="96"/>
        </w:rPr>
        <w:t>scholarships</w:t>
      </w:r>
      <w:r>
        <w:rPr>
          <w:w w:val="96"/>
        </w:rPr>
        <w:t> </w:t>
      </w:r>
      <w:r>
        <w:rPr>
          <w:w w:val="97"/>
        </w:rPr>
        <w:t>will </w:t>
      </w:r>
      <w:r>
        <w:rPr>
          <w:spacing w:val="1"/>
          <w:w w:val="99"/>
        </w:rPr>
        <w:t>be</w:t>
      </w:r>
      <w:r>
        <w:rPr>
          <w:w w:val="99"/>
        </w:rPr>
        <w:t> </w:t>
      </w:r>
      <w:r>
        <w:rPr>
          <w:w w:val="98"/>
        </w:rPr>
        <w:t>awarded </w:t>
      </w:r>
      <w:r>
        <w:rPr>
          <w:w w:val="95"/>
        </w:rPr>
        <w:t>in</w:t>
      </w:r>
      <w:r>
        <w:rPr>
          <w:spacing w:val="-29"/>
          <w:w w:val="95"/>
        </w:rPr>
        <w:t> </w:t>
      </w:r>
      <w:r>
        <w:rPr>
          <w:spacing w:val="2"/>
          <w:w w:val="85"/>
        </w:rPr>
        <w:t>2016.</w:t>
      </w:r>
    </w:p>
    <w:p>
      <w:pPr>
        <w:pStyle w:val="BodyText"/>
        <w:spacing w:before="7"/>
        <w:rPr>
          <w:sz w:val="21"/>
        </w:rPr>
      </w:pPr>
    </w:p>
    <w:p>
      <w:pPr>
        <w:pStyle w:val="Heading8"/>
      </w:pPr>
      <w:r>
        <w:rPr>
          <w:w w:val="95"/>
        </w:rPr>
        <w:t>OTHER MAJOR GIFTS:</w:t>
      </w:r>
    </w:p>
    <w:p>
      <w:pPr>
        <w:pStyle w:val="BodyText"/>
        <w:spacing w:line="247" w:lineRule="auto" w:before="85"/>
        <w:ind w:left="333" w:hanging="227"/>
      </w:pPr>
      <w:r>
        <w:rPr>
          <w:rFonts w:ascii="Century Gothic" w:hAnsi="Century Gothic"/>
          <w:b/>
          <w:w w:val="115"/>
        </w:rPr>
        <w:t>≥ </w:t>
      </w:r>
      <w:r>
        <w:rPr/>
        <w:t>Rotary Clubs across Western Sydney continued to support students and research, with the Rotary Club of Narellan confirming another three years of funding for molecular medicine research </w:t>
      </w:r>
      <w:r>
        <w:rPr>
          <w:spacing w:val="2"/>
        </w:rPr>
        <w:t>($40,000 </w:t>
      </w:r>
      <w:r>
        <w:rPr/>
        <w:t>p.a.) and medical student scholarships ($30,000 p.a.). ADCO Constructions, Narellan </w:t>
      </w:r>
      <w:r>
        <w:rPr>
          <w:spacing w:val="-3"/>
        </w:rPr>
        <w:t>Town </w:t>
      </w:r>
      <w:r>
        <w:rPr/>
        <w:t>Centre, Mainbrace Constructions, TRN Group and Gunlake Concrete all made contributions. The Rotary Club of Padstow pledged </w:t>
      </w:r>
      <w:r>
        <w:rPr>
          <w:spacing w:val="2"/>
        </w:rPr>
        <w:t>$6,000</w:t>
      </w:r>
      <w:r>
        <w:rPr>
          <w:spacing w:val="-30"/>
        </w:rPr>
        <w:t> </w:t>
      </w:r>
      <w:r>
        <w:rPr/>
        <w:t>to support two student prizes for academic excellence</w:t>
      </w:r>
      <w:r>
        <w:rPr>
          <w:spacing w:val="-18"/>
        </w:rPr>
        <w:t> </w:t>
      </w:r>
      <w:r>
        <w:rPr/>
        <w:t>over</w:t>
      </w:r>
      <w:r>
        <w:rPr>
          <w:spacing w:val="-18"/>
        </w:rPr>
        <w:t> </w:t>
      </w:r>
      <w:r>
        <w:rPr/>
        <w:t>three</w:t>
      </w:r>
      <w:r>
        <w:rPr>
          <w:spacing w:val="-18"/>
        </w:rPr>
        <w:t> </w:t>
      </w:r>
      <w:r>
        <w:rPr/>
        <w:t>years</w:t>
      </w:r>
      <w:r>
        <w:rPr>
          <w:spacing w:val="-18"/>
        </w:rPr>
        <w:t> </w:t>
      </w:r>
      <w:r>
        <w:rPr/>
        <w:t>in</w:t>
      </w:r>
      <w:r>
        <w:rPr>
          <w:spacing w:val="-18"/>
        </w:rPr>
        <w:t> </w:t>
      </w:r>
      <w:r>
        <w:rPr/>
        <w:t>social</w:t>
      </w:r>
      <w:r>
        <w:rPr>
          <w:spacing w:val="-18"/>
        </w:rPr>
        <w:t> </w:t>
      </w:r>
      <w:r>
        <w:rPr/>
        <w:t>work, and</w:t>
      </w:r>
      <w:r>
        <w:rPr>
          <w:spacing w:val="-11"/>
        </w:rPr>
        <w:t> </w:t>
      </w:r>
      <w:r>
        <w:rPr/>
        <w:t>the</w:t>
      </w:r>
      <w:r>
        <w:rPr>
          <w:spacing w:val="-11"/>
        </w:rPr>
        <w:t> </w:t>
      </w:r>
      <w:r>
        <w:rPr/>
        <w:t>Rotary</w:t>
      </w:r>
      <w:r>
        <w:rPr>
          <w:spacing w:val="-11"/>
        </w:rPr>
        <w:t> </w:t>
      </w:r>
      <w:r>
        <w:rPr/>
        <w:t>Club</w:t>
      </w:r>
      <w:r>
        <w:rPr>
          <w:spacing w:val="-11"/>
        </w:rPr>
        <w:t> </w:t>
      </w:r>
      <w:r>
        <w:rPr/>
        <w:t>of</w:t>
      </w:r>
      <w:r>
        <w:rPr>
          <w:spacing w:val="-11"/>
        </w:rPr>
        <w:t> </w:t>
      </w:r>
      <w:r>
        <w:rPr/>
        <w:t>Carlingford</w:t>
      </w:r>
      <w:r>
        <w:rPr>
          <w:spacing w:val="-11"/>
        </w:rPr>
        <w:t> </w:t>
      </w:r>
      <w:r>
        <w:rPr/>
        <w:t>pledged</w:t>
      </w:r>
    </w:p>
    <w:p>
      <w:pPr>
        <w:pStyle w:val="BodyText"/>
        <w:spacing w:line="249" w:lineRule="auto" w:before="1"/>
        <w:ind w:left="333" w:right="203"/>
        <w:jc w:val="both"/>
      </w:pPr>
      <w:r>
        <w:rPr>
          <w:spacing w:val="2"/>
        </w:rPr>
        <w:t>$4,000</w:t>
      </w:r>
      <w:r>
        <w:rPr>
          <w:spacing w:val="-12"/>
        </w:rPr>
        <w:t> </w:t>
      </w:r>
      <w:r>
        <w:rPr/>
        <w:t>over</w:t>
      </w:r>
      <w:r>
        <w:rPr>
          <w:spacing w:val="-12"/>
        </w:rPr>
        <w:t> </w:t>
      </w:r>
      <w:r>
        <w:rPr/>
        <w:t>two</w:t>
      </w:r>
      <w:r>
        <w:rPr>
          <w:spacing w:val="-12"/>
        </w:rPr>
        <w:t> </w:t>
      </w:r>
      <w:r>
        <w:rPr/>
        <w:t>years</w:t>
      </w:r>
      <w:r>
        <w:rPr>
          <w:spacing w:val="-12"/>
        </w:rPr>
        <w:t> </w:t>
      </w:r>
      <w:r>
        <w:rPr/>
        <w:t>for</w:t>
      </w:r>
      <w:r>
        <w:rPr>
          <w:spacing w:val="-12"/>
        </w:rPr>
        <w:t> </w:t>
      </w:r>
      <w:r>
        <w:rPr/>
        <w:t>new</w:t>
      </w:r>
      <w:r>
        <w:rPr>
          <w:spacing w:val="-12"/>
        </w:rPr>
        <w:t> </w:t>
      </w:r>
      <w:r>
        <w:rPr/>
        <w:t>prizes</w:t>
      </w:r>
      <w:r>
        <w:rPr>
          <w:spacing w:val="-12"/>
        </w:rPr>
        <w:t> </w:t>
      </w:r>
      <w:r>
        <w:rPr/>
        <w:t>in nursing,</w:t>
      </w:r>
      <w:r>
        <w:rPr>
          <w:spacing w:val="-23"/>
        </w:rPr>
        <w:t> </w:t>
      </w:r>
      <w:r>
        <w:rPr/>
        <w:t>midwifery,</w:t>
      </w:r>
      <w:r>
        <w:rPr>
          <w:spacing w:val="-23"/>
        </w:rPr>
        <w:t> </w:t>
      </w:r>
      <w:r>
        <w:rPr/>
        <w:t>civil</w:t>
      </w:r>
      <w:r>
        <w:rPr>
          <w:spacing w:val="-23"/>
        </w:rPr>
        <w:t> </w:t>
      </w:r>
      <w:r>
        <w:rPr/>
        <w:t>engineering</w:t>
      </w:r>
      <w:r>
        <w:rPr>
          <w:spacing w:val="-23"/>
        </w:rPr>
        <w:t> </w:t>
      </w:r>
      <w:r>
        <w:rPr/>
        <w:t>and accounting.</w:t>
      </w:r>
    </w:p>
    <w:p>
      <w:pPr>
        <w:pStyle w:val="BodyText"/>
        <w:spacing w:line="247" w:lineRule="auto" w:before="55"/>
        <w:ind w:left="333" w:right="55" w:hanging="227"/>
      </w:pPr>
      <w:r>
        <w:rPr>
          <w:rFonts w:ascii="Century Gothic" w:hAnsi="Century Gothic"/>
          <w:b/>
          <w:w w:val="145"/>
        </w:rPr>
        <w:t>≥ </w:t>
      </w:r>
      <w:r>
        <w:rPr>
          <w:spacing w:val="1"/>
          <w:w w:val="96"/>
        </w:rPr>
        <w:t>Mr</w:t>
      </w:r>
      <w:r>
        <w:rPr>
          <w:w w:val="96"/>
        </w:rPr>
        <w:t> </w:t>
      </w:r>
      <w:r>
        <w:rPr>
          <w:spacing w:val="1"/>
          <w:w w:val="102"/>
        </w:rPr>
        <w:t>Bob</w:t>
      </w:r>
      <w:r>
        <w:rPr>
          <w:w w:val="102"/>
        </w:rPr>
        <w:t> </w:t>
      </w:r>
      <w:r>
        <w:rPr>
          <w:spacing w:val="1"/>
          <w:w w:val="91"/>
        </w:rPr>
        <w:t>Ingham</w:t>
      </w:r>
      <w:r>
        <w:rPr>
          <w:w w:val="91"/>
        </w:rPr>
        <w:t> </w:t>
      </w:r>
      <w:r>
        <w:rPr>
          <w:spacing w:val="1"/>
          <w:w w:val="99"/>
        </w:rPr>
        <w:t>donated</w:t>
      </w:r>
      <w:r>
        <w:rPr>
          <w:w w:val="99"/>
        </w:rPr>
        <w:t> </w:t>
      </w:r>
      <w:r>
        <w:rPr>
          <w:spacing w:val="1"/>
          <w:w w:val="94"/>
        </w:rPr>
        <w:t>$170,000</w:t>
      </w:r>
      <w:r>
        <w:rPr>
          <w:w w:val="94"/>
        </w:rPr>
        <w:t> </w:t>
      </w:r>
      <w:r>
        <w:rPr>
          <w:w w:val="98"/>
        </w:rPr>
        <w:t>for </w:t>
      </w:r>
      <w:r>
        <w:rPr>
          <w:w w:val="97"/>
        </w:rPr>
        <w:t>the </w:t>
      </w:r>
      <w:r>
        <w:rPr/>
        <w:t>Prostate</w:t>
      </w:r>
      <w:r>
        <w:rPr>
          <w:spacing w:val="-25"/>
        </w:rPr>
        <w:t> </w:t>
      </w:r>
      <w:r>
        <w:rPr/>
        <w:t>Cancer</w:t>
      </w:r>
      <w:r>
        <w:rPr>
          <w:spacing w:val="-25"/>
        </w:rPr>
        <w:t> </w:t>
      </w:r>
      <w:r>
        <w:rPr/>
        <w:t>Research</w:t>
      </w:r>
      <w:r>
        <w:rPr>
          <w:spacing w:val="-25"/>
        </w:rPr>
        <w:t> </w:t>
      </w:r>
      <w:r>
        <w:rPr/>
        <w:t>Team’s</w:t>
      </w:r>
      <w:r>
        <w:rPr>
          <w:spacing w:val="-25"/>
        </w:rPr>
        <w:t> </w:t>
      </w:r>
      <w:r>
        <w:rPr/>
        <w:t>research and for Bachelor of Medical Research scholarships.</w:t>
      </w:r>
    </w:p>
    <w:p>
      <w:pPr>
        <w:pStyle w:val="BodyText"/>
        <w:spacing w:line="244" w:lineRule="auto" w:before="57"/>
        <w:ind w:left="333" w:right="170" w:hanging="227"/>
      </w:pPr>
      <w:r>
        <w:rPr>
          <w:rFonts w:ascii="Century Gothic" w:hAnsi="Century Gothic"/>
          <w:b/>
          <w:w w:val="115"/>
        </w:rPr>
        <w:t>≥ </w:t>
      </w:r>
      <w:r>
        <w:rPr/>
        <w:t>Existing donors Dr Darleen Bungey and Ms Geraldine Brooks and new donor Ms</w:t>
      </w:r>
    </w:p>
    <w:p>
      <w:pPr>
        <w:pStyle w:val="BodyText"/>
        <w:spacing w:line="249" w:lineRule="auto" w:before="3"/>
        <w:ind w:left="333"/>
      </w:pPr>
      <w:r>
        <w:rPr/>
        <w:t>Gloria</w:t>
      </w:r>
      <w:r>
        <w:rPr>
          <w:spacing w:val="-11"/>
        </w:rPr>
        <w:t> </w:t>
      </w:r>
      <w:r>
        <w:rPr/>
        <w:t>Brooks</w:t>
      </w:r>
      <w:r>
        <w:rPr>
          <w:spacing w:val="-11"/>
        </w:rPr>
        <w:t> </w:t>
      </w:r>
      <w:r>
        <w:rPr/>
        <w:t>endowed</w:t>
      </w:r>
      <w:r>
        <w:rPr>
          <w:spacing w:val="-11"/>
        </w:rPr>
        <w:t> </w:t>
      </w:r>
      <w:r>
        <w:rPr/>
        <w:t>a</w:t>
      </w:r>
      <w:r>
        <w:rPr>
          <w:spacing w:val="-11"/>
        </w:rPr>
        <w:t> </w:t>
      </w:r>
      <w:r>
        <w:rPr>
          <w:spacing w:val="2"/>
        </w:rPr>
        <w:t>$35,000</w:t>
      </w:r>
      <w:r>
        <w:rPr>
          <w:spacing w:val="-11"/>
        </w:rPr>
        <w:t> </w:t>
      </w:r>
      <w:r>
        <w:rPr/>
        <w:t>prize</w:t>
      </w:r>
      <w:r>
        <w:rPr>
          <w:spacing w:val="-11"/>
        </w:rPr>
        <w:t> </w:t>
      </w:r>
      <w:r>
        <w:rPr/>
        <w:t>for literature.</w:t>
      </w:r>
    </w:p>
    <w:p>
      <w:pPr>
        <w:pStyle w:val="BodyText"/>
        <w:spacing w:before="1"/>
        <w:rPr>
          <w:sz w:val="20"/>
        </w:rPr>
      </w:pPr>
      <w:r>
        <w:rPr/>
        <w:br w:type="column"/>
      </w:r>
      <w:r>
        <w:rPr>
          <w:sz w:val="20"/>
        </w:rPr>
      </w:r>
    </w:p>
    <w:p>
      <w:pPr>
        <w:pStyle w:val="BodyText"/>
        <w:spacing w:line="247" w:lineRule="auto"/>
        <w:ind w:left="333" w:hanging="227"/>
      </w:pPr>
      <w:r>
        <w:rPr>
          <w:rFonts w:ascii="Century Gothic" w:hAnsi="Century Gothic"/>
          <w:b/>
          <w:w w:val="115"/>
        </w:rPr>
        <w:t>≥ </w:t>
      </w:r>
      <w:r>
        <w:rPr/>
        <w:t>Blackmores Ltd pledged $320,000 over three years for research at the National Institute of Complementary Medicine.</w:t>
      </w:r>
    </w:p>
    <w:p>
      <w:pPr>
        <w:pStyle w:val="BodyText"/>
        <w:spacing w:line="247" w:lineRule="auto" w:before="57"/>
        <w:ind w:left="333" w:hanging="227"/>
      </w:pPr>
      <w:r>
        <w:rPr>
          <w:rFonts w:ascii="Century Gothic" w:hAnsi="Century Gothic"/>
          <w:b/>
          <w:w w:val="115"/>
        </w:rPr>
        <w:t>≥ </w:t>
      </w:r>
      <w:r>
        <w:rPr/>
        <w:t>An anonymous donor gave $75,000 to support gastrointestinal motility research by the School of Medicine.</w:t>
      </w:r>
    </w:p>
    <w:p>
      <w:pPr>
        <w:pStyle w:val="BodyText"/>
        <w:spacing w:line="247" w:lineRule="auto" w:before="57"/>
        <w:ind w:left="333" w:right="96" w:hanging="227"/>
      </w:pPr>
      <w:r>
        <w:rPr>
          <w:rFonts w:ascii="Century Gothic" w:hAnsi="Century Gothic"/>
          <w:b/>
          <w:w w:val="115"/>
        </w:rPr>
        <w:t>≥ </w:t>
      </w:r>
      <w:r>
        <w:rPr/>
        <w:t>The Honourable Helen Sham-Ho, OAM </w:t>
      </w:r>
      <w:r>
        <w:rPr>
          <w:w w:val="99"/>
        </w:rPr>
        <w:t>donated </w:t>
      </w:r>
      <w:r>
        <w:rPr>
          <w:w w:val="95"/>
        </w:rPr>
        <w:t>$10,000 </w:t>
      </w:r>
      <w:r>
        <w:rPr>
          <w:w w:val="98"/>
        </w:rPr>
        <w:t>for </w:t>
      </w:r>
      <w:r>
        <w:rPr>
          <w:w w:val="95"/>
        </w:rPr>
        <w:t>an </w:t>
      </w:r>
      <w:r>
        <w:rPr>
          <w:w w:val="99"/>
        </w:rPr>
        <w:t>endowed </w:t>
      </w:r>
      <w:r>
        <w:rPr>
          <w:w w:val="98"/>
        </w:rPr>
        <w:t>student </w:t>
      </w:r>
      <w:r>
        <w:rPr/>
        <w:t>prize in policing.</w:t>
      </w:r>
    </w:p>
    <w:p>
      <w:pPr>
        <w:pStyle w:val="BodyText"/>
        <w:spacing w:line="247" w:lineRule="auto" w:before="57"/>
        <w:ind w:left="333" w:right="267" w:hanging="227"/>
      </w:pPr>
      <w:r>
        <w:rPr>
          <w:rFonts w:ascii="Century Gothic" w:hAnsi="Century Gothic"/>
          <w:b/>
          <w:w w:val="115"/>
        </w:rPr>
        <w:t>≥ </w:t>
      </w:r>
      <w:r>
        <w:rPr/>
        <w:t>An anonymous donor gave $50,000 over five years for an accommodation scholarship for an Aboriginal or Torres</w:t>
      </w:r>
    </w:p>
    <w:p>
      <w:pPr>
        <w:pStyle w:val="BodyText"/>
        <w:spacing w:before="1"/>
        <w:ind w:left="333"/>
      </w:pPr>
      <w:r>
        <w:rPr/>
        <w:t>Strait Islander student studying medicine.</w:t>
      </w:r>
    </w:p>
    <w:p>
      <w:pPr>
        <w:pStyle w:val="BodyText"/>
        <w:spacing w:line="247" w:lineRule="auto" w:before="62"/>
        <w:ind w:left="333" w:hanging="227"/>
      </w:pPr>
      <w:r>
        <w:rPr>
          <w:rFonts w:ascii="Century Gothic" w:hAnsi="Century Gothic"/>
          <w:b/>
          <w:w w:val="115"/>
        </w:rPr>
        <w:t>≥ </w:t>
      </w:r>
      <w:r>
        <w:rPr/>
        <w:t>The Australian Turf Club pledged $30,000 for a scholarship for a student studying business or tourism.</w:t>
      </w:r>
    </w:p>
    <w:p>
      <w:pPr>
        <w:pStyle w:val="BodyText"/>
        <w:spacing w:line="247" w:lineRule="auto" w:before="57"/>
        <w:ind w:left="333" w:right="54" w:hanging="227"/>
      </w:pPr>
      <w:r>
        <w:rPr>
          <w:rFonts w:ascii="Century Gothic" w:hAnsi="Century Gothic"/>
          <w:b/>
          <w:w w:val="115"/>
        </w:rPr>
        <w:t>≥ </w:t>
      </w:r>
      <w:r>
        <w:rPr/>
        <w:t>The GPT Group gave </w:t>
      </w:r>
      <w:r>
        <w:rPr>
          <w:spacing w:val="2"/>
        </w:rPr>
        <w:t>$32,000 </w:t>
      </w:r>
      <w:r>
        <w:rPr/>
        <w:t>for scholarships</w:t>
      </w:r>
      <w:r>
        <w:rPr>
          <w:spacing w:val="-16"/>
        </w:rPr>
        <w:t> </w:t>
      </w:r>
      <w:r>
        <w:rPr/>
        <w:t>and</w:t>
      </w:r>
      <w:r>
        <w:rPr>
          <w:spacing w:val="-16"/>
        </w:rPr>
        <w:t> </w:t>
      </w:r>
      <w:r>
        <w:rPr/>
        <w:t>internships</w:t>
      </w:r>
      <w:r>
        <w:rPr>
          <w:spacing w:val="-16"/>
        </w:rPr>
        <w:t> </w:t>
      </w:r>
      <w:r>
        <w:rPr/>
        <w:t>for</w:t>
      </w:r>
      <w:r>
        <w:rPr>
          <w:spacing w:val="-16"/>
        </w:rPr>
        <w:t> </w:t>
      </w:r>
      <w:r>
        <w:rPr/>
        <w:t>two</w:t>
      </w:r>
      <w:r>
        <w:rPr>
          <w:spacing w:val="-16"/>
        </w:rPr>
        <w:t> </w:t>
      </w:r>
      <w:r>
        <w:rPr/>
        <w:t>third- year Bachelor of Business (Property) students,</w:t>
      </w:r>
      <w:r>
        <w:rPr>
          <w:spacing w:val="-21"/>
        </w:rPr>
        <w:t> </w:t>
      </w:r>
      <w:r>
        <w:rPr/>
        <w:t>and</w:t>
      </w:r>
      <w:r>
        <w:rPr>
          <w:spacing w:val="-21"/>
        </w:rPr>
        <w:t> </w:t>
      </w:r>
      <w:r>
        <w:rPr/>
        <w:t>scholarships</w:t>
      </w:r>
      <w:r>
        <w:rPr>
          <w:spacing w:val="-21"/>
        </w:rPr>
        <w:t> </w:t>
      </w:r>
      <w:r>
        <w:rPr/>
        <w:t>and</w:t>
      </w:r>
      <w:r>
        <w:rPr>
          <w:spacing w:val="-21"/>
        </w:rPr>
        <w:t> </w:t>
      </w:r>
      <w:r>
        <w:rPr/>
        <w:t>internships for two Aboriginal and Torres Strait </w:t>
      </w:r>
      <w:r>
        <w:rPr>
          <w:w w:val="95"/>
        </w:rPr>
        <w:t>Islander</w:t>
      </w:r>
      <w:r>
        <w:rPr>
          <w:spacing w:val="12"/>
          <w:w w:val="95"/>
        </w:rPr>
        <w:t> </w:t>
      </w:r>
      <w:r>
        <w:rPr>
          <w:w w:val="95"/>
        </w:rPr>
        <w:t>students.</w:t>
      </w:r>
    </w:p>
    <w:p>
      <w:pPr>
        <w:pStyle w:val="BodyText"/>
        <w:spacing w:line="247" w:lineRule="auto" w:before="57"/>
        <w:ind w:left="333" w:right="51" w:hanging="227"/>
        <w:jc w:val="both"/>
      </w:pPr>
      <w:r>
        <w:rPr>
          <w:rFonts w:ascii="Century Gothic" w:hAnsi="Century Gothic"/>
          <w:b/>
          <w:w w:val="115"/>
        </w:rPr>
        <w:t>≥</w:t>
      </w:r>
      <w:r>
        <w:rPr>
          <w:rFonts w:ascii="Century Gothic" w:hAnsi="Century Gothic"/>
          <w:b/>
          <w:spacing w:val="9"/>
          <w:w w:val="115"/>
        </w:rPr>
        <w:t> </w:t>
      </w:r>
      <w:r>
        <w:rPr/>
        <w:t>The Sisters of Charity Foundation pledged another</w:t>
      </w:r>
      <w:r>
        <w:rPr>
          <w:spacing w:val="-14"/>
        </w:rPr>
        <w:t> </w:t>
      </w:r>
      <w:r>
        <w:rPr>
          <w:spacing w:val="2"/>
        </w:rPr>
        <w:t>$30,000</w:t>
      </w:r>
      <w:r>
        <w:rPr>
          <w:spacing w:val="-14"/>
        </w:rPr>
        <w:t> </w:t>
      </w:r>
      <w:r>
        <w:rPr/>
        <w:t>for</w:t>
      </w:r>
      <w:r>
        <w:rPr>
          <w:spacing w:val="-14"/>
        </w:rPr>
        <w:t> </w:t>
      </w:r>
      <w:r>
        <w:rPr/>
        <w:t>a</w:t>
      </w:r>
      <w:r>
        <w:rPr>
          <w:spacing w:val="-14"/>
        </w:rPr>
        <w:t> </w:t>
      </w:r>
      <w:r>
        <w:rPr/>
        <w:t>second</w:t>
      </w:r>
      <w:r>
        <w:rPr>
          <w:spacing w:val="-14"/>
        </w:rPr>
        <w:t> </w:t>
      </w:r>
      <w:r>
        <w:rPr/>
        <w:t>scholarship, in</w:t>
      </w:r>
      <w:r>
        <w:rPr>
          <w:spacing w:val="-19"/>
        </w:rPr>
        <w:t> </w:t>
      </w:r>
      <w:r>
        <w:rPr/>
        <w:t>addition</w:t>
      </w:r>
      <w:r>
        <w:rPr>
          <w:spacing w:val="-19"/>
        </w:rPr>
        <w:t> </w:t>
      </w:r>
      <w:r>
        <w:rPr/>
        <w:t>to</w:t>
      </w:r>
      <w:r>
        <w:rPr>
          <w:spacing w:val="-19"/>
        </w:rPr>
        <w:t> </w:t>
      </w:r>
      <w:r>
        <w:rPr/>
        <w:t>an</w:t>
      </w:r>
      <w:r>
        <w:rPr>
          <w:spacing w:val="-19"/>
        </w:rPr>
        <w:t> </w:t>
      </w:r>
      <w:r>
        <w:rPr/>
        <w:t>existing</w:t>
      </w:r>
      <w:r>
        <w:rPr>
          <w:spacing w:val="-19"/>
        </w:rPr>
        <w:t> </w:t>
      </w:r>
      <w:r>
        <w:rPr/>
        <w:t>scholarship.</w:t>
      </w:r>
    </w:p>
    <w:p>
      <w:pPr>
        <w:pStyle w:val="BodyText"/>
        <w:spacing w:line="247" w:lineRule="auto" w:before="57"/>
        <w:ind w:left="333" w:hanging="227"/>
      </w:pPr>
      <w:r>
        <w:rPr>
          <w:rFonts w:ascii="Century Gothic" w:hAnsi="Century Gothic"/>
          <w:b/>
          <w:w w:val="115"/>
        </w:rPr>
        <w:t>≥ </w:t>
      </w:r>
      <w:r>
        <w:rPr/>
        <w:t>The Hawker Foundation increased its support of the Professor Ross Hawker Scholarship</w:t>
      </w:r>
      <w:r>
        <w:rPr>
          <w:spacing w:val="-37"/>
        </w:rPr>
        <w:t> </w:t>
      </w:r>
      <w:r>
        <w:rPr/>
        <w:t>for</w:t>
      </w:r>
      <w:r>
        <w:rPr>
          <w:spacing w:val="-37"/>
        </w:rPr>
        <w:t> </w:t>
      </w:r>
      <w:r>
        <w:rPr/>
        <w:t>a</w:t>
      </w:r>
      <w:r>
        <w:rPr>
          <w:spacing w:val="-37"/>
        </w:rPr>
        <w:t> </w:t>
      </w:r>
      <w:r>
        <w:rPr/>
        <w:t>student</w:t>
      </w:r>
      <w:r>
        <w:rPr>
          <w:spacing w:val="-37"/>
        </w:rPr>
        <w:t> </w:t>
      </w:r>
      <w:r>
        <w:rPr/>
        <w:t>studying</w:t>
      </w:r>
      <w:r>
        <w:rPr>
          <w:spacing w:val="-37"/>
        </w:rPr>
        <w:t> </w:t>
      </w:r>
      <w:r>
        <w:rPr/>
        <w:t>medicine.</w:t>
      </w:r>
    </w:p>
    <w:p>
      <w:pPr>
        <w:pStyle w:val="BodyText"/>
        <w:spacing w:line="244" w:lineRule="auto" w:before="57"/>
        <w:ind w:left="333" w:right="18" w:hanging="227"/>
      </w:pPr>
      <w:r>
        <w:rPr>
          <w:rFonts w:ascii="Century Gothic" w:hAnsi="Century Gothic"/>
          <w:b/>
          <w:w w:val="145"/>
        </w:rPr>
        <w:t>≥ </w:t>
      </w:r>
      <w:r>
        <w:rPr>
          <w:w w:val="94"/>
        </w:rPr>
        <w:t>The </w:t>
      </w:r>
      <w:r>
        <w:rPr>
          <w:w w:val="98"/>
        </w:rPr>
        <w:t>Medich </w:t>
      </w:r>
      <w:r>
        <w:rPr>
          <w:w w:val="98"/>
        </w:rPr>
        <w:t>Foundation </w:t>
      </w:r>
      <w:r>
        <w:rPr>
          <w:w w:val="98"/>
        </w:rPr>
        <w:t>gave </w:t>
      </w:r>
      <w:r>
        <w:rPr>
          <w:w w:val="95"/>
        </w:rPr>
        <w:t>$10,000 </w:t>
      </w:r>
      <w:r>
        <w:rPr>
          <w:w w:val="98"/>
        </w:rPr>
        <w:t>for </w:t>
      </w:r>
      <w:r>
        <w:rPr>
          <w:w w:val="94"/>
        </w:rPr>
        <w:t>a </w:t>
      </w:r>
      <w:r>
        <w:rPr/>
        <w:t>Bachelor of Medical Research scholarship.</w:t>
      </w:r>
    </w:p>
    <w:p>
      <w:pPr>
        <w:pStyle w:val="BodyText"/>
        <w:spacing w:line="247" w:lineRule="auto" w:before="58"/>
        <w:ind w:left="333" w:hanging="227"/>
      </w:pPr>
      <w:r>
        <w:rPr>
          <w:rFonts w:ascii="Century Gothic" w:hAnsi="Century Gothic"/>
          <w:b/>
          <w:w w:val="115"/>
        </w:rPr>
        <w:t>≥ </w:t>
      </w:r>
      <w:r>
        <w:rPr/>
        <w:t>The Australian Rotary Health Research </w:t>
      </w:r>
      <w:r>
        <w:rPr>
          <w:w w:val="98"/>
        </w:rPr>
        <w:t>Foundation </w:t>
      </w:r>
      <w:r>
        <w:rPr>
          <w:w w:val="99"/>
        </w:rPr>
        <w:t>pledged </w:t>
      </w:r>
      <w:r>
        <w:rPr>
          <w:w w:val="95"/>
        </w:rPr>
        <w:t>$10,000 </w:t>
      </w:r>
      <w:r>
        <w:rPr>
          <w:w w:val="98"/>
        </w:rPr>
        <w:t>for </w:t>
      </w:r>
      <w:r>
        <w:rPr>
          <w:w w:val="94"/>
        </w:rPr>
        <w:t>a </w:t>
      </w:r>
      <w:r>
        <w:rPr>
          <w:w w:val="95"/>
        </w:rPr>
        <w:t>rural </w:t>
      </w:r>
      <w:r>
        <w:rPr/>
        <w:t>clinical placement scholarship.</w:t>
      </w:r>
    </w:p>
    <w:p>
      <w:pPr>
        <w:pStyle w:val="BodyText"/>
        <w:spacing w:line="247" w:lineRule="auto" w:before="57"/>
        <w:ind w:left="333" w:hanging="227"/>
      </w:pPr>
      <w:r>
        <w:rPr>
          <w:rFonts w:ascii="Century Gothic" w:hAnsi="Century Gothic"/>
          <w:b/>
          <w:w w:val="115"/>
        </w:rPr>
        <w:t>≥ </w:t>
      </w:r>
      <w:r>
        <w:rPr/>
        <w:t>The L&amp;M Cowan Foundation made a new gift of $6,000 for the continuation of PhD candidate Ms Grace Micali’s research into eradicating golden staph.</w:t>
      </w:r>
    </w:p>
    <w:p>
      <w:pPr>
        <w:pStyle w:val="BodyText"/>
        <w:spacing w:line="247" w:lineRule="auto" w:before="57"/>
        <w:ind w:left="333" w:right="5" w:hanging="227"/>
      </w:pPr>
      <w:r>
        <w:rPr>
          <w:rFonts w:ascii="Century Gothic" w:hAnsi="Century Gothic"/>
          <w:b/>
          <w:w w:val="115"/>
        </w:rPr>
        <w:t>≥ </w:t>
      </w:r>
      <w:r>
        <w:rPr/>
        <w:t>The Bennelong Foundation continued its </w:t>
      </w:r>
      <w:r>
        <w:rPr>
          <w:w w:val="97"/>
        </w:rPr>
        <w:t>funding </w:t>
      </w:r>
      <w:r>
        <w:rPr>
          <w:w w:val="98"/>
        </w:rPr>
        <w:t>with </w:t>
      </w:r>
      <w:r>
        <w:rPr>
          <w:w w:val="97"/>
        </w:rPr>
        <w:t>another </w:t>
      </w:r>
      <w:r>
        <w:rPr>
          <w:w w:val="95"/>
        </w:rPr>
        <w:t>$10,000 </w:t>
      </w:r>
      <w:r>
        <w:rPr>
          <w:w w:val="98"/>
        </w:rPr>
        <w:t>donation </w:t>
      </w:r>
      <w:r>
        <w:rPr>
          <w:w w:val="98"/>
        </w:rPr>
        <w:t>for </w:t>
      </w:r>
      <w:r>
        <w:rPr/>
        <w:t>a scholarship for a second-year student in the School of Business.</w:t>
      </w:r>
    </w:p>
    <w:p>
      <w:pPr>
        <w:pStyle w:val="BodyText"/>
        <w:spacing w:before="57"/>
        <w:ind w:left="107"/>
      </w:pPr>
      <w:r>
        <w:rPr>
          <w:rFonts w:ascii="Century Gothic" w:hAnsi="Century Gothic"/>
          <w:b/>
          <w:w w:val="115"/>
        </w:rPr>
        <w:t>≥ </w:t>
      </w:r>
      <w:r>
        <w:rPr>
          <w:w w:val="105"/>
        </w:rPr>
        <w:t>The Hawkesbury Foundation donated</w:t>
      </w:r>
    </w:p>
    <w:p>
      <w:pPr>
        <w:pStyle w:val="BodyText"/>
        <w:spacing w:line="249" w:lineRule="auto" w:before="4"/>
        <w:ind w:left="333" w:right="268"/>
      </w:pPr>
      <w:r>
        <w:rPr/>
        <w:t>$50,000 for the School of Science and Health’s Vincent Fairfax Eco Systems </w:t>
      </w:r>
      <w:r>
        <w:rPr>
          <w:w w:val="97"/>
        </w:rPr>
        <w:t>Project </w:t>
      </w:r>
      <w:r>
        <w:rPr>
          <w:w w:val="97"/>
        </w:rPr>
        <w:t>and </w:t>
      </w:r>
      <w:r>
        <w:rPr>
          <w:w w:val="95"/>
        </w:rPr>
        <w:t>$10,000 </w:t>
      </w:r>
      <w:r>
        <w:rPr>
          <w:w w:val="101"/>
        </w:rPr>
        <w:t>to </w:t>
      </w:r>
      <w:r>
        <w:rPr>
          <w:w w:val="97"/>
        </w:rPr>
        <w:t>the </w:t>
      </w:r>
      <w:r>
        <w:rPr>
          <w:w w:val="106"/>
        </w:rPr>
        <w:t>EA </w:t>
      </w:r>
      <w:r>
        <w:rPr>
          <w:w w:val="97"/>
        </w:rPr>
        <w:t>Southee </w:t>
      </w:r>
      <w:r>
        <w:rPr/>
        <w:t>Memorial Scholarship.</w:t>
      </w:r>
    </w:p>
    <w:p>
      <w:pPr>
        <w:pStyle w:val="BodyText"/>
        <w:spacing w:line="247" w:lineRule="auto" w:before="55"/>
        <w:ind w:left="333" w:hanging="227"/>
      </w:pPr>
      <w:r>
        <w:rPr>
          <w:rFonts w:ascii="Century Gothic" w:hAnsi="Century Gothic"/>
          <w:b/>
          <w:w w:val="115"/>
        </w:rPr>
        <w:t>≥ </w:t>
      </w:r>
      <w:r>
        <w:rPr/>
        <w:t>Ongoing support for scholarships was </w:t>
      </w:r>
      <w:r>
        <w:rPr>
          <w:spacing w:val="-3"/>
        </w:rPr>
        <w:t>received </w:t>
      </w:r>
      <w:r>
        <w:rPr/>
        <w:t>from Blacktown City Council ($30,000), Campbelltown City Council ($25,000), Hawkesbury City Council </w:t>
      </w:r>
      <w:r>
        <w:rPr>
          <w:spacing w:val="-2"/>
          <w:w w:val="93"/>
        </w:rPr>
        <w:t>($15,000)</w:t>
      </w:r>
      <w:r>
        <w:rPr>
          <w:spacing w:val="-8"/>
          <w:w w:val="93"/>
        </w:rPr>
        <w:t> </w:t>
      </w:r>
      <w:r>
        <w:rPr>
          <w:spacing w:val="-1"/>
          <w:w w:val="97"/>
        </w:rPr>
        <w:t>and</w:t>
      </w:r>
      <w:r>
        <w:rPr>
          <w:spacing w:val="-10"/>
          <w:w w:val="97"/>
        </w:rPr>
        <w:t> </w:t>
      </w:r>
      <w:r>
        <w:rPr>
          <w:spacing w:val="-2"/>
          <w:w w:val="97"/>
        </w:rPr>
        <w:t>Penrith</w:t>
      </w:r>
      <w:r>
        <w:rPr>
          <w:spacing w:val="-10"/>
          <w:w w:val="97"/>
        </w:rPr>
        <w:t> </w:t>
      </w:r>
      <w:r>
        <w:rPr>
          <w:spacing w:val="-1"/>
          <w:w w:val="100"/>
        </w:rPr>
        <w:t>City</w:t>
      </w:r>
      <w:r>
        <w:rPr>
          <w:spacing w:val="-11"/>
          <w:w w:val="100"/>
        </w:rPr>
        <w:t> </w:t>
      </w:r>
      <w:r>
        <w:rPr>
          <w:spacing w:val="-2"/>
          <w:w w:val="98"/>
        </w:rPr>
        <w:t>Council</w:t>
      </w:r>
      <w:r>
        <w:rPr>
          <w:spacing w:val="-10"/>
          <w:w w:val="98"/>
        </w:rPr>
        <w:t> </w:t>
      </w:r>
      <w:r>
        <w:rPr>
          <w:spacing w:val="-2"/>
          <w:w w:val="91"/>
        </w:rPr>
        <w:t>($15,000).</w:t>
      </w:r>
    </w:p>
    <w:p>
      <w:pPr>
        <w:pStyle w:val="BodyText"/>
        <w:spacing w:before="8"/>
        <w:rPr>
          <w:sz w:val="20"/>
        </w:rPr>
      </w:pPr>
      <w:r>
        <w:rPr/>
        <w:br w:type="column"/>
      </w:r>
      <w:r>
        <w:rPr>
          <w:sz w:val="20"/>
        </w:rPr>
      </w:r>
    </w:p>
    <w:p>
      <w:pPr>
        <w:pStyle w:val="Heading8"/>
        <w:ind w:right="287"/>
      </w:pPr>
      <w:r>
        <w:rPr/>
        <w:t>BEQUESTS</w:t>
      </w:r>
    </w:p>
    <w:p>
      <w:pPr>
        <w:pStyle w:val="BodyText"/>
        <w:spacing w:line="249" w:lineRule="auto" w:before="86"/>
        <w:ind w:left="107" w:right="168"/>
      </w:pPr>
      <w:r>
        <w:rPr/>
        <w:t>A bequest is a gift of an asset, money or other right arising under a will, intestacy or settlement, which can have a great impact </w:t>
      </w:r>
      <w:r>
        <w:rPr>
          <w:w w:val="98"/>
        </w:rPr>
        <w:t>over </w:t>
      </w:r>
      <w:r>
        <w:rPr>
          <w:w w:val="92"/>
        </w:rPr>
        <w:t>time. </w:t>
      </w:r>
      <w:r>
        <w:rPr>
          <w:w w:val="97"/>
        </w:rPr>
        <w:t>During </w:t>
      </w:r>
      <w:r>
        <w:rPr>
          <w:w w:val="84"/>
        </w:rPr>
        <w:t>2015, </w:t>
      </w:r>
      <w:r>
        <w:rPr>
          <w:w w:val="97"/>
        </w:rPr>
        <w:t>the </w:t>
      </w:r>
      <w:r>
        <w:rPr>
          <w:w w:val="98"/>
        </w:rPr>
        <w:t>bequest </w:t>
      </w:r>
      <w:r>
        <w:rPr>
          <w:w w:val="98"/>
        </w:rPr>
        <w:t>program </w:t>
      </w:r>
      <w:r>
        <w:rPr/>
        <w:t>engaged with alumni, current and former staff members, existing donors, the broader community, parents of students, solicitors, accountants and public trustees, and</w:t>
      </w:r>
    </w:p>
    <w:p>
      <w:pPr>
        <w:pStyle w:val="BodyText"/>
        <w:spacing w:line="249" w:lineRule="auto"/>
        <w:ind w:left="107" w:right="237"/>
      </w:pPr>
      <w:r>
        <w:rPr/>
        <w:t>private trusts and foundations with a view to increasing the number of bequestors to the University. The University made several presentations to Western Sydney law firms and societies, and to community groups such</w:t>
      </w:r>
      <w:r>
        <w:rPr>
          <w:spacing w:val="-17"/>
        </w:rPr>
        <w:t> </w:t>
      </w:r>
      <w:r>
        <w:rPr/>
        <w:t>as</w:t>
      </w:r>
      <w:r>
        <w:rPr>
          <w:spacing w:val="-17"/>
        </w:rPr>
        <w:t> </w:t>
      </w:r>
      <w:r>
        <w:rPr/>
        <w:t>Rotary</w:t>
      </w:r>
      <w:r>
        <w:rPr>
          <w:spacing w:val="-17"/>
        </w:rPr>
        <w:t> </w:t>
      </w:r>
      <w:r>
        <w:rPr/>
        <w:t>Clubs</w:t>
      </w:r>
      <w:r>
        <w:rPr>
          <w:spacing w:val="-17"/>
        </w:rPr>
        <w:t> </w:t>
      </w:r>
      <w:r>
        <w:rPr/>
        <w:t>and</w:t>
      </w:r>
      <w:r>
        <w:rPr>
          <w:spacing w:val="-17"/>
        </w:rPr>
        <w:t> </w:t>
      </w:r>
      <w:r>
        <w:rPr/>
        <w:t>the</w:t>
      </w:r>
      <w:r>
        <w:rPr>
          <w:spacing w:val="-17"/>
        </w:rPr>
        <w:t> </w:t>
      </w:r>
      <w:r>
        <w:rPr/>
        <w:t>Zonta</w:t>
      </w:r>
      <w:r>
        <w:rPr>
          <w:spacing w:val="-17"/>
        </w:rPr>
        <w:t> </w:t>
      </w:r>
      <w:r>
        <w:rPr/>
        <w:t>Club.</w:t>
      </w:r>
      <w:r>
        <w:rPr>
          <w:spacing w:val="-17"/>
        </w:rPr>
        <w:t> </w:t>
      </w:r>
      <w:r>
        <w:rPr/>
        <w:t>In addition,</w:t>
      </w:r>
      <w:r>
        <w:rPr>
          <w:spacing w:val="-14"/>
        </w:rPr>
        <w:t> </w:t>
      </w:r>
      <w:r>
        <w:rPr/>
        <w:t>the</w:t>
      </w:r>
      <w:r>
        <w:rPr>
          <w:spacing w:val="-14"/>
        </w:rPr>
        <w:t> </w:t>
      </w:r>
      <w:r>
        <w:rPr/>
        <w:t>Office</w:t>
      </w:r>
      <w:r>
        <w:rPr>
          <w:spacing w:val="-14"/>
        </w:rPr>
        <w:t> </w:t>
      </w:r>
      <w:r>
        <w:rPr/>
        <w:t>and</w:t>
      </w:r>
      <w:r>
        <w:rPr>
          <w:spacing w:val="-14"/>
        </w:rPr>
        <w:t> </w:t>
      </w:r>
      <w:r>
        <w:rPr/>
        <w:t>the</w:t>
      </w:r>
      <w:r>
        <w:rPr>
          <w:spacing w:val="-14"/>
        </w:rPr>
        <w:t> </w:t>
      </w:r>
      <w:r>
        <w:rPr/>
        <w:t>School</w:t>
      </w:r>
      <w:r>
        <w:rPr>
          <w:spacing w:val="-14"/>
        </w:rPr>
        <w:t> </w:t>
      </w:r>
      <w:r>
        <w:rPr/>
        <w:t>of</w:t>
      </w:r>
      <w:r>
        <w:rPr>
          <w:spacing w:val="-14"/>
        </w:rPr>
        <w:t> </w:t>
      </w:r>
      <w:r>
        <w:rPr/>
        <w:t>Law</w:t>
      </w:r>
      <w:r>
        <w:rPr>
          <w:spacing w:val="-14"/>
        </w:rPr>
        <w:t> </w:t>
      </w:r>
      <w:r>
        <w:rPr/>
        <w:t>at the</w:t>
      </w:r>
      <w:r>
        <w:rPr>
          <w:spacing w:val="-10"/>
        </w:rPr>
        <w:t> </w:t>
      </w:r>
      <w:r>
        <w:rPr/>
        <w:t>Parramatta</w:t>
      </w:r>
      <w:r>
        <w:rPr>
          <w:spacing w:val="-10"/>
        </w:rPr>
        <w:t> </w:t>
      </w:r>
      <w:r>
        <w:rPr/>
        <w:t>campus</w:t>
      </w:r>
      <w:r>
        <w:rPr>
          <w:spacing w:val="-10"/>
        </w:rPr>
        <w:t> </w:t>
      </w:r>
      <w:r>
        <w:rPr/>
        <w:t>conducted</w:t>
      </w:r>
      <w:r>
        <w:rPr>
          <w:spacing w:val="-10"/>
        </w:rPr>
        <w:t> </w:t>
      </w:r>
      <w:r>
        <w:rPr/>
        <w:t>an</w:t>
      </w:r>
      <w:r>
        <w:rPr>
          <w:spacing w:val="-10"/>
        </w:rPr>
        <w:t> </w:t>
      </w:r>
      <w:r>
        <w:rPr/>
        <w:t>Asset Protection</w:t>
      </w:r>
      <w:r>
        <w:rPr>
          <w:spacing w:val="-16"/>
        </w:rPr>
        <w:t> </w:t>
      </w:r>
      <w:r>
        <w:rPr/>
        <w:t>and</w:t>
      </w:r>
      <w:r>
        <w:rPr>
          <w:spacing w:val="-16"/>
        </w:rPr>
        <w:t> </w:t>
      </w:r>
      <w:r>
        <w:rPr/>
        <w:t>Estate</w:t>
      </w:r>
      <w:r>
        <w:rPr>
          <w:spacing w:val="-16"/>
        </w:rPr>
        <w:t> </w:t>
      </w:r>
      <w:r>
        <w:rPr/>
        <w:t>Management</w:t>
      </w:r>
      <w:r>
        <w:rPr>
          <w:spacing w:val="-16"/>
        </w:rPr>
        <w:t> </w:t>
      </w:r>
      <w:r>
        <w:rPr/>
        <w:t>seminar in October to promote </w:t>
      </w:r>
      <w:r>
        <w:rPr>
          <w:spacing w:val="2"/>
        </w:rPr>
        <w:t>bequests, </w:t>
      </w:r>
      <w:r>
        <w:rPr/>
        <w:t>which University</w:t>
      </w:r>
      <w:r>
        <w:rPr>
          <w:spacing w:val="-16"/>
        </w:rPr>
        <w:t> </w:t>
      </w:r>
      <w:r>
        <w:rPr/>
        <w:t>alumni</w:t>
      </w:r>
      <w:r>
        <w:rPr>
          <w:spacing w:val="-16"/>
        </w:rPr>
        <w:t> </w:t>
      </w:r>
      <w:r>
        <w:rPr/>
        <w:t>and</w:t>
      </w:r>
      <w:r>
        <w:rPr>
          <w:spacing w:val="-16"/>
        </w:rPr>
        <w:t> </w:t>
      </w:r>
      <w:r>
        <w:rPr/>
        <w:t>staff</w:t>
      </w:r>
      <w:r>
        <w:rPr>
          <w:spacing w:val="-16"/>
        </w:rPr>
        <w:t> </w:t>
      </w:r>
      <w:r>
        <w:rPr/>
        <w:t>attended</w:t>
      </w:r>
      <w:r>
        <w:rPr>
          <w:spacing w:val="-16"/>
        </w:rPr>
        <w:t> </w:t>
      </w:r>
      <w:r>
        <w:rPr/>
        <w:t>–</w:t>
      </w:r>
      <w:r>
        <w:rPr>
          <w:spacing w:val="-16"/>
        </w:rPr>
        <w:t> </w:t>
      </w:r>
      <w:r>
        <w:rPr/>
        <w:t>and</w:t>
      </w:r>
      <w:r>
        <w:rPr>
          <w:spacing w:val="-16"/>
        </w:rPr>
        <w:t> </w:t>
      </w:r>
      <w:r>
        <w:rPr/>
        <w:t>it encouraged</w:t>
      </w:r>
      <w:r>
        <w:rPr>
          <w:spacing w:val="-22"/>
        </w:rPr>
        <w:t> </w:t>
      </w:r>
      <w:r>
        <w:rPr/>
        <w:t>positive</w:t>
      </w:r>
      <w:r>
        <w:rPr>
          <w:spacing w:val="-22"/>
        </w:rPr>
        <w:t> </w:t>
      </w:r>
      <w:r>
        <w:rPr/>
        <w:t>discussions.</w:t>
      </w:r>
    </w:p>
    <w:p>
      <w:pPr>
        <w:pStyle w:val="BodyText"/>
        <w:spacing w:before="7"/>
        <w:rPr>
          <w:sz w:val="21"/>
        </w:rPr>
      </w:pPr>
    </w:p>
    <w:p>
      <w:pPr>
        <w:pStyle w:val="Heading8"/>
        <w:spacing w:line="249" w:lineRule="auto"/>
        <w:ind w:right="292"/>
      </w:pPr>
      <w:r>
        <w:rPr/>
        <w:t>FORMER SCHOLARSHIP RECIPIENT PLEDGED TO LEAVE A LASTING LEGACY</w:t>
      </w:r>
    </w:p>
    <w:p>
      <w:pPr>
        <w:pStyle w:val="BodyText"/>
        <w:spacing w:line="249" w:lineRule="auto" w:before="79"/>
        <w:ind w:left="107" w:right="106"/>
      </w:pPr>
      <w:r>
        <w:rPr/>
        <w:t>A stipend scholarship helped Professor Margaret Vickers complete her PhD at the University in </w:t>
      </w:r>
      <w:r>
        <w:rPr>
          <w:spacing w:val="3"/>
        </w:rPr>
        <w:t>1998. </w:t>
      </w:r>
      <w:r>
        <w:rPr/>
        <w:t>She began her university studies,</w:t>
      </w:r>
      <w:r>
        <w:rPr>
          <w:spacing w:val="-24"/>
        </w:rPr>
        <w:t> </w:t>
      </w:r>
      <w:r>
        <w:rPr/>
        <w:t>aged</w:t>
      </w:r>
      <w:r>
        <w:rPr>
          <w:spacing w:val="-24"/>
        </w:rPr>
        <w:t> </w:t>
      </w:r>
      <w:r>
        <w:rPr>
          <w:spacing w:val="2"/>
        </w:rPr>
        <w:t>21,</w:t>
      </w:r>
      <w:r>
        <w:rPr>
          <w:spacing w:val="-24"/>
        </w:rPr>
        <w:t> </w:t>
      </w:r>
      <w:r>
        <w:rPr/>
        <w:t>when</w:t>
      </w:r>
      <w:r>
        <w:rPr>
          <w:spacing w:val="-24"/>
        </w:rPr>
        <w:t> </w:t>
      </w:r>
      <w:r>
        <w:rPr/>
        <w:t>she</w:t>
      </w:r>
      <w:r>
        <w:rPr>
          <w:spacing w:val="-24"/>
        </w:rPr>
        <w:t> </w:t>
      </w:r>
      <w:r>
        <w:rPr/>
        <w:t>realised</w:t>
      </w:r>
      <w:r>
        <w:rPr>
          <w:spacing w:val="-24"/>
        </w:rPr>
        <w:t> </w:t>
      </w:r>
      <w:r>
        <w:rPr/>
        <w:t>her</w:t>
      </w:r>
      <w:r>
        <w:rPr>
          <w:spacing w:val="-24"/>
        </w:rPr>
        <w:t> </w:t>
      </w:r>
      <w:r>
        <w:rPr/>
        <w:t>typist’s pay</w:t>
      </w:r>
      <w:r>
        <w:rPr>
          <w:spacing w:val="-17"/>
        </w:rPr>
        <w:t> </w:t>
      </w:r>
      <w:r>
        <w:rPr/>
        <w:t>was</w:t>
      </w:r>
      <w:r>
        <w:rPr>
          <w:spacing w:val="-17"/>
        </w:rPr>
        <w:t> </w:t>
      </w:r>
      <w:r>
        <w:rPr/>
        <w:t>not</w:t>
      </w:r>
      <w:r>
        <w:rPr>
          <w:spacing w:val="-17"/>
        </w:rPr>
        <w:t> </w:t>
      </w:r>
      <w:r>
        <w:rPr/>
        <w:t>enough</w:t>
      </w:r>
      <w:r>
        <w:rPr>
          <w:spacing w:val="-17"/>
        </w:rPr>
        <w:t> </w:t>
      </w:r>
      <w:r>
        <w:rPr/>
        <w:t>to</w:t>
      </w:r>
      <w:r>
        <w:rPr>
          <w:spacing w:val="-17"/>
        </w:rPr>
        <w:t> </w:t>
      </w:r>
      <w:r>
        <w:rPr/>
        <w:t>live</w:t>
      </w:r>
      <w:r>
        <w:rPr>
          <w:spacing w:val="-17"/>
        </w:rPr>
        <w:t> </w:t>
      </w:r>
      <w:r>
        <w:rPr>
          <w:spacing w:val="2"/>
        </w:rPr>
        <w:t>on.</w:t>
      </w:r>
      <w:r>
        <w:rPr>
          <w:spacing w:val="-17"/>
        </w:rPr>
        <w:t> </w:t>
      </w:r>
      <w:r>
        <w:rPr/>
        <w:t>She</w:t>
      </w:r>
      <w:r>
        <w:rPr>
          <w:spacing w:val="-17"/>
        </w:rPr>
        <w:t> </w:t>
      </w:r>
      <w:r>
        <w:rPr/>
        <w:t>was</w:t>
      </w:r>
      <w:r>
        <w:rPr>
          <w:spacing w:val="-17"/>
        </w:rPr>
        <w:t> </w:t>
      </w:r>
      <w:r>
        <w:rPr/>
        <w:t>one</w:t>
      </w:r>
      <w:r>
        <w:rPr>
          <w:spacing w:val="-17"/>
        </w:rPr>
        <w:t> </w:t>
      </w:r>
      <w:r>
        <w:rPr/>
        <w:t>of only </w:t>
      </w:r>
      <w:r>
        <w:rPr>
          <w:w w:val="95"/>
        </w:rPr>
        <w:t>11 </w:t>
      </w:r>
      <w:r>
        <w:rPr/>
        <w:t>students graduating in 1987 from the fledgling Bachelor of Business (Computing and</w:t>
      </w:r>
      <w:r>
        <w:rPr>
          <w:spacing w:val="-20"/>
        </w:rPr>
        <w:t> </w:t>
      </w:r>
      <w:r>
        <w:rPr/>
        <w:t>Information</w:t>
      </w:r>
      <w:r>
        <w:rPr>
          <w:spacing w:val="-20"/>
        </w:rPr>
        <w:t> </w:t>
      </w:r>
      <w:r>
        <w:rPr/>
        <w:t>Systems)</w:t>
      </w:r>
      <w:r>
        <w:rPr>
          <w:spacing w:val="-20"/>
        </w:rPr>
        <w:t> </w:t>
      </w:r>
      <w:r>
        <w:rPr/>
        <w:t>at</w:t>
      </w:r>
      <w:r>
        <w:rPr>
          <w:spacing w:val="-20"/>
        </w:rPr>
        <w:t> </w:t>
      </w:r>
      <w:r>
        <w:rPr/>
        <w:t>the</w:t>
      </w:r>
      <w:r>
        <w:rPr>
          <w:spacing w:val="-20"/>
        </w:rPr>
        <w:t> </w:t>
      </w:r>
      <w:r>
        <w:rPr/>
        <w:t>then</w:t>
      </w:r>
      <w:r>
        <w:rPr>
          <w:spacing w:val="-20"/>
        </w:rPr>
        <w:t> </w:t>
      </w:r>
      <w:r>
        <w:rPr/>
        <w:t>Nepean College of Advanced Education, now </w:t>
      </w:r>
      <w:r>
        <w:rPr>
          <w:spacing w:val="2"/>
        </w:rPr>
        <w:t>part </w:t>
      </w:r>
      <w:r>
        <w:rPr/>
        <w:t>of Western</w:t>
      </w:r>
      <w:r>
        <w:rPr>
          <w:spacing w:val="-29"/>
        </w:rPr>
        <w:t> </w:t>
      </w:r>
      <w:r>
        <w:rPr/>
        <w:t>Sydney</w:t>
      </w:r>
      <w:r>
        <w:rPr>
          <w:spacing w:val="-29"/>
        </w:rPr>
        <w:t> </w:t>
      </w:r>
      <w:r>
        <w:rPr/>
        <w:t>University.</w:t>
      </w:r>
    </w:p>
    <w:p>
      <w:pPr>
        <w:pStyle w:val="BodyText"/>
        <w:rPr>
          <w:sz w:val="14"/>
        </w:rPr>
      </w:pPr>
    </w:p>
    <w:p>
      <w:pPr>
        <w:pStyle w:val="BodyText"/>
        <w:spacing w:line="249" w:lineRule="auto"/>
        <w:ind w:left="107" w:right="463"/>
        <w:jc w:val="both"/>
      </w:pPr>
      <w:r>
        <w:rPr/>
        <w:t>Her</w:t>
      </w:r>
      <w:r>
        <w:rPr>
          <w:spacing w:val="-16"/>
        </w:rPr>
        <w:t> </w:t>
      </w:r>
      <w:r>
        <w:rPr/>
        <w:t>life</w:t>
      </w:r>
      <w:r>
        <w:rPr>
          <w:spacing w:val="-16"/>
        </w:rPr>
        <w:t> </w:t>
      </w:r>
      <w:r>
        <w:rPr/>
        <w:t>changed</w:t>
      </w:r>
      <w:r>
        <w:rPr>
          <w:spacing w:val="-16"/>
        </w:rPr>
        <w:t> </w:t>
      </w:r>
      <w:r>
        <w:rPr/>
        <w:t>when</w:t>
      </w:r>
      <w:r>
        <w:rPr>
          <w:spacing w:val="-16"/>
        </w:rPr>
        <w:t> </w:t>
      </w:r>
      <w:r>
        <w:rPr/>
        <w:t>she</w:t>
      </w:r>
      <w:r>
        <w:rPr>
          <w:spacing w:val="-16"/>
        </w:rPr>
        <w:t> </w:t>
      </w:r>
      <w:r>
        <w:rPr/>
        <w:t>crossed</w:t>
      </w:r>
      <w:r>
        <w:rPr>
          <w:spacing w:val="-16"/>
        </w:rPr>
        <w:t> </w:t>
      </w:r>
      <w:r>
        <w:rPr/>
        <w:t>paths with</w:t>
      </w:r>
      <w:r>
        <w:rPr>
          <w:spacing w:val="-14"/>
        </w:rPr>
        <w:t> </w:t>
      </w:r>
      <w:r>
        <w:rPr/>
        <w:t>a</w:t>
      </w:r>
      <w:r>
        <w:rPr>
          <w:spacing w:val="-14"/>
        </w:rPr>
        <w:t> </w:t>
      </w:r>
      <w:r>
        <w:rPr/>
        <w:t>former</w:t>
      </w:r>
      <w:r>
        <w:rPr>
          <w:spacing w:val="-14"/>
        </w:rPr>
        <w:t> </w:t>
      </w:r>
      <w:r>
        <w:rPr/>
        <w:t>lecturer</w:t>
      </w:r>
      <w:r>
        <w:rPr>
          <w:spacing w:val="-14"/>
        </w:rPr>
        <w:t> </w:t>
      </w:r>
      <w:r>
        <w:rPr/>
        <w:t>who</w:t>
      </w:r>
      <w:r>
        <w:rPr>
          <w:spacing w:val="-14"/>
        </w:rPr>
        <w:t> </w:t>
      </w:r>
      <w:r>
        <w:rPr/>
        <w:t>told</w:t>
      </w:r>
      <w:r>
        <w:rPr>
          <w:spacing w:val="-14"/>
        </w:rPr>
        <w:t> </w:t>
      </w:r>
      <w:r>
        <w:rPr/>
        <w:t>her</w:t>
      </w:r>
      <w:r>
        <w:rPr>
          <w:spacing w:val="-14"/>
        </w:rPr>
        <w:t> </w:t>
      </w:r>
      <w:r>
        <w:rPr/>
        <w:t>about a</w:t>
      </w:r>
      <w:r>
        <w:rPr>
          <w:spacing w:val="-20"/>
        </w:rPr>
        <w:t> </w:t>
      </w:r>
      <w:r>
        <w:rPr/>
        <w:t>tutoring</w:t>
      </w:r>
      <w:r>
        <w:rPr>
          <w:spacing w:val="-20"/>
        </w:rPr>
        <w:t> </w:t>
      </w:r>
      <w:r>
        <w:rPr/>
        <w:t>role</w:t>
      </w:r>
      <w:r>
        <w:rPr>
          <w:spacing w:val="-20"/>
        </w:rPr>
        <w:t> </w:t>
      </w:r>
      <w:r>
        <w:rPr/>
        <w:t>at</w:t>
      </w:r>
      <w:r>
        <w:rPr>
          <w:spacing w:val="-20"/>
        </w:rPr>
        <w:t> </w:t>
      </w:r>
      <w:r>
        <w:rPr/>
        <w:t>the</w:t>
      </w:r>
      <w:r>
        <w:rPr>
          <w:spacing w:val="-20"/>
        </w:rPr>
        <w:t> </w:t>
      </w:r>
      <w:r>
        <w:rPr/>
        <w:t>University.</w:t>
      </w:r>
      <w:r>
        <w:rPr>
          <w:spacing w:val="-20"/>
        </w:rPr>
        <w:t> </w:t>
      </w:r>
      <w:r>
        <w:rPr/>
        <w:t>That</w:t>
      </w:r>
      <w:r>
        <w:rPr>
          <w:spacing w:val="-20"/>
        </w:rPr>
        <w:t> </w:t>
      </w:r>
      <w:r>
        <w:rPr/>
        <w:t>job</w:t>
      </w:r>
    </w:p>
    <w:p>
      <w:pPr>
        <w:pStyle w:val="BodyText"/>
        <w:spacing w:line="249" w:lineRule="auto"/>
        <w:ind w:left="107" w:right="57"/>
      </w:pPr>
      <w:r>
        <w:rPr/>
        <w:t>turned into a role as a lecturer and led her to complete a PhD in Commerce, and she is now an accomplished academic. Her intention for her bequest is to provide two ongoing stipend scholarships for research students with a disability or chronic illness.</w:t>
      </w:r>
    </w:p>
    <w:p>
      <w:pPr>
        <w:pStyle w:val="BodyText"/>
        <w:spacing w:before="7"/>
        <w:rPr>
          <w:sz w:val="21"/>
        </w:rPr>
      </w:pPr>
    </w:p>
    <w:p>
      <w:pPr>
        <w:pStyle w:val="Heading8"/>
        <w:ind w:right="287"/>
      </w:pPr>
      <w:r>
        <w:rPr/>
        <w:t>GIFTS IN HONOUR OR IN MEMORY</w:t>
      </w:r>
    </w:p>
    <w:p>
      <w:pPr>
        <w:pStyle w:val="BodyText"/>
        <w:spacing w:line="249" w:lineRule="auto" w:before="86"/>
        <w:ind w:left="107" w:right="235"/>
      </w:pPr>
      <w:r>
        <w:rPr/>
        <w:t>Associate Professor Beth Southwell was an inspiring educator, who was committed to opportunity and excellence. She worked for the University from 1972 until her death in 2007. Through gifts from alumni, staff and friends, the newly created Beth Southwell Memorial Prize will support education</w:t>
      </w:r>
    </w:p>
    <w:p>
      <w:pPr>
        <w:spacing w:after="0" w:line="249" w:lineRule="auto"/>
        <w:sectPr>
          <w:type w:val="continuous"/>
          <w:pgSz w:w="11910" w:h="16840"/>
          <w:pgMar w:top="1580" w:bottom="280" w:left="800" w:right="800"/>
          <w:cols w:num="3" w:equalWidth="0">
            <w:col w:w="3320" w:space="119"/>
            <w:col w:w="3320" w:space="119"/>
            <w:col w:w="3432"/>
          </w:cols>
        </w:sectPr>
      </w:pPr>
    </w:p>
    <w:p>
      <w:pPr>
        <w:pStyle w:val="BodyText"/>
        <w:spacing w:before="7"/>
        <w:rPr>
          <w:sz w:val="17"/>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7"/>
        <w:gridCol w:w="4648"/>
      </w:tblGrid>
      <w:tr>
        <w:trPr>
          <w:trHeight w:val="741" w:hRule="exact"/>
        </w:trPr>
        <w:tc>
          <w:tcPr>
            <w:tcW w:w="5897" w:type="dxa"/>
            <w:tcBorders>
              <w:bottom w:val="single" w:sz="12" w:space="0" w:color="000000"/>
            </w:tcBorders>
            <w:shd w:val="clear" w:color="auto" w:fill="E6E7E8"/>
          </w:tcPr>
          <w:p>
            <w:pPr>
              <w:pStyle w:val="TableParagraph"/>
              <w:spacing w:before="188"/>
              <w:ind w:left="226"/>
              <w:jc w:val="left"/>
              <w:rPr>
                <w:rFonts w:ascii="Gotham Narrow Bold"/>
                <w:b/>
                <w:sz w:val="24"/>
              </w:rPr>
            </w:pPr>
            <w:r>
              <w:rPr>
                <w:rFonts w:ascii="Gotham Narrow Bold"/>
                <w:b/>
                <w:w w:val="95"/>
                <w:sz w:val="24"/>
              </w:rPr>
              <w:t>SUMMARY 2015</w:t>
            </w:r>
          </w:p>
        </w:tc>
        <w:tc>
          <w:tcPr>
            <w:tcW w:w="4648" w:type="dxa"/>
            <w:tcBorders>
              <w:bottom w:val="single" w:sz="12" w:space="0" w:color="000000"/>
            </w:tcBorders>
            <w:shd w:val="clear" w:color="auto" w:fill="E6E7E8"/>
          </w:tcPr>
          <w:p>
            <w:pPr/>
          </w:p>
        </w:tc>
      </w:tr>
      <w:tr>
        <w:trPr>
          <w:trHeight w:val="288" w:hRule="exact"/>
        </w:trPr>
        <w:tc>
          <w:tcPr>
            <w:tcW w:w="5897" w:type="dxa"/>
            <w:tcBorders>
              <w:top w:val="single" w:sz="12" w:space="0" w:color="000000"/>
              <w:bottom w:val="single" w:sz="4" w:space="0" w:color="939598"/>
            </w:tcBorders>
            <w:shd w:val="clear" w:color="auto" w:fill="E6E7E8"/>
          </w:tcPr>
          <w:p>
            <w:pPr>
              <w:pStyle w:val="TableParagraph"/>
              <w:spacing w:before="33"/>
              <w:ind w:left="226"/>
              <w:jc w:val="left"/>
              <w:rPr>
                <w:sz w:val="16"/>
              </w:rPr>
            </w:pPr>
            <w:r>
              <w:rPr>
                <w:sz w:val="16"/>
              </w:rPr>
              <w:t>Donation and sponsorship income</w:t>
            </w:r>
          </w:p>
        </w:tc>
        <w:tc>
          <w:tcPr>
            <w:tcW w:w="4648" w:type="dxa"/>
            <w:tcBorders>
              <w:top w:val="single" w:sz="12" w:space="0" w:color="000000"/>
              <w:bottom w:val="single" w:sz="4" w:space="0" w:color="939598"/>
            </w:tcBorders>
            <w:shd w:val="clear" w:color="auto" w:fill="E6E7E8"/>
          </w:tcPr>
          <w:p>
            <w:pPr>
              <w:pStyle w:val="TableParagraph"/>
              <w:spacing w:before="33"/>
              <w:ind w:left="2928"/>
              <w:jc w:val="left"/>
              <w:rPr>
                <w:sz w:val="16"/>
              </w:rPr>
            </w:pPr>
            <w:r>
              <w:rPr>
                <w:sz w:val="16"/>
              </w:rPr>
              <w:t>$4,656,134</w:t>
            </w:r>
          </w:p>
        </w:tc>
      </w:tr>
      <w:tr>
        <w:trPr>
          <w:trHeight w:val="288" w:hRule="exact"/>
        </w:trPr>
        <w:tc>
          <w:tcPr>
            <w:tcW w:w="5897" w:type="dxa"/>
            <w:tcBorders>
              <w:top w:val="single" w:sz="4" w:space="0" w:color="939598"/>
              <w:bottom w:val="single" w:sz="4" w:space="0" w:color="939598"/>
            </w:tcBorders>
            <w:shd w:val="clear" w:color="auto" w:fill="E6E7E8"/>
          </w:tcPr>
          <w:p>
            <w:pPr>
              <w:pStyle w:val="TableParagraph"/>
              <w:spacing w:before="43"/>
              <w:ind w:left="226"/>
              <w:jc w:val="left"/>
              <w:rPr>
                <w:sz w:val="16"/>
              </w:rPr>
            </w:pPr>
            <w:r>
              <w:rPr>
                <w:sz w:val="16"/>
              </w:rPr>
              <w:t>Number of contributors</w:t>
            </w:r>
          </w:p>
        </w:tc>
        <w:tc>
          <w:tcPr>
            <w:tcW w:w="4648" w:type="dxa"/>
            <w:tcBorders>
              <w:top w:val="single" w:sz="4" w:space="0" w:color="939598"/>
              <w:bottom w:val="single" w:sz="4" w:space="0" w:color="939598"/>
            </w:tcBorders>
            <w:shd w:val="clear" w:color="auto" w:fill="E6E7E8"/>
          </w:tcPr>
          <w:p>
            <w:pPr>
              <w:pStyle w:val="TableParagraph"/>
              <w:spacing w:before="43"/>
              <w:ind w:left="2928"/>
              <w:jc w:val="left"/>
              <w:rPr>
                <w:sz w:val="16"/>
              </w:rPr>
            </w:pPr>
            <w:r>
              <w:rPr>
                <w:sz w:val="16"/>
              </w:rPr>
              <w:t>764</w:t>
            </w:r>
          </w:p>
        </w:tc>
      </w:tr>
      <w:tr>
        <w:trPr>
          <w:trHeight w:val="288" w:hRule="exact"/>
        </w:trPr>
        <w:tc>
          <w:tcPr>
            <w:tcW w:w="5897" w:type="dxa"/>
            <w:tcBorders>
              <w:top w:val="single" w:sz="4" w:space="0" w:color="939598"/>
              <w:bottom w:val="single" w:sz="4" w:space="0" w:color="939598"/>
            </w:tcBorders>
            <w:shd w:val="clear" w:color="auto" w:fill="E6E7E8"/>
          </w:tcPr>
          <w:p>
            <w:pPr>
              <w:pStyle w:val="TableParagraph"/>
              <w:spacing w:before="43"/>
              <w:ind w:left="226"/>
              <w:jc w:val="left"/>
              <w:rPr>
                <w:sz w:val="16"/>
              </w:rPr>
            </w:pPr>
            <w:r>
              <w:rPr>
                <w:sz w:val="16"/>
              </w:rPr>
              <w:t>Donations from new donors</w:t>
            </w:r>
          </w:p>
        </w:tc>
        <w:tc>
          <w:tcPr>
            <w:tcW w:w="4648" w:type="dxa"/>
            <w:tcBorders>
              <w:top w:val="single" w:sz="4" w:space="0" w:color="939598"/>
              <w:bottom w:val="single" w:sz="4" w:space="0" w:color="939598"/>
            </w:tcBorders>
            <w:shd w:val="clear" w:color="auto" w:fill="E6E7E8"/>
          </w:tcPr>
          <w:p>
            <w:pPr>
              <w:pStyle w:val="TableParagraph"/>
              <w:spacing w:before="43"/>
              <w:ind w:left="2928"/>
              <w:jc w:val="left"/>
              <w:rPr>
                <w:sz w:val="16"/>
              </w:rPr>
            </w:pPr>
            <w:r>
              <w:rPr>
                <w:w w:val="90"/>
                <w:sz w:val="16"/>
              </w:rPr>
              <w:t>$1,641,471</w:t>
            </w:r>
          </w:p>
        </w:tc>
      </w:tr>
      <w:tr>
        <w:trPr>
          <w:trHeight w:val="288" w:hRule="exact"/>
        </w:trPr>
        <w:tc>
          <w:tcPr>
            <w:tcW w:w="5897" w:type="dxa"/>
            <w:tcBorders>
              <w:top w:val="single" w:sz="4" w:space="0" w:color="939598"/>
              <w:bottom w:val="single" w:sz="4" w:space="0" w:color="939598"/>
            </w:tcBorders>
            <w:shd w:val="clear" w:color="auto" w:fill="E6E7E8"/>
          </w:tcPr>
          <w:p>
            <w:pPr>
              <w:pStyle w:val="TableParagraph"/>
              <w:spacing w:before="43"/>
              <w:ind w:left="226"/>
              <w:jc w:val="left"/>
              <w:rPr>
                <w:sz w:val="16"/>
              </w:rPr>
            </w:pPr>
            <w:r>
              <w:rPr>
                <w:sz w:val="16"/>
              </w:rPr>
              <w:t>Number of new donors</w:t>
            </w:r>
          </w:p>
        </w:tc>
        <w:tc>
          <w:tcPr>
            <w:tcW w:w="4648" w:type="dxa"/>
            <w:tcBorders>
              <w:top w:val="single" w:sz="4" w:space="0" w:color="939598"/>
              <w:bottom w:val="single" w:sz="4" w:space="0" w:color="939598"/>
            </w:tcBorders>
            <w:shd w:val="clear" w:color="auto" w:fill="E6E7E8"/>
          </w:tcPr>
          <w:p>
            <w:pPr>
              <w:pStyle w:val="TableParagraph"/>
              <w:spacing w:before="43"/>
              <w:ind w:left="2928"/>
              <w:jc w:val="left"/>
              <w:rPr>
                <w:sz w:val="16"/>
              </w:rPr>
            </w:pPr>
            <w:r>
              <w:rPr>
                <w:w w:val="95"/>
                <w:sz w:val="16"/>
              </w:rPr>
              <w:t>413</w:t>
            </w:r>
          </w:p>
        </w:tc>
      </w:tr>
      <w:tr>
        <w:trPr>
          <w:trHeight w:val="288" w:hRule="exact"/>
        </w:trPr>
        <w:tc>
          <w:tcPr>
            <w:tcW w:w="5897" w:type="dxa"/>
            <w:tcBorders>
              <w:top w:val="single" w:sz="4" w:space="0" w:color="939598"/>
              <w:bottom w:val="single" w:sz="4" w:space="0" w:color="939598"/>
            </w:tcBorders>
            <w:shd w:val="clear" w:color="auto" w:fill="E6E7E8"/>
          </w:tcPr>
          <w:p>
            <w:pPr>
              <w:pStyle w:val="TableParagraph"/>
              <w:spacing w:before="43"/>
              <w:ind w:left="226"/>
              <w:jc w:val="left"/>
              <w:rPr>
                <w:sz w:val="16"/>
              </w:rPr>
            </w:pPr>
            <w:r>
              <w:rPr>
                <w:sz w:val="16"/>
              </w:rPr>
              <w:t>Donor-supported scholarships awarded</w:t>
            </w:r>
          </w:p>
        </w:tc>
        <w:tc>
          <w:tcPr>
            <w:tcW w:w="4648" w:type="dxa"/>
            <w:tcBorders>
              <w:top w:val="single" w:sz="4" w:space="0" w:color="939598"/>
              <w:bottom w:val="single" w:sz="4" w:space="0" w:color="939598"/>
            </w:tcBorders>
            <w:shd w:val="clear" w:color="auto" w:fill="E6E7E8"/>
          </w:tcPr>
          <w:p>
            <w:pPr>
              <w:pStyle w:val="TableParagraph"/>
              <w:spacing w:before="43"/>
              <w:ind w:left="2928"/>
              <w:jc w:val="left"/>
              <w:rPr>
                <w:sz w:val="16"/>
              </w:rPr>
            </w:pPr>
            <w:r>
              <w:rPr>
                <w:spacing w:val="3"/>
                <w:w w:val="54"/>
                <w:sz w:val="16"/>
              </w:rPr>
              <w:t>1</w:t>
            </w:r>
            <w:r>
              <w:rPr>
                <w:spacing w:val="4"/>
                <w:w w:val="54"/>
                <w:sz w:val="16"/>
              </w:rPr>
              <w:t>1</w:t>
            </w:r>
            <w:r>
              <w:rPr>
                <w:w w:val="111"/>
                <w:sz w:val="16"/>
              </w:rPr>
              <w:t>0</w:t>
            </w:r>
          </w:p>
        </w:tc>
      </w:tr>
      <w:tr>
        <w:trPr>
          <w:trHeight w:val="288" w:hRule="exact"/>
        </w:trPr>
        <w:tc>
          <w:tcPr>
            <w:tcW w:w="5897" w:type="dxa"/>
            <w:tcBorders>
              <w:top w:val="single" w:sz="4" w:space="0" w:color="939598"/>
              <w:bottom w:val="single" w:sz="4" w:space="0" w:color="939598"/>
            </w:tcBorders>
            <w:shd w:val="clear" w:color="auto" w:fill="E6E7E8"/>
          </w:tcPr>
          <w:p>
            <w:pPr>
              <w:pStyle w:val="TableParagraph"/>
              <w:spacing w:before="43"/>
              <w:ind w:left="226"/>
              <w:jc w:val="left"/>
              <w:rPr>
                <w:sz w:val="16"/>
              </w:rPr>
            </w:pPr>
            <w:r>
              <w:rPr>
                <w:sz w:val="16"/>
              </w:rPr>
              <w:t>Donor-supported prizes awarded</w:t>
            </w:r>
          </w:p>
        </w:tc>
        <w:tc>
          <w:tcPr>
            <w:tcW w:w="4648" w:type="dxa"/>
            <w:tcBorders>
              <w:top w:val="single" w:sz="4" w:space="0" w:color="939598"/>
              <w:bottom w:val="single" w:sz="4" w:space="0" w:color="939598"/>
            </w:tcBorders>
            <w:shd w:val="clear" w:color="auto" w:fill="E6E7E8"/>
          </w:tcPr>
          <w:p>
            <w:pPr>
              <w:pStyle w:val="TableParagraph"/>
              <w:spacing w:before="43"/>
              <w:ind w:left="2928"/>
              <w:jc w:val="left"/>
              <w:rPr>
                <w:sz w:val="16"/>
              </w:rPr>
            </w:pPr>
            <w:r>
              <w:rPr>
                <w:w w:val="95"/>
                <w:sz w:val="16"/>
              </w:rPr>
              <w:t>170</w:t>
            </w:r>
          </w:p>
        </w:tc>
      </w:tr>
      <w:tr>
        <w:trPr>
          <w:trHeight w:val="288" w:hRule="exact"/>
        </w:trPr>
        <w:tc>
          <w:tcPr>
            <w:tcW w:w="5897" w:type="dxa"/>
            <w:tcBorders>
              <w:top w:val="single" w:sz="4" w:space="0" w:color="939598"/>
              <w:bottom w:val="single" w:sz="4" w:space="0" w:color="939598"/>
            </w:tcBorders>
            <w:shd w:val="clear" w:color="auto" w:fill="E6E7E8"/>
          </w:tcPr>
          <w:p>
            <w:pPr>
              <w:pStyle w:val="TableParagraph"/>
              <w:spacing w:before="43"/>
              <w:ind w:left="226"/>
              <w:jc w:val="left"/>
              <w:rPr>
                <w:sz w:val="16"/>
              </w:rPr>
            </w:pPr>
            <w:r>
              <w:rPr>
                <w:sz w:val="16"/>
              </w:rPr>
              <w:t>Number of staff givers</w:t>
            </w:r>
          </w:p>
        </w:tc>
        <w:tc>
          <w:tcPr>
            <w:tcW w:w="4648" w:type="dxa"/>
            <w:tcBorders>
              <w:top w:val="single" w:sz="4" w:space="0" w:color="939598"/>
              <w:bottom w:val="single" w:sz="4" w:space="0" w:color="939598"/>
            </w:tcBorders>
            <w:shd w:val="clear" w:color="auto" w:fill="E6E7E8"/>
          </w:tcPr>
          <w:p>
            <w:pPr>
              <w:pStyle w:val="TableParagraph"/>
              <w:spacing w:before="43"/>
              <w:ind w:left="2928"/>
              <w:jc w:val="left"/>
              <w:rPr>
                <w:sz w:val="16"/>
              </w:rPr>
            </w:pPr>
            <w:r>
              <w:rPr>
                <w:sz w:val="16"/>
              </w:rPr>
              <w:t>410</w:t>
            </w:r>
          </w:p>
        </w:tc>
      </w:tr>
      <w:tr>
        <w:trPr>
          <w:trHeight w:val="288" w:hRule="exact"/>
        </w:trPr>
        <w:tc>
          <w:tcPr>
            <w:tcW w:w="5897" w:type="dxa"/>
            <w:tcBorders>
              <w:top w:val="single" w:sz="4" w:space="0" w:color="939598"/>
              <w:bottom w:val="single" w:sz="4" w:space="0" w:color="939598"/>
            </w:tcBorders>
            <w:shd w:val="clear" w:color="auto" w:fill="E6E7E8"/>
          </w:tcPr>
          <w:p>
            <w:pPr>
              <w:pStyle w:val="TableParagraph"/>
              <w:spacing w:before="43"/>
              <w:ind w:left="226"/>
              <w:jc w:val="left"/>
              <w:rPr>
                <w:sz w:val="16"/>
              </w:rPr>
            </w:pPr>
            <w:r>
              <w:rPr>
                <w:sz w:val="16"/>
              </w:rPr>
              <w:t>Contribution by staff givers</w:t>
            </w:r>
          </w:p>
        </w:tc>
        <w:tc>
          <w:tcPr>
            <w:tcW w:w="4648" w:type="dxa"/>
            <w:tcBorders>
              <w:top w:val="single" w:sz="4" w:space="0" w:color="939598"/>
              <w:bottom w:val="single" w:sz="4" w:space="0" w:color="939598"/>
            </w:tcBorders>
            <w:shd w:val="clear" w:color="auto" w:fill="E6E7E8"/>
          </w:tcPr>
          <w:p>
            <w:pPr>
              <w:pStyle w:val="TableParagraph"/>
              <w:spacing w:before="43"/>
              <w:ind w:left="2928"/>
              <w:jc w:val="left"/>
              <w:rPr>
                <w:sz w:val="16"/>
              </w:rPr>
            </w:pPr>
            <w:r>
              <w:rPr>
                <w:sz w:val="16"/>
              </w:rPr>
              <w:t>$243,565</w:t>
            </w:r>
          </w:p>
        </w:tc>
      </w:tr>
      <w:tr>
        <w:trPr>
          <w:trHeight w:val="288" w:hRule="exact"/>
        </w:trPr>
        <w:tc>
          <w:tcPr>
            <w:tcW w:w="5897" w:type="dxa"/>
            <w:tcBorders>
              <w:top w:val="single" w:sz="4" w:space="0" w:color="939598"/>
              <w:bottom w:val="single" w:sz="4" w:space="0" w:color="939598"/>
            </w:tcBorders>
            <w:shd w:val="clear" w:color="auto" w:fill="E6E7E8"/>
          </w:tcPr>
          <w:p>
            <w:pPr>
              <w:pStyle w:val="TableParagraph"/>
              <w:spacing w:before="43"/>
              <w:ind w:left="226"/>
              <w:jc w:val="left"/>
              <w:rPr>
                <w:sz w:val="16"/>
              </w:rPr>
            </w:pPr>
            <w:r>
              <w:rPr>
                <w:sz w:val="16"/>
              </w:rPr>
              <w:t>Number of alumni</w:t>
            </w:r>
          </w:p>
        </w:tc>
        <w:tc>
          <w:tcPr>
            <w:tcW w:w="4648" w:type="dxa"/>
            <w:tcBorders>
              <w:top w:val="single" w:sz="4" w:space="0" w:color="939598"/>
              <w:bottom w:val="single" w:sz="4" w:space="0" w:color="939598"/>
            </w:tcBorders>
            <w:shd w:val="clear" w:color="auto" w:fill="E6E7E8"/>
          </w:tcPr>
          <w:p>
            <w:pPr>
              <w:pStyle w:val="TableParagraph"/>
              <w:spacing w:before="43"/>
              <w:ind w:left="2928"/>
              <w:jc w:val="left"/>
              <w:rPr>
                <w:sz w:val="16"/>
              </w:rPr>
            </w:pPr>
            <w:r>
              <w:rPr>
                <w:w w:val="90"/>
                <w:sz w:val="16"/>
              </w:rPr>
              <w:t>162,817</w:t>
            </w:r>
          </w:p>
        </w:tc>
      </w:tr>
      <w:tr>
        <w:trPr>
          <w:trHeight w:val="288" w:hRule="exact"/>
        </w:trPr>
        <w:tc>
          <w:tcPr>
            <w:tcW w:w="5897" w:type="dxa"/>
            <w:tcBorders>
              <w:top w:val="single" w:sz="4" w:space="0" w:color="939598"/>
              <w:bottom w:val="single" w:sz="4" w:space="0" w:color="939598"/>
            </w:tcBorders>
            <w:shd w:val="clear" w:color="auto" w:fill="E6E7E8"/>
          </w:tcPr>
          <w:p>
            <w:pPr>
              <w:pStyle w:val="TableParagraph"/>
              <w:spacing w:before="43"/>
              <w:ind w:left="226"/>
              <w:jc w:val="left"/>
              <w:rPr>
                <w:sz w:val="16"/>
              </w:rPr>
            </w:pPr>
            <w:r>
              <w:rPr>
                <w:spacing w:val="3"/>
                <w:w w:val="101"/>
                <w:sz w:val="16"/>
              </w:rPr>
              <w:t>N</w:t>
            </w:r>
            <w:r>
              <w:rPr>
                <w:spacing w:val="1"/>
                <w:w w:val="95"/>
                <w:sz w:val="16"/>
              </w:rPr>
              <w:t>u</w:t>
            </w:r>
            <w:r>
              <w:rPr>
                <w:spacing w:val="2"/>
                <w:w w:val="98"/>
                <w:sz w:val="16"/>
              </w:rPr>
              <w:t>m</w:t>
            </w:r>
            <w:r>
              <w:rPr>
                <w:spacing w:val="2"/>
                <w:w w:val="102"/>
                <w:sz w:val="16"/>
              </w:rPr>
              <w:t>b</w:t>
            </w:r>
            <w:r>
              <w:rPr>
                <w:spacing w:val="2"/>
                <w:w w:val="95"/>
                <w:sz w:val="16"/>
              </w:rPr>
              <w:t>e</w:t>
            </w:r>
            <w:r>
              <w:rPr>
                <w:w w:val="95"/>
                <w:sz w:val="16"/>
              </w:rPr>
              <w:t>r</w:t>
            </w:r>
            <w:r>
              <w:rPr>
                <w:spacing w:val="-12"/>
                <w:sz w:val="16"/>
              </w:rPr>
              <w:t> </w:t>
            </w:r>
            <w:r>
              <w:rPr>
                <w:w w:val="100"/>
                <w:sz w:val="16"/>
              </w:rPr>
              <w:t>o</w:t>
            </w:r>
            <w:r>
              <w:rPr>
                <w:w w:val="98"/>
                <w:sz w:val="16"/>
              </w:rPr>
              <w:t>f</w:t>
            </w:r>
            <w:r>
              <w:rPr>
                <w:spacing w:val="-12"/>
                <w:sz w:val="16"/>
              </w:rPr>
              <w:t> </w:t>
            </w:r>
            <w:r>
              <w:rPr>
                <w:spacing w:val="2"/>
                <w:w w:val="95"/>
                <w:sz w:val="16"/>
              </w:rPr>
              <w:t>n</w:t>
            </w:r>
            <w:r>
              <w:rPr>
                <w:spacing w:val="-1"/>
                <w:w w:val="95"/>
                <w:sz w:val="16"/>
              </w:rPr>
              <w:t>e</w:t>
            </w:r>
            <w:r>
              <w:rPr>
                <w:w w:val="101"/>
                <w:sz w:val="16"/>
              </w:rPr>
              <w:t>w</w:t>
            </w:r>
            <w:r>
              <w:rPr>
                <w:spacing w:val="-12"/>
                <w:sz w:val="16"/>
              </w:rPr>
              <w:t> </w:t>
            </w:r>
            <w:r>
              <w:rPr>
                <w:spacing w:val="2"/>
                <w:w w:val="102"/>
                <w:sz w:val="16"/>
              </w:rPr>
              <w:t>g</w:t>
            </w:r>
            <w:r>
              <w:rPr>
                <w:spacing w:val="2"/>
                <w:w w:val="95"/>
                <w:sz w:val="16"/>
              </w:rPr>
              <w:t>r</w:t>
            </w:r>
            <w:r>
              <w:rPr>
                <w:spacing w:val="2"/>
                <w:w w:val="94"/>
                <w:sz w:val="16"/>
              </w:rPr>
              <w:t>a</w:t>
            </w:r>
            <w:r>
              <w:rPr>
                <w:spacing w:val="2"/>
                <w:w w:val="102"/>
                <w:sz w:val="16"/>
              </w:rPr>
              <w:t>d</w:t>
            </w:r>
            <w:r>
              <w:rPr>
                <w:spacing w:val="2"/>
                <w:w w:val="95"/>
                <w:sz w:val="16"/>
              </w:rPr>
              <w:t>u</w:t>
            </w:r>
            <w:r>
              <w:rPr>
                <w:w w:val="94"/>
                <w:sz w:val="16"/>
              </w:rPr>
              <w:t>a</w:t>
            </w:r>
            <w:r>
              <w:rPr>
                <w:spacing w:val="-2"/>
                <w:w w:val="102"/>
                <w:sz w:val="16"/>
              </w:rPr>
              <w:t>t</w:t>
            </w:r>
            <w:r>
              <w:rPr>
                <w:spacing w:val="3"/>
                <w:w w:val="95"/>
                <w:sz w:val="16"/>
              </w:rPr>
              <w:t>e</w:t>
            </w:r>
            <w:r>
              <w:rPr>
                <w:w w:val="95"/>
                <w:sz w:val="16"/>
              </w:rPr>
              <w:t>s</w:t>
            </w:r>
            <w:r>
              <w:rPr>
                <w:spacing w:val="-12"/>
                <w:sz w:val="16"/>
              </w:rPr>
              <w:t> </w:t>
            </w:r>
            <w:r>
              <w:rPr>
                <w:spacing w:val="1"/>
                <w:w w:val="95"/>
                <w:sz w:val="16"/>
              </w:rPr>
              <w:t>i</w:t>
            </w:r>
            <w:r>
              <w:rPr>
                <w:w w:val="95"/>
                <w:sz w:val="16"/>
              </w:rPr>
              <w:t>n</w:t>
            </w:r>
            <w:r>
              <w:rPr>
                <w:spacing w:val="-12"/>
                <w:sz w:val="16"/>
              </w:rPr>
              <w:t> </w:t>
            </w:r>
            <w:r>
              <w:rPr>
                <w:spacing w:val="2"/>
                <w:w w:val="93"/>
                <w:sz w:val="16"/>
              </w:rPr>
              <w:t>2</w:t>
            </w:r>
            <w:r>
              <w:rPr>
                <w:spacing w:val="1"/>
                <w:w w:val="111"/>
                <w:sz w:val="16"/>
              </w:rPr>
              <w:t>0</w:t>
            </w:r>
            <w:r>
              <w:rPr>
                <w:spacing w:val="2"/>
                <w:w w:val="54"/>
                <w:sz w:val="16"/>
              </w:rPr>
              <w:t>1</w:t>
            </w:r>
            <w:r>
              <w:rPr>
                <w:w w:val="95"/>
                <w:sz w:val="16"/>
              </w:rPr>
              <w:t>5</w:t>
            </w:r>
          </w:p>
        </w:tc>
        <w:tc>
          <w:tcPr>
            <w:tcW w:w="4648" w:type="dxa"/>
            <w:tcBorders>
              <w:top w:val="single" w:sz="4" w:space="0" w:color="939598"/>
              <w:bottom w:val="single" w:sz="4" w:space="0" w:color="939598"/>
            </w:tcBorders>
            <w:shd w:val="clear" w:color="auto" w:fill="E6E7E8"/>
          </w:tcPr>
          <w:p>
            <w:pPr>
              <w:pStyle w:val="TableParagraph"/>
              <w:spacing w:before="43"/>
              <w:ind w:left="2928"/>
              <w:jc w:val="left"/>
              <w:rPr>
                <w:sz w:val="16"/>
              </w:rPr>
            </w:pPr>
            <w:r>
              <w:rPr>
                <w:w w:val="90"/>
                <w:sz w:val="16"/>
              </w:rPr>
              <w:t>8,177</w:t>
            </w:r>
          </w:p>
        </w:tc>
      </w:tr>
      <w:tr>
        <w:trPr>
          <w:trHeight w:val="305" w:hRule="exact"/>
        </w:trPr>
        <w:tc>
          <w:tcPr>
            <w:tcW w:w="5897" w:type="dxa"/>
            <w:tcBorders>
              <w:top w:val="single" w:sz="4" w:space="0" w:color="939598"/>
            </w:tcBorders>
            <w:shd w:val="clear" w:color="auto" w:fill="E6E7E8"/>
          </w:tcPr>
          <w:p>
            <w:pPr/>
          </w:p>
        </w:tc>
        <w:tc>
          <w:tcPr>
            <w:tcW w:w="4648" w:type="dxa"/>
            <w:tcBorders>
              <w:top w:val="single" w:sz="4" w:space="0" w:color="939598"/>
            </w:tcBorders>
            <w:shd w:val="clear" w:color="auto" w:fill="E6E7E8"/>
          </w:tcPr>
          <w:p>
            <w:pPr/>
          </w:p>
        </w:tc>
      </w:tr>
    </w:tbl>
    <w:p>
      <w:pPr>
        <w:pStyle w:val="BodyText"/>
        <w:spacing w:before="3"/>
        <w:rPr>
          <w:sz w:val="15"/>
        </w:rPr>
      </w:pPr>
    </w:p>
    <w:p>
      <w:pPr>
        <w:spacing w:after="0"/>
        <w:rPr>
          <w:sz w:val="15"/>
        </w:rPr>
        <w:sectPr>
          <w:pgSz w:w="11910" w:h="16840"/>
          <w:pgMar w:header="494" w:footer="473" w:top="680" w:bottom="660" w:left="580" w:right="580"/>
        </w:sectPr>
      </w:pPr>
    </w:p>
    <w:p>
      <w:pPr>
        <w:pStyle w:val="BodyText"/>
        <w:spacing w:line="249" w:lineRule="auto" w:before="72"/>
        <w:ind w:left="327" w:right="-1"/>
      </w:pPr>
      <w:r>
        <w:rPr/>
        <w:t>students.</w:t>
      </w:r>
      <w:r>
        <w:rPr>
          <w:spacing w:val="-19"/>
        </w:rPr>
        <w:t> </w:t>
      </w:r>
      <w:r>
        <w:rPr/>
        <w:t>In</w:t>
      </w:r>
      <w:r>
        <w:rPr>
          <w:spacing w:val="-19"/>
        </w:rPr>
        <w:t> </w:t>
      </w:r>
      <w:r>
        <w:rPr>
          <w:spacing w:val="2"/>
        </w:rPr>
        <w:t>memory</w:t>
      </w:r>
      <w:r>
        <w:rPr>
          <w:spacing w:val="-19"/>
        </w:rPr>
        <w:t> </w:t>
      </w:r>
      <w:r>
        <w:rPr/>
        <w:t>of</w:t>
      </w:r>
      <w:r>
        <w:rPr>
          <w:spacing w:val="-19"/>
        </w:rPr>
        <w:t> </w:t>
      </w:r>
      <w:r>
        <w:rPr/>
        <w:t>Professor</w:t>
      </w:r>
      <w:r>
        <w:rPr>
          <w:spacing w:val="-19"/>
        </w:rPr>
        <w:t> </w:t>
      </w:r>
      <w:r>
        <w:rPr/>
        <w:t>Southwell’s passion and dedication, the prize recognises final</w:t>
      </w:r>
      <w:r>
        <w:rPr>
          <w:spacing w:val="-15"/>
        </w:rPr>
        <w:t> </w:t>
      </w:r>
      <w:r>
        <w:rPr/>
        <w:t>year</w:t>
      </w:r>
      <w:r>
        <w:rPr>
          <w:spacing w:val="-15"/>
        </w:rPr>
        <w:t> </w:t>
      </w:r>
      <w:r>
        <w:rPr/>
        <w:t>education</w:t>
      </w:r>
      <w:r>
        <w:rPr>
          <w:spacing w:val="-15"/>
        </w:rPr>
        <w:t> </w:t>
      </w:r>
      <w:r>
        <w:rPr/>
        <w:t>students</w:t>
      </w:r>
      <w:r>
        <w:rPr>
          <w:spacing w:val="-15"/>
        </w:rPr>
        <w:t> </w:t>
      </w:r>
      <w:r>
        <w:rPr/>
        <w:t>with</w:t>
      </w:r>
      <w:r>
        <w:rPr>
          <w:spacing w:val="-15"/>
        </w:rPr>
        <w:t> </w:t>
      </w:r>
      <w:r>
        <w:rPr/>
        <w:t>outstanding performance</w:t>
      </w:r>
      <w:r>
        <w:rPr>
          <w:spacing w:val="-23"/>
        </w:rPr>
        <w:t> </w:t>
      </w:r>
      <w:r>
        <w:rPr/>
        <w:t>in</w:t>
      </w:r>
      <w:r>
        <w:rPr>
          <w:spacing w:val="-23"/>
        </w:rPr>
        <w:t> </w:t>
      </w:r>
      <w:r>
        <w:rPr>
          <w:spacing w:val="2"/>
        </w:rPr>
        <w:t>Secondary</w:t>
      </w:r>
      <w:r>
        <w:rPr>
          <w:spacing w:val="-23"/>
        </w:rPr>
        <w:t> </w:t>
      </w:r>
      <w:r>
        <w:rPr/>
        <w:t>Mathematics.</w:t>
      </w:r>
    </w:p>
    <w:p>
      <w:pPr>
        <w:pStyle w:val="BodyText"/>
        <w:spacing w:before="7"/>
        <w:rPr>
          <w:sz w:val="21"/>
        </w:rPr>
      </w:pPr>
    </w:p>
    <w:p>
      <w:pPr>
        <w:pStyle w:val="Heading8"/>
        <w:ind w:left="327" w:right="-1"/>
      </w:pPr>
      <w:r>
        <w:rPr>
          <w:w w:val="95"/>
        </w:rPr>
        <w:t>STAFF GIVING</w:t>
      </w:r>
    </w:p>
    <w:p>
      <w:pPr>
        <w:pStyle w:val="BodyText"/>
        <w:spacing w:line="249" w:lineRule="auto" w:before="86"/>
        <w:ind w:left="327" w:right="11"/>
      </w:pPr>
      <w:r>
        <w:rPr>
          <w:spacing w:val="-5"/>
        </w:rPr>
        <w:t>To </w:t>
      </w:r>
      <w:r>
        <w:rPr/>
        <w:t>support the University’s mission to make sure students succeed, the Office works to increase</w:t>
      </w:r>
      <w:r>
        <w:rPr>
          <w:spacing w:val="-18"/>
        </w:rPr>
        <w:t> </w:t>
      </w:r>
      <w:r>
        <w:rPr/>
        <w:t>the</w:t>
      </w:r>
      <w:r>
        <w:rPr>
          <w:spacing w:val="-18"/>
        </w:rPr>
        <w:t> </w:t>
      </w:r>
      <w:r>
        <w:rPr/>
        <w:t>number</w:t>
      </w:r>
      <w:r>
        <w:rPr>
          <w:spacing w:val="-18"/>
        </w:rPr>
        <w:t> </w:t>
      </w:r>
      <w:r>
        <w:rPr/>
        <w:t>of</w:t>
      </w:r>
      <w:r>
        <w:rPr>
          <w:spacing w:val="-18"/>
        </w:rPr>
        <w:t> </w:t>
      </w:r>
      <w:r>
        <w:rPr/>
        <w:t>scholarships</w:t>
      </w:r>
      <w:r>
        <w:rPr>
          <w:spacing w:val="-18"/>
        </w:rPr>
        <w:t> </w:t>
      </w:r>
      <w:r>
        <w:rPr/>
        <w:t>available </w:t>
      </w:r>
      <w:r>
        <w:rPr>
          <w:w w:val="98"/>
        </w:rPr>
        <w:t>for </w:t>
      </w:r>
      <w:r>
        <w:rPr>
          <w:spacing w:val="2"/>
          <w:w w:val="97"/>
        </w:rPr>
        <w:t>deserving</w:t>
      </w:r>
      <w:r>
        <w:rPr>
          <w:w w:val="97"/>
        </w:rPr>
        <w:t> </w:t>
      </w:r>
      <w:r>
        <w:rPr>
          <w:spacing w:val="2"/>
          <w:w w:val="94"/>
        </w:rPr>
        <w:t>students.</w:t>
      </w:r>
      <w:r>
        <w:rPr>
          <w:w w:val="94"/>
        </w:rPr>
        <w:t> </w:t>
      </w:r>
      <w:r>
        <w:rPr>
          <w:spacing w:val="1"/>
          <w:w w:val="80"/>
        </w:rPr>
        <w:t>In</w:t>
      </w:r>
      <w:r>
        <w:rPr>
          <w:w w:val="80"/>
        </w:rPr>
        <w:t> </w:t>
      </w:r>
      <w:r>
        <w:rPr>
          <w:spacing w:val="1"/>
          <w:w w:val="84"/>
        </w:rPr>
        <w:t>2015,</w:t>
      </w:r>
      <w:r>
        <w:rPr>
          <w:w w:val="84"/>
        </w:rPr>
        <w:t> </w:t>
      </w:r>
      <w:r>
        <w:rPr>
          <w:w w:val="97"/>
        </w:rPr>
        <w:t>the </w:t>
      </w:r>
      <w:r>
        <w:rPr>
          <w:spacing w:val="1"/>
          <w:w w:val="98"/>
        </w:rPr>
        <w:t>Office</w:t>
      </w:r>
      <w:r>
        <w:rPr>
          <w:w w:val="98"/>
        </w:rPr>
        <w:t> </w:t>
      </w:r>
      <w:r>
        <w:rPr/>
        <w:t>appealed to University staff to join the Staff Giving</w:t>
      </w:r>
      <w:r>
        <w:rPr>
          <w:spacing w:val="-19"/>
        </w:rPr>
        <w:t> </w:t>
      </w:r>
      <w:r>
        <w:rPr/>
        <w:t>program.</w:t>
      </w:r>
      <w:r>
        <w:rPr>
          <w:spacing w:val="-19"/>
        </w:rPr>
        <w:t> </w:t>
      </w:r>
      <w:r>
        <w:rPr/>
        <w:t>The</w:t>
      </w:r>
      <w:r>
        <w:rPr>
          <w:spacing w:val="-19"/>
        </w:rPr>
        <w:t> </w:t>
      </w:r>
      <w:r>
        <w:rPr/>
        <w:t>program,</w:t>
      </w:r>
      <w:r>
        <w:rPr>
          <w:spacing w:val="-19"/>
        </w:rPr>
        <w:t> </w:t>
      </w:r>
      <w:r>
        <w:rPr/>
        <w:t>which</w:t>
      </w:r>
      <w:r>
        <w:rPr>
          <w:spacing w:val="-19"/>
        </w:rPr>
        <w:t> </w:t>
      </w:r>
      <w:r>
        <w:rPr>
          <w:spacing w:val="2"/>
        </w:rPr>
        <w:t>supports </w:t>
      </w:r>
      <w:r>
        <w:rPr/>
        <w:t>Western Sydney University Community Scholarships,</w:t>
      </w:r>
      <w:r>
        <w:rPr>
          <w:spacing w:val="-18"/>
        </w:rPr>
        <w:t> </w:t>
      </w:r>
      <w:r>
        <w:rPr/>
        <w:t>was</w:t>
      </w:r>
      <w:r>
        <w:rPr>
          <w:spacing w:val="-18"/>
        </w:rPr>
        <w:t> </w:t>
      </w:r>
      <w:r>
        <w:rPr/>
        <w:t>extended</w:t>
      </w:r>
      <w:r>
        <w:rPr>
          <w:spacing w:val="-18"/>
        </w:rPr>
        <w:t> </w:t>
      </w:r>
      <w:r>
        <w:rPr/>
        <w:t>to</w:t>
      </w:r>
      <w:r>
        <w:rPr>
          <w:spacing w:val="-18"/>
        </w:rPr>
        <w:t> </w:t>
      </w:r>
      <w:r>
        <w:rPr/>
        <w:t>include</w:t>
      </w:r>
    </w:p>
    <w:p>
      <w:pPr>
        <w:pStyle w:val="BodyText"/>
        <w:spacing w:line="249" w:lineRule="auto"/>
        <w:ind w:left="327" w:right="184"/>
      </w:pPr>
      <w:r>
        <w:rPr/>
        <w:t>new postgraduate research scholarships and</w:t>
      </w:r>
      <w:r>
        <w:rPr>
          <w:spacing w:val="-21"/>
        </w:rPr>
        <w:t> </w:t>
      </w:r>
      <w:r>
        <w:rPr/>
        <w:t>scholarships</w:t>
      </w:r>
      <w:r>
        <w:rPr>
          <w:spacing w:val="-21"/>
        </w:rPr>
        <w:t> </w:t>
      </w:r>
      <w:r>
        <w:rPr/>
        <w:t>for</w:t>
      </w:r>
      <w:r>
        <w:rPr>
          <w:spacing w:val="-21"/>
        </w:rPr>
        <w:t> </w:t>
      </w:r>
      <w:r>
        <w:rPr/>
        <w:t>refugee</w:t>
      </w:r>
      <w:r>
        <w:rPr>
          <w:spacing w:val="-21"/>
        </w:rPr>
        <w:t> </w:t>
      </w:r>
      <w:r>
        <w:rPr/>
        <w:t>students.</w:t>
      </w:r>
      <w:r>
        <w:rPr>
          <w:spacing w:val="-21"/>
        </w:rPr>
        <w:t> </w:t>
      </w:r>
      <w:r>
        <w:rPr/>
        <w:t>The</w:t>
      </w:r>
    </w:p>
    <w:p>
      <w:pPr>
        <w:pStyle w:val="BodyText"/>
        <w:spacing w:line="249" w:lineRule="auto"/>
        <w:ind w:left="327" w:right="59"/>
      </w:pPr>
      <w:r>
        <w:rPr/>
        <w:t>University matches staff donations, doubling the benefit to students.</w:t>
      </w:r>
    </w:p>
    <w:p>
      <w:pPr>
        <w:pStyle w:val="BodyText"/>
        <w:rPr>
          <w:sz w:val="14"/>
        </w:rPr>
      </w:pPr>
    </w:p>
    <w:p>
      <w:pPr>
        <w:pStyle w:val="BodyText"/>
        <w:spacing w:line="249" w:lineRule="auto"/>
        <w:ind w:left="327" w:right="19"/>
      </w:pPr>
      <w:r>
        <w:rPr/>
        <w:t>Staff</w:t>
      </w:r>
      <w:r>
        <w:rPr>
          <w:spacing w:val="-29"/>
        </w:rPr>
        <w:t> </w:t>
      </w:r>
      <w:r>
        <w:rPr/>
        <w:t>Giving</w:t>
      </w:r>
      <w:r>
        <w:rPr>
          <w:spacing w:val="-29"/>
        </w:rPr>
        <w:t> </w:t>
      </w:r>
      <w:r>
        <w:rPr/>
        <w:t>enables</w:t>
      </w:r>
      <w:r>
        <w:rPr>
          <w:spacing w:val="-29"/>
        </w:rPr>
        <w:t> </w:t>
      </w:r>
      <w:r>
        <w:rPr/>
        <w:t>academic</w:t>
      </w:r>
      <w:r>
        <w:rPr>
          <w:spacing w:val="-29"/>
        </w:rPr>
        <w:t> </w:t>
      </w:r>
      <w:r>
        <w:rPr/>
        <w:t>and</w:t>
      </w:r>
      <w:r>
        <w:rPr>
          <w:spacing w:val="-29"/>
        </w:rPr>
        <w:t> </w:t>
      </w:r>
      <w:r>
        <w:rPr/>
        <w:t>professional staff to contribute to scholarships through fortnightly</w:t>
      </w:r>
      <w:r>
        <w:rPr>
          <w:spacing w:val="-25"/>
        </w:rPr>
        <w:t> </w:t>
      </w:r>
      <w:r>
        <w:rPr/>
        <w:t>payroll</w:t>
      </w:r>
      <w:r>
        <w:rPr>
          <w:spacing w:val="-25"/>
        </w:rPr>
        <w:t> </w:t>
      </w:r>
      <w:r>
        <w:rPr/>
        <w:t>donations.</w:t>
      </w:r>
      <w:r>
        <w:rPr>
          <w:spacing w:val="-25"/>
        </w:rPr>
        <w:t> </w:t>
      </w:r>
      <w:r>
        <w:rPr/>
        <w:t>At</w:t>
      </w:r>
      <w:r>
        <w:rPr>
          <w:spacing w:val="-25"/>
        </w:rPr>
        <w:t> </w:t>
      </w:r>
      <w:r>
        <w:rPr/>
        <w:t>the</w:t>
      </w:r>
      <w:r>
        <w:rPr>
          <w:spacing w:val="-25"/>
        </w:rPr>
        <w:t> </w:t>
      </w:r>
      <w:r>
        <w:rPr/>
        <w:t>beginning </w:t>
      </w:r>
      <w:r>
        <w:rPr>
          <w:spacing w:val="-1"/>
          <w:w w:val="99"/>
        </w:rPr>
        <w:t>of</w:t>
      </w:r>
      <w:r>
        <w:rPr>
          <w:w w:val="99"/>
        </w:rPr>
        <w:t> </w:t>
      </w:r>
      <w:r>
        <w:rPr>
          <w:w w:val="97"/>
        </w:rPr>
        <w:t>the </w:t>
      </w:r>
      <w:r>
        <w:rPr>
          <w:w w:val="97"/>
        </w:rPr>
        <w:t>appeal </w:t>
      </w:r>
      <w:r>
        <w:rPr>
          <w:spacing w:val="-1"/>
          <w:w w:val="95"/>
        </w:rPr>
        <w:t>in</w:t>
      </w:r>
      <w:r>
        <w:rPr>
          <w:w w:val="95"/>
        </w:rPr>
        <w:t> </w:t>
      </w:r>
      <w:r>
        <w:rPr>
          <w:spacing w:val="-1"/>
          <w:w w:val="96"/>
        </w:rPr>
        <w:t>October,</w:t>
      </w:r>
      <w:r>
        <w:rPr>
          <w:w w:val="96"/>
        </w:rPr>
        <w:t> </w:t>
      </w:r>
      <w:r>
        <w:rPr>
          <w:w w:val="99"/>
        </w:rPr>
        <w:t>about </w:t>
      </w:r>
      <w:r>
        <w:rPr>
          <w:spacing w:val="2"/>
          <w:w w:val="87"/>
        </w:rPr>
        <w:t>180</w:t>
      </w:r>
      <w:r>
        <w:rPr>
          <w:w w:val="87"/>
        </w:rPr>
        <w:t> </w:t>
      </w:r>
      <w:r>
        <w:rPr>
          <w:w w:val="97"/>
        </w:rPr>
        <w:t>staff </w:t>
      </w:r>
      <w:r>
        <w:rPr/>
        <w:t>members participated in the Staff Giving program. At the end of the appeal on </w:t>
      </w:r>
      <w:r>
        <w:rPr>
          <w:w w:val="95"/>
        </w:rPr>
        <w:t>1 </w:t>
      </w:r>
      <w:r>
        <w:rPr/>
        <w:t>December,</w:t>
      </w:r>
      <w:r>
        <w:rPr>
          <w:spacing w:val="-25"/>
        </w:rPr>
        <w:t> </w:t>
      </w:r>
      <w:r>
        <w:rPr/>
        <w:t>more</w:t>
      </w:r>
      <w:r>
        <w:rPr>
          <w:spacing w:val="-25"/>
        </w:rPr>
        <w:t> </w:t>
      </w:r>
      <w:r>
        <w:rPr/>
        <w:t>than</w:t>
      </w:r>
      <w:r>
        <w:rPr>
          <w:spacing w:val="-25"/>
        </w:rPr>
        <w:t> </w:t>
      </w:r>
      <w:r>
        <w:rPr/>
        <w:t>400</w:t>
      </w:r>
      <w:r>
        <w:rPr>
          <w:spacing w:val="-25"/>
        </w:rPr>
        <w:t> </w:t>
      </w:r>
      <w:r>
        <w:rPr/>
        <w:t>staff</w:t>
      </w:r>
      <w:r>
        <w:rPr>
          <w:spacing w:val="-25"/>
        </w:rPr>
        <w:t> </w:t>
      </w:r>
      <w:r>
        <w:rPr/>
        <w:t>members</w:t>
      </w:r>
      <w:r>
        <w:rPr>
          <w:spacing w:val="-25"/>
        </w:rPr>
        <w:t> </w:t>
      </w:r>
      <w:r>
        <w:rPr/>
        <w:t>were giving</w:t>
      </w:r>
      <w:r>
        <w:rPr>
          <w:spacing w:val="-26"/>
        </w:rPr>
        <w:t> </w:t>
      </w:r>
      <w:r>
        <w:rPr/>
        <w:t>regularly,</w:t>
      </w:r>
      <w:r>
        <w:rPr>
          <w:spacing w:val="-26"/>
        </w:rPr>
        <w:t> </w:t>
      </w:r>
      <w:r>
        <w:rPr/>
        <w:t>placing</w:t>
      </w:r>
      <w:r>
        <w:rPr>
          <w:spacing w:val="-26"/>
        </w:rPr>
        <w:t> </w:t>
      </w:r>
      <w:r>
        <w:rPr/>
        <w:t>the</w:t>
      </w:r>
      <w:r>
        <w:rPr>
          <w:spacing w:val="-26"/>
        </w:rPr>
        <w:t> </w:t>
      </w:r>
      <w:r>
        <w:rPr/>
        <w:t>University</w:t>
      </w:r>
      <w:r>
        <w:rPr>
          <w:spacing w:val="-26"/>
        </w:rPr>
        <w:t> </w:t>
      </w:r>
      <w:r>
        <w:rPr/>
        <w:t>among the</w:t>
      </w:r>
      <w:r>
        <w:rPr>
          <w:spacing w:val="-22"/>
        </w:rPr>
        <w:t> </w:t>
      </w:r>
      <w:r>
        <w:rPr/>
        <w:t>top</w:t>
      </w:r>
      <w:r>
        <w:rPr>
          <w:spacing w:val="-22"/>
        </w:rPr>
        <w:t> </w:t>
      </w:r>
      <w:r>
        <w:rPr/>
        <w:t>performing</w:t>
      </w:r>
      <w:r>
        <w:rPr>
          <w:spacing w:val="-22"/>
        </w:rPr>
        <w:t> </w:t>
      </w:r>
      <w:r>
        <w:rPr/>
        <w:t>universities</w:t>
      </w:r>
      <w:r>
        <w:rPr>
          <w:spacing w:val="-22"/>
        </w:rPr>
        <w:t> </w:t>
      </w:r>
      <w:r>
        <w:rPr/>
        <w:t>in</w:t>
      </w:r>
      <w:r>
        <w:rPr>
          <w:spacing w:val="-22"/>
        </w:rPr>
        <w:t> </w:t>
      </w:r>
      <w:r>
        <w:rPr/>
        <w:t>the</w:t>
      </w:r>
      <w:r>
        <w:rPr>
          <w:spacing w:val="-22"/>
        </w:rPr>
        <w:t> </w:t>
      </w:r>
      <w:r>
        <w:rPr/>
        <w:t>country in</w:t>
      </w:r>
      <w:r>
        <w:rPr>
          <w:spacing w:val="-25"/>
        </w:rPr>
        <w:t> </w:t>
      </w:r>
      <w:r>
        <w:rPr/>
        <w:t>the</w:t>
      </w:r>
      <w:r>
        <w:rPr>
          <w:spacing w:val="-25"/>
        </w:rPr>
        <w:t> </w:t>
      </w:r>
      <w:r>
        <w:rPr/>
        <w:t>area</w:t>
      </w:r>
      <w:r>
        <w:rPr>
          <w:spacing w:val="-25"/>
        </w:rPr>
        <w:t> </w:t>
      </w:r>
      <w:r>
        <w:rPr/>
        <w:t>of</w:t>
      </w:r>
      <w:r>
        <w:rPr>
          <w:spacing w:val="-25"/>
        </w:rPr>
        <w:t> </w:t>
      </w:r>
      <w:r>
        <w:rPr/>
        <w:t>workplace</w:t>
      </w:r>
      <w:r>
        <w:rPr>
          <w:spacing w:val="-25"/>
        </w:rPr>
        <w:t> </w:t>
      </w:r>
      <w:r>
        <w:rPr/>
        <w:t>giving</w:t>
      </w:r>
      <w:r>
        <w:rPr>
          <w:spacing w:val="-25"/>
        </w:rPr>
        <w:t> </w:t>
      </w:r>
      <w:r>
        <w:rPr/>
        <w:t>in</w:t>
      </w:r>
      <w:r>
        <w:rPr>
          <w:spacing w:val="-25"/>
        </w:rPr>
        <w:t> </w:t>
      </w:r>
      <w:r>
        <w:rPr/>
        <w:t>support</w:t>
      </w:r>
    </w:p>
    <w:p>
      <w:pPr>
        <w:pStyle w:val="BodyText"/>
        <w:spacing w:line="249" w:lineRule="auto"/>
        <w:ind w:left="327" w:right="-2"/>
      </w:pPr>
      <w:r>
        <w:rPr/>
        <w:t>of students. The number of staff-supported scholarships available for students has significantly</w:t>
      </w:r>
      <w:r>
        <w:rPr>
          <w:spacing w:val="-29"/>
        </w:rPr>
        <w:t> </w:t>
      </w:r>
      <w:r>
        <w:rPr/>
        <w:t>increased</w:t>
      </w:r>
      <w:r>
        <w:rPr>
          <w:spacing w:val="-29"/>
        </w:rPr>
        <w:t> </w:t>
      </w:r>
      <w:r>
        <w:rPr/>
        <w:t>–</w:t>
      </w:r>
      <w:r>
        <w:rPr>
          <w:spacing w:val="-29"/>
        </w:rPr>
        <w:t> </w:t>
      </w:r>
      <w:r>
        <w:rPr/>
        <w:t>staff</w:t>
      </w:r>
      <w:r>
        <w:rPr>
          <w:spacing w:val="-29"/>
        </w:rPr>
        <w:t> </w:t>
      </w:r>
      <w:r>
        <w:rPr/>
        <w:t>donations</w:t>
      </w:r>
      <w:r>
        <w:rPr>
          <w:spacing w:val="-29"/>
        </w:rPr>
        <w:t> </w:t>
      </w:r>
      <w:r>
        <w:rPr/>
        <w:t>and</w:t>
      </w:r>
      <w:r>
        <w:rPr>
          <w:spacing w:val="-29"/>
        </w:rPr>
        <w:t> </w:t>
      </w:r>
      <w:r>
        <w:rPr/>
        <w:t>the associated</w:t>
      </w:r>
      <w:r>
        <w:rPr>
          <w:spacing w:val="-22"/>
        </w:rPr>
        <w:t> </w:t>
      </w:r>
      <w:r>
        <w:rPr/>
        <w:t>matched</w:t>
      </w:r>
      <w:r>
        <w:rPr>
          <w:spacing w:val="-22"/>
        </w:rPr>
        <w:t> </w:t>
      </w:r>
      <w:r>
        <w:rPr/>
        <w:t>funding</w:t>
      </w:r>
      <w:r>
        <w:rPr>
          <w:spacing w:val="-22"/>
        </w:rPr>
        <w:t> </w:t>
      </w:r>
      <w:r>
        <w:rPr/>
        <w:t>will</w:t>
      </w:r>
      <w:r>
        <w:rPr>
          <w:spacing w:val="-22"/>
        </w:rPr>
        <w:t> </w:t>
      </w:r>
      <w:r>
        <w:rPr/>
        <w:t>support</w:t>
      </w:r>
      <w:r>
        <w:rPr>
          <w:spacing w:val="-22"/>
        </w:rPr>
        <w:t> </w:t>
      </w:r>
      <w:r>
        <w:rPr/>
        <w:t>up</w:t>
      </w:r>
      <w:r>
        <w:rPr>
          <w:spacing w:val="-22"/>
        </w:rPr>
        <w:t> </w:t>
      </w:r>
      <w:r>
        <w:rPr/>
        <w:t>to </w:t>
      </w:r>
      <w:r>
        <w:rPr>
          <w:spacing w:val="1"/>
          <w:w w:val="82"/>
        </w:rPr>
        <w:t>10</w:t>
      </w:r>
      <w:r>
        <w:rPr>
          <w:spacing w:val="-2"/>
          <w:w w:val="82"/>
        </w:rPr>
        <w:t> </w:t>
      </w:r>
      <w:r>
        <w:rPr>
          <w:spacing w:val="-1"/>
          <w:w w:val="97"/>
        </w:rPr>
        <w:t>new</w:t>
      </w:r>
      <w:r>
        <w:rPr>
          <w:spacing w:val="-10"/>
          <w:w w:val="97"/>
        </w:rPr>
        <w:t> </w:t>
      </w:r>
      <w:r>
        <w:rPr>
          <w:w w:val="99"/>
        </w:rPr>
        <w:t>community</w:t>
      </w:r>
      <w:r>
        <w:rPr>
          <w:spacing w:val="-11"/>
          <w:w w:val="99"/>
        </w:rPr>
        <w:t> </w:t>
      </w:r>
      <w:r>
        <w:rPr>
          <w:spacing w:val="-1"/>
          <w:w w:val="96"/>
        </w:rPr>
        <w:t>scholarships</w:t>
      </w:r>
      <w:r>
        <w:rPr>
          <w:spacing w:val="-10"/>
          <w:w w:val="96"/>
        </w:rPr>
        <w:t> </w:t>
      </w:r>
      <w:r>
        <w:rPr>
          <w:spacing w:val="-1"/>
          <w:w w:val="95"/>
        </w:rPr>
        <w:t>in</w:t>
      </w:r>
      <w:r>
        <w:rPr>
          <w:spacing w:val="-9"/>
          <w:w w:val="95"/>
        </w:rPr>
        <w:t> </w:t>
      </w:r>
      <w:r>
        <w:rPr>
          <w:w w:val="85"/>
        </w:rPr>
        <w:t>2016.</w:t>
      </w:r>
    </w:p>
    <w:p>
      <w:pPr>
        <w:pStyle w:val="BodyText"/>
        <w:spacing w:before="7"/>
        <w:rPr>
          <w:sz w:val="21"/>
        </w:rPr>
      </w:pPr>
    </w:p>
    <w:p>
      <w:pPr>
        <w:pStyle w:val="Heading8"/>
        <w:ind w:left="327" w:right="-1"/>
      </w:pPr>
      <w:r>
        <w:rPr>
          <w:w w:val="95"/>
        </w:rPr>
        <w:t>ALUMNI GIVING</w:t>
      </w:r>
    </w:p>
    <w:p>
      <w:pPr>
        <w:pStyle w:val="BodyText"/>
        <w:spacing w:line="249" w:lineRule="auto" w:before="86"/>
        <w:ind w:left="327" w:right="-1"/>
      </w:pPr>
      <w:r>
        <w:rPr/>
        <w:t>Alumni continued to donate gifts without </w:t>
      </w:r>
      <w:r>
        <w:rPr>
          <w:w w:val="99"/>
        </w:rPr>
        <w:t>direct </w:t>
      </w:r>
      <w:r>
        <w:rPr>
          <w:w w:val="97"/>
        </w:rPr>
        <w:t>appeal </w:t>
      </w:r>
      <w:r>
        <w:rPr>
          <w:w w:val="96"/>
        </w:rPr>
        <w:t>activity. </w:t>
      </w:r>
      <w:r>
        <w:rPr>
          <w:w w:val="80"/>
        </w:rPr>
        <w:t>In </w:t>
      </w:r>
      <w:r>
        <w:rPr>
          <w:w w:val="84"/>
        </w:rPr>
        <w:t>2015, </w:t>
      </w:r>
      <w:r>
        <w:rPr>
          <w:w w:val="97"/>
        </w:rPr>
        <w:t>more </w:t>
      </w:r>
      <w:r>
        <w:rPr>
          <w:w w:val="97"/>
        </w:rPr>
        <w:t>than</w:t>
      </w:r>
    </w:p>
    <w:p>
      <w:pPr>
        <w:pStyle w:val="BodyText"/>
        <w:spacing w:line="249" w:lineRule="auto"/>
        <w:ind w:left="327" w:right="184"/>
      </w:pPr>
      <w:r>
        <w:rPr/>
        <w:t>$30,000 was donated, with the majority going towards scholarships and prizes.</w:t>
      </w:r>
    </w:p>
    <w:p>
      <w:pPr>
        <w:pStyle w:val="BodyText"/>
        <w:spacing w:before="7"/>
        <w:rPr>
          <w:sz w:val="21"/>
        </w:rPr>
      </w:pPr>
    </w:p>
    <w:p>
      <w:pPr>
        <w:pStyle w:val="Heading8"/>
        <w:ind w:left="327" w:right="-1"/>
      </w:pPr>
      <w:r>
        <w:rPr>
          <w:w w:val="95"/>
        </w:rPr>
        <w:t>DONOR-FUNDED PRIZES</w:t>
      </w:r>
    </w:p>
    <w:p>
      <w:pPr>
        <w:pStyle w:val="BodyText"/>
        <w:spacing w:line="249" w:lineRule="auto" w:before="86"/>
        <w:ind w:left="327" w:right="184"/>
      </w:pPr>
      <w:r>
        <w:rPr/>
        <w:t>Prizes for academic excellence allow the University to recognise its most talented </w:t>
      </w:r>
      <w:r>
        <w:rPr>
          <w:w w:val="94"/>
        </w:rPr>
        <w:t>students. </w:t>
      </w:r>
      <w:r>
        <w:rPr>
          <w:w w:val="80"/>
        </w:rPr>
        <w:t>In </w:t>
      </w:r>
      <w:r>
        <w:rPr>
          <w:w w:val="84"/>
        </w:rPr>
        <w:t>2015, </w:t>
      </w:r>
      <w:r>
        <w:rPr>
          <w:w w:val="97"/>
        </w:rPr>
        <w:t>the </w:t>
      </w:r>
      <w:r>
        <w:rPr>
          <w:w w:val="98"/>
        </w:rPr>
        <w:t>prizes </w:t>
      </w:r>
      <w:r>
        <w:rPr>
          <w:w w:val="98"/>
        </w:rPr>
        <w:t>program </w:t>
      </w:r>
      <w:r>
        <w:rPr>
          <w:w w:val="98"/>
        </w:rPr>
        <w:t>grew </w:t>
      </w:r>
      <w:r>
        <w:rPr>
          <w:w w:val="101"/>
        </w:rPr>
        <w:t>to </w:t>
      </w:r>
      <w:r>
        <w:rPr>
          <w:w w:val="97"/>
        </w:rPr>
        <w:t>deliver </w:t>
      </w:r>
      <w:r>
        <w:rPr>
          <w:w w:val="85"/>
        </w:rPr>
        <w:t>170 </w:t>
      </w:r>
      <w:r>
        <w:rPr>
          <w:w w:val="98"/>
        </w:rPr>
        <w:t>prizes </w:t>
      </w:r>
      <w:r>
        <w:rPr>
          <w:w w:val="99"/>
        </w:rPr>
        <w:t>worth </w:t>
      </w:r>
      <w:r>
        <w:rPr>
          <w:w w:val="90"/>
        </w:rPr>
        <w:t>$128,000. </w:t>
      </w:r>
      <w:r>
        <w:rPr>
          <w:w w:val="97"/>
        </w:rPr>
        <w:t>More </w:t>
      </w:r>
      <w:r>
        <w:rPr/>
        <w:t>than 200 donors contributed, including</w:t>
      </w:r>
    </w:p>
    <w:p>
      <w:pPr>
        <w:pStyle w:val="BodyText"/>
        <w:spacing w:line="249" w:lineRule="auto"/>
        <w:ind w:left="327" w:right="9"/>
      </w:pPr>
      <w:r>
        <w:rPr/>
        <w:t>individual supporters, community groups and businesses.</w:t>
      </w:r>
    </w:p>
    <w:p>
      <w:pPr>
        <w:pStyle w:val="Heading8"/>
        <w:spacing w:before="78"/>
        <w:ind w:left="186" w:right="99"/>
      </w:pPr>
      <w:r>
        <w:rPr>
          <w:b w:val="0"/>
        </w:rPr>
        <w:br w:type="column"/>
      </w:r>
      <w:r>
        <w:rPr>
          <w:w w:val="95"/>
        </w:rPr>
        <w:t>ALUMNI-STUDENT ENGAGEMENT</w:t>
      </w:r>
    </w:p>
    <w:p>
      <w:pPr>
        <w:pStyle w:val="BodyText"/>
        <w:spacing w:line="249" w:lineRule="auto" w:before="86"/>
        <w:ind w:left="186" w:right="99"/>
      </w:pPr>
      <w:r>
        <w:rPr>
          <w:w w:val="94"/>
        </w:rPr>
        <w:t>The </w:t>
      </w:r>
      <w:r>
        <w:rPr>
          <w:w w:val="98"/>
        </w:rPr>
        <w:t>Office </w:t>
      </w:r>
      <w:r>
        <w:rPr>
          <w:w w:val="98"/>
        </w:rPr>
        <w:t>worked </w:t>
      </w:r>
      <w:r>
        <w:rPr>
          <w:w w:val="97"/>
        </w:rPr>
        <w:t>hard </w:t>
      </w:r>
      <w:r>
        <w:rPr>
          <w:w w:val="95"/>
        </w:rPr>
        <w:t>in </w:t>
      </w:r>
      <w:r>
        <w:rPr>
          <w:w w:val="88"/>
        </w:rPr>
        <w:t>2015 </w:t>
      </w:r>
      <w:r>
        <w:rPr>
          <w:w w:val="101"/>
        </w:rPr>
        <w:t>to </w:t>
      </w:r>
      <w:r>
        <w:rPr>
          <w:w w:val="97"/>
        </w:rPr>
        <w:t>engage </w:t>
      </w:r>
      <w:r>
        <w:rPr/>
        <w:t>with students before they became alumni. It participated in international student orientations and farewells, on-campus Student Services fairs, Campus Living social events and the University Open Day to reinforce the benefits of staying connected with the University after graduation.</w:t>
      </w:r>
    </w:p>
    <w:p>
      <w:pPr>
        <w:pStyle w:val="BodyText"/>
        <w:rPr>
          <w:sz w:val="14"/>
        </w:rPr>
      </w:pPr>
    </w:p>
    <w:p>
      <w:pPr>
        <w:pStyle w:val="BodyText"/>
        <w:spacing w:line="249" w:lineRule="auto"/>
        <w:ind w:left="186" w:right="-6"/>
      </w:pPr>
      <w:r>
        <w:rPr/>
        <w:t>Alumni volunteers have also been interacting with</w:t>
      </w:r>
      <w:r>
        <w:rPr>
          <w:spacing w:val="-19"/>
        </w:rPr>
        <w:t> </w:t>
      </w:r>
      <w:r>
        <w:rPr/>
        <w:t>students</w:t>
      </w:r>
      <w:r>
        <w:rPr>
          <w:spacing w:val="-19"/>
        </w:rPr>
        <w:t> </w:t>
      </w:r>
      <w:r>
        <w:rPr/>
        <w:t>through</w:t>
      </w:r>
      <w:r>
        <w:rPr>
          <w:spacing w:val="-19"/>
        </w:rPr>
        <w:t> </w:t>
      </w:r>
      <w:r>
        <w:rPr/>
        <w:t>the</w:t>
      </w:r>
      <w:r>
        <w:rPr>
          <w:spacing w:val="-19"/>
        </w:rPr>
        <w:t> </w:t>
      </w:r>
      <w:r>
        <w:rPr/>
        <w:t>Social</w:t>
      </w:r>
      <w:r>
        <w:rPr>
          <w:spacing w:val="-19"/>
        </w:rPr>
        <w:t> </w:t>
      </w:r>
      <w:r>
        <w:rPr/>
        <w:t>Engagement and</w:t>
      </w:r>
      <w:r>
        <w:rPr>
          <w:spacing w:val="-21"/>
        </w:rPr>
        <w:t> </w:t>
      </w:r>
      <w:r>
        <w:rPr/>
        <w:t>Leadership</w:t>
      </w:r>
      <w:r>
        <w:rPr>
          <w:spacing w:val="-21"/>
        </w:rPr>
        <w:t> </w:t>
      </w:r>
      <w:r>
        <w:rPr/>
        <w:t>Program</w:t>
      </w:r>
      <w:r>
        <w:rPr>
          <w:spacing w:val="-21"/>
        </w:rPr>
        <w:t> </w:t>
      </w:r>
      <w:r>
        <w:rPr/>
        <w:t>for</w:t>
      </w:r>
      <w:r>
        <w:rPr>
          <w:spacing w:val="-21"/>
        </w:rPr>
        <w:t> </w:t>
      </w:r>
      <w:r>
        <w:rPr/>
        <w:t>international</w:t>
      </w:r>
      <w:r>
        <w:rPr>
          <w:spacing w:val="-21"/>
        </w:rPr>
        <w:t> </w:t>
      </w:r>
      <w:r>
        <w:rPr/>
        <w:t>and domestic students and through the LEAD Conference</w:t>
      </w:r>
      <w:r>
        <w:rPr>
          <w:spacing w:val="-22"/>
        </w:rPr>
        <w:t> </w:t>
      </w:r>
      <w:r>
        <w:rPr/>
        <w:t>run</w:t>
      </w:r>
      <w:r>
        <w:rPr>
          <w:spacing w:val="-22"/>
        </w:rPr>
        <w:t> </w:t>
      </w:r>
      <w:r>
        <w:rPr/>
        <w:t>by</w:t>
      </w:r>
      <w:r>
        <w:rPr>
          <w:spacing w:val="-22"/>
        </w:rPr>
        <w:t> </w:t>
      </w:r>
      <w:r>
        <w:rPr/>
        <w:t>the</w:t>
      </w:r>
      <w:r>
        <w:rPr>
          <w:spacing w:val="-22"/>
        </w:rPr>
        <w:t> </w:t>
      </w:r>
      <w:r>
        <w:rPr/>
        <w:t>SSS</w:t>
      </w:r>
      <w:r>
        <w:rPr>
          <w:spacing w:val="-22"/>
        </w:rPr>
        <w:t> </w:t>
      </w:r>
      <w:r>
        <w:rPr/>
        <w:t>team.</w:t>
      </w:r>
      <w:r>
        <w:rPr>
          <w:spacing w:val="-22"/>
        </w:rPr>
        <w:t> </w:t>
      </w:r>
      <w:r>
        <w:rPr/>
        <w:t>In</w:t>
      </w:r>
      <w:r>
        <w:rPr>
          <w:spacing w:val="-22"/>
        </w:rPr>
        <w:t> </w:t>
      </w:r>
      <w:r>
        <w:rPr/>
        <w:t>addition, prominent</w:t>
      </w:r>
      <w:r>
        <w:rPr>
          <w:spacing w:val="-23"/>
        </w:rPr>
        <w:t> </w:t>
      </w:r>
      <w:r>
        <w:rPr/>
        <w:t>alumni</w:t>
      </w:r>
      <w:r>
        <w:rPr>
          <w:spacing w:val="-23"/>
        </w:rPr>
        <w:t> </w:t>
      </w:r>
      <w:r>
        <w:rPr/>
        <w:t>have</w:t>
      </w:r>
      <w:r>
        <w:rPr>
          <w:spacing w:val="-23"/>
        </w:rPr>
        <w:t> </w:t>
      </w:r>
      <w:r>
        <w:rPr/>
        <w:t>addressed</w:t>
      </w:r>
      <w:r>
        <w:rPr>
          <w:spacing w:val="-23"/>
        </w:rPr>
        <w:t> </w:t>
      </w:r>
      <w:r>
        <w:rPr/>
        <w:t>a</w:t>
      </w:r>
      <w:r>
        <w:rPr>
          <w:spacing w:val="-23"/>
        </w:rPr>
        <w:t> </w:t>
      </w:r>
      <w:r>
        <w:rPr/>
        <w:t>number</w:t>
      </w:r>
      <w:r>
        <w:rPr>
          <w:spacing w:val="-23"/>
        </w:rPr>
        <w:t> </w:t>
      </w:r>
      <w:r>
        <w:rPr/>
        <w:t>of graduation</w:t>
      </w:r>
      <w:r>
        <w:rPr>
          <w:spacing w:val="-32"/>
        </w:rPr>
        <w:t> </w:t>
      </w:r>
      <w:r>
        <w:rPr/>
        <w:t>ceremonies</w:t>
      </w:r>
      <w:r>
        <w:rPr>
          <w:spacing w:val="-32"/>
        </w:rPr>
        <w:t> </w:t>
      </w:r>
      <w:r>
        <w:rPr/>
        <w:t>throughout</w:t>
      </w:r>
      <w:r>
        <w:rPr>
          <w:spacing w:val="-32"/>
        </w:rPr>
        <w:t> </w:t>
      </w:r>
      <w:r>
        <w:rPr/>
        <w:t>the</w:t>
      </w:r>
      <w:r>
        <w:rPr>
          <w:spacing w:val="-32"/>
        </w:rPr>
        <w:t> </w:t>
      </w:r>
      <w:r>
        <w:rPr/>
        <w:t>year.</w:t>
      </w:r>
    </w:p>
    <w:p>
      <w:pPr>
        <w:pStyle w:val="BodyText"/>
        <w:spacing w:before="7"/>
        <w:rPr>
          <w:sz w:val="21"/>
        </w:rPr>
      </w:pPr>
    </w:p>
    <w:p>
      <w:pPr>
        <w:pStyle w:val="Heading8"/>
        <w:ind w:left="186" w:right="99"/>
      </w:pPr>
      <w:r>
        <w:rPr>
          <w:w w:val="95"/>
        </w:rPr>
        <w:t>ALUMNI COMMUNICATIONS AND  EVENTS</w:t>
      </w:r>
    </w:p>
    <w:p>
      <w:pPr>
        <w:pStyle w:val="BodyText"/>
        <w:spacing w:line="249" w:lineRule="auto" w:before="86"/>
        <w:ind w:left="186" w:right="6"/>
      </w:pPr>
      <w:r>
        <w:rPr/>
        <w:t>Contact with alumni has continued to grow over the last 12 months. The Office attends all graduation days to welcome new alumni to the community and to ensure that the University is able to stay in touch. This year, </w:t>
      </w:r>
      <w:r>
        <w:rPr>
          <w:w w:val="98"/>
        </w:rPr>
        <w:t>for </w:t>
      </w:r>
      <w:r>
        <w:rPr>
          <w:w w:val="97"/>
        </w:rPr>
        <w:t>the </w:t>
      </w:r>
      <w:r>
        <w:rPr>
          <w:w w:val="97"/>
        </w:rPr>
        <w:t>first </w:t>
      </w:r>
      <w:r>
        <w:rPr>
          <w:w w:val="92"/>
        </w:rPr>
        <w:t>time, </w:t>
      </w:r>
      <w:r>
        <w:rPr>
          <w:w w:val="97"/>
        </w:rPr>
        <w:t>the </w:t>
      </w:r>
      <w:r>
        <w:rPr>
          <w:w w:val="97"/>
        </w:rPr>
        <w:t>University </w:t>
      </w:r>
      <w:r>
        <w:rPr>
          <w:w w:val="98"/>
        </w:rPr>
        <w:t>achieved </w:t>
      </w:r>
      <w:r>
        <w:rPr>
          <w:w w:val="92"/>
        </w:rPr>
        <w:t>100 </w:t>
      </w:r>
      <w:r>
        <w:rPr/>
        <w:t>per cent new graduate sign-up to the alumni program during the September graduations, and gathered email addresses for 26.5 per cent of alumni overall.</w:t>
      </w:r>
    </w:p>
    <w:p>
      <w:pPr>
        <w:pStyle w:val="BodyText"/>
        <w:spacing w:before="11"/>
        <w:rPr>
          <w:sz w:val="13"/>
        </w:rPr>
      </w:pPr>
    </w:p>
    <w:p>
      <w:pPr>
        <w:pStyle w:val="BodyText"/>
        <w:spacing w:line="247" w:lineRule="auto"/>
        <w:ind w:left="186" w:right="-1"/>
      </w:pPr>
      <w:r>
        <w:rPr/>
        <w:t>The</w:t>
      </w:r>
      <w:r>
        <w:rPr>
          <w:spacing w:val="-33"/>
        </w:rPr>
        <w:t> </w:t>
      </w:r>
      <w:r>
        <w:rPr>
          <w:rFonts w:ascii="Century Gothic"/>
          <w:i/>
        </w:rPr>
        <w:t>GradLife</w:t>
      </w:r>
      <w:r>
        <w:rPr>
          <w:rFonts w:ascii="Century Gothic"/>
          <w:i/>
          <w:spacing w:val="-27"/>
        </w:rPr>
        <w:t> </w:t>
      </w:r>
      <w:r>
        <w:rPr/>
        <w:t>magazine,</w:t>
      </w:r>
      <w:r>
        <w:rPr>
          <w:spacing w:val="-33"/>
        </w:rPr>
        <w:t> </w:t>
      </w:r>
      <w:r>
        <w:rPr/>
        <w:t>which</w:t>
      </w:r>
      <w:r>
        <w:rPr>
          <w:spacing w:val="-33"/>
        </w:rPr>
        <w:t> </w:t>
      </w:r>
      <w:r>
        <w:rPr/>
        <w:t>was</w:t>
      </w:r>
      <w:r>
        <w:rPr>
          <w:spacing w:val="-33"/>
        </w:rPr>
        <w:t> </w:t>
      </w:r>
      <w:r>
        <w:rPr/>
        <w:t>distributed </w:t>
      </w:r>
      <w:r>
        <w:rPr>
          <w:spacing w:val="-1"/>
          <w:w w:val="101"/>
        </w:rPr>
        <w:t>to</w:t>
      </w:r>
      <w:r>
        <w:rPr>
          <w:w w:val="101"/>
        </w:rPr>
        <w:t> </w:t>
      </w:r>
      <w:r>
        <w:rPr>
          <w:spacing w:val="1"/>
          <w:w w:val="99"/>
        </w:rPr>
        <w:t>contactable</w:t>
      </w:r>
      <w:r>
        <w:rPr>
          <w:w w:val="99"/>
        </w:rPr>
        <w:t> </w:t>
      </w:r>
      <w:r>
        <w:rPr>
          <w:spacing w:val="1"/>
          <w:w w:val="95"/>
        </w:rPr>
        <w:t>alumni</w:t>
      </w:r>
      <w:r>
        <w:rPr>
          <w:w w:val="95"/>
        </w:rPr>
        <w:t> </w:t>
      </w:r>
      <w:r>
        <w:rPr>
          <w:spacing w:val="1"/>
          <w:w w:val="97"/>
        </w:rPr>
        <w:t>and</w:t>
      </w:r>
      <w:r>
        <w:rPr>
          <w:w w:val="97"/>
        </w:rPr>
        <w:t> </w:t>
      </w:r>
      <w:r>
        <w:rPr>
          <w:spacing w:val="1"/>
          <w:w w:val="97"/>
        </w:rPr>
        <w:t>staff</w:t>
      </w:r>
      <w:r>
        <w:rPr>
          <w:w w:val="97"/>
        </w:rPr>
        <w:t> </w:t>
      </w:r>
      <w:r>
        <w:rPr>
          <w:w w:val="99"/>
        </w:rPr>
        <w:t>twice </w:t>
      </w:r>
      <w:r>
        <w:rPr>
          <w:w w:val="95"/>
        </w:rPr>
        <w:t>in </w:t>
      </w:r>
      <w:r>
        <w:rPr>
          <w:spacing w:val="1"/>
          <w:w w:val="84"/>
        </w:rPr>
        <w:t>2015,</w:t>
      </w:r>
      <w:r>
        <w:rPr>
          <w:w w:val="84"/>
        </w:rPr>
        <w:t> </w:t>
      </w:r>
      <w:r>
        <w:rPr/>
        <w:t>profiled the stories of high-achieving alumni and key University activities. The University increased</w:t>
      </w:r>
      <w:r>
        <w:rPr>
          <w:spacing w:val="-18"/>
        </w:rPr>
        <w:t> </w:t>
      </w:r>
      <w:r>
        <w:rPr/>
        <w:t>engagement</w:t>
      </w:r>
      <w:r>
        <w:rPr>
          <w:spacing w:val="-18"/>
        </w:rPr>
        <w:t> </w:t>
      </w:r>
      <w:r>
        <w:rPr/>
        <w:t>with</w:t>
      </w:r>
      <w:r>
        <w:rPr>
          <w:spacing w:val="-18"/>
        </w:rPr>
        <w:t> </w:t>
      </w:r>
      <w:r>
        <w:rPr/>
        <w:t>young</w:t>
      </w:r>
      <w:r>
        <w:rPr>
          <w:spacing w:val="-18"/>
        </w:rPr>
        <w:t> </w:t>
      </w:r>
      <w:r>
        <w:rPr/>
        <w:t>alumni</w:t>
      </w:r>
    </w:p>
    <w:p>
      <w:pPr>
        <w:pStyle w:val="BodyText"/>
        <w:spacing w:line="247" w:lineRule="auto"/>
        <w:ind w:left="186" w:right="71"/>
      </w:pPr>
      <w:r>
        <w:rPr/>
        <w:t>by developing and promoting the </w:t>
      </w:r>
      <w:r>
        <w:rPr>
          <w:rFonts w:ascii="Century Gothic"/>
          <w:i/>
        </w:rPr>
        <w:t>GradLife </w:t>
      </w:r>
      <w:r>
        <w:rPr/>
        <w:t>App, and through social media channels. The Office also began distributing to alumni </w:t>
      </w:r>
      <w:r>
        <w:rPr>
          <w:w w:val="95"/>
        </w:rPr>
        <w:t>the quarterly </w:t>
      </w:r>
      <w:r>
        <w:rPr>
          <w:rFonts w:ascii="Century Gothic"/>
          <w:i/>
          <w:w w:val="95"/>
        </w:rPr>
        <w:t>GradBytes </w:t>
      </w:r>
      <w:r>
        <w:rPr>
          <w:w w:val="95"/>
        </w:rPr>
        <w:t>e-newsletter, which</w:t>
      </w:r>
    </w:p>
    <w:p>
      <w:pPr>
        <w:pStyle w:val="BodyText"/>
        <w:spacing w:line="249" w:lineRule="auto"/>
        <w:ind w:left="186" w:right="-6"/>
      </w:pPr>
      <w:r>
        <w:rPr/>
        <w:t>includes</w:t>
      </w:r>
      <w:r>
        <w:rPr>
          <w:spacing w:val="-16"/>
        </w:rPr>
        <w:t> </w:t>
      </w:r>
      <w:r>
        <w:rPr/>
        <w:t>stories</w:t>
      </w:r>
      <w:r>
        <w:rPr>
          <w:spacing w:val="-16"/>
        </w:rPr>
        <w:t> </w:t>
      </w:r>
      <w:r>
        <w:rPr/>
        <w:t>and</w:t>
      </w:r>
      <w:r>
        <w:rPr>
          <w:spacing w:val="-16"/>
        </w:rPr>
        <w:t> </w:t>
      </w:r>
      <w:r>
        <w:rPr/>
        <w:t>information</w:t>
      </w:r>
      <w:r>
        <w:rPr>
          <w:spacing w:val="-16"/>
        </w:rPr>
        <w:t> </w:t>
      </w:r>
      <w:r>
        <w:rPr/>
        <w:t>on</w:t>
      </w:r>
      <w:r>
        <w:rPr>
          <w:spacing w:val="-16"/>
        </w:rPr>
        <w:t> </w:t>
      </w:r>
      <w:r>
        <w:rPr/>
        <w:t>University events.</w:t>
      </w:r>
      <w:r>
        <w:rPr>
          <w:spacing w:val="-19"/>
        </w:rPr>
        <w:t> </w:t>
      </w:r>
      <w:r>
        <w:rPr/>
        <w:t>Communications</w:t>
      </w:r>
      <w:r>
        <w:rPr>
          <w:spacing w:val="-19"/>
        </w:rPr>
        <w:t> </w:t>
      </w:r>
      <w:r>
        <w:rPr/>
        <w:t>in</w:t>
      </w:r>
      <w:r>
        <w:rPr>
          <w:spacing w:val="-19"/>
        </w:rPr>
        <w:t> </w:t>
      </w:r>
      <w:r>
        <w:rPr/>
        <w:t>the</w:t>
      </w:r>
      <w:r>
        <w:rPr>
          <w:spacing w:val="-19"/>
        </w:rPr>
        <w:t> </w:t>
      </w:r>
      <w:r>
        <w:rPr/>
        <w:t>second</w:t>
      </w:r>
    </w:p>
    <w:p>
      <w:pPr>
        <w:pStyle w:val="BodyText"/>
        <w:spacing w:line="249" w:lineRule="auto"/>
        <w:ind w:left="186" w:right="-6"/>
      </w:pPr>
      <w:r>
        <w:rPr/>
        <w:t>half of the year focused on the University’s new brand identity, with a lot of positive feedback,</w:t>
      </w:r>
      <w:r>
        <w:rPr>
          <w:spacing w:val="-18"/>
        </w:rPr>
        <w:t> </w:t>
      </w:r>
      <w:r>
        <w:rPr/>
        <w:t>particularly</w:t>
      </w:r>
      <w:r>
        <w:rPr>
          <w:spacing w:val="-18"/>
        </w:rPr>
        <w:t> </w:t>
      </w:r>
      <w:r>
        <w:rPr/>
        <w:t>regarding</w:t>
      </w:r>
      <w:r>
        <w:rPr>
          <w:spacing w:val="-18"/>
        </w:rPr>
        <w:t> </w:t>
      </w:r>
      <w:r>
        <w:rPr/>
        <w:t>the</w:t>
      </w:r>
      <w:r>
        <w:rPr>
          <w:spacing w:val="-18"/>
        </w:rPr>
        <w:t> </w:t>
      </w:r>
      <w:r>
        <w:rPr/>
        <w:t>television commercials</w:t>
      </w:r>
      <w:r>
        <w:rPr>
          <w:spacing w:val="-23"/>
        </w:rPr>
        <w:t> </w:t>
      </w:r>
      <w:r>
        <w:rPr/>
        <w:t>about</w:t>
      </w:r>
      <w:r>
        <w:rPr>
          <w:spacing w:val="-23"/>
        </w:rPr>
        <w:t> </w:t>
      </w:r>
      <w:r>
        <w:rPr/>
        <w:t>successful</w:t>
      </w:r>
      <w:r>
        <w:rPr>
          <w:spacing w:val="-23"/>
        </w:rPr>
        <w:t> </w:t>
      </w:r>
      <w:r>
        <w:rPr/>
        <w:t>alumni.</w:t>
      </w:r>
    </w:p>
    <w:p>
      <w:pPr>
        <w:pStyle w:val="BodyText"/>
        <w:rPr>
          <w:sz w:val="14"/>
        </w:rPr>
      </w:pPr>
    </w:p>
    <w:p>
      <w:pPr>
        <w:pStyle w:val="BodyText"/>
        <w:spacing w:line="249" w:lineRule="auto"/>
        <w:ind w:left="186" w:right="-2"/>
      </w:pPr>
      <w:r>
        <w:rPr/>
        <w:t>Social and professional networking events have been held for alumni both domestically and internationally. The new GradLife Series </w:t>
      </w:r>
      <w:r>
        <w:rPr>
          <w:w w:val="97"/>
        </w:rPr>
        <w:t>events </w:t>
      </w:r>
      <w:r>
        <w:rPr>
          <w:w w:val="97"/>
        </w:rPr>
        <w:t>were </w:t>
      </w:r>
      <w:r>
        <w:rPr>
          <w:spacing w:val="1"/>
          <w:w w:val="97"/>
        </w:rPr>
        <w:t>launched</w:t>
      </w:r>
      <w:r>
        <w:rPr>
          <w:w w:val="97"/>
        </w:rPr>
        <w:t> </w:t>
      </w:r>
      <w:r>
        <w:rPr>
          <w:w w:val="95"/>
        </w:rPr>
        <w:t>in </w:t>
      </w:r>
      <w:r>
        <w:rPr>
          <w:spacing w:val="1"/>
          <w:w w:val="88"/>
        </w:rPr>
        <w:t>2015</w:t>
      </w:r>
      <w:r>
        <w:rPr>
          <w:w w:val="88"/>
        </w:rPr>
        <w:t> </w:t>
      </w:r>
      <w:r>
        <w:rPr>
          <w:w w:val="98"/>
        </w:rPr>
        <w:t>with </w:t>
      </w:r>
      <w:r>
        <w:rPr>
          <w:spacing w:val="1"/>
          <w:w w:val="97"/>
        </w:rPr>
        <w:t>one</w:t>
      </w:r>
      <w:r>
        <w:rPr>
          <w:w w:val="97"/>
        </w:rPr>
        <w:t> </w:t>
      </w:r>
      <w:r>
        <w:rPr>
          <w:w w:val="98"/>
        </w:rPr>
        <w:t>event </w:t>
      </w:r>
      <w:r>
        <w:rPr/>
        <w:t>held</w:t>
      </w:r>
      <w:r>
        <w:rPr>
          <w:spacing w:val="-17"/>
        </w:rPr>
        <w:t> </w:t>
      </w:r>
      <w:r>
        <w:rPr/>
        <w:t>in</w:t>
      </w:r>
      <w:r>
        <w:rPr>
          <w:spacing w:val="-17"/>
        </w:rPr>
        <w:t> </w:t>
      </w:r>
      <w:r>
        <w:rPr/>
        <w:t>Rydalmere</w:t>
      </w:r>
      <w:r>
        <w:rPr>
          <w:spacing w:val="-17"/>
        </w:rPr>
        <w:t> </w:t>
      </w:r>
      <w:r>
        <w:rPr/>
        <w:t>and</w:t>
      </w:r>
      <w:r>
        <w:rPr>
          <w:spacing w:val="-17"/>
        </w:rPr>
        <w:t> </w:t>
      </w:r>
      <w:r>
        <w:rPr/>
        <w:t>one</w:t>
      </w:r>
      <w:r>
        <w:rPr>
          <w:spacing w:val="-17"/>
        </w:rPr>
        <w:t> </w:t>
      </w:r>
      <w:r>
        <w:rPr/>
        <w:t>in</w:t>
      </w:r>
      <w:r>
        <w:rPr>
          <w:spacing w:val="-17"/>
        </w:rPr>
        <w:t> </w:t>
      </w:r>
      <w:r>
        <w:rPr/>
        <w:t>the</w:t>
      </w:r>
      <w:r>
        <w:rPr>
          <w:spacing w:val="-17"/>
        </w:rPr>
        <w:t> </w:t>
      </w:r>
      <w:r>
        <w:rPr/>
        <w:t>Sydney</w:t>
      </w:r>
      <w:r>
        <w:rPr>
          <w:spacing w:val="-17"/>
        </w:rPr>
        <w:t> </w:t>
      </w:r>
      <w:r>
        <w:rPr/>
        <w:t>CBD. Both</w:t>
      </w:r>
      <w:r>
        <w:rPr>
          <w:spacing w:val="-16"/>
        </w:rPr>
        <w:t> </w:t>
      </w:r>
      <w:r>
        <w:rPr/>
        <w:t>events</w:t>
      </w:r>
      <w:r>
        <w:rPr>
          <w:spacing w:val="-16"/>
        </w:rPr>
        <w:t> </w:t>
      </w:r>
      <w:r>
        <w:rPr/>
        <w:t>were</w:t>
      </w:r>
      <w:r>
        <w:rPr>
          <w:spacing w:val="-16"/>
        </w:rPr>
        <w:t> </w:t>
      </w:r>
      <w:r>
        <w:rPr/>
        <w:t>well</w:t>
      </w:r>
      <w:r>
        <w:rPr>
          <w:spacing w:val="-16"/>
        </w:rPr>
        <w:t> </w:t>
      </w:r>
      <w:r>
        <w:rPr/>
        <w:t>received</w:t>
      </w:r>
      <w:r>
        <w:rPr>
          <w:spacing w:val="-16"/>
        </w:rPr>
        <w:t> </w:t>
      </w:r>
      <w:r>
        <w:rPr/>
        <w:t>and</w:t>
      </w:r>
      <w:r>
        <w:rPr>
          <w:spacing w:val="-16"/>
        </w:rPr>
        <w:t> </w:t>
      </w:r>
      <w:r>
        <w:rPr/>
        <w:t>post-</w:t>
      </w:r>
    </w:p>
    <w:p>
      <w:pPr>
        <w:pStyle w:val="BodyText"/>
        <w:spacing w:line="249" w:lineRule="auto" w:before="71"/>
        <w:ind w:left="212" w:right="265"/>
      </w:pPr>
      <w:r>
        <w:rPr/>
        <w:br w:type="column"/>
      </w:r>
      <w:r>
        <w:rPr/>
        <w:t>event surveys confirmed that alumni want the University to facilitate networking. The Office supported alumni group and School-based alumni events, including the Hawkesbury Alumni Chapter lunch and the School of Social Sciences and Psychology alumni events. For the first time, a small gathering was held</w:t>
      </w:r>
    </w:p>
    <w:p>
      <w:pPr>
        <w:pStyle w:val="BodyText"/>
        <w:spacing w:line="249" w:lineRule="auto"/>
        <w:ind w:left="212" w:right="253"/>
      </w:pPr>
      <w:r>
        <w:rPr/>
        <w:t>for Melbourne-based alumni, which helped prominent graduates connect with each other.</w:t>
      </w:r>
    </w:p>
    <w:p>
      <w:pPr>
        <w:pStyle w:val="BodyText"/>
        <w:rPr>
          <w:sz w:val="14"/>
        </w:rPr>
      </w:pPr>
    </w:p>
    <w:p>
      <w:pPr>
        <w:pStyle w:val="BodyText"/>
        <w:spacing w:line="249" w:lineRule="auto"/>
        <w:ind w:left="212" w:right="330"/>
      </w:pPr>
      <w:r>
        <w:rPr/>
        <w:t>International events included two alumni dinners</w:t>
      </w:r>
      <w:r>
        <w:rPr>
          <w:spacing w:val="-17"/>
        </w:rPr>
        <w:t> </w:t>
      </w:r>
      <w:r>
        <w:rPr/>
        <w:t>in</w:t>
      </w:r>
      <w:r>
        <w:rPr>
          <w:spacing w:val="-17"/>
        </w:rPr>
        <w:t> </w:t>
      </w:r>
      <w:r>
        <w:rPr/>
        <w:t>China</w:t>
      </w:r>
      <w:r>
        <w:rPr>
          <w:spacing w:val="-17"/>
        </w:rPr>
        <w:t> </w:t>
      </w:r>
      <w:r>
        <w:rPr/>
        <w:t>in</w:t>
      </w:r>
      <w:r>
        <w:rPr>
          <w:spacing w:val="-17"/>
        </w:rPr>
        <w:t> </w:t>
      </w:r>
      <w:r>
        <w:rPr/>
        <w:t>the</w:t>
      </w:r>
      <w:r>
        <w:rPr>
          <w:spacing w:val="-17"/>
        </w:rPr>
        <w:t> </w:t>
      </w:r>
      <w:r>
        <w:rPr/>
        <w:t>first</w:t>
      </w:r>
      <w:r>
        <w:rPr>
          <w:spacing w:val="-17"/>
        </w:rPr>
        <w:t> </w:t>
      </w:r>
      <w:r>
        <w:rPr/>
        <w:t>half</w:t>
      </w:r>
      <w:r>
        <w:rPr>
          <w:spacing w:val="-17"/>
        </w:rPr>
        <w:t> </w:t>
      </w:r>
      <w:r>
        <w:rPr/>
        <w:t>of</w:t>
      </w:r>
      <w:r>
        <w:rPr>
          <w:spacing w:val="-17"/>
        </w:rPr>
        <w:t> </w:t>
      </w:r>
      <w:r>
        <w:rPr/>
        <w:t>the</w:t>
      </w:r>
      <w:r>
        <w:rPr>
          <w:spacing w:val="-17"/>
        </w:rPr>
        <w:t> </w:t>
      </w:r>
      <w:r>
        <w:rPr/>
        <w:t>year</w:t>
      </w:r>
      <w:r>
        <w:rPr>
          <w:spacing w:val="-17"/>
        </w:rPr>
        <w:t> </w:t>
      </w:r>
      <w:r>
        <w:rPr/>
        <w:t>and a cocktail </w:t>
      </w:r>
      <w:r>
        <w:rPr>
          <w:spacing w:val="2"/>
        </w:rPr>
        <w:t>party </w:t>
      </w:r>
      <w:r>
        <w:rPr/>
        <w:t>in Singapore. Alumni events were</w:t>
      </w:r>
      <w:r>
        <w:rPr>
          <w:spacing w:val="-15"/>
        </w:rPr>
        <w:t> </w:t>
      </w:r>
      <w:r>
        <w:rPr/>
        <w:t>also</w:t>
      </w:r>
      <w:r>
        <w:rPr>
          <w:spacing w:val="-15"/>
        </w:rPr>
        <w:t> </w:t>
      </w:r>
      <w:r>
        <w:rPr/>
        <w:t>held</w:t>
      </w:r>
      <w:r>
        <w:rPr>
          <w:spacing w:val="-15"/>
        </w:rPr>
        <w:t> </w:t>
      </w:r>
      <w:r>
        <w:rPr/>
        <w:t>in</w:t>
      </w:r>
      <w:r>
        <w:rPr>
          <w:spacing w:val="-15"/>
        </w:rPr>
        <w:t> </w:t>
      </w:r>
      <w:r>
        <w:rPr/>
        <w:t>Vietnam</w:t>
      </w:r>
      <w:r>
        <w:rPr>
          <w:spacing w:val="-15"/>
        </w:rPr>
        <w:t> </w:t>
      </w:r>
      <w:r>
        <w:rPr/>
        <w:t>and</w:t>
      </w:r>
      <w:r>
        <w:rPr>
          <w:spacing w:val="-15"/>
        </w:rPr>
        <w:t> </w:t>
      </w:r>
      <w:r>
        <w:rPr/>
        <w:t>Hong</w:t>
      </w:r>
      <w:r>
        <w:rPr>
          <w:spacing w:val="-15"/>
        </w:rPr>
        <w:t> </w:t>
      </w:r>
      <w:r>
        <w:rPr/>
        <w:t>Kong</w:t>
      </w:r>
    </w:p>
    <w:p>
      <w:pPr>
        <w:pStyle w:val="BodyText"/>
        <w:spacing w:line="249" w:lineRule="auto"/>
        <w:ind w:left="212" w:right="446"/>
      </w:pPr>
      <w:r>
        <w:rPr/>
        <w:t>in partnership with the University’s offshore providers. The Chancellor, Vice-Chancellor and other Executive staff attended many of the overseas alumni events over the year.</w:t>
      </w:r>
    </w:p>
    <w:p>
      <w:pPr>
        <w:pStyle w:val="BodyText"/>
        <w:spacing w:line="249" w:lineRule="auto"/>
        <w:ind w:left="212" w:right="265"/>
      </w:pPr>
      <w:r>
        <w:rPr/>
        <w:t>The Dean of Medicine hosted two alumni dinners</w:t>
      </w:r>
      <w:r>
        <w:rPr>
          <w:spacing w:val="-18"/>
        </w:rPr>
        <w:t> </w:t>
      </w:r>
      <w:r>
        <w:rPr/>
        <w:t>in</w:t>
      </w:r>
      <w:r>
        <w:rPr>
          <w:spacing w:val="-18"/>
        </w:rPr>
        <w:t> </w:t>
      </w:r>
      <w:r>
        <w:rPr/>
        <w:t>North</w:t>
      </w:r>
      <w:r>
        <w:rPr>
          <w:spacing w:val="-18"/>
        </w:rPr>
        <w:t> </w:t>
      </w:r>
      <w:r>
        <w:rPr/>
        <w:t>America</w:t>
      </w:r>
      <w:r>
        <w:rPr>
          <w:spacing w:val="-18"/>
        </w:rPr>
        <w:t> </w:t>
      </w:r>
      <w:r>
        <w:rPr/>
        <w:t>–</w:t>
      </w:r>
      <w:r>
        <w:rPr>
          <w:spacing w:val="-18"/>
        </w:rPr>
        <w:t> </w:t>
      </w:r>
      <w:r>
        <w:rPr/>
        <w:t>in</w:t>
      </w:r>
      <w:r>
        <w:rPr>
          <w:spacing w:val="-18"/>
        </w:rPr>
        <w:t> </w:t>
      </w:r>
      <w:r>
        <w:rPr/>
        <w:t>Toronto,</w:t>
      </w:r>
      <w:r>
        <w:rPr>
          <w:spacing w:val="-18"/>
        </w:rPr>
        <w:t> </w:t>
      </w:r>
      <w:r>
        <w:rPr/>
        <w:t>Canada and in New York, US – which provided great opportunities to reconnect with alumni who have</w:t>
      </w:r>
      <w:r>
        <w:rPr>
          <w:spacing w:val="-18"/>
        </w:rPr>
        <w:t> </w:t>
      </w:r>
      <w:r>
        <w:rPr/>
        <w:t>not</w:t>
      </w:r>
      <w:r>
        <w:rPr>
          <w:spacing w:val="-18"/>
        </w:rPr>
        <w:t> </w:t>
      </w:r>
      <w:r>
        <w:rPr/>
        <w:t>been</w:t>
      </w:r>
      <w:r>
        <w:rPr>
          <w:spacing w:val="-18"/>
        </w:rPr>
        <w:t> </w:t>
      </w:r>
      <w:r>
        <w:rPr/>
        <w:t>on</w:t>
      </w:r>
      <w:r>
        <w:rPr>
          <w:spacing w:val="-18"/>
        </w:rPr>
        <w:t> </w:t>
      </w:r>
      <w:r>
        <w:rPr/>
        <w:t>campus</w:t>
      </w:r>
      <w:r>
        <w:rPr>
          <w:spacing w:val="-18"/>
        </w:rPr>
        <w:t> </w:t>
      </w:r>
      <w:r>
        <w:rPr/>
        <w:t>in</w:t>
      </w:r>
      <w:r>
        <w:rPr>
          <w:spacing w:val="-18"/>
        </w:rPr>
        <w:t> </w:t>
      </w:r>
      <w:r>
        <w:rPr/>
        <w:t>some</w:t>
      </w:r>
      <w:r>
        <w:rPr>
          <w:spacing w:val="-18"/>
        </w:rPr>
        <w:t> </w:t>
      </w:r>
      <w:r>
        <w:rPr/>
        <w:t>time.</w:t>
      </w:r>
    </w:p>
    <w:p>
      <w:pPr>
        <w:pStyle w:val="BodyText"/>
        <w:spacing w:before="7"/>
        <w:rPr>
          <w:sz w:val="21"/>
        </w:rPr>
      </w:pPr>
    </w:p>
    <w:p>
      <w:pPr>
        <w:pStyle w:val="Heading8"/>
        <w:ind w:left="212" w:right="265"/>
      </w:pPr>
      <w:r>
        <w:rPr>
          <w:w w:val="95"/>
        </w:rPr>
        <w:t>ALUMNI EXCELLENCE AND ACHIEVEMENT</w:t>
      </w:r>
    </w:p>
    <w:p>
      <w:pPr>
        <w:pStyle w:val="BodyText"/>
        <w:spacing w:line="249" w:lineRule="auto" w:before="86"/>
        <w:ind w:left="212" w:right="339"/>
      </w:pPr>
      <w:r>
        <w:rPr/>
        <w:t>The </w:t>
      </w:r>
      <w:r>
        <w:rPr>
          <w:spacing w:val="-3"/>
        </w:rPr>
        <w:t>Western </w:t>
      </w:r>
      <w:r>
        <w:rPr>
          <w:spacing w:val="-4"/>
        </w:rPr>
        <w:t>Sydney </w:t>
      </w:r>
      <w:r>
        <w:rPr>
          <w:spacing w:val="-3"/>
        </w:rPr>
        <w:t>University Alumni </w:t>
      </w:r>
      <w:r>
        <w:rPr>
          <w:spacing w:val="-4"/>
        </w:rPr>
        <w:t>Awards </w:t>
      </w:r>
      <w:r>
        <w:rPr>
          <w:spacing w:val="-3"/>
          <w:w w:val="97"/>
        </w:rPr>
        <w:t>were</w:t>
      </w:r>
      <w:r>
        <w:rPr>
          <w:spacing w:val="-17"/>
          <w:w w:val="97"/>
        </w:rPr>
        <w:t> </w:t>
      </w:r>
      <w:r>
        <w:rPr>
          <w:spacing w:val="-2"/>
          <w:w w:val="97"/>
        </w:rPr>
        <w:t>launched</w:t>
      </w:r>
      <w:r>
        <w:rPr>
          <w:spacing w:val="-17"/>
          <w:w w:val="97"/>
        </w:rPr>
        <w:t> </w:t>
      </w:r>
      <w:r>
        <w:rPr>
          <w:spacing w:val="-2"/>
          <w:w w:val="95"/>
        </w:rPr>
        <w:t>in</w:t>
      </w:r>
      <w:r>
        <w:rPr>
          <w:spacing w:val="-17"/>
          <w:w w:val="95"/>
        </w:rPr>
        <w:t> </w:t>
      </w:r>
      <w:r>
        <w:rPr>
          <w:spacing w:val="-4"/>
          <w:w w:val="97"/>
        </w:rPr>
        <w:t>late</w:t>
      </w:r>
      <w:r>
        <w:rPr>
          <w:spacing w:val="-17"/>
          <w:w w:val="97"/>
        </w:rPr>
        <w:t> </w:t>
      </w:r>
      <w:r>
        <w:rPr>
          <w:spacing w:val="-2"/>
          <w:w w:val="88"/>
        </w:rPr>
        <w:t>2015</w:t>
      </w:r>
      <w:r>
        <w:rPr>
          <w:spacing w:val="-13"/>
          <w:w w:val="88"/>
        </w:rPr>
        <w:t> </w:t>
      </w:r>
      <w:r>
        <w:rPr>
          <w:spacing w:val="-3"/>
          <w:w w:val="101"/>
        </w:rPr>
        <w:t>to</w:t>
      </w:r>
      <w:r>
        <w:rPr>
          <w:spacing w:val="-20"/>
          <w:w w:val="101"/>
        </w:rPr>
        <w:t> </w:t>
      </w:r>
      <w:r>
        <w:rPr>
          <w:spacing w:val="-3"/>
          <w:w w:val="97"/>
        </w:rPr>
        <w:t>allow</w:t>
      </w:r>
      <w:r>
        <w:rPr>
          <w:spacing w:val="-18"/>
          <w:w w:val="97"/>
        </w:rPr>
        <w:t> </w:t>
      </w:r>
      <w:r>
        <w:rPr>
          <w:spacing w:val="-2"/>
          <w:w w:val="97"/>
        </w:rPr>
        <w:t>the</w:t>
      </w:r>
      <w:r>
        <w:rPr>
          <w:spacing w:val="-18"/>
          <w:w w:val="97"/>
        </w:rPr>
        <w:t> </w:t>
      </w:r>
      <w:r>
        <w:rPr>
          <w:spacing w:val="-3"/>
          <w:w w:val="97"/>
        </w:rPr>
        <w:t>University</w:t>
      </w:r>
      <w:r>
        <w:rPr>
          <w:w w:val="97"/>
        </w:rPr>
        <w:t> </w:t>
      </w:r>
      <w:r>
        <w:rPr>
          <w:spacing w:val="-3"/>
        </w:rPr>
        <w:t>to recognise </w:t>
      </w:r>
      <w:r>
        <w:rPr>
          <w:spacing w:val="-2"/>
        </w:rPr>
        <w:t>the </w:t>
      </w:r>
      <w:r>
        <w:rPr>
          <w:spacing w:val="-3"/>
        </w:rPr>
        <w:t>achievements </w:t>
      </w:r>
      <w:r>
        <w:rPr/>
        <w:t>of some of its most </w:t>
      </w:r>
      <w:r>
        <w:rPr>
          <w:spacing w:val="-3"/>
        </w:rPr>
        <w:t>inspiring alumni. Nominations were </w:t>
      </w:r>
      <w:r>
        <w:rPr/>
        <w:t>open </w:t>
      </w:r>
      <w:r>
        <w:rPr>
          <w:spacing w:val="-3"/>
        </w:rPr>
        <w:t>to </w:t>
      </w:r>
      <w:r>
        <w:rPr>
          <w:spacing w:val="-2"/>
        </w:rPr>
        <w:t>all </w:t>
      </w:r>
      <w:r>
        <w:rPr>
          <w:spacing w:val="-3"/>
        </w:rPr>
        <w:t>University alumni across eight categories. </w:t>
      </w:r>
      <w:r>
        <w:rPr/>
        <w:t>A</w:t>
      </w:r>
      <w:r>
        <w:rPr>
          <w:spacing w:val="-26"/>
        </w:rPr>
        <w:t> </w:t>
      </w:r>
      <w:r>
        <w:rPr>
          <w:spacing w:val="-3"/>
        </w:rPr>
        <w:t>judging</w:t>
      </w:r>
      <w:r>
        <w:rPr>
          <w:spacing w:val="-26"/>
        </w:rPr>
        <w:t> </w:t>
      </w:r>
      <w:r>
        <w:rPr/>
        <w:t>panel,</w:t>
      </w:r>
      <w:r>
        <w:rPr>
          <w:spacing w:val="-26"/>
        </w:rPr>
        <w:t> </w:t>
      </w:r>
      <w:r>
        <w:rPr>
          <w:spacing w:val="-3"/>
        </w:rPr>
        <w:t>chaired</w:t>
      </w:r>
      <w:r>
        <w:rPr>
          <w:spacing w:val="-26"/>
        </w:rPr>
        <w:t> </w:t>
      </w:r>
      <w:r>
        <w:rPr>
          <w:spacing w:val="-3"/>
        </w:rPr>
        <w:t>by</w:t>
      </w:r>
      <w:r>
        <w:rPr>
          <w:spacing w:val="-26"/>
        </w:rPr>
        <w:t> </w:t>
      </w:r>
      <w:r>
        <w:rPr>
          <w:spacing w:val="-2"/>
        </w:rPr>
        <w:t>the</w:t>
      </w:r>
      <w:r>
        <w:rPr>
          <w:spacing w:val="-26"/>
        </w:rPr>
        <w:t> </w:t>
      </w:r>
      <w:r>
        <w:rPr>
          <w:spacing w:val="-4"/>
        </w:rPr>
        <w:t>Chancellor,</w:t>
      </w:r>
      <w:r>
        <w:rPr>
          <w:spacing w:val="-26"/>
        </w:rPr>
        <w:t> </w:t>
      </w:r>
      <w:r>
        <w:rPr>
          <w:spacing w:val="-3"/>
        </w:rPr>
        <w:t>will convene </w:t>
      </w:r>
      <w:r>
        <w:rPr/>
        <w:t>in February </w:t>
      </w:r>
      <w:r>
        <w:rPr>
          <w:spacing w:val="-3"/>
        </w:rPr>
        <w:t>to consider nominations </w:t>
      </w:r>
      <w:r>
        <w:rPr/>
        <w:t>and</w:t>
      </w:r>
      <w:r>
        <w:rPr>
          <w:spacing w:val="-30"/>
        </w:rPr>
        <w:t> </w:t>
      </w:r>
      <w:r>
        <w:rPr/>
        <w:t>select</w:t>
      </w:r>
      <w:r>
        <w:rPr>
          <w:spacing w:val="-30"/>
        </w:rPr>
        <w:t> </w:t>
      </w:r>
      <w:r>
        <w:rPr/>
        <w:t>winners.</w:t>
      </w:r>
      <w:r>
        <w:rPr>
          <w:spacing w:val="-30"/>
        </w:rPr>
        <w:t> </w:t>
      </w:r>
      <w:r>
        <w:rPr/>
        <w:t>An</w:t>
      </w:r>
      <w:r>
        <w:rPr>
          <w:spacing w:val="-30"/>
        </w:rPr>
        <w:t> </w:t>
      </w:r>
      <w:r>
        <w:rPr>
          <w:spacing w:val="-4"/>
        </w:rPr>
        <w:t>event</w:t>
      </w:r>
      <w:r>
        <w:rPr>
          <w:spacing w:val="-30"/>
        </w:rPr>
        <w:t> </w:t>
      </w:r>
      <w:r>
        <w:rPr>
          <w:spacing w:val="-3"/>
        </w:rPr>
        <w:t>to</w:t>
      </w:r>
      <w:r>
        <w:rPr>
          <w:spacing w:val="-30"/>
        </w:rPr>
        <w:t> </w:t>
      </w:r>
      <w:r>
        <w:rPr>
          <w:spacing w:val="-3"/>
        </w:rPr>
        <w:t>recognise</w:t>
      </w:r>
      <w:r>
        <w:rPr>
          <w:spacing w:val="-30"/>
        </w:rPr>
        <w:t> </w:t>
      </w:r>
      <w:r>
        <w:rPr>
          <w:spacing w:val="-4"/>
        </w:rPr>
        <w:t>award </w:t>
      </w:r>
      <w:r>
        <w:rPr>
          <w:spacing w:val="-3"/>
          <w:w w:val="96"/>
        </w:rPr>
        <w:t>winners</w:t>
      </w:r>
      <w:r>
        <w:rPr>
          <w:spacing w:val="-14"/>
          <w:w w:val="96"/>
        </w:rPr>
        <w:t> </w:t>
      </w:r>
      <w:r>
        <w:rPr>
          <w:spacing w:val="-3"/>
          <w:w w:val="97"/>
        </w:rPr>
        <w:t>will</w:t>
      </w:r>
      <w:r>
        <w:rPr>
          <w:spacing w:val="-15"/>
          <w:w w:val="97"/>
        </w:rPr>
        <w:t> </w:t>
      </w:r>
      <w:r>
        <w:rPr>
          <w:spacing w:val="-1"/>
          <w:w w:val="99"/>
        </w:rPr>
        <w:t>be</w:t>
      </w:r>
      <w:r>
        <w:rPr>
          <w:spacing w:val="-16"/>
          <w:w w:val="99"/>
        </w:rPr>
        <w:t> </w:t>
      </w:r>
      <w:r>
        <w:rPr>
          <w:spacing w:val="-2"/>
          <w:w w:val="97"/>
        </w:rPr>
        <w:t>held</w:t>
      </w:r>
      <w:r>
        <w:rPr>
          <w:spacing w:val="-15"/>
          <w:w w:val="97"/>
        </w:rPr>
        <w:t> </w:t>
      </w:r>
      <w:r>
        <w:rPr>
          <w:spacing w:val="-2"/>
          <w:w w:val="95"/>
        </w:rPr>
        <w:t>in</w:t>
      </w:r>
      <w:r>
        <w:rPr>
          <w:spacing w:val="-14"/>
          <w:w w:val="95"/>
        </w:rPr>
        <w:t> </w:t>
      </w:r>
      <w:r>
        <w:rPr>
          <w:spacing w:val="-3"/>
          <w:w w:val="97"/>
        </w:rPr>
        <w:t>March</w:t>
      </w:r>
      <w:r>
        <w:rPr>
          <w:spacing w:val="-15"/>
          <w:w w:val="97"/>
        </w:rPr>
        <w:t> </w:t>
      </w:r>
      <w:r>
        <w:rPr>
          <w:spacing w:val="-1"/>
          <w:w w:val="85"/>
        </w:rPr>
        <w:t>2016.</w:t>
      </w:r>
    </w:p>
    <w:p>
      <w:pPr>
        <w:pStyle w:val="BodyText"/>
        <w:rPr>
          <w:sz w:val="14"/>
        </w:rPr>
      </w:pPr>
    </w:p>
    <w:p>
      <w:pPr>
        <w:pStyle w:val="BodyText"/>
        <w:spacing w:line="249" w:lineRule="auto"/>
        <w:ind w:left="212" w:right="330"/>
      </w:pPr>
      <w:r>
        <w:rPr/>
        <w:t>Alumni</w:t>
      </w:r>
      <w:r>
        <w:rPr>
          <w:spacing w:val="-16"/>
        </w:rPr>
        <w:t> </w:t>
      </w:r>
      <w:r>
        <w:rPr/>
        <w:t>excellence</w:t>
      </w:r>
      <w:r>
        <w:rPr>
          <w:spacing w:val="-16"/>
        </w:rPr>
        <w:t> </w:t>
      </w:r>
      <w:r>
        <w:rPr/>
        <w:t>has</w:t>
      </w:r>
      <w:r>
        <w:rPr>
          <w:spacing w:val="-16"/>
        </w:rPr>
        <w:t> </w:t>
      </w:r>
      <w:r>
        <w:rPr/>
        <w:t>also</w:t>
      </w:r>
      <w:r>
        <w:rPr>
          <w:spacing w:val="-16"/>
        </w:rPr>
        <w:t> </w:t>
      </w:r>
      <w:r>
        <w:rPr/>
        <w:t>been</w:t>
      </w:r>
      <w:r>
        <w:rPr>
          <w:spacing w:val="-16"/>
        </w:rPr>
        <w:t> </w:t>
      </w:r>
      <w:r>
        <w:rPr/>
        <w:t>recognised</w:t>
      </w:r>
      <w:r>
        <w:rPr>
          <w:spacing w:val="-16"/>
        </w:rPr>
        <w:t> </w:t>
      </w:r>
      <w:r>
        <w:rPr/>
        <w:t>in nominations for international alumni awards, such as those hosted by the Australia China Alumni Association (ACAA) and similar </w:t>
      </w:r>
      <w:r>
        <w:rPr>
          <w:w w:val="96"/>
        </w:rPr>
        <w:t>international </w:t>
      </w:r>
      <w:r>
        <w:rPr>
          <w:spacing w:val="1"/>
          <w:w w:val="95"/>
        </w:rPr>
        <w:t>associations.</w:t>
      </w:r>
      <w:r>
        <w:rPr>
          <w:w w:val="95"/>
        </w:rPr>
        <w:t> </w:t>
      </w:r>
      <w:r>
        <w:rPr>
          <w:spacing w:val="1"/>
          <w:w w:val="80"/>
        </w:rPr>
        <w:t>In</w:t>
      </w:r>
      <w:r>
        <w:rPr>
          <w:w w:val="80"/>
        </w:rPr>
        <w:t> </w:t>
      </w:r>
      <w:r>
        <w:rPr>
          <w:spacing w:val="1"/>
          <w:w w:val="84"/>
        </w:rPr>
        <w:t>2015,</w:t>
      </w:r>
      <w:r>
        <w:rPr>
          <w:w w:val="84"/>
        </w:rPr>
        <w:t> </w:t>
      </w:r>
      <w:r>
        <w:rPr>
          <w:spacing w:val="1"/>
          <w:w w:val="98"/>
        </w:rPr>
        <w:t>graduate</w:t>
      </w:r>
      <w:r>
        <w:rPr>
          <w:w w:val="98"/>
        </w:rPr>
        <w:t>  </w:t>
      </w:r>
      <w:r>
        <w:rPr/>
        <w:t>Mr Jin Kong, Deputy Director of Group International Engineering at CPA Australia, was a finalist for the ACAA Banking and Finance</w:t>
      </w:r>
      <w:r>
        <w:rPr>
          <w:spacing w:val="-18"/>
        </w:rPr>
        <w:t> </w:t>
      </w:r>
      <w:r>
        <w:rPr/>
        <w:t>Award,</w:t>
      </w:r>
      <w:r>
        <w:rPr>
          <w:spacing w:val="-18"/>
        </w:rPr>
        <w:t> </w:t>
      </w:r>
      <w:r>
        <w:rPr/>
        <w:t>and</w:t>
      </w:r>
      <w:r>
        <w:rPr>
          <w:spacing w:val="-18"/>
        </w:rPr>
        <w:t> </w:t>
      </w:r>
      <w:r>
        <w:rPr/>
        <w:t>Mr</w:t>
      </w:r>
      <w:r>
        <w:rPr>
          <w:spacing w:val="-18"/>
        </w:rPr>
        <w:t> </w:t>
      </w:r>
      <w:r>
        <w:rPr/>
        <w:t>Vikas</w:t>
      </w:r>
      <w:r>
        <w:rPr>
          <w:spacing w:val="-18"/>
        </w:rPr>
        <w:t> </w:t>
      </w:r>
      <w:r>
        <w:rPr/>
        <w:t>Punjabi,</w:t>
      </w:r>
      <w:r>
        <w:rPr>
          <w:spacing w:val="-18"/>
        </w:rPr>
        <w:t> </w:t>
      </w:r>
      <w:r>
        <w:rPr/>
        <w:t>founder of</w:t>
      </w:r>
      <w:r>
        <w:rPr>
          <w:spacing w:val="-15"/>
        </w:rPr>
        <w:t> </w:t>
      </w:r>
      <w:r>
        <w:rPr/>
        <w:t>The</w:t>
      </w:r>
      <w:r>
        <w:rPr>
          <w:spacing w:val="-15"/>
        </w:rPr>
        <w:t> </w:t>
      </w:r>
      <w:r>
        <w:rPr/>
        <w:t>Chocolate</w:t>
      </w:r>
      <w:r>
        <w:rPr>
          <w:spacing w:val="-15"/>
        </w:rPr>
        <w:t> </w:t>
      </w:r>
      <w:r>
        <w:rPr/>
        <w:t>Room,</w:t>
      </w:r>
      <w:r>
        <w:rPr>
          <w:spacing w:val="-15"/>
        </w:rPr>
        <w:t> </w:t>
      </w:r>
      <w:r>
        <w:rPr/>
        <w:t>received</w:t>
      </w:r>
      <w:r>
        <w:rPr>
          <w:spacing w:val="-15"/>
        </w:rPr>
        <w:t> </w:t>
      </w:r>
      <w:r>
        <w:rPr/>
        <w:t>the</w:t>
      </w:r>
      <w:r>
        <w:rPr>
          <w:spacing w:val="-15"/>
        </w:rPr>
        <w:t> </w:t>
      </w:r>
      <w:r>
        <w:rPr/>
        <w:t>Victorian State Government Award for Outstanding Achievement in Food, Travel and Leisure. A number</w:t>
      </w:r>
      <w:r>
        <w:rPr>
          <w:spacing w:val="-16"/>
        </w:rPr>
        <w:t> </w:t>
      </w:r>
      <w:r>
        <w:rPr/>
        <w:t>of</w:t>
      </w:r>
      <w:r>
        <w:rPr>
          <w:spacing w:val="-16"/>
        </w:rPr>
        <w:t> </w:t>
      </w:r>
      <w:r>
        <w:rPr/>
        <w:t>alumni</w:t>
      </w:r>
      <w:r>
        <w:rPr>
          <w:spacing w:val="-16"/>
        </w:rPr>
        <w:t> </w:t>
      </w:r>
      <w:r>
        <w:rPr/>
        <w:t>were</w:t>
      </w:r>
      <w:r>
        <w:rPr>
          <w:spacing w:val="-16"/>
        </w:rPr>
        <w:t> </w:t>
      </w:r>
      <w:r>
        <w:rPr/>
        <w:t>also</w:t>
      </w:r>
      <w:r>
        <w:rPr>
          <w:spacing w:val="-16"/>
        </w:rPr>
        <w:t> </w:t>
      </w:r>
      <w:r>
        <w:rPr/>
        <w:t>recognised</w:t>
      </w:r>
      <w:r>
        <w:rPr>
          <w:spacing w:val="-16"/>
        </w:rPr>
        <w:t> </w:t>
      </w:r>
      <w:r>
        <w:rPr/>
        <w:t>in</w:t>
      </w:r>
      <w:r>
        <w:rPr>
          <w:spacing w:val="-16"/>
        </w:rPr>
        <w:t> </w:t>
      </w:r>
      <w:r>
        <w:rPr/>
        <w:t>the Australia Day and Queen’s Birthday honours </w:t>
      </w:r>
      <w:r>
        <w:rPr>
          <w:spacing w:val="1"/>
          <w:w w:val="96"/>
        </w:rPr>
        <w:t>lists</w:t>
      </w:r>
      <w:r>
        <w:rPr>
          <w:w w:val="96"/>
        </w:rPr>
        <w:t> </w:t>
      </w:r>
      <w:r>
        <w:rPr>
          <w:w w:val="95"/>
        </w:rPr>
        <w:t>in </w:t>
      </w:r>
      <w:r>
        <w:rPr>
          <w:spacing w:val="1"/>
          <w:w w:val="88"/>
        </w:rPr>
        <w:t>2015</w:t>
      </w:r>
      <w:r>
        <w:rPr>
          <w:w w:val="88"/>
        </w:rPr>
        <w:t> </w:t>
      </w:r>
      <w:r>
        <w:rPr>
          <w:spacing w:val="1"/>
          <w:w w:val="97"/>
        </w:rPr>
        <w:t>and</w:t>
      </w:r>
      <w:r>
        <w:rPr>
          <w:w w:val="97"/>
        </w:rPr>
        <w:t> </w:t>
      </w:r>
      <w:r>
        <w:rPr>
          <w:w w:val="97"/>
        </w:rPr>
        <w:t>the </w:t>
      </w:r>
      <w:r>
        <w:rPr>
          <w:spacing w:val="1"/>
          <w:w w:val="98"/>
        </w:rPr>
        <w:t>Office</w:t>
      </w:r>
      <w:r>
        <w:rPr>
          <w:w w:val="98"/>
        </w:rPr>
        <w:t> </w:t>
      </w:r>
      <w:r>
        <w:rPr>
          <w:spacing w:val="1"/>
          <w:w w:val="97"/>
        </w:rPr>
        <w:t>arranged</w:t>
      </w:r>
      <w:r>
        <w:rPr>
          <w:w w:val="97"/>
        </w:rPr>
        <w:t> </w:t>
      </w:r>
      <w:r>
        <w:rPr>
          <w:w w:val="98"/>
        </w:rPr>
        <w:t>for </w:t>
      </w:r>
      <w:r>
        <w:rPr>
          <w:w w:val="97"/>
        </w:rPr>
        <w:t>the </w:t>
      </w:r>
      <w:r>
        <w:rPr/>
        <w:t>Vice-Chancellor</w:t>
      </w:r>
      <w:r>
        <w:rPr>
          <w:spacing w:val="-13"/>
        </w:rPr>
        <w:t> </w:t>
      </w:r>
      <w:r>
        <w:rPr/>
        <w:t>to</w:t>
      </w:r>
      <w:r>
        <w:rPr>
          <w:spacing w:val="-13"/>
        </w:rPr>
        <w:t> </w:t>
      </w:r>
      <w:r>
        <w:rPr/>
        <w:t>congratulate</w:t>
      </w:r>
      <w:r>
        <w:rPr>
          <w:spacing w:val="-13"/>
        </w:rPr>
        <w:t> </w:t>
      </w:r>
      <w:r>
        <w:rPr/>
        <w:t>them</w:t>
      </w:r>
      <w:r>
        <w:rPr>
          <w:spacing w:val="-13"/>
        </w:rPr>
        <w:t> </w:t>
      </w:r>
      <w:r>
        <w:rPr/>
        <w:t>on</w:t>
      </w:r>
      <w:r>
        <w:rPr>
          <w:spacing w:val="-13"/>
        </w:rPr>
        <w:t> </w:t>
      </w:r>
      <w:r>
        <w:rPr/>
        <w:t>their achievements.</w:t>
      </w:r>
    </w:p>
    <w:p>
      <w:pPr>
        <w:spacing w:after="0" w:line="249" w:lineRule="auto"/>
        <w:sectPr>
          <w:type w:val="continuous"/>
          <w:pgSz w:w="11910" w:h="16840"/>
          <w:pgMar w:top="1580" w:bottom="280" w:left="580" w:right="580"/>
          <w:cols w:num="3" w:equalWidth="0">
            <w:col w:w="3540" w:space="40"/>
            <w:col w:w="3374" w:space="40"/>
            <w:col w:w="375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p>
    <w:tbl>
      <w:tblPr>
        <w:tblW w:w="0" w:type="auto"/>
        <w:jc w:val="left"/>
        <w:tblInd w:w="29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28"/>
        <w:gridCol w:w="247"/>
        <w:gridCol w:w="2302"/>
        <w:gridCol w:w="2638"/>
        <w:gridCol w:w="1693"/>
      </w:tblGrid>
      <w:tr>
        <w:trPr>
          <w:trHeight w:val="298" w:hRule="exact"/>
        </w:trPr>
        <w:tc>
          <w:tcPr>
            <w:tcW w:w="3228" w:type="dxa"/>
            <w:shd w:val="clear" w:color="auto" w:fill="E6E7E8"/>
          </w:tcPr>
          <w:p>
            <w:pPr>
              <w:pStyle w:val="TableParagraph"/>
              <w:spacing w:line="60" w:lineRule="exact" w:before="0"/>
              <w:ind w:left="35"/>
              <w:jc w:val="left"/>
              <w:rPr>
                <w:sz w:val="16"/>
              </w:rPr>
            </w:pPr>
            <w:r>
              <w:rPr>
                <w:rFonts w:ascii="Gotham Narrow Bold"/>
                <w:b/>
                <w:sz w:val="16"/>
              </w:rPr>
              <w:t>3. </w:t>
            </w:r>
            <w:r>
              <w:rPr>
                <w:sz w:val="16"/>
              </w:rPr>
              <w:t>US with 0.80 per cent of all sessions</w:t>
            </w:r>
          </w:p>
          <w:p>
            <w:pPr>
              <w:pStyle w:val="TableParagraph"/>
              <w:tabs>
                <w:tab w:pos="3227" w:val="left" w:leader="none"/>
              </w:tabs>
              <w:spacing w:line="158" w:lineRule="exact" w:before="0"/>
              <w:ind w:left="35"/>
              <w:jc w:val="left"/>
              <w:rPr>
                <w:sz w:val="16"/>
              </w:rPr>
            </w:pPr>
            <w:r>
              <w:rPr>
                <w:w w:val="76"/>
                <w:sz w:val="16"/>
                <w:u w:val="single" w:color="939598"/>
              </w:rPr>
              <w:t> </w:t>
            </w:r>
            <w:r>
              <w:rPr>
                <w:sz w:val="16"/>
                <w:u w:val="single" w:color="939598"/>
              </w:rPr>
              <w:tab/>
            </w:r>
          </w:p>
        </w:tc>
        <w:tc>
          <w:tcPr>
            <w:tcW w:w="247" w:type="dxa"/>
            <w:shd w:val="clear" w:color="auto" w:fill="E6E7E8"/>
          </w:tcPr>
          <w:p>
            <w:pPr/>
          </w:p>
        </w:tc>
        <w:tc>
          <w:tcPr>
            <w:tcW w:w="2302" w:type="dxa"/>
            <w:tcBorders>
              <w:top w:val="single" w:sz="4" w:space="0" w:color="939598"/>
              <w:bottom w:val="single" w:sz="4" w:space="0" w:color="939598"/>
            </w:tcBorders>
            <w:shd w:val="clear" w:color="auto" w:fill="E6E7E8"/>
          </w:tcPr>
          <w:p>
            <w:pPr>
              <w:pStyle w:val="TableParagraph"/>
              <w:spacing w:before="19"/>
              <w:jc w:val="left"/>
              <w:rPr>
                <w:sz w:val="16"/>
              </w:rPr>
            </w:pPr>
            <w:r>
              <w:rPr>
                <w:sz w:val="16"/>
              </w:rPr>
              <w:t>Twitter UWS</w:t>
            </w:r>
          </w:p>
        </w:tc>
        <w:tc>
          <w:tcPr>
            <w:tcW w:w="2638" w:type="dxa"/>
            <w:tcBorders>
              <w:top w:val="single" w:sz="4" w:space="0" w:color="939598"/>
              <w:bottom w:val="single" w:sz="4" w:space="0" w:color="939598"/>
            </w:tcBorders>
            <w:shd w:val="clear" w:color="auto" w:fill="E6E7E8"/>
          </w:tcPr>
          <w:p>
            <w:pPr>
              <w:pStyle w:val="TableParagraph"/>
              <w:spacing w:before="19"/>
              <w:ind w:right="1146"/>
              <w:rPr>
                <w:sz w:val="16"/>
              </w:rPr>
            </w:pPr>
            <w:r>
              <w:rPr>
                <w:sz w:val="16"/>
              </w:rPr>
              <w:t>4,000</w:t>
            </w:r>
          </w:p>
        </w:tc>
        <w:tc>
          <w:tcPr>
            <w:tcW w:w="1693" w:type="dxa"/>
            <w:tcBorders>
              <w:top w:val="single" w:sz="4" w:space="0" w:color="939598"/>
              <w:bottom w:val="single" w:sz="4" w:space="0" w:color="939598"/>
            </w:tcBorders>
            <w:shd w:val="clear" w:color="auto" w:fill="E6E7E8"/>
          </w:tcPr>
          <w:p>
            <w:pPr>
              <w:pStyle w:val="TableParagraph"/>
              <w:spacing w:before="19"/>
              <w:ind w:right="54"/>
              <w:rPr>
                <w:sz w:val="16"/>
              </w:rPr>
            </w:pPr>
            <w:r>
              <w:rPr>
                <w:w w:val="90"/>
                <w:sz w:val="16"/>
              </w:rPr>
              <w:t>104.92</w:t>
            </w:r>
          </w:p>
        </w:tc>
      </w:tr>
      <w:tr>
        <w:trPr>
          <w:trHeight w:val="298" w:hRule="exact"/>
        </w:trPr>
        <w:tc>
          <w:tcPr>
            <w:tcW w:w="3228" w:type="dxa"/>
            <w:tcBorders>
              <w:bottom w:val="single" w:sz="4" w:space="0" w:color="939598"/>
            </w:tcBorders>
            <w:shd w:val="clear" w:color="auto" w:fill="E6E7E8"/>
          </w:tcPr>
          <w:p>
            <w:pPr>
              <w:pStyle w:val="TableParagraph"/>
              <w:spacing w:line="152" w:lineRule="exact" w:before="0"/>
              <w:ind w:left="35"/>
              <w:jc w:val="left"/>
              <w:rPr>
                <w:sz w:val="16"/>
              </w:rPr>
            </w:pPr>
            <w:r>
              <w:rPr>
                <w:rFonts w:ascii="Gotham Narrow Bold"/>
                <w:b/>
                <w:sz w:val="16"/>
              </w:rPr>
              <w:t>4. </w:t>
            </w:r>
            <w:r>
              <w:rPr>
                <w:sz w:val="16"/>
              </w:rPr>
              <w:t>UK with 0.45 per cent of all sessions</w:t>
            </w:r>
          </w:p>
        </w:tc>
        <w:tc>
          <w:tcPr>
            <w:tcW w:w="247" w:type="dxa"/>
            <w:shd w:val="clear" w:color="auto" w:fill="E6E7E8"/>
          </w:tcPr>
          <w:p>
            <w:pPr/>
          </w:p>
        </w:tc>
        <w:tc>
          <w:tcPr>
            <w:tcW w:w="2302" w:type="dxa"/>
            <w:tcBorders>
              <w:top w:val="single" w:sz="4" w:space="0" w:color="939598"/>
              <w:bottom w:val="single" w:sz="4" w:space="0" w:color="939598"/>
            </w:tcBorders>
            <w:shd w:val="clear" w:color="auto" w:fill="E6E7E8"/>
          </w:tcPr>
          <w:p>
            <w:pPr>
              <w:pStyle w:val="TableParagraph"/>
              <w:spacing w:before="19"/>
              <w:jc w:val="left"/>
              <w:rPr>
                <w:sz w:val="16"/>
              </w:rPr>
            </w:pPr>
            <w:r>
              <w:rPr>
                <w:sz w:val="16"/>
              </w:rPr>
              <w:t>YouTube</w:t>
            </w:r>
          </w:p>
        </w:tc>
        <w:tc>
          <w:tcPr>
            <w:tcW w:w="2638" w:type="dxa"/>
            <w:tcBorders>
              <w:top w:val="single" w:sz="4" w:space="0" w:color="939598"/>
              <w:bottom w:val="single" w:sz="4" w:space="0" w:color="939598"/>
            </w:tcBorders>
            <w:shd w:val="clear" w:color="auto" w:fill="E6E7E8"/>
          </w:tcPr>
          <w:p>
            <w:pPr>
              <w:pStyle w:val="TableParagraph"/>
              <w:spacing w:before="19"/>
              <w:ind w:right="1151"/>
              <w:rPr>
                <w:sz w:val="16"/>
              </w:rPr>
            </w:pPr>
            <w:r>
              <w:rPr>
                <w:w w:val="90"/>
                <w:sz w:val="16"/>
              </w:rPr>
              <w:t>2,354</w:t>
            </w:r>
          </w:p>
        </w:tc>
        <w:tc>
          <w:tcPr>
            <w:tcW w:w="1693" w:type="dxa"/>
            <w:tcBorders>
              <w:top w:val="single" w:sz="4" w:space="0" w:color="939598"/>
              <w:bottom w:val="single" w:sz="4" w:space="0" w:color="939598"/>
            </w:tcBorders>
            <w:shd w:val="clear" w:color="auto" w:fill="E6E7E8"/>
          </w:tcPr>
          <w:p>
            <w:pPr>
              <w:pStyle w:val="TableParagraph"/>
              <w:spacing w:before="19"/>
              <w:ind w:right="54"/>
              <w:rPr>
                <w:sz w:val="16"/>
              </w:rPr>
            </w:pPr>
            <w:r>
              <w:rPr>
                <w:w w:val="85"/>
                <w:sz w:val="16"/>
              </w:rPr>
              <w:t>103.63</w:t>
            </w:r>
          </w:p>
        </w:tc>
      </w:tr>
      <w:tr>
        <w:trPr>
          <w:trHeight w:val="298" w:hRule="exact"/>
        </w:trPr>
        <w:tc>
          <w:tcPr>
            <w:tcW w:w="3228" w:type="dxa"/>
            <w:tcBorders>
              <w:top w:val="single" w:sz="4" w:space="0" w:color="939598"/>
              <w:bottom w:val="single" w:sz="4" w:space="0" w:color="939598"/>
            </w:tcBorders>
            <w:shd w:val="clear" w:color="auto" w:fill="E6E7E8"/>
          </w:tcPr>
          <w:p>
            <w:pPr>
              <w:pStyle w:val="TableParagraph"/>
              <w:spacing w:before="76"/>
              <w:ind w:left="35"/>
              <w:jc w:val="left"/>
              <w:rPr>
                <w:sz w:val="16"/>
              </w:rPr>
            </w:pPr>
            <w:r>
              <w:rPr>
                <w:rFonts w:ascii="Gotham Narrow Bold"/>
                <w:b/>
                <w:sz w:val="16"/>
              </w:rPr>
              <w:t>5. </w:t>
            </w:r>
            <w:r>
              <w:rPr>
                <w:sz w:val="16"/>
              </w:rPr>
              <w:t>China with 0.30 per cent of all sessions</w:t>
            </w:r>
          </w:p>
        </w:tc>
        <w:tc>
          <w:tcPr>
            <w:tcW w:w="247" w:type="dxa"/>
            <w:shd w:val="clear" w:color="auto" w:fill="E6E7E8"/>
          </w:tcPr>
          <w:p>
            <w:pPr/>
          </w:p>
        </w:tc>
        <w:tc>
          <w:tcPr>
            <w:tcW w:w="2302" w:type="dxa"/>
            <w:tcBorders>
              <w:top w:val="single" w:sz="4" w:space="0" w:color="939598"/>
              <w:bottom w:val="single" w:sz="4" w:space="0" w:color="939598"/>
            </w:tcBorders>
            <w:shd w:val="clear" w:color="auto" w:fill="E6E7E8"/>
          </w:tcPr>
          <w:p>
            <w:pPr>
              <w:pStyle w:val="TableParagraph"/>
              <w:spacing w:before="19"/>
              <w:jc w:val="left"/>
              <w:rPr>
                <w:sz w:val="16"/>
              </w:rPr>
            </w:pPr>
            <w:r>
              <w:rPr>
                <w:sz w:val="16"/>
              </w:rPr>
              <w:t>Instagram</w:t>
            </w:r>
          </w:p>
        </w:tc>
        <w:tc>
          <w:tcPr>
            <w:tcW w:w="2638" w:type="dxa"/>
            <w:tcBorders>
              <w:top w:val="single" w:sz="4" w:space="0" w:color="939598"/>
              <w:bottom w:val="single" w:sz="4" w:space="0" w:color="939598"/>
            </w:tcBorders>
            <w:shd w:val="clear" w:color="auto" w:fill="E6E7E8"/>
          </w:tcPr>
          <w:p>
            <w:pPr>
              <w:pStyle w:val="TableParagraph"/>
              <w:spacing w:before="19"/>
              <w:ind w:right="1153"/>
              <w:rPr>
                <w:sz w:val="16"/>
              </w:rPr>
            </w:pPr>
            <w:r>
              <w:rPr>
                <w:w w:val="90"/>
                <w:sz w:val="16"/>
              </w:rPr>
              <w:t>5,707</w:t>
            </w:r>
          </w:p>
        </w:tc>
        <w:tc>
          <w:tcPr>
            <w:tcW w:w="1693" w:type="dxa"/>
            <w:tcBorders>
              <w:top w:val="single" w:sz="4" w:space="0" w:color="939598"/>
              <w:bottom w:val="single" w:sz="4" w:space="0" w:color="939598"/>
            </w:tcBorders>
            <w:shd w:val="clear" w:color="auto" w:fill="E6E7E8"/>
          </w:tcPr>
          <w:p>
            <w:pPr>
              <w:pStyle w:val="TableParagraph"/>
              <w:spacing w:before="19"/>
              <w:ind w:right="52"/>
              <w:rPr>
                <w:sz w:val="16"/>
              </w:rPr>
            </w:pPr>
            <w:r>
              <w:rPr>
                <w:w w:val="95"/>
                <w:sz w:val="16"/>
              </w:rPr>
              <w:t>208.65</w:t>
            </w:r>
          </w:p>
        </w:tc>
      </w:tr>
      <w:tr>
        <w:trPr>
          <w:trHeight w:val="298" w:hRule="exact"/>
        </w:trPr>
        <w:tc>
          <w:tcPr>
            <w:tcW w:w="3228" w:type="dxa"/>
            <w:tcBorders>
              <w:top w:val="single" w:sz="4" w:space="0" w:color="939598"/>
            </w:tcBorders>
            <w:shd w:val="clear" w:color="auto" w:fill="E6E7E8"/>
          </w:tcPr>
          <w:p>
            <w:pPr/>
          </w:p>
        </w:tc>
        <w:tc>
          <w:tcPr>
            <w:tcW w:w="247" w:type="dxa"/>
            <w:shd w:val="clear" w:color="auto" w:fill="E6E7E8"/>
          </w:tcPr>
          <w:p>
            <w:pPr/>
          </w:p>
        </w:tc>
        <w:tc>
          <w:tcPr>
            <w:tcW w:w="2302" w:type="dxa"/>
            <w:tcBorders>
              <w:top w:val="single" w:sz="4" w:space="0" w:color="939598"/>
              <w:bottom w:val="single" w:sz="4" w:space="0" w:color="939598"/>
            </w:tcBorders>
            <w:shd w:val="clear" w:color="auto" w:fill="E6E7E8"/>
          </w:tcPr>
          <w:p>
            <w:pPr>
              <w:pStyle w:val="TableParagraph"/>
              <w:spacing w:before="19"/>
              <w:jc w:val="left"/>
              <w:rPr>
                <w:sz w:val="16"/>
              </w:rPr>
            </w:pPr>
            <w:r>
              <w:rPr>
                <w:sz w:val="16"/>
              </w:rPr>
              <w:t>LinkedIn Uni</w:t>
            </w:r>
          </w:p>
        </w:tc>
        <w:tc>
          <w:tcPr>
            <w:tcW w:w="2638" w:type="dxa"/>
            <w:tcBorders>
              <w:top w:val="single" w:sz="4" w:space="0" w:color="939598"/>
              <w:bottom w:val="single" w:sz="4" w:space="0" w:color="939598"/>
            </w:tcBorders>
            <w:shd w:val="clear" w:color="auto" w:fill="E6E7E8"/>
          </w:tcPr>
          <w:p>
            <w:pPr>
              <w:pStyle w:val="TableParagraph"/>
              <w:spacing w:before="19"/>
              <w:ind w:right="1151"/>
              <w:rPr>
                <w:sz w:val="16"/>
              </w:rPr>
            </w:pPr>
            <w:r>
              <w:rPr>
                <w:w w:val="95"/>
                <w:sz w:val="16"/>
              </w:rPr>
              <w:t>69,367</w:t>
            </w:r>
          </w:p>
        </w:tc>
        <w:tc>
          <w:tcPr>
            <w:tcW w:w="1693" w:type="dxa"/>
            <w:tcBorders>
              <w:top w:val="single" w:sz="4" w:space="0" w:color="939598"/>
              <w:bottom w:val="single" w:sz="4" w:space="0" w:color="939598"/>
            </w:tcBorders>
            <w:shd w:val="clear" w:color="auto" w:fill="E6E7E8"/>
          </w:tcPr>
          <w:p>
            <w:pPr>
              <w:pStyle w:val="TableParagraph"/>
              <w:spacing w:before="19"/>
              <w:ind w:right="54"/>
              <w:rPr>
                <w:sz w:val="16"/>
              </w:rPr>
            </w:pPr>
            <w:r>
              <w:rPr>
                <w:w w:val="85"/>
                <w:sz w:val="16"/>
              </w:rPr>
              <w:t>16.95</w:t>
            </w:r>
          </w:p>
        </w:tc>
      </w:tr>
      <w:tr>
        <w:trPr>
          <w:trHeight w:val="298" w:hRule="exact"/>
        </w:trPr>
        <w:tc>
          <w:tcPr>
            <w:tcW w:w="3228" w:type="dxa"/>
            <w:shd w:val="clear" w:color="auto" w:fill="E6E7E8"/>
          </w:tcPr>
          <w:p>
            <w:pPr/>
          </w:p>
        </w:tc>
        <w:tc>
          <w:tcPr>
            <w:tcW w:w="247" w:type="dxa"/>
            <w:shd w:val="clear" w:color="auto" w:fill="E6E7E8"/>
          </w:tcPr>
          <w:p>
            <w:pPr/>
          </w:p>
        </w:tc>
        <w:tc>
          <w:tcPr>
            <w:tcW w:w="2302" w:type="dxa"/>
            <w:tcBorders>
              <w:top w:val="single" w:sz="4" w:space="0" w:color="939598"/>
              <w:bottom w:val="single" w:sz="4" w:space="0" w:color="939598"/>
            </w:tcBorders>
            <w:shd w:val="clear" w:color="auto" w:fill="E6E7E8"/>
          </w:tcPr>
          <w:p>
            <w:pPr>
              <w:pStyle w:val="TableParagraph"/>
              <w:spacing w:before="19"/>
              <w:jc w:val="left"/>
              <w:rPr>
                <w:sz w:val="16"/>
              </w:rPr>
            </w:pPr>
            <w:r>
              <w:rPr>
                <w:sz w:val="16"/>
              </w:rPr>
              <w:t>LinkedIn Company</w:t>
            </w:r>
          </w:p>
        </w:tc>
        <w:tc>
          <w:tcPr>
            <w:tcW w:w="2638" w:type="dxa"/>
            <w:tcBorders>
              <w:top w:val="single" w:sz="4" w:space="0" w:color="939598"/>
              <w:bottom w:val="single" w:sz="4" w:space="0" w:color="939598"/>
            </w:tcBorders>
            <w:shd w:val="clear" w:color="auto" w:fill="E6E7E8"/>
          </w:tcPr>
          <w:p>
            <w:pPr>
              <w:pStyle w:val="TableParagraph"/>
              <w:spacing w:before="19"/>
              <w:ind w:right="1150"/>
              <w:rPr>
                <w:sz w:val="16"/>
              </w:rPr>
            </w:pPr>
            <w:r>
              <w:rPr>
                <w:spacing w:val="4"/>
                <w:w w:val="54"/>
                <w:sz w:val="16"/>
              </w:rPr>
              <w:t>1</w:t>
            </w:r>
            <w:r>
              <w:rPr>
                <w:spacing w:val="2"/>
                <w:w w:val="111"/>
                <w:sz w:val="16"/>
              </w:rPr>
              <w:t>0</w:t>
            </w:r>
            <w:r>
              <w:rPr>
                <w:spacing w:val="6"/>
                <w:w w:val="68"/>
                <w:sz w:val="16"/>
              </w:rPr>
              <w:t>,</w:t>
            </w:r>
            <w:r>
              <w:rPr>
                <w:spacing w:val="5"/>
                <w:w w:val="94"/>
                <w:sz w:val="16"/>
              </w:rPr>
              <w:t>3</w:t>
            </w:r>
            <w:r>
              <w:rPr>
                <w:w w:val="73"/>
                <w:sz w:val="16"/>
              </w:rPr>
              <w:t>17</w:t>
            </w:r>
          </w:p>
        </w:tc>
        <w:tc>
          <w:tcPr>
            <w:tcW w:w="1693" w:type="dxa"/>
            <w:tcBorders>
              <w:top w:val="single" w:sz="4" w:space="0" w:color="939598"/>
              <w:bottom w:val="single" w:sz="4" w:space="0" w:color="939598"/>
            </w:tcBorders>
            <w:shd w:val="clear" w:color="auto" w:fill="E6E7E8"/>
          </w:tcPr>
          <w:p>
            <w:pPr>
              <w:pStyle w:val="TableParagraph"/>
              <w:spacing w:before="19"/>
              <w:ind w:right="55"/>
              <w:rPr>
                <w:sz w:val="16"/>
              </w:rPr>
            </w:pPr>
            <w:r>
              <w:rPr>
                <w:w w:val="95"/>
                <w:sz w:val="16"/>
              </w:rPr>
              <w:t>40.87</w:t>
            </w:r>
          </w:p>
        </w:tc>
      </w:tr>
      <w:tr>
        <w:trPr>
          <w:trHeight w:val="298" w:hRule="exact"/>
        </w:trPr>
        <w:tc>
          <w:tcPr>
            <w:tcW w:w="3228" w:type="dxa"/>
            <w:shd w:val="clear" w:color="auto" w:fill="E6E7E8"/>
          </w:tcPr>
          <w:p>
            <w:pPr/>
          </w:p>
        </w:tc>
        <w:tc>
          <w:tcPr>
            <w:tcW w:w="247" w:type="dxa"/>
            <w:shd w:val="clear" w:color="auto" w:fill="E6E7E8"/>
          </w:tcPr>
          <w:p>
            <w:pPr/>
          </w:p>
        </w:tc>
        <w:tc>
          <w:tcPr>
            <w:tcW w:w="2302" w:type="dxa"/>
            <w:tcBorders>
              <w:top w:val="single" w:sz="4" w:space="0" w:color="939598"/>
              <w:bottom w:val="single" w:sz="4" w:space="0" w:color="939598"/>
            </w:tcBorders>
            <w:shd w:val="clear" w:color="auto" w:fill="E6E7E8"/>
          </w:tcPr>
          <w:p>
            <w:pPr>
              <w:pStyle w:val="TableParagraph"/>
              <w:spacing w:before="19"/>
              <w:jc w:val="left"/>
              <w:rPr>
                <w:sz w:val="16"/>
              </w:rPr>
            </w:pPr>
            <w:r>
              <w:rPr>
                <w:sz w:val="16"/>
              </w:rPr>
              <w:t>Google+</w:t>
            </w:r>
          </w:p>
        </w:tc>
        <w:tc>
          <w:tcPr>
            <w:tcW w:w="2638" w:type="dxa"/>
            <w:tcBorders>
              <w:top w:val="single" w:sz="4" w:space="0" w:color="939598"/>
              <w:bottom w:val="single" w:sz="4" w:space="0" w:color="939598"/>
            </w:tcBorders>
            <w:shd w:val="clear" w:color="auto" w:fill="E6E7E8"/>
          </w:tcPr>
          <w:p>
            <w:pPr>
              <w:pStyle w:val="TableParagraph"/>
              <w:spacing w:before="19"/>
              <w:ind w:right="1151"/>
              <w:rPr>
                <w:sz w:val="16"/>
              </w:rPr>
            </w:pPr>
            <w:r>
              <w:rPr>
                <w:w w:val="95"/>
                <w:sz w:val="16"/>
              </w:rPr>
              <w:t>245</w:t>
            </w:r>
          </w:p>
        </w:tc>
        <w:tc>
          <w:tcPr>
            <w:tcW w:w="1693" w:type="dxa"/>
            <w:tcBorders>
              <w:top w:val="single" w:sz="4" w:space="0" w:color="939598"/>
              <w:bottom w:val="single" w:sz="4" w:space="0" w:color="939598"/>
            </w:tcBorders>
            <w:shd w:val="clear" w:color="auto" w:fill="E6E7E8"/>
          </w:tcPr>
          <w:p>
            <w:pPr>
              <w:pStyle w:val="TableParagraph"/>
              <w:spacing w:before="19"/>
              <w:ind w:right="54"/>
              <w:rPr>
                <w:sz w:val="16"/>
              </w:rPr>
            </w:pPr>
            <w:r>
              <w:rPr>
                <w:w w:val="95"/>
                <w:sz w:val="16"/>
              </w:rPr>
              <w:t>58.06</w:t>
            </w:r>
          </w:p>
        </w:tc>
      </w:tr>
    </w:tbl>
    <w:p>
      <w:pPr>
        <w:pStyle w:val="BodyText"/>
        <w:rPr>
          <w:sz w:val="20"/>
        </w:rPr>
      </w:pPr>
    </w:p>
    <w:p>
      <w:pPr>
        <w:spacing w:after="0"/>
        <w:rPr>
          <w:sz w:val="20"/>
        </w:rPr>
        <w:sectPr>
          <w:pgSz w:w="11910" w:h="16840"/>
          <w:pgMar w:header="494" w:footer="473" w:top="680" w:bottom="660" w:left="580" w:right="580"/>
        </w:sectPr>
      </w:pPr>
    </w:p>
    <w:p>
      <w:pPr>
        <w:pStyle w:val="BodyText"/>
        <w:spacing w:before="10"/>
        <w:rPr>
          <w:sz w:val="21"/>
        </w:rPr>
      </w:pPr>
    </w:p>
    <w:p>
      <w:pPr>
        <w:spacing w:line="260" w:lineRule="exact" w:before="0"/>
        <w:ind w:left="327" w:right="-1" w:firstLine="0"/>
        <w:jc w:val="left"/>
        <w:rPr>
          <w:rFonts w:ascii="Gotham Narrow Bold"/>
          <w:b/>
          <w:sz w:val="24"/>
        </w:rPr>
      </w:pPr>
      <w:r>
        <w:rPr/>
        <w:pict>
          <v:group style="position:absolute;margin-left:34.015999pt;margin-top:-209.908066pt;width:527.25pt;height:196.3pt;mso-position-horizontal-relative:page;mso-position-vertical-relative:paragraph;z-index:-332992" coordorigin="680,-4198" coordsize="10545,3926">
            <v:rect style="position:absolute;left:680;top:-4198;width:10545;height:3926" filled="true" fillcolor="#e6e7e8" stroked="false">
              <v:fill type="solid"/>
            </v:rect>
            <v:line style="position:absolute" from="907,-2843" to="4100,-2843" stroked="true" strokeweight=".5pt" strokecolor="#939598"/>
            <v:line style="position:absolute" from="907,-2488" to="4100,-2488" stroked="true" strokeweight=".5pt" strokecolor="#939598"/>
            <v:line style="position:absolute" from="907,-3198" to="4100,-3198" stroked="true" strokeweight="1.5pt" strokecolor="#000000"/>
            <v:line style="position:absolute" from="4346,-2900" to="6255,-2900" stroked="true" strokeweight=".5pt" strokecolor="#939598"/>
            <v:line style="position:absolute" from="6255,-2900" to="8277,-2900" stroked="true" strokeweight=".5pt" strokecolor="#939598"/>
            <v:line style="position:absolute" from="8277,-2900" to="10980,-2900" stroked="true" strokeweight=".5pt" strokecolor="#939598"/>
            <v:line style="position:absolute" from="6255,-3198" to="8277,-3198" stroked="true" strokeweight="1.5pt" strokecolor="#000000"/>
            <v:line style="position:absolute" from="8277,-3198" to="10980,-3198" stroked="true" strokeweight="1.5pt" strokecolor="#000000"/>
            <v:line style="position:absolute" from="4346,-3198" to="6255,-3198" stroked="true" strokeweight="1.5pt" strokecolor="#000000"/>
            <v:shape style="position:absolute;left:907;top:-3968;width:2976;height:500" type="#_x0000_t202" filled="false" stroked="false">
              <v:textbox inset="0,0,0,0">
                <w:txbxContent>
                  <w:p>
                    <w:pPr>
                      <w:spacing w:line="232" w:lineRule="exact" w:before="0"/>
                      <w:ind w:left="0" w:right="-10" w:firstLine="0"/>
                      <w:jc w:val="left"/>
                      <w:rPr>
                        <w:rFonts w:ascii="Gotham Narrow Bold"/>
                        <w:b/>
                        <w:sz w:val="24"/>
                      </w:rPr>
                    </w:pPr>
                    <w:r>
                      <w:rPr>
                        <w:rFonts w:ascii="Gotham Narrow Bold"/>
                        <w:b/>
                        <w:w w:val="95"/>
                        <w:sz w:val="24"/>
                      </w:rPr>
                      <w:t>NUMBER OF WEB</w:t>
                    </w:r>
                    <w:r>
                      <w:rPr>
                        <w:rFonts w:ascii="Gotham Narrow Bold"/>
                        <w:b/>
                        <w:spacing w:val="-18"/>
                        <w:w w:val="95"/>
                        <w:sz w:val="24"/>
                      </w:rPr>
                      <w:t> </w:t>
                    </w:r>
                    <w:r>
                      <w:rPr>
                        <w:rFonts w:ascii="Gotham Narrow Bold"/>
                        <w:b/>
                        <w:w w:val="95"/>
                        <w:sz w:val="24"/>
                      </w:rPr>
                      <w:t>SESSIONS</w:t>
                    </w:r>
                  </w:p>
                  <w:p>
                    <w:pPr>
                      <w:spacing w:line="268" w:lineRule="exact" w:before="0"/>
                      <w:ind w:left="0" w:right="-10" w:firstLine="0"/>
                      <w:jc w:val="left"/>
                      <w:rPr>
                        <w:rFonts w:ascii="Gotham Narrow Bold"/>
                        <w:b/>
                        <w:sz w:val="24"/>
                      </w:rPr>
                    </w:pPr>
                    <w:r>
                      <w:rPr>
                        <w:rFonts w:ascii="Gotham Narrow Bold"/>
                        <w:b/>
                        <w:w w:val="95"/>
                        <w:sz w:val="24"/>
                      </w:rPr>
                      <w:t>BY COUNTRY</w:t>
                    </w:r>
                  </w:p>
                </w:txbxContent>
              </v:textbox>
              <w10:wrap type="none"/>
            </v:shape>
            <v:shape style="position:absolute;left:4346;top:-3968;width:3709;height:500" type="#_x0000_t202" filled="false" stroked="false">
              <v:textbox inset="0,0,0,0">
                <w:txbxContent>
                  <w:p>
                    <w:pPr>
                      <w:spacing w:line="232" w:lineRule="exact" w:before="0"/>
                      <w:ind w:left="0" w:right="-8" w:firstLine="0"/>
                      <w:jc w:val="left"/>
                      <w:rPr>
                        <w:rFonts w:ascii="Gotham Narrow Bold"/>
                        <w:b/>
                        <w:sz w:val="24"/>
                      </w:rPr>
                    </w:pPr>
                    <w:r>
                      <w:rPr>
                        <w:rFonts w:ascii="Gotham Narrow Bold"/>
                        <w:b/>
                        <w:spacing w:val="-3"/>
                        <w:w w:val="95"/>
                        <w:sz w:val="24"/>
                      </w:rPr>
                      <w:t>GROWTH </w:t>
                    </w:r>
                    <w:r>
                      <w:rPr>
                        <w:rFonts w:ascii="Gotham Narrow Bold"/>
                        <w:b/>
                        <w:w w:val="95"/>
                        <w:sz w:val="24"/>
                      </w:rPr>
                      <w:t>IN </w:t>
                    </w:r>
                    <w:r>
                      <w:rPr>
                        <w:rFonts w:ascii="Gotham Narrow Bold"/>
                        <w:b/>
                        <w:spacing w:val="-3"/>
                        <w:w w:val="95"/>
                        <w:sz w:val="24"/>
                      </w:rPr>
                      <w:t>2015 </w:t>
                    </w:r>
                    <w:r>
                      <w:rPr>
                        <w:rFonts w:ascii="Gotham Narrow Bold"/>
                        <w:b/>
                        <w:w w:val="95"/>
                        <w:sz w:val="24"/>
                      </w:rPr>
                      <w:t>IN </w:t>
                    </w:r>
                    <w:r>
                      <w:rPr>
                        <w:rFonts w:ascii="Gotham Narrow Bold"/>
                        <w:b/>
                        <w:spacing w:val="-3"/>
                        <w:w w:val="95"/>
                        <w:sz w:val="24"/>
                      </w:rPr>
                      <w:t>SOCIAL</w:t>
                    </w:r>
                    <w:r>
                      <w:rPr>
                        <w:rFonts w:ascii="Gotham Narrow Bold"/>
                        <w:b/>
                        <w:spacing w:val="-21"/>
                        <w:w w:val="95"/>
                        <w:sz w:val="24"/>
                      </w:rPr>
                      <w:t> </w:t>
                    </w:r>
                    <w:r>
                      <w:rPr>
                        <w:rFonts w:ascii="Gotham Narrow Bold"/>
                        <w:b/>
                        <w:w w:val="95"/>
                        <w:sz w:val="24"/>
                      </w:rPr>
                      <w:t>MEDIA</w:t>
                    </w:r>
                  </w:p>
                  <w:p>
                    <w:pPr>
                      <w:spacing w:line="268" w:lineRule="exact" w:before="0"/>
                      <w:ind w:left="0" w:right="-8" w:firstLine="0"/>
                      <w:jc w:val="left"/>
                      <w:rPr>
                        <w:rFonts w:ascii="Gotham Narrow Bold"/>
                        <w:b/>
                        <w:sz w:val="24"/>
                      </w:rPr>
                    </w:pPr>
                    <w:r>
                      <w:rPr>
                        <w:rFonts w:ascii="Gotham Narrow Bold"/>
                        <w:b/>
                        <w:w w:val="95"/>
                        <w:sz w:val="24"/>
                      </w:rPr>
                      <w:t>FOLLOWER NUMBERS</w:t>
                    </w:r>
                  </w:p>
                </w:txbxContent>
              </v:textbox>
              <w10:wrap type="none"/>
            </v:shape>
            <v:shape style="position:absolute;left:907;top:-3087;width:3022;height:166" type="#_x0000_t202" filled="false" stroked="false">
              <v:textbox inset="0,0,0,0">
                <w:txbxContent>
                  <w:p>
                    <w:pPr>
                      <w:spacing w:line="166" w:lineRule="exact" w:before="0"/>
                      <w:ind w:left="0" w:right="0" w:firstLine="0"/>
                      <w:jc w:val="left"/>
                      <w:rPr>
                        <w:sz w:val="16"/>
                      </w:rPr>
                    </w:pPr>
                    <w:r>
                      <w:rPr>
                        <w:rFonts w:ascii="Gotham Narrow Bold"/>
                        <w:b/>
                        <w:sz w:val="16"/>
                      </w:rPr>
                      <w:t>1.</w:t>
                    </w:r>
                    <w:r>
                      <w:rPr>
                        <w:rFonts w:ascii="Gotham Narrow Bold"/>
                        <w:b/>
                        <w:spacing w:val="-9"/>
                        <w:sz w:val="16"/>
                      </w:rPr>
                      <w:t> </w:t>
                    </w:r>
                    <w:r>
                      <w:rPr>
                        <w:sz w:val="16"/>
                      </w:rPr>
                      <w:t>Australia</w:t>
                    </w:r>
                    <w:r>
                      <w:rPr>
                        <w:spacing w:val="-17"/>
                        <w:sz w:val="16"/>
                      </w:rPr>
                      <w:t> </w:t>
                    </w:r>
                    <w:r>
                      <w:rPr>
                        <w:sz w:val="16"/>
                      </w:rPr>
                      <w:t>with</w:t>
                    </w:r>
                    <w:r>
                      <w:rPr>
                        <w:spacing w:val="-17"/>
                        <w:sz w:val="16"/>
                      </w:rPr>
                      <w:t> </w:t>
                    </w:r>
                    <w:r>
                      <w:rPr>
                        <w:sz w:val="16"/>
                      </w:rPr>
                      <w:t>93.4</w:t>
                    </w:r>
                    <w:r>
                      <w:rPr>
                        <w:spacing w:val="-17"/>
                        <w:sz w:val="16"/>
                      </w:rPr>
                      <w:t> </w:t>
                    </w:r>
                    <w:r>
                      <w:rPr>
                        <w:sz w:val="16"/>
                      </w:rPr>
                      <w:t>per</w:t>
                    </w:r>
                    <w:r>
                      <w:rPr>
                        <w:spacing w:val="-17"/>
                        <w:sz w:val="16"/>
                      </w:rPr>
                      <w:t> </w:t>
                    </w:r>
                    <w:r>
                      <w:rPr>
                        <w:sz w:val="16"/>
                      </w:rPr>
                      <w:t>cent</w:t>
                    </w:r>
                    <w:r>
                      <w:rPr>
                        <w:spacing w:val="-17"/>
                        <w:sz w:val="16"/>
                      </w:rPr>
                      <w:t> </w:t>
                    </w:r>
                    <w:r>
                      <w:rPr>
                        <w:sz w:val="16"/>
                      </w:rPr>
                      <w:t>of</w:t>
                    </w:r>
                    <w:r>
                      <w:rPr>
                        <w:spacing w:val="-17"/>
                        <w:sz w:val="16"/>
                      </w:rPr>
                      <w:t> </w:t>
                    </w:r>
                    <w:r>
                      <w:rPr>
                        <w:sz w:val="16"/>
                      </w:rPr>
                      <w:t>all</w:t>
                    </w:r>
                    <w:r>
                      <w:rPr>
                        <w:spacing w:val="-17"/>
                        <w:sz w:val="16"/>
                      </w:rPr>
                      <w:t> </w:t>
                    </w:r>
                    <w:r>
                      <w:rPr>
                        <w:sz w:val="16"/>
                      </w:rPr>
                      <w:t>sessions</w:t>
                    </w:r>
                  </w:p>
                </w:txbxContent>
              </v:textbox>
              <w10:wrap type="none"/>
            </v:shape>
            <v:shape style="position:absolute;left:6349;top:-3138;width:4574;height:160" type="#_x0000_t202" filled="false" stroked="false">
              <v:textbox inset="0,0,0,0">
                <w:txbxContent>
                  <w:p>
                    <w:pPr>
                      <w:tabs>
                        <w:tab w:pos="2014" w:val="left" w:leader="none"/>
                      </w:tabs>
                      <w:spacing w:line="160" w:lineRule="exact" w:before="0"/>
                      <w:ind w:left="0" w:right="0" w:firstLine="0"/>
                      <w:jc w:val="left"/>
                      <w:rPr>
                        <w:rFonts w:ascii="Gotham Narrow Bold"/>
                        <w:b/>
                        <w:sz w:val="16"/>
                      </w:rPr>
                    </w:pPr>
                    <w:r>
                      <w:rPr>
                        <w:rFonts w:ascii="Gotham Narrow Bold"/>
                        <w:b/>
                        <w:sz w:val="16"/>
                      </w:rPr>
                      <w:t>AS</w:t>
                    </w:r>
                    <w:r>
                      <w:rPr>
                        <w:rFonts w:ascii="Gotham Narrow Bold"/>
                        <w:b/>
                        <w:spacing w:val="-13"/>
                        <w:sz w:val="16"/>
                      </w:rPr>
                      <w:t> </w:t>
                    </w:r>
                    <w:r>
                      <w:rPr>
                        <w:rFonts w:ascii="Gotham Narrow Bold"/>
                        <w:b/>
                        <w:spacing w:val="-4"/>
                        <w:sz w:val="16"/>
                      </w:rPr>
                      <w:t>AT</w:t>
                    </w:r>
                    <w:r>
                      <w:rPr>
                        <w:rFonts w:ascii="Gotham Narrow Bold"/>
                        <w:b/>
                        <w:spacing w:val="-13"/>
                        <w:sz w:val="16"/>
                      </w:rPr>
                      <w:t> </w:t>
                    </w:r>
                    <w:r>
                      <w:rPr>
                        <w:rFonts w:ascii="Gotham Narrow Bold"/>
                        <w:b/>
                        <w:sz w:val="16"/>
                      </w:rPr>
                      <w:t>9</w:t>
                    </w:r>
                    <w:r>
                      <w:rPr>
                        <w:rFonts w:ascii="Gotham Narrow Bold"/>
                        <w:b/>
                        <w:spacing w:val="-13"/>
                        <w:sz w:val="16"/>
                      </w:rPr>
                      <w:t> </w:t>
                    </w:r>
                    <w:r>
                      <w:rPr>
                        <w:rFonts w:ascii="Gotham Narrow Bold"/>
                        <w:b/>
                        <w:sz w:val="16"/>
                      </w:rPr>
                      <w:t>FEBRUARY</w:t>
                    </w:r>
                    <w:r>
                      <w:rPr>
                        <w:rFonts w:ascii="Gotham Narrow Bold"/>
                        <w:b/>
                        <w:spacing w:val="-13"/>
                        <w:sz w:val="16"/>
                      </w:rPr>
                      <w:t> </w:t>
                    </w:r>
                    <w:r>
                      <w:rPr>
                        <w:rFonts w:ascii="Gotham Narrow Bold"/>
                        <w:b/>
                        <w:sz w:val="16"/>
                      </w:rPr>
                      <w:t>2016</w:t>
                      <w:tab/>
                    </w:r>
                    <w:r>
                      <w:rPr>
                        <w:rFonts w:ascii="Gotham Narrow Bold"/>
                        <w:b/>
                        <w:spacing w:val="2"/>
                        <w:w w:val="95"/>
                        <w:sz w:val="16"/>
                      </w:rPr>
                      <w:t>INCREASE </w:t>
                    </w:r>
                    <w:r>
                      <w:rPr>
                        <w:rFonts w:ascii="Gotham Narrow Bold"/>
                        <w:b/>
                        <w:w w:val="95"/>
                        <w:sz w:val="16"/>
                      </w:rPr>
                      <w:t>ON </w:t>
                    </w:r>
                    <w:r>
                      <w:rPr>
                        <w:rFonts w:ascii="Gotham Narrow Bold"/>
                        <w:b/>
                        <w:spacing w:val="2"/>
                        <w:w w:val="95"/>
                        <w:sz w:val="16"/>
                      </w:rPr>
                      <w:t>PREVIOUS YEAR</w:t>
                    </w:r>
                    <w:r>
                      <w:rPr>
                        <w:rFonts w:ascii="Gotham Narrow Bold"/>
                        <w:b/>
                        <w:spacing w:val="12"/>
                        <w:w w:val="95"/>
                        <w:sz w:val="16"/>
                      </w:rPr>
                      <w:t> </w:t>
                    </w:r>
                    <w:r>
                      <w:rPr>
                        <w:rFonts w:ascii="Gotham Narrow Bold"/>
                        <w:b/>
                        <w:w w:val="95"/>
                        <w:sz w:val="16"/>
                      </w:rPr>
                      <w:t>(%)</w:t>
                    </w:r>
                  </w:p>
                </w:txbxContent>
              </v:textbox>
              <w10:wrap type="none"/>
            </v:shape>
            <v:shape style="position:absolute;left:907;top:-2733;width:2783;height:166" type="#_x0000_t202" filled="false" stroked="false">
              <v:textbox inset="0,0,0,0">
                <w:txbxContent>
                  <w:p>
                    <w:pPr>
                      <w:spacing w:line="166" w:lineRule="exact" w:before="0"/>
                      <w:ind w:left="0" w:right="-2" w:firstLine="0"/>
                      <w:jc w:val="left"/>
                      <w:rPr>
                        <w:sz w:val="16"/>
                      </w:rPr>
                    </w:pPr>
                    <w:r>
                      <w:rPr>
                        <w:rFonts w:ascii="Gotham Narrow Bold"/>
                        <w:b/>
                        <w:spacing w:val="3"/>
                        <w:sz w:val="16"/>
                      </w:rPr>
                      <w:t>2.</w:t>
                    </w:r>
                    <w:r>
                      <w:rPr>
                        <w:rFonts w:ascii="Gotham Narrow Bold"/>
                        <w:b/>
                        <w:spacing w:val="-12"/>
                        <w:sz w:val="16"/>
                      </w:rPr>
                      <w:t> </w:t>
                    </w:r>
                    <w:r>
                      <w:rPr>
                        <w:sz w:val="16"/>
                      </w:rPr>
                      <w:t>India</w:t>
                    </w:r>
                    <w:r>
                      <w:rPr>
                        <w:spacing w:val="-19"/>
                        <w:sz w:val="16"/>
                      </w:rPr>
                      <w:t> </w:t>
                    </w:r>
                    <w:r>
                      <w:rPr>
                        <w:sz w:val="16"/>
                      </w:rPr>
                      <w:t>with</w:t>
                    </w:r>
                    <w:r>
                      <w:rPr>
                        <w:spacing w:val="-19"/>
                        <w:sz w:val="16"/>
                      </w:rPr>
                      <w:t> </w:t>
                    </w:r>
                    <w:r>
                      <w:rPr>
                        <w:sz w:val="16"/>
                      </w:rPr>
                      <w:t>0.95</w:t>
                    </w:r>
                    <w:r>
                      <w:rPr>
                        <w:spacing w:val="-19"/>
                        <w:sz w:val="16"/>
                      </w:rPr>
                      <w:t> </w:t>
                    </w:r>
                    <w:r>
                      <w:rPr>
                        <w:sz w:val="16"/>
                      </w:rPr>
                      <w:t>per</w:t>
                    </w:r>
                    <w:r>
                      <w:rPr>
                        <w:spacing w:val="-19"/>
                        <w:sz w:val="16"/>
                      </w:rPr>
                      <w:t> </w:t>
                    </w:r>
                    <w:r>
                      <w:rPr>
                        <w:sz w:val="16"/>
                      </w:rPr>
                      <w:t>cent</w:t>
                    </w:r>
                    <w:r>
                      <w:rPr>
                        <w:spacing w:val="-19"/>
                        <w:sz w:val="16"/>
                      </w:rPr>
                      <w:t> </w:t>
                    </w:r>
                    <w:r>
                      <w:rPr>
                        <w:sz w:val="16"/>
                      </w:rPr>
                      <w:t>of</w:t>
                    </w:r>
                    <w:r>
                      <w:rPr>
                        <w:spacing w:val="-19"/>
                        <w:sz w:val="16"/>
                      </w:rPr>
                      <w:t> </w:t>
                    </w:r>
                    <w:r>
                      <w:rPr>
                        <w:sz w:val="16"/>
                      </w:rPr>
                      <w:t>all</w:t>
                    </w:r>
                    <w:r>
                      <w:rPr>
                        <w:spacing w:val="-19"/>
                        <w:sz w:val="16"/>
                      </w:rPr>
                      <w:t> </w:t>
                    </w:r>
                    <w:r>
                      <w:rPr>
                        <w:sz w:val="16"/>
                      </w:rPr>
                      <w:t>sessions</w:t>
                    </w:r>
                  </w:p>
                </w:txbxContent>
              </v:textbox>
              <w10:wrap type="none"/>
            </v:shape>
            <v:shape style="position:absolute;left:4346;top:-2733;width:6634;height:160" type="#_x0000_t202" filled="false" stroked="false">
              <v:textbox inset="0,0,0,0">
                <w:txbxContent>
                  <w:p>
                    <w:pPr>
                      <w:tabs>
                        <w:tab w:pos="6632" w:val="left" w:leader="none"/>
                      </w:tabs>
                      <w:spacing w:line="160" w:lineRule="exact" w:before="0"/>
                      <w:ind w:left="0" w:right="0" w:firstLine="0"/>
                      <w:jc w:val="left"/>
                      <w:rPr>
                        <w:sz w:val="16"/>
                      </w:rPr>
                    </w:pPr>
                    <w:r>
                      <w:rPr>
                        <w:w w:val="76"/>
                        <w:sz w:val="16"/>
                        <w:u w:val="single" w:color="939598"/>
                      </w:rPr>
                      <w:t> </w:t>
                    </w:r>
                    <w:r>
                      <w:rPr>
                        <w:sz w:val="16"/>
                        <w:u w:val="single" w:color="939598"/>
                      </w:rPr>
                      <w:tab/>
                    </w:r>
                  </w:p>
                </w:txbxContent>
              </v:textbox>
              <w10:wrap type="none"/>
            </v:shape>
            <v:shape style="position:absolute;left:4346;top:-2846;width:6580;height:160" type="#_x0000_t202" filled="false" stroked="false">
              <v:textbox inset="0,0,0,0">
                <w:txbxContent>
                  <w:p>
                    <w:pPr>
                      <w:tabs>
                        <w:tab w:pos="3305" w:val="left" w:leader="none"/>
                        <w:tab w:pos="6579" w:val="right" w:leader="none"/>
                      </w:tabs>
                      <w:spacing w:line="160" w:lineRule="exact" w:before="0"/>
                      <w:ind w:left="0" w:right="0" w:firstLine="0"/>
                      <w:jc w:val="left"/>
                      <w:rPr>
                        <w:sz w:val="16"/>
                      </w:rPr>
                    </w:pPr>
                    <w:r>
                      <w:rPr>
                        <w:sz w:val="16"/>
                      </w:rPr>
                      <w:t>Facebook</w:t>
                      <w:tab/>
                    </w:r>
                    <w:r>
                      <w:rPr>
                        <w:spacing w:val="2"/>
                        <w:sz w:val="16"/>
                      </w:rPr>
                      <w:t>116,733</w:t>
                      <w:tab/>
                    </w:r>
                    <w:r>
                      <w:rPr>
                        <w:spacing w:val="4"/>
                        <w:sz w:val="16"/>
                      </w:rPr>
                      <w:t>168.89</w:t>
                    </w:r>
                  </w:p>
                </w:txbxContent>
              </v:textbox>
              <w10:wrap type="none"/>
            </v:shape>
            <v:shape style="position:absolute;left:4346;top:-2548;width:6579;height:160" type="#_x0000_t202" filled="false" stroked="false">
              <v:textbox inset="0,0,0,0">
                <w:txbxContent>
                  <w:p>
                    <w:pPr>
                      <w:tabs>
                        <w:tab w:pos="3404" w:val="left" w:leader="none"/>
                        <w:tab w:pos="6578" w:val="right" w:leader="none"/>
                      </w:tabs>
                      <w:spacing w:line="160" w:lineRule="exact" w:before="0"/>
                      <w:ind w:left="0" w:right="0" w:firstLine="0"/>
                      <w:jc w:val="left"/>
                      <w:rPr>
                        <w:sz w:val="16"/>
                      </w:rPr>
                    </w:pPr>
                    <w:r>
                      <w:rPr>
                        <w:sz w:val="16"/>
                      </w:rPr>
                      <w:t>Twitter</w:t>
                    </w:r>
                    <w:r>
                      <w:rPr>
                        <w:spacing w:val="-21"/>
                        <w:sz w:val="16"/>
                      </w:rPr>
                      <w:t> </w:t>
                    </w:r>
                    <w:r>
                      <w:rPr>
                        <w:sz w:val="16"/>
                      </w:rPr>
                      <w:t>(News)</w:t>
                      <w:tab/>
                      <w:t>7,045</w:t>
                      <w:tab/>
                    </w:r>
                    <w:r>
                      <w:rPr>
                        <w:spacing w:val="2"/>
                        <w:sz w:val="16"/>
                      </w:rPr>
                      <w:t>13.92</w:t>
                    </w:r>
                  </w:p>
                </w:txbxContent>
              </v:textbox>
              <w10:wrap type="none"/>
            </v:shape>
            <w10:wrap type="none"/>
          </v:group>
        </w:pict>
      </w:r>
      <w:r>
        <w:rPr>
          <w:rFonts w:ascii="Gotham Narrow Bold"/>
          <w:b/>
          <w:w w:val="95"/>
          <w:sz w:val="24"/>
        </w:rPr>
        <w:t>OFFICE OF MARKETING AND </w:t>
      </w:r>
      <w:r>
        <w:rPr>
          <w:rFonts w:ascii="Gotham Narrow Bold"/>
          <w:b/>
          <w:sz w:val="24"/>
        </w:rPr>
        <w:t>COMMUNICATION</w:t>
      </w:r>
    </w:p>
    <w:p>
      <w:pPr>
        <w:pStyle w:val="BodyText"/>
        <w:spacing w:line="249" w:lineRule="auto" w:before="214"/>
        <w:ind w:left="327" w:right="-1"/>
      </w:pPr>
      <w:r>
        <w:rPr/>
        <w:t>The Office of Marketing and Communication builds</w:t>
      </w:r>
      <w:r>
        <w:rPr>
          <w:spacing w:val="-15"/>
        </w:rPr>
        <w:t> </w:t>
      </w:r>
      <w:r>
        <w:rPr/>
        <w:t>and</w:t>
      </w:r>
      <w:r>
        <w:rPr>
          <w:spacing w:val="-15"/>
        </w:rPr>
        <w:t> </w:t>
      </w:r>
      <w:r>
        <w:rPr/>
        <w:t>protects</w:t>
      </w:r>
      <w:r>
        <w:rPr>
          <w:spacing w:val="-15"/>
        </w:rPr>
        <w:t> </w:t>
      </w:r>
      <w:r>
        <w:rPr/>
        <w:t>the</w:t>
      </w:r>
      <w:r>
        <w:rPr>
          <w:spacing w:val="-15"/>
        </w:rPr>
        <w:t> </w:t>
      </w:r>
      <w:r>
        <w:rPr/>
        <w:t>image,</w:t>
      </w:r>
      <w:r>
        <w:rPr>
          <w:spacing w:val="-15"/>
        </w:rPr>
        <w:t> </w:t>
      </w:r>
      <w:r>
        <w:rPr/>
        <w:t>positioning</w:t>
      </w:r>
      <w:r>
        <w:rPr>
          <w:spacing w:val="-15"/>
        </w:rPr>
        <w:t> </w:t>
      </w:r>
      <w:r>
        <w:rPr/>
        <w:t>and branding</w:t>
      </w:r>
      <w:r>
        <w:rPr>
          <w:spacing w:val="-21"/>
        </w:rPr>
        <w:t> </w:t>
      </w:r>
      <w:r>
        <w:rPr/>
        <w:t>of</w:t>
      </w:r>
      <w:r>
        <w:rPr>
          <w:spacing w:val="-21"/>
        </w:rPr>
        <w:t> </w:t>
      </w:r>
      <w:r>
        <w:rPr/>
        <w:t>the</w:t>
      </w:r>
      <w:r>
        <w:rPr>
          <w:spacing w:val="-21"/>
        </w:rPr>
        <w:t> </w:t>
      </w:r>
      <w:r>
        <w:rPr/>
        <w:t>University.</w:t>
      </w:r>
    </w:p>
    <w:p>
      <w:pPr>
        <w:pStyle w:val="BodyText"/>
        <w:rPr>
          <w:sz w:val="14"/>
        </w:rPr>
      </w:pPr>
    </w:p>
    <w:p>
      <w:pPr>
        <w:pStyle w:val="BodyText"/>
        <w:spacing w:line="249" w:lineRule="auto"/>
        <w:ind w:left="327" w:right="-1"/>
      </w:pPr>
      <w:r>
        <w:rPr/>
        <w:t>We integrate communication and branding activities performed by the Internal Communications, Web </w:t>
      </w:r>
      <w:r>
        <w:rPr>
          <w:spacing w:val="2"/>
        </w:rPr>
        <w:t>Services, </w:t>
      </w:r>
      <w:r>
        <w:rPr/>
        <w:t>iMedia and Design, Media and Public Relations, Print Services and Brand </w:t>
      </w:r>
      <w:r>
        <w:rPr>
          <w:spacing w:val="2"/>
        </w:rPr>
        <w:t>departments. </w:t>
      </w:r>
      <w:r>
        <w:rPr/>
        <w:t>We also drive</w:t>
      </w:r>
      <w:r>
        <w:rPr>
          <w:spacing w:val="-17"/>
        </w:rPr>
        <w:t> </w:t>
      </w:r>
      <w:r>
        <w:rPr/>
        <w:t>activities</w:t>
      </w:r>
      <w:r>
        <w:rPr>
          <w:spacing w:val="-17"/>
        </w:rPr>
        <w:t> </w:t>
      </w:r>
      <w:r>
        <w:rPr/>
        <w:t>across</w:t>
      </w:r>
      <w:r>
        <w:rPr>
          <w:spacing w:val="-17"/>
        </w:rPr>
        <w:t> </w:t>
      </w:r>
      <w:r>
        <w:rPr/>
        <w:t>media,</w:t>
      </w:r>
      <w:r>
        <w:rPr>
          <w:spacing w:val="-17"/>
        </w:rPr>
        <w:t> </w:t>
      </w:r>
      <w:r>
        <w:rPr/>
        <w:t>social</w:t>
      </w:r>
      <w:r>
        <w:rPr>
          <w:spacing w:val="-17"/>
        </w:rPr>
        <w:t> </w:t>
      </w:r>
      <w:r>
        <w:rPr/>
        <w:t>media</w:t>
      </w:r>
      <w:r>
        <w:rPr>
          <w:spacing w:val="-17"/>
        </w:rPr>
        <w:t> </w:t>
      </w:r>
      <w:r>
        <w:rPr/>
        <w:t>and </w:t>
      </w:r>
      <w:r>
        <w:rPr>
          <w:w w:val="95"/>
        </w:rPr>
        <w:t>internal </w:t>
      </w:r>
      <w:r>
        <w:rPr>
          <w:spacing w:val="1"/>
          <w:w w:val="95"/>
        </w:rPr>
        <w:t> </w:t>
      </w:r>
      <w:r>
        <w:rPr>
          <w:w w:val="95"/>
        </w:rPr>
        <w:t>communications.</w:t>
      </w:r>
    </w:p>
    <w:p>
      <w:pPr>
        <w:pStyle w:val="BodyText"/>
        <w:rPr>
          <w:sz w:val="14"/>
        </w:rPr>
      </w:pPr>
    </w:p>
    <w:p>
      <w:pPr>
        <w:pStyle w:val="BodyText"/>
        <w:spacing w:line="249" w:lineRule="auto"/>
        <w:ind w:left="327" w:right="24"/>
      </w:pPr>
      <w:r>
        <w:rPr/>
        <w:t>The</w:t>
      </w:r>
      <w:r>
        <w:rPr>
          <w:spacing w:val="-17"/>
        </w:rPr>
        <w:t> </w:t>
      </w:r>
      <w:r>
        <w:rPr/>
        <w:t>Brand</w:t>
      </w:r>
      <w:r>
        <w:rPr>
          <w:spacing w:val="-17"/>
        </w:rPr>
        <w:t> </w:t>
      </w:r>
      <w:r>
        <w:rPr/>
        <w:t>and</w:t>
      </w:r>
      <w:r>
        <w:rPr>
          <w:spacing w:val="-17"/>
        </w:rPr>
        <w:t> </w:t>
      </w:r>
      <w:r>
        <w:rPr/>
        <w:t>Identity</w:t>
      </w:r>
      <w:r>
        <w:rPr>
          <w:spacing w:val="-17"/>
        </w:rPr>
        <w:t> </w:t>
      </w:r>
      <w:r>
        <w:rPr/>
        <w:t>project</w:t>
      </w:r>
      <w:r>
        <w:rPr>
          <w:spacing w:val="-17"/>
        </w:rPr>
        <w:t> </w:t>
      </w:r>
      <w:r>
        <w:rPr/>
        <w:t>to</w:t>
      </w:r>
      <w:r>
        <w:rPr>
          <w:spacing w:val="-17"/>
        </w:rPr>
        <w:t> </w:t>
      </w:r>
      <w:r>
        <w:rPr/>
        <w:t>refresh</w:t>
      </w:r>
      <w:r>
        <w:rPr>
          <w:spacing w:val="-17"/>
        </w:rPr>
        <w:t> </w:t>
      </w:r>
      <w:r>
        <w:rPr/>
        <w:t>the University</w:t>
      </w:r>
      <w:r>
        <w:rPr>
          <w:spacing w:val="-15"/>
        </w:rPr>
        <w:t> </w:t>
      </w:r>
      <w:r>
        <w:rPr/>
        <w:t>brand</w:t>
      </w:r>
      <w:r>
        <w:rPr>
          <w:spacing w:val="-15"/>
        </w:rPr>
        <w:t> </w:t>
      </w:r>
      <w:r>
        <w:rPr/>
        <w:t>was</w:t>
      </w:r>
      <w:r>
        <w:rPr>
          <w:spacing w:val="-15"/>
        </w:rPr>
        <w:t> </w:t>
      </w:r>
      <w:r>
        <w:rPr/>
        <w:t>launched</w:t>
      </w:r>
      <w:r>
        <w:rPr>
          <w:spacing w:val="-15"/>
        </w:rPr>
        <w:t> </w:t>
      </w:r>
      <w:r>
        <w:rPr/>
        <w:t>at</w:t>
      </w:r>
      <w:r>
        <w:rPr>
          <w:spacing w:val="-15"/>
        </w:rPr>
        <w:t> </w:t>
      </w:r>
      <w:r>
        <w:rPr/>
        <w:t>Open</w:t>
      </w:r>
      <w:r>
        <w:rPr>
          <w:spacing w:val="-15"/>
        </w:rPr>
        <w:t> </w:t>
      </w:r>
      <w:r>
        <w:rPr/>
        <w:t>Day</w:t>
      </w:r>
      <w:r>
        <w:rPr>
          <w:spacing w:val="-15"/>
        </w:rPr>
        <w:t> </w:t>
      </w:r>
      <w:r>
        <w:rPr/>
        <w:t>in </w:t>
      </w:r>
      <w:r>
        <w:rPr>
          <w:spacing w:val="1"/>
          <w:w w:val="84"/>
        </w:rPr>
        <w:t>2015,</w:t>
      </w:r>
      <w:r>
        <w:rPr>
          <w:w w:val="84"/>
        </w:rPr>
        <w:t> </w:t>
      </w:r>
      <w:r>
        <w:rPr>
          <w:w w:val="97"/>
        </w:rPr>
        <w:t>the </w:t>
      </w:r>
      <w:r>
        <w:rPr>
          <w:spacing w:val="1"/>
          <w:w w:val="97"/>
        </w:rPr>
        <w:t>culmination</w:t>
      </w:r>
      <w:r>
        <w:rPr>
          <w:w w:val="97"/>
        </w:rPr>
        <w:t> </w:t>
      </w:r>
      <w:r>
        <w:rPr>
          <w:w w:val="99"/>
        </w:rPr>
        <w:t>of </w:t>
      </w:r>
      <w:r>
        <w:rPr>
          <w:w w:val="101"/>
        </w:rPr>
        <w:t>two </w:t>
      </w:r>
      <w:r>
        <w:rPr>
          <w:spacing w:val="1"/>
          <w:w w:val="96"/>
        </w:rPr>
        <w:t>years</w:t>
      </w:r>
      <w:r>
        <w:rPr>
          <w:w w:val="96"/>
        </w:rPr>
        <w:t> </w:t>
      </w:r>
      <w:r>
        <w:rPr>
          <w:w w:val="99"/>
        </w:rPr>
        <w:t>of </w:t>
      </w:r>
      <w:r>
        <w:rPr>
          <w:w w:val="98"/>
        </w:rPr>
        <w:t>strategy </w:t>
      </w:r>
      <w:r>
        <w:rPr/>
        <w:t>development and planning. The project, which was co-lead by the Director, Office of Marketing and Communications, and the Pro Vice-Chancellor (Students), has generated pride among students, alumni and staff. The supporting ‘Unlimited’ campaign has laid a strong foundation for challenging incorrect perceptions of the University, and the film about law graduate Deng Adut has been a global hit, with more than 5 million views on social media. The campaign, which is being lauded for a range of awards, is considered one</w:t>
      </w:r>
      <w:r>
        <w:rPr>
          <w:spacing w:val="-14"/>
        </w:rPr>
        <w:t> </w:t>
      </w:r>
      <w:r>
        <w:rPr/>
        <w:t>of</w:t>
      </w:r>
      <w:r>
        <w:rPr>
          <w:spacing w:val="-14"/>
        </w:rPr>
        <w:t> </w:t>
      </w:r>
      <w:r>
        <w:rPr/>
        <w:t>the</w:t>
      </w:r>
      <w:r>
        <w:rPr>
          <w:spacing w:val="-14"/>
        </w:rPr>
        <w:t> </w:t>
      </w:r>
      <w:r>
        <w:rPr/>
        <w:t>world’s</w:t>
      </w:r>
      <w:r>
        <w:rPr>
          <w:spacing w:val="-14"/>
        </w:rPr>
        <w:t> </w:t>
      </w:r>
      <w:r>
        <w:rPr/>
        <w:t>most</w:t>
      </w:r>
      <w:r>
        <w:rPr>
          <w:spacing w:val="-14"/>
        </w:rPr>
        <w:t> </w:t>
      </w:r>
      <w:r>
        <w:rPr/>
        <w:t>powerful</w:t>
      </w:r>
      <w:r>
        <w:rPr>
          <w:spacing w:val="-14"/>
        </w:rPr>
        <w:t> </w:t>
      </w:r>
      <w:r>
        <w:rPr/>
        <w:t>higher</w:t>
      </w:r>
    </w:p>
    <w:p>
      <w:pPr>
        <w:pStyle w:val="BodyText"/>
        <w:spacing w:line="192" w:lineRule="exact"/>
        <w:ind w:left="327" w:right="-1"/>
      </w:pPr>
      <w:r>
        <w:rPr/>
        <w:t>education</w:t>
      </w:r>
      <w:r>
        <w:rPr>
          <w:spacing w:val="-26"/>
        </w:rPr>
        <w:t> </w:t>
      </w:r>
      <w:r>
        <w:rPr/>
        <w:t>marketing</w:t>
      </w:r>
      <w:r>
        <w:rPr>
          <w:spacing w:val="-26"/>
        </w:rPr>
        <w:t> </w:t>
      </w:r>
      <w:r>
        <w:rPr>
          <w:spacing w:val="2"/>
        </w:rPr>
        <w:t>messages</w:t>
      </w:r>
      <w:r>
        <w:rPr>
          <w:spacing w:val="-26"/>
        </w:rPr>
        <w:t> </w:t>
      </w:r>
      <w:r>
        <w:rPr/>
        <w:t>ever</w:t>
      </w:r>
      <w:r>
        <w:rPr>
          <w:spacing w:val="-26"/>
        </w:rPr>
        <w:t> </w:t>
      </w:r>
      <w:r>
        <w:rPr/>
        <w:t>delivered.</w:t>
      </w:r>
    </w:p>
    <w:p>
      <w:pPr>
        <w:pStyle w:val="BodyText"/>
        <w:spacing w:before="7"/>
        <w:rPr>
          <w:sz w:val="14"/>
        </w:rPr>
      </w:pPr>
    </w:p>
    <w:p>
      <w:pPr>
        <w:pStyle w:val="BodyText"/>
        <w:spacing w:line="249" w:lineRule="auto" w:before="1"/>
        <w:ind w:left="327" w:right="-1"/>
      </w:pPr>
      <w:r>
        <w:rPr>
          <w:w w:val="112"/>
        </w:rPr>
        <w:t>A </w:t>
      </w:r>
      <w:r>
        <w:rPr>
          <w:spacing w:val="-1"/>
          <w:w w:val="98"/>
        </w:rPr>
        <w:t>key</w:t>
      </w:r>
      <w:r>
        <w:rPr>
          <w:w w:val="98"/>
        </w:rPr>
        <w:t> </w:t>
      </w:r>
      <w:r>
        <w:rPr>
          <w:spacing w:val="1"/>
          <w:w w:val="98"/>
        </w:rPr>
        <w:t>focus</w:t>
      </w:r>
      <w:r>
        <w:rPr>
          <w:w w:val="98"/>
        </w:rPr>
        <w:t> </w:t>
      </w:r>
      <w:r>
        <w:rPr>
          <w:w w:val="95"/>
        </w:rPr>
        <w:t>in </w:t>
      </w:r>
      <w:r>
        <w:rPr>
          <w:spacing w:val="1"/>
          <w:w w:val="90"/>
        </w:rPr>
        <w:t>2016</w:t>
      </w:r>
      <w:r>
        <w:rPr>
          <w:w w:val="90"/>
        </w:rPr>
        <w:t> </w:t>
      </w:r>
      <w:r>
        <w:rPr>
          <w:w w:val="97"/>
        </w:rPr>
        <w:t>will </w:t>
      </w:r>
      <w:r>
        <w:rPr>
          <w:spacing w:val="1"/>
          <w:w w:val="99"/>
        </w:rPr>
        <w:t>be</w:t>
      </w:r>
      <w:r>
        <w:rPr>
          <w:w w:val="99"/>
        </w:rPr>
        <w:t> </w:t>
      </w:r>
      <w:r>
        <w:rPr>
          <w:w w:val="97"/>
        </w:rPr>
        <w:t>the </w:t>
      </w:r>
      <w:r>
        <w:rPr>
          <w:spacing w:val="1"/>
          <w:w w:val="98"/>
        </w:rPr>
        <w:t>ongoing</w:t>
      </w:r>
      <w:r>
        <w:rPr>
          <w:w w:val="98"/>
        </w:rPr>
        <w:t> </w:t>
      </w:r>
      <w:r>
        <w:rPr/>
        <w:t>delivery</w:t>
      </w:r>
      <w:r>
        <w:rPr>
          <w:spacing w:val="-15"/>
        </w:rPr>
        <w:t> </w:t>
      </w:r>
      <w:r>
        <w:rPr/>
        <w:t>of</w:t>
      </w:r>
      <w:r>
        <w:rPr>
          <w:spacing w:val="-15"/>
        </w:rPr>
        <w:t> </w:t>
      </w:r>
      <w:r>
        <w:rPr/>
        <w:t>the</w:t>
      </w:r>
      <w:r>
        <w:rPr>
          <w:spacing w:val="-15"/>
        </w:rPr>
        <w:t> </w:t>
      </w:r>
      <w:r>
        <w:rPr/>
        <w:t>three-year</w:t>
      </w:r>
      <w:r>
        <w:rPr>
          <w:spacing w:val="-15"/>
        </w:rPr>
        <w:t> </w:t>
      </w:r>
      <w:r>
        <w:rPr/>
        <w:t>brand</w:t>
      </w:r>
      <w:r>
        <w:rPr>
          <w:spacing w:val="-15"/>
        </w:rPr>
        <w:t> </w:t>
      </w:r>
      <w:r>
        <w:rPr/>
        <w:t>project</w:t>
      </w:r>
      <w:r>
        <w:rPr>
          <w:spacing w:val="-15"/>
        </w:rPr>
        <w:t> </w:t>
      </w:r>
      <w:r>
        <w:rPr/>
        <w:t>with</w:t>
      </w:r>
      <w:r>
        <w:rPr>
          <w:spacing w:val="-15"/>
        </w:rPr>
        <w:t> </w:t>
      </w:r>
      <w:r>
        <w:rPr/>
        <w:t>a range</w:t>
      </w:r>
      <w:r>
        <w:rPr>
          <w:spacing w:val="-14"/>
        </w:rPr>
        <w:t> </w:t>
      </w:r>
      <w:r>
        <w:rPr/>
        <w:t>of</w:t>
      </w:r>
      <w:r>
        <w:rPr>
          <w:spacing w:val="-14"/>
        </w:rPr>
        <w:t> </w:t>
      </w:r>
      <w:r>
        <w:rPr/>
        <w:t>strategic</w:t>
      </w:r>
      <w:r>
        <w:rPr>
          <w:spacing w:val="-14"/>
        </w:rPr>
        <w:t> </w:t>
      </w:r>
      <w:r>
        <w:rPr/>
        <w:t>and</w:t>
      </w:r>
      <w:r>
        <w:rPr>
          <w:spacing w:val="-14"/>
        </w:rPr>
        <w:t> </w:t>
      </w:r>
      <w:r>
        <w:rPr/>
        <w:t>operational</w:t>
      </w:r>
      <w:r>
        <w:rPr>
          <w:spacing w:val="-14"/>
        </w:rPr>
        <w:t> </w:t>
      </w:r>
      <w:r>
        <w:rPr/>
        <w:t>activities</w:t>
      </w:r>
      <w:r>
        <w:rPr>
          <w:spacing w:val="-14"/>
        </w:rPr>
        <w:t> </w:t>
      </w:r>
      <w:r>
        <w:rPr/>
        <w:t>in paid,</w:t>
      </w:r>
      <w:r>
        <w:rPr>
          <w:spacing w:val="-20"/>
        </w:rPr>
        <w:t> </w:t>
      </w:r>
      <w:r>
        <w:rPr/>
        <w:t>earned</w:t>
      </w:r>
      <w:r>
        <w:rPr>
          <w:spacing w:val="-20"/>
        </w:rPr>
        <w:t> </w:t>
      </w:r>
      <w:r>
        <w:rPr/>
        <w:t>and</w:t>
      </w:r>
      <w:r>
        <w:rPr>
          <w:spacing w:val="-20"/>
        </w:rPr>
        <w:t> </w:t>
      </w:r>
      <w:r>
        <w:rPr/>
        <w:t>owned</w:t>
      </w:r>
      <w:r>
        <w:rPr>
          <w:spacing w:val="-20"/>
        </w:rPr>
        <w:t> </w:t>
      </w:r>
      <w:r>
        <w:rPr/>
        <w:t>media.</w:t>
      </w:r>
    </w:p>
    <w:p>
      <w:pPr>
        <w:pStyle w:val="BodyText"/>
        <w:spacing w:before="7"/>
        <w:rPr>
          <w:sz w:val="21"/>
        </w:rPr>
      </w:pPr>
    </w:p>
    <w:p>
      <w:pPr>
        <w:pStyle w:val="Heading8"/>
        <w:ind w:left="327" w:right="-1"/>
      </w:pPr>
      <w:r>
        <w:rPr>
          <w:w w:val="95"/>
        </w:rPr>
        <w:t>WEB SERVICES</w:t>
      </w:r>
    </w:p>
    <w:p>
      <w:pPr>
        <w:pStyle w:val="BodyText"/>
        <w:spacing w:line="249" w:lineRule="auto" w:before="86"/>
        <w:ind w:left="327" w:right="165"/>
      </w:pPr>
      <w:r>
        <w:rPr/>
        <w:t>The Web Services Unit manages the corporate website, the University’s leading communications channel. Our team works closely</w:t>
      </w:r>
      <w:r>
        <w:rPr>
          <w:spacing w:val="-15"/>
        </w:rPr>
        <w:t> </w:t>
      </w:r>
      <w:r>
        <w:rPr/>
        <w:t>with</w:t>
      </w:r>
      <w:r>
        <w:rPr>
          <w:spacing w:val="-15"/>
        </w:rPr>
        <w:t> </w:t>
      </w:r>
      <w:r>
        <w:rPr/>
        <w:t>management</w:t>
      </w:r>
      <w:r>
        <w:rPr>
          <w:spacing w:val="-15"/>
        </w:rPr>
        <w:t> </w:t>
      </w:r>
      <w:r>
        <w:rPr/>
        <w:t>and</w:t>
      </w:r>
      <w:r>
        <w:rPr>
          <w:spacing w:val="-15"/>
        </w:rPr>
        <w:t> </w:t>
      </w:r>
      <w:r>
        <w:rPr/>
        <w:t>stakeholders from</w:t>
      </w:r>
      <w:r>
        <w:rPr>
          <w:spacing w:val="-18"/>
        </w:rPr>
        <w:t> </w:t>
      </w:r>
      <w:r>
        <w:rPr/>
        <w:t>all</w:t>
      </w:r>
      <w:r>
        <w:rPr>
          <w:spacing w:val="-18"/>
        </w:rPr>
        <w:t> </w:t>
      </w:r>
      <w:r>
        <w:rPr/>
        <w:t>areas</w:t>
      </w:r>
      <w:r>
        <w:rPr>
          <w:spacing w:val="-18"/>
        </w:rPr>
        <w:t> </w:t>
      </w:r>
      <w:r>
        <w:rPr/>
        <w:t>of</w:t>
      </w:r>
      <w:r>
        <w:rPr>
          <w:spacing w:val="-18"/>
        </w:rPr>
        <w:t> </w:t>
      </w:r>
      <w:r>
        <w:rPr/>
        <w:t>the</w:t>
      </w:r>
      <w:r>
        <w:rPr>
          <w:spacing w:val="-18"/>
        </w:rPr>
        <w:t> </w:t>
      </w:r>
      <w:r>
        <w:rPr/>
        <w:t>University,</w:t>
      </w:r>
      <w:r>
        <w:rPr>
          <w:spacing w:val="-18"/>
        </w:rPr>
        <w:t> </w:t>
      </w:r>
      <w:r>
        <w:rPr/>
        <w:t>to</w:t>
      </w:r>
      <w:r>
        <w:rPr>
          <w:spacing w:val="-18"/>
        </w:rPr>
        <w:t> </w:t>
      </w:r>
      <w:r>
        <w:rPr/>
        <w:t>produce</w:t>
      </w:r>
      <w:r>
        <w:rPr>
          <w:spacing w:val="-18"/>
        </w:rPr>
        <w:t> </w:t>
      </w:r>
      <w:r>
        <w:rPr/>
        <w:t>a web</w:t>
      </w:r>
      <w:r>
        <w:rPr>
          <w:spacing w:val="-15"/>
        </w:rPr>
        <w:t> </w:t>
      </w:r>
      <w:r>
        <w:rPr/>
        <w:t>presence</w:t>
      </w:r>
      <w:r>
        <w:rPr>
          <w:spacing w:val="-15"/>
        </w:rPr>
        <w:t> </w:t>
      </w:r>
      <w:r>
        <w:rPr/>
        <w:t>that</w:t>
      </w:r>
      <w:r>
        <w:rPr>
          <w:spacing w:val="-15"/>
        </w:rPr>
        <w:t> </w:t>
      </w:r>
      <w:r>
        <w:rPr/>
        <w:t>meets</w:t>
      </w:r>
      <w:r>
        <w:rPr>
          <w:spacing w:val="-15"/>
        </w:rPr>
        <w:t> </w:t>
      </w:r>
      <w:r>
        <w:rPr/>
        <w:t>the</w:t>
      </w:r>
      <w:r>
        <w:rPr>
          <w:spacing w:val="-15"/>
        </w:rPr>
        <w:t> </w:t>
      </w:r>
      <w:r>
        <w:rPr/>
        <w:t>needs</w:t>
      </w:r>
      <w:r>
        <w:rPr>
          <w:spacing w:val="-15"/>
        </w:rPr>
        <w:t> </w:t>
      </w:r>
      <w:r>
        <w:rPr/>
        <w:t>of</w:t>
      </w:r>
      <w:r>
        <w:rPr>
          <w:spacing w:val="-15"/>
        </w:rPr>
        <w:t> </w:t>
      </w:r>
      <w:r>
        <w:rPr/>
        <w:t>staff and students, enhances the University’s reputation</w:t>
      </w:r>
      <w:r>
        <w:rPr>
          <w:spacing w:val="-23"/>
        </w:rPr>
        <w:t> </w:t>
      </w:r>
      <w:r>
        <w:rPr/>
        <w:t>and</w:t>
      </w:r>
      <w:r>
        <w:rPr>
          <w:spacing w:val="-23"/>
        </w:rPr>
        <w:t> </w:t>
      </w:r>
      <w:r>
        <w:rPr/>
        <w:t>grows</w:t>
      </w:r>
      <w:r>
        <w:rPr>
          <w:spacing w:val="-23"/>
        </w:rPr>
        <w:t> </w:t>
      </w:r>
      <w:r>
        <w:rPr/>
        <w:t>enrolments.</w:t>
      </w:r>
    </w:p>
    <w:p>
      <w:pPr>
        <w:pStyle w:val="BodyText"/>
        <w:rPr>
          <w:sz w:val="14"/>
        </w:rPr>
      </w:pPr>
    </w:p>
    <w:p>
      <w:pPr>
        <w:pStyle w:val="BodyText"/>
        <w:spacing w:line="249" w:lineRule="auto"/>
        <w:ind w:left="327" w:right="112"/>
      </w:pPr>
      <w:r>
        <w:rPr>
          <w:spacing w:val="1"/>
          <w:w w:val="80"/>
        </w:rPr>
        <w:t>In</w:t>
      </w:r>
      <w:r>
        <w:rPr>
          <w:w w:val="80"/>
        </w:rPr>
        <w:t> </w:t>
      </w:r>
      <w:r>
        <w:rPr>
          <w:spacing w:val="1"/>
          <w:w w:val="84"/>
        </w:rPr>
        <w:t>2015,</w:t>
      </w:r>
      <w:r>
        <w:rPr>
          <w:w w:val="84"/>
        </w:rPr>
        <w:t> </w:t>
      </w:r>
      <w:r>
        <w:rPr>
          <w:spacing w:val="1"/>
          <w:w w:val="97"/>
        </w:rPr>
        <w:t>our</w:t>
      </w:r>
      <w:r>
        <w:rPr>
          <w:w w:val="97"/>
        </w:rPr>
        <w:t> </w:t>
      </w:r>
      <w:r>
        <w:rPr>
          <w:spacing w:val="-1"/>
          <w:w w:val="98"/>
        </w:rPr>
        <w:t>key</w:t>
      </w:r>
      <w:r>
        <w:rPr>
          <w:w w:val="98"/>
        </w:rPr>
        <w:t> </w:t>
      </w:r>
      <w:r>
        <w:rPr>
          <w:spacing w:val="1"/>
          <w:w w:val="96"/>
        </w:rPr>
        <w:t>project</w:t>
      </w:r>
      <w:r>
        <w:rPr>
          <w:w w:val="96"/>
        </w:rPr>
        <w:t> </w:t>
      </w:r>
      <w:r>
        <w:rPr>
          <w:w w:val="96"/>
        </w:rPr>
        <w:t>was </w:t>
      </w:r>
      <w:r>
        <w:rPr>
          <w:w w:val="97"/>
        </w:rPr>
        <w:t>the </w:t>
      </w:r>
      <w:r>
        <w:rPr>
          <w:spacing w:val="1"/>
          <w:w w:val="97"/>
        </w:rPr>
        <w:t>rebranding</w:t>
      </w:r>
      <w:r>
        <w:rPr>
          <w:w w:val="97"/>
        </w:rPr>
        <w:t> </w:t>
      </w:r>
      <w:r>
        <w:rPr/>
        <w:t>of</w:t>
      </w:r>
      <w:r>
        <w:rPr>
          <w:spacing w:val="-18"/>
        </w:rPr>
        <w:t> </w:t>
      </w:r>
      <w:r>
        <w:rPr/>
        <w:t>the</w:t>
      </w:r>
      <w:r>
        <w:rPr>
          <w:spacing w:val="-18"/>
        </w:rPr>
        <w:t> </w:t>
      </w:r>
      <w:r>
        <w:rPr>
          <w:spacing w:val="2"/>
        </w:rPr>
        <w:t>146</w:t>
      </w:r>
      <w:r>
        <w:rPr>
          <w:spacing w:val="-18"/>
        </w:rPr>
        <w:t> </w:t>
      </w:r>
      <w:r>
        <w:rPr/>
        <w:t>websites</w:t>
      </w:r>
      <w:r>
        <w:rPr>
          <w:spacing w:val="-18"/>
        </w:rPr>
        <w:t> </w:t>
      </w:r>
      <w:r>
        <w:rPr/>
        <w:t>that</w:t>
      </w:r>
      <w:r>
        <w:rPr>
          <w:spacing w:val="-18"/>
        </w:rPr>
        <w:t> </w:t>
      </w:r>
      <w:r>
        <w:rPr/>
        <w:t>make</w:t>
      </w:r>
      <w:r>
        <w:rPr>
          <w:spacing w:val="-18"/>
        </w:rPr>
        <w:t> </w:t>
      </w:r>
      <w:r>
        <w:rPr/>
        <w:t>up</w:t>
      </w:r>
      <w:r>
        <w:rPr>
          <w:spacing w:val="-18"/>
        </w:rPr>
        <w:t> </w:t>
      </w:r>
      <w:r>
        <w:rPr/>
        <w:t>our</w:t>
      </w:r>
      <w:r>
        <w:rPr>
          <w:spacing w:val="-18"/>
        </w:rPr>
        <w:t> </w:t>
      </w:r>
      <w:r>
        <w:rPr/>
        <w:t>public online presence. The web team managed more</w:t>
      </w:r>
      <w:r>
        <w:rPr>
          <w:spacing w:val="-14"/>
        </w:rPr>
        <w:t> </w:t>
      </w:r>
      <w:r>
        <w:rPr/>
        <w:t>than</w:t>
      </w:r>
      <w:r>
        <w:rPr>
          <w:spacing w:val="-14"/>
        </w:rPr>
        <w:t> </w:t>
      </w:r>
      <w:r>
        <w:rPr/>
        <w:t>30</w:t>
      </w:r>
      <w:r>
        <w:rPr>
          <w:spacing w:val="-14"/>
        </w:rPr>
        <w:t> </w:t>
      </w:r>
      <w:r>
        <w:rPr/>
        <w:t>individual</w:t>
      </w:r>
      <w:r>
        <w:rPr>
          <w:spacing w:val="-14"/>
        </w:rPr>
        <w:t> </w:t>
      </w:r>
      <w:r>
        <w:rPr/>
        <w:t>projects</w:t>
      </w:r>
      <w:r>
        <w:rPr>
          <w:spacing w:val="-14"/>
        </w:rPr>
        <w:t> </w:t>
      </w:r>
      <w:r>
        <w:rPr/>
        <w:t>and</w:t>
      </w:r>
      <w:r>
        <w:rPr>
          <w:spacing w:val="-14"/>
        </w:rPr>
        <w:t> </w:t>
      </w:r>
      <w:r>
        <w:rPr/>
        <w:t>worked</w:t>
      </w:r>
    </w:p>
    <w:p>
      <w:pPr>
        <w:pStyle w:val="BodyText"/>
        <w:spacing w:before="5"/>
        <w:rPr>
          <w:sz w:val="20"/>
        </w:rPr>
      </w:pPr>
      <w:r>
        <w:rPr/>
        <w:br w:type="column"/>
      </w:r>
      <w:r>
        <w:rPr>
          <w:sz w:val="20"/>
        </w:rPr>
      </w:r>
    </w:p>
    <w:p>
      <w:pPr>
        <w:pStyle w:val="BodyText"/>
        <w:spacing w:line="249" w:lineRule="auto" w:before="1"/>
        <w:ind w:left="190" w:right="-2"/>
      </w:pPr>
      <w:r>
        <w:rPr/>
        <w:t>with many internal and external clients to refine</w:t>
      </w:r>
      <w:r>
        <w:rPr>
          <w:spacing w:val="-17"/>
        </w:rPr>
        <w:t> </w:t>
      </w:r>
      <w:r>
        <w:rPr/>
        <w:t>the</w:t>
      </w:r>
      <w:r>
        <w:rPr>
          <w:spacing w:val="-17"/>
        </w:rPr>
        <w:t> </w:t>
      </w:r>
      <w:r>
        <w:rPr/>
        <w:t>new</w:t>
      </w:r>
      <w:r>
        <w:rPr>
          <w:spacing w:val="-17"/>
        </w:rPr>
        <w:t> </w:t>
      </w:r>
      <w:r>
        <w:rPr/>
        <w:t>branding</w:t>
      </w:r>
      <w:r>
        <w:rPr>
          <w:spacing w:val="-17"/>
        </w:rPr>
        <w:t> </w:t>
      </w:r>
      <w:r>
        <w:rPr/>
        <w:t>for</w:t>
      </w:r>
      <w:r>
        <w:rPr>
          <w:spacing w:val="-17"/>
        </w:rPr>
        <w:t> </w:t>
      </w:r>
      <w:r>
        <w:rPr/>
        <w:t>digital</w:t>
      </w:r>
      <w:r>
        <w:rPr>
          <w:spacing w:val="-17"/>
        </w:rPr>
        <w:t> </w:t>
      </w:r>
      <w:r>
        <w:rPr/>
        <w:t>expression. Coordinating the content updates, design changes, domain management and cutover on</w:t>
      </w:r>
      <w:r>
        <w:rPr>
          <w:spacing w:val="-16"/>
        </w:rPr>
        <w:t> </w:t>
      </w:r>
      <w:r>
        <w:rPr/>
        <w:t>Open</w:t>
      </w:r>
      <w:r>
        <w:rPr>
          <w:spacing w:val="-16"/>
        </w:rPr>
        <w:t> </w:t>
      </w:r>
      <w:r>
        <w:rPr/>
        <w:t>Day</w:t>
      </w:r>
      <w:r>
        <w:rPr>
          <w:spacing w:val="-16"/>
        </w:rPr>
        <w:t> </w:t>
      </w:r>
      <w:r>
        <w:rPr/>
        <w:t>was</w:t>
      </w:r>
      <w:r>
        <w:rPr>
          <w:spacing w:val="-16"/>
        </w:rPr>
        <w:t> </w:t>
      </w:r>
      <w:r>
        <w:rPr/>
        <w:t>a</w:t>
      </w:r>
      <w:r>
        <w:rPr>
          <w:spacing w:val="-16"/>
        </w:rPr>
        <w:t> </w:t>
      </w:r>
      <w:r>
        <w:rPr/>
        <w:t>big</w:t>
      </w:r>
      <w:r>
        <w:rPr>
          <w:spacing w:val="-16"/>
        </w:rPr>
        <w:t> </w:t>
      </w:r>
      <w:r>
        <w:rPr/>
        <w:t>challenge</w:t>
      </w:r>
      <w:r>
        <w:rPr>
          <w:spacing w:val="-16"/>
        </w:rPr>
        <w:t> </w:t>
      </w:r>
      <w:r>
        <w:rPr/>
        <w:t>for</w:t>
      </w:r>
      <w:r>
        <w:rPr>
          <w:spacing w:val="-16"/>
        </w:rPr>
        <w:t> </w:t>
      </w:r>
      <w:r>
        <w:rPr/>
        <w:t>the</w:t>
      </w:r>
      <w:r>
        <w:rPr>
          <w:spacing w:val="-16"/>
        </w:rPr>
        <w:t> </w:t>
      </w:r>
      <w:r>
        <w:rPr/>
        <w:t>team, which</w:t>
      </w:r>
      <w:r>
        <w:rPr>
          <w:spacing w:val="-23"/>
        </w:rPr>
        <w:t> </w:t>
      </w:r>
      <w:r>
        <w:rPr/>
        <w:t>delivered</w:t>
      </w:r>
      <w:r>
        <w:rPr>
          <w:spacing w:val="-23"/>
        </w:rPr>
        <w:t> </w:t>
      </w:r>
      <w:r>
        <w:rPr/>
        <w:t>an</w:t>
      </w:r>
      <w:r>
        <w:rPr>
          <w:spacing w:val="-23"/>
        </w:rPr>
        <w:t> </w:t>
      </w:r>
      <w:r>
        <w:rPr/>
        <w:t>exceptional</w:t>
      </w:r>
      <w:r>
        <w:rPr>
          <w:spacing w:val="-23"/>
        </w:rPr>
        <w:t> </w:t>
      </w:r>
      <w:r>
        <w:rPr/>
        <w:t>result.</w:t>
      </w:r>
    </w:p>
    <w:p>
      <w:pPr>
        <w:pStyle w:val="BodyText"/>
        <w:rPr>
          <w:sz w:val="14"/>
        </w:rPr>
      </w:pPr>
    </w:p>
    <w:p>
      <w:pPr>
        <w:pStyle w:val="BodyText"/>
        <w:spacing w:line="249" w:lineRule="auto"/>
        <w:ind w:left="190" w:right="97"/>
      </w:pPr>
      <w:r>
        <w:rPr/>
        <w:t>The</w:t>
      </w:r>
      <w:r>
        <w:rPr>
          <w:spacing w:val="-17"/>
        </w:rPr>
        <w:t> </w:t>
      </w:r>
      <w:r>
        <w:rPr/>
        <w:t>Unit</w:t>
      </w:r>
      <w:r>
        <w:rPr>
          <w:spacing w:val="-17"/>
        </w:rPr>
        <w:t> </w:t>
      </w:r>
      <w:r>
        <w:rPr/>
        <w:t>achieved</w:t>
      </w:r>
      <w:r>
        <w:rPr>
          <w:spacing w:val="-17"/>
        </w:rPr>
        <w:t> </w:t>
      </w:r>
      <w:r>
        <w:rPr/>
        <w:t>this</w:t>
      </w:r>
      <w:r>
        <w:rPr>
          <w:spacing w:val="-17"/>
        </w:rPr>
        <w:t> </w:t>
      </w:r>
      <w:r>
        <w:rPr/>
        <w:t>while</w:t>
      </w:r>
      <w:r>
        <w:rPr>
          <w:spacing w:val="-17"/>
        </w:rPr>
        <w:t> </w:t>
      </w:r>
      <w:r>
        <w:rPr/>
        <w:t>also</w:t>
      </w:r>
      <w:r>
        <w:rPr>
          <w:spacing w:val="-17"/>
        </w:rPr>
        <w:t> </w:t>
      </w:r>
      <w:r>
        <w:rPr/>
        <w:t>running</w:t>
      </w:r>
      <w:r>
        <w:rPr>
          <w:spacing w:val="-17"/>
        </w:rPr>
        <w:t> </w:t>
      </w:r>
      <w:r>
        <w:rPr/>
        <w:t>two web forums, rolling out upgraded Google search</w:t>
      </w:r>
      <w:r>
        <w:rPr>
          <w:spacing w:val="-18"/>
        </w:rPr>
        <w:t> </w:t>
      </w:r>
      <w:r>
        <w:rPr/>
        <w:t>appliances</w:t>
      </w:r>
      <w:r>
        <w:rPr>
          <w:spacing w:val="-18"/>
        </w:rPr>
        <w:t> </w:t>
      </w:r>
      <w:r>
        <w:rPr/>
        <w:t>and</w:t>
      </w:r>
      <w:r>
        <w:rPr>
          <w:spacing w:val="-18"/>
        </w:rPr>
        <w:t> </w:t>
      </w:r>
      <w:r>
        <w:rPr/>
        <w:t>fulfilling</w:t>
      </w:r>
      <w:r>
        <w:rPr>
          <w:spacing w:val="-18"/>
        </w:rPr>
        <w:t> </w:t>
      </w:r>
      <w:r>
        <w:rPr/>
        <w:t>all</w:t>
      </w:r>
      <w:r>
        <w:rPr>
          <w:spacing w:val="-18"/>
        </w:rPr>
        <w:t> </w:t>
      </w:r>
      <w:r>
        <w:rPr/>
        <w:t>the</w:t>
      </w:r>
      <w:r>
        <w:rPr>
          <w:spacing w:val="-18"/>
        </w:rPr>
        <w:t> </w:t>
      </w:r>
      <w:r>
        <w:rPr/>
        <w:t>regular demands</w:t>
      </w:r>
      <w:r>
        <w:rPr>
          <w:spacing w:val="-22"/>
        </w:rPr>
        <w:t> </w:t>
      </w:r>
      <w:r>
        <w:rPr/>
        <w:t>of</w:t>
      </w:r>
      <w:r>
        <w:rPr>
          <w:spacing w:val="-22"/>
        </w:rPr>
        <w:t> </w:t>
      </w:r>
      <w:r>
        <w:rPr/>
        <w:t>a</w:t>
      </w:r>
      <w:r>
        <w:rPr>
          <w:spacing w:val="-22"/>
        </w:rPr>
        <w:t> </w:t>
      </w:r>
      <w:r>
        <w:rPr/>
        <w:t>major</w:t>
      </w:r>
      <w:r>
        <w:rPr>
          <w:spacing w:val="-22"/>
        </w:rPr>
        <w:t> </w:t>
      </w:r>
      <w:r>
        <w:rPr/>
        <w:t>university</w:t>
      </w:r>
      <w:r>
        <w:rPr>
          <w:spacing w:val="-22"/>
        </w:rPr>
        <w:t> </w:t>
      </w:r>
      <w:r>
        <w:rPr/>
        <w:t>website.</w:t>
      </w:r>
    </w:p>
    <w:p>
      <w:pPr>
        <w:pStyle w:val="BodyText"/>
        <w:rPr>
          <w:sz w:val="14"/>
        </w:rPr>
      </w:pPr>
    </w:p>
    <w:p>
      <w:pPr>
        <w:pStyle w:val="BodyText"/>
        <w:spacing w:line="249" w:lineRule="auto"/>
        <w:ind w:left="190" w:right="49"/>
      </w:pPr>
      <w:r>
        <w:rPr>
          <w:spacing w:val="1"/>
          <w:w w:val="80"/>
        </w:rPr>
        <w:t>In</w:t>
      </w:r>
      <w:r>
        <w:rPr>
          <w:w w:val="80"/>
        </w:rPr>
        <w:t> </w:t>
      </w:r>
      <w:r>
        <w:rPr>
          <w:spacing w:val="1"/>
          <w:w w:val="84"/>
        </w:rPr>
        <w:t>2015,</w:t>
      </w:r>
      <w:r>
        <w:rPr>
          <w:w w:val="84"/>
        </w:rPr>
        <w:t> </w:t>
      </w:r>
      <w:r>
        <w:rPr>
          <w:w w:val="97"/>
        </w:rPr>
        <w:t>the </w:t>
      </w:r>
      <w:r>
        <w:rPr>
          <w:w w:val="97"/>
        </w:rPr>
        <w:t>University’s </w:t>
      </w:r>
      <w:r>
        <w:rPr>
          <w:w w:val="98"/>
        </w:rPr>
        <w:t>website </w:t>
      </w:r>
      <w:r>
        <w:rPr>
          <w:w w:val="98"/>
        </w:rPr>
        <w:t>received </w:t>
      </w:r>
      <w:r>
        <w:rPr/>
        <w:t>three</w:t>
      </w:r>
      <w:r>
        <w:rPr>
          <w:spacing w:val="-17"/>
        </w:rPr>
        <w:t> </w:t>
      </w:r>
      <w:r>
        <w:rPr/>
        <w:t>million</w:t>
      </w:r>
      <w:r>
        <w:rPr>
          <w:spacing w:val="-17"/>
        </w:rPr>
        <w:t> </w:t>
      </w:r>
      <w:r>
        <w:rPr/>
        <w:t>hits</w:t>
      </w:r>
      <w:r>
        <w:rPr>
          <w:spacing w:val="-17"/>
        </w:rPr>
        <w:t> </w:t>
      </w:r>
      <w:r>
        <w:rPr/>
        <w:t>per</w:t>
      </w:r>
      <w:r>
        <w:rPr>
          <w:spacing w:val="-17"/>
        </w:rPr>
        <w:t> </w:t>
      </w:r>
      <w:r>
        <w:rPr/>
        <w:t>month.</w:t>
      </w:r>
      <w:r>
        <w:rPr>
          <w:spacing w:val="-17"/>
        </w:rPr>
        <w:t> </w:t>
      </w:r>
      <w:r>
        <w:rPr/>
        <w:t>The</w:t>
      </w:r>
      <w:r>
        <w:rPr>
          <w:spacing w:val="-17"/>
        </w:rPr>
        <w:t> </w:t>
      </w:r>
      <w:r>
        <w:rPr/>
        <w:t>traffic</w:t>
      </w:r>
      <w:r>
        <w:rPr>
          <w:spacing w:val="-17"/>
        </w:rPr>
        <w:t> </w:t>
      </w:r>
      <w:r>
        <w:rPr/>
        <w:t>from new</w:t>
      </w:r>
      <w:r>
        <w:rPr>
          <w:spacing w:val="-15"/>
        </w:rPr>
        <w:t> </w:t>
      </w:r>
      <w:r>
        <w:rPr/>
        <w:t>visitors</w:t>
      </w:r>
      <w:r>
        <w:rPr>
          <w:spacing w:val="-15"/>
        </w:rPr>
        <w:t> </w:t>
      </w:r>
      <w:r>
        <w:rPr/>
        <w:t>was</w:t>
      </w:r>
      <w:r>
        <w:rPr>
          <w:spacing w:val="-15"/>
        </w:rPr>
        <w:t> </w:t>
      </w:r>
      <w:r>
        <w:rPr/>
        <w:t>down</w:t>
      </w:r>
      <w:r>
        <w:rPr>
          <w:spacing w:val="-15"/>
        </w:rPr>
        <w:t> </w:t>
      </w:r>
      <w:r>
        <w:rPr/>
        <w:t>slightly</w:t>
      </w:r>
      <w:r>
        <w:rPr>
          <w:spacing w:val="-15"/>
        </w:rPr>
        <w:t> </w:t>
      </w:r>
      <w:r>
        <w:rPr/>
        <w:t>compared</w:t>
      </w:r>
      <w:r>
        <w:rPr>
          <w:spacing w:val="-15"/>
        </w:rPr>
        <w:t> </w:t>
      </w:r>
      <w:r>
        <w:rPr/>
        <w:t>with previous</w:t>
      </w:r>
      <w:r>
        <w:rPr>
          <w:spacing w:val="-21"/>
        </w:rPr>
        <w:t> </w:t>
      </w:r>
      <w:r>
        <w:rPr/>
        <w:t>years,</w:t>
      </w:r>
      <w:r>
        <w:rPr>
          <w:spacing w:val="-21"/>
        </w:rPr>
        <w:t> </w:t>
      </w:r>
      <w:r>
        <w:rPr/>
        <w:t>matching</w:t>
      </w:r>
      <w:r>
        <w:rPr>
          <w:spacing w:val="-21"/>
        </w:rPr>
        <w:t> </w:t>
      </w:r>
      <w:r>
        <w:rPr/>
        <w:t>a</w:t>
      </w:r>
      <w:r>
        <w:rPr>
          <w:spacing w:val="-21"/>
        </w:rPr>
        <w:t> </w:t>
      </w:r>
      <w:r>
        <w:rPr/>
        <w:t>sector-wide</w:t>
      </w:r>
      <w:r>
        <w:rPr>
          <w:spacing w:val="-21"/>
        </w:rPr>
        <w:t> </w:t>
      </w:r>
      <w:r>
        <w:rPr/>
        <w:t>trend, but</w:t>
      </w:r>
      <w:r>
        <w:rPr>
          <w:spacing w:val="-16"/>
        </w:rPr>
        <w:t> </w:t>
      </w:r>
      <w:r>
        <w:rPr/>
        <w:t>overall</w:t>
      </w:r>
      <w:r>
        <w:rPr>
          <w:spacing w:val="-16"/>
        </w:rPr>
        <w:t> </w:t>
      </w:r>
      <w:r>
        <w:rPr/>
        <w:t>it</w:t>
      </w:r>
      <w:r>
        <w:rPr>
          <w:spacing w:val="-16"/>
        </w:rPr>
        <w:t> </w:t>
      </w:r>
      <w:r>
        <w:rPr/>
        <w:t>was</w:t>
      </w:r>
      <w:r>
        <w:rPr>
          <w:spacing w:val="-16"/>
        </w:rPr>
        <w:t> </w:t>
      </w:r>
      <w:r>
        <w:rPr/>
        <w:t>up</w:t>
      </w:r>
      <w:r>
        <w:rPr>
          <w:spacing w:val="-16"/>
        </w:rPr>
        <w:t> </w:t>
      </w:r>
      <w:r>
        <w:rPr/>
        <w:t>9</w:t>
      </w:r>
      <w:r>
        <w:rPr>
          <w:spacing w:val="-16"/>
        </w:rPr>
        <w:t> </w:t>
      </w:r>
      <w:r>
        <w:rPr/>
        <w:t>per</w:t>
      </w:r>
      <w:r>
        <w:rPr>
          <w:spacing w:val="-16"/>
        </w:rPr>
        <w:t> </w:t>
      </w:r>
      <w:r>
        <w:rPr/>
        <w:t>cent.</w:t>
      </w:r>
    </w:p>
    <w:p>
      <w:pPr>
        <w:pStyle w:val="BodyText"/>
        <w:spacing w:before="7"/>
        <w:rPr>
          <w:sz w:val="21"/>
        </w:rPr>
      </w:pPr>
    </w:p>
    <w:p>
      <w:pPr>
        <w:pStyle w:val="Heading8"/>
        <w:ind w:left="190" w:right="-2"/>
      </w:pPr>
      <w:r>
        <w:rPr>
          <w:w w:val="95"/>
        </w:rPr>
        <w:t>SOCIAL MEDIA</w:t>
      </w:r>
    </w:p>
    <w:p>
      <w:pPr>
        <w:pStyle w:val="BodyText"/>
        <w:spacing w:line="249" w:lineRule="auto" w:before="86"/>
        <w:ind w:left="190" w:right="83"/>
      </w:pPr>
      <w:r>
        <w:rPr/>
        <w:t>The Office is trying to grow the University’s social media channel following by improving its reach and boosting engagement.</w:t>
      </w:r>
    </w:p>
    <w:p>
      <w:pPr>
        <w:pStyle w:val="BodyText"/>
        <w:rPr>
          <w:sz w:val="14"/>
        </w:rPr>
      </w:pPr>
    </w:p>
    <w:p>
      <w:pPr>
        <w:pStyle w:val="BodyText"/>
        <w:spacing w:line="249" w:lineRule="auto"/>
        <w:ind w:left="190" w:right="23"/>
      </w:pPr>
      <w:r>
        <w:rPr/>
        <w:t>Our channel growth continued to improve, with increases of 259 per cent on Facebook, 142 per cent on Twitter and </w:t>
      </w:r>
      <w:r>
        <w:rPr>
          <w:spacing w:val="2"/>
        </w:rPr>
        <w:t>298 </w:t>
      </w:r>
      <w:r>
        <w:rPr/>
        <w:t>per cent on Instagram</w:t>
      </w:r>
      <w:r>
        <w:rPr>
          <w:spacing w:val="-21"/>
        </w:rPr>
        <w:t> </w:t>
      </w:r>
      <w:r>
        <w:rPr/>
        <w:t>compared</w:t>
      </w:r>
      <w:r>
        <w:rPr>
          <w:spacing w:val="-21"/>
        </w:rPr>
        <w:t> </w:t>
      </w:r>
      <w:r>
        <w:rPr/>
        <w:t>to</w:t>
      </w:r>
      <w:r>
        <w:rPr>
          <w:spacing w:val="-21"/>
        </w:rPr>
        <w:t> </w:t>
      </w:r>
      <w:r>
        <w:rPr/>
        <w:t>the</w:t>
      </w:r>
      <w:r>
        <w:rPr>
          <w:spacing w:val="-21"/>
        </w:rPr>
        <w:t> </w:t>
      </w:r>
      <w:r>
        <w:rPr/>
        <w:t>previous</w:t>
      </w:r>
      <w:r>
        <w:rPr>
          <w:spacing w:val="-21"/>
        </w:rPr>
        <w:t> </w:t>
      </w:r>
      <w:r>
        <w:rPr/>
        <w:t>year.</w:t>
      </w:r>
      <w:r>
        <w:rPr>
          <w:spacing w:val="-21"/>
        </w:rPr>
        <w:t> </w:t>
      </w:r>
      <w:r>
        <w:rPr/>
        <w:t>Our Facebook page reach improved by 495 per cent</w:t>
      </w:r>
      <w:r>
        <w:rPr>
          <w:spacing w:val="-21"/>
        </w:rPr>
        <w:t> </w:t>
      </w:r>
      <w:r>
        <w:rPr/>
        <w:t>and</w:t>
      </w:r>
      <w:r>
        <w:rPr>
          <w:spacing w:val="-21"/>
        </w:rPr>
        <w:t> </w:t>
      </w:r>
      <w:r>
        <w:rPr/>
        <w:t>engagement</w:t>
      </w:r>
      <w:r>
        <w:rPr>
          <w:spacing w:val="-21"/>
        </w:rPr>
        <w:t> </w:t>
      </w:r>
      <w:r>
        <w:rPr/>
        <w:t>was</w:t>
      </w:r>
      <w:r>
        <w:rPr>
          <w:spacing w:val="-21"/>
        </w:rPr>
        <w:t> </w:t>
      </w:r>
      <w:r>
        <w:rPr/>
        <w:t>up</w:t>
      </w:r>
      <w:r>
        <w:rPr>
          <w:spacing w:val="-21"/>
        </w:rPr>
        <w:t> </w:t>
      </w:r>
      <w:r>
        <w:rPr>
          <w:spacing w:val="2"/>
        </w:rPr>
        <w:t>1,248</w:t>
      </w:r>
      <w:r>
        <w:rPr>
          <w:spacing w:val="-21"/>
        </w:rPr>
        <w:t> </w:t>
      </w:r>
      <w:r>
        <w:rPr/>
        <w:t>per</w:t>
      </w:r>
      <w:r>
        <w:rPr>
          <w:spacing w:val="-21"/>
        </w:rPr>
        <w:t> </w:t>
      </w:r>
      <w:r>
        <w:rPr/>
        <w:t>cent, largely due to wide interest in our rebrand and Bystander Anti-Racism campaigns. </w:t>
      </w:r>
      <w:r>
        <w:rPr>
          <w:spacing w:val="2"/>
        </w:rPr>
        <w:t>The </w:t>
      </w:r>
      <w:r>
        <w:rPr/>
        <w:t>Deng</w:t>
      </w:r>
      <w:r>
        <w:rPr>
          <w:spacing w:val="-17"/>
        </w:rPr>
        <w:t> </w:t>
      </w:r>
      <w:r>
        <w:rPr/>
        <w:t>Adut</w:t>
      </w:r>
      <w:r>
        <w:rPr>
          <w:spacing w:val="-17"/>
        </w:rPr>
        <w:t> </w:t>
      </w:r>
      <w:r>
        <w:rPr/>
        <w:t>video,</w:t>
      </w:r>
      <w:r>
        <w:rPr>
          <w:spacing w:val="-17"/>
        </w:rPr>
        <w:t> </w:t>
      </w:r>
      <w:r>
        <w:rPr/>
        <w:t>in</w:t>
      </w:r>
      <w:r>
        <w:rPr>
          <w:spacing w:val="-17"/>
        </w:rPr>
        <w:t> </w:t>
      </w:r>
      <w:r>
        <w:rPr/>
        <w:t>particular,</w:t>
      </w:r>
      <w:r>
        <w:rPr>
          <w:spacing w:val="-17"/>
        </w:rPr>
        <w:t> </w:t>
      </w:r>
      <w:r>
        <w:rPr/>
        <w:t>created</w:t>
      </w:r>
      <w:r>
        <w:rPr>
          <w:spacing w:val="-17"/>
        </w:rPr>
        <w:t> </w:t>
      </w:r>
      <w:r>
        <w:rPr/>
        <w:t>a</w:t>
      </w:r>
      <w:r>
        <w:rPr>
          <w:spacing w:val="-17"/>
        </w:rPr>
        <w:t> </w:t>
      </w:r>
      <w:r>
        <w:rPr/>
        <w:t>lot</w:t>
      </w:r>
    </w:p>
    <w:p>
      <w:pPr>
        <w:pStyle w:val="BodyText"/>
        <w:spacing w:line="249" w:lineRule="auto"/>
        <w:ind w:left="190" w:right="102"/>
      </w:pPr>
      <w:r>
        <w:rPr/>
        <w:t>of positive engagement across our own and external social media channels.</w:t>
      </w:r>
    </w:p>
    <w:p>
      <w:pPr>
        <w:pStyle w:val="BodyText"/>
        <w:rPr>
          <w:sz w:val="14"/>
        </w:rPr>
      </w:pPr>
    </w:p>
    <w:p>
      <w:pPr>
        <w:pStyle w:val="BodyText"/>
        <w:spacing w:line="249" w:lineRule="auto"/>
        <w:ind w:left="190" w:right="33"/>
      </w:pPr>
      <w:r>
        <w:rPr/>
        <w:t>In addition, our Facebook page engagement rate is still growing, averaging 7.07 per cent </w:t>
      </w:r>
      <w:r>
        <w:rPr>
          <w:w w:val="95"/>
        </w:rPr>
        <w:t>in </w:t>
      </w:r>
      <w:r>
        <w:rPr>
          <w:w w:val="84"/>
        </w:rPr>
        <w:t>2015, </w:t>
      </w:r>
      <w:r>
        <w:rPr>
          <w:w w:val="98"/>
        </w:rPr>
        <w:t>which </w:t>
      </w:r>
      <w:r>
        <w:rPr>
          <w:w w:val="95"/>
        </w:rPr>
        <w:t>is </w:t>
      </w:r>
      <w:r>
        <w:rPr>
          <w:w w:val="97"/>
        </w:rPr>
        <w:t>more </w:t>
      </w:r>
      <w:r>
        <w:rPr>
          <w:w w:val="97"/>
        </w:rPr>
        <w:t>than </w:t>
      </w:r>
      <w:r>
        <w:rPr>
          <w:w w:val="94"/>
        </w:rPr>
        <w:t>3 </w:t>
      </w:r>
      <w:r>
        <w:rPr>
          <w:w w:val="98"/>
        </w:rPr>
        <w:t>percentage </w:t>
      </w:r>
      <w:r>
        <w:rPr>
          <w:w w:val="98"/>
        </w:rPr>
        <w:t>points </w:t>
      </w:r>
      <w:r>
        <w:rPr>
          <w:w w:val="96"/>
        </w:rPr>
        <w:t>higher </w:t>
      </w:r>
      <w:r>
        <w:rPr>
          <w:w w:val="97"/>
        </w:rPr>
        <w:t>than </w:t>
      </w:r>
      <w:r>
        <w:rPr>
          <w:w w:val="95"/>
        </w:rPr>
        <w:t>in </w:t>
      </w:r>
      <w:r>
        <w:rPr>
          <w:w w:val="86"/>
        </w:rPr>
        <w:t>2014. </w:t>
      </w:r>
      <w:r>
        <w:rPr>
          <w:w w:val="94"/>
        </w:rPr>
        <w:t>This </w:t>
      </w:r>
      <w:r>
        <w:rPr>
          <w:w w:val="95"/>
        </w:rPr>
        <w:t>is </w:t>
      </w:r>
      <w:r>
        <w:rPr>
          <w:w w:val="96"/>
        </w:rPr>
        <w:t>higher </w:t>
      </w:r>
      <w:r>
        <w:rPr>
          <w:w w:val="97"/>
        </w:rPr>
        <w:t>than </w:t>
      </w:r>
      <w:r>
        <w:rPr/>
        <w:t>that of other industries with similar page follower numbers and is also higher than the University’s key competitors.</w:t>
      </w:r>
    </w:p>
    <w:p>
      <w:pPr>
        <w:pStyle w:val="BodyText"/>
        <w:spacing w:before="7"/>
        <w:rPr>
          <w:sz w:val="21"/>
        </w:rPr>
      </w:pPr>
    </w:p>
    <w:p>
      <w:pPr>
        <w:pStyle w:val="Heading8"/>
        <w:ind w:left="190" w:right="-2"/>
      </w:pPr>
      <w:r>
        <w:rPr>
          <w:w w:val="95"/>
        </w:rPr>
        <w:t>MEDIA AND EVENTS</w:t>
      </w:r>
    </w:p>
    <w:p>
      <w:pPr>
        <w:pStyle w:val="BodyText"/>
        <w:spacing w:line="249" w:lineRule="auto" w:before="86"/>
        <w:ind w:left="190" w:right="-4"/>
      </w:pPr>
      <w:r>
        <w:rPr/>
        <w:t>The Media Unit is responsible for media relations and reputation management across the</w:t>
      </w:r>
      <w:r>
        <w:rPr>
          <w:spacing w:val="-18"/>
        </w:rPr>
        <w:t> </w:t>
      </w:r>
      <w:r>
        <w:rPr/>
        <w:t>University.</w:t>
      </w:r>
      <w:r>
        <w:rPr>
          <w:spacing w:val="-18"/>
        </w:rPr>
        <w:t> </w:t>
      </w:r>
      <w:r>
        <w:rPr/>
        <w:t>The</w:t>
      </w:r>
      <w:r>
        <w:rPr>
          <w:spacing w:val="-18"/>
        </w:rPr>
        <w:t> </w:t>
      </w:r>
      <w:r>
        <w:rPr/>
        <w:t>Unit</w:t>
      </w:r>
      <w:r>
        <w:rPr>
          <w:spacing w:val="-18"/>
        </w:rPr>
        <w:t> </w:t>
      </w:r>
      <w:r>
        <w:rPr/>
        <w:t>drives</w:t>
      </w:r>
      <w:r>
        <w:rPr>
          <w:spacing w:val="-18"/>
        </w:rPr>
        <w:t> </w:t>
      </w:r>
      <w:r>
        <w:rPr/>
        <w:t>coverage</w:t>
      </w:r>
      <w:r>
        <w:rPr>
          <w:spacing w:val="-18"/>
        </w:rPr>
        <w:t> </w:t>
      </w:r>
      <w:r>
        <w:rPr/>
        <w:t>of</w:t>
      </w:r>
      <w:r>
        <w:rPr>
          <w:spacing w:val="-18"/>
        </w:rPr>
        <w:t> </w:t>
      </w:r>
      <w:r>
        <w:rPr/>
        <w:t>the University in local, national and international media,</w:t>
      </w:r>
      <w:r>
        <w:rPr>
          <w:spacing w:val="-23"/>
        </w:rPr>
        <w:t> </w:t>
      </w:r>
      <w:r>
        <w:rPr/>
        <w:t>sourcing</w:t>
      </w:r>
      <w:r>
        <w:rPr>
          <w:spacing w:val="-23"/>
        </w:rPr>
        <w:t> </w:t>
      </w:r>
      <w:r>
        <w:rPr/>
        <w:t>stories,</w:t>
      </w:r>
      <w:r>
        <w:rPr>
          <w:spacing w:val="-23"/>
        </w:rPr>
        <w:t> </w:t>
      </w:r>
      <w:r>
        <w:rPr/>
        <w:t>writing</w:t>
      </w:r>
      <w:r>
        <w:rPr>
          <w:spacing w:val="-23"/>
        </w:rPr>
        <w:t> </w:t>
      </w:r>
      <w:r>
        <w:rPr/>
        <w:t>media</w:t>
      </w:r>
      <w:r>
        <w:rPr>
          <w:spacing w:val="-23"/>
        </w:rPr>
        <w:t> </w:t>
      </w:r>
      <w:r>
        <w:rPr/>
        <w:t>releases and news copy, managing the News Centre and</w:t>
      </w:r>
      <w:r>
        <w:rPr>
          <w:spacing w:val="-20"/>
        </w:rPr>
        <w:t> </w:t>
      </w:r>
      <w:r>
        <w:rPr/>
        <w:t>liaising</w:t>
      </w:r>
      <w:r>
        <w:rPr>
          <w:spacing w:val="-20"/>
        </w:rPr>
        <w:t> </w:t>
      </w:r>
      <w:r>
        <w:rPr/>
        <w:t>with</w:t>
      </w:r>
      <w:r>
        <w:rPr>
          <w:spacing w:val="-20"/>
        </w:rPr>
        <w:t> </w:t>
      </w:r>
      <w:r>
        <w:rPr/>
        <w:t>journalists</w:t>
      </w:r>
      <w:r>
        <w:rPr>
          <w:spacing w:val="-20"/>
        </w:rPr>
        <w:t> </w:t>
      </w:r>
      <w:r>
        <w:rPr/>
        <w:t>on</w:t>
      </w:r>
      <w:r>
        <w:rPr>
          <w:spacing w:val="-20"/>
        </w:rPr>
        <w:t> </w:t>
      </w:r>
      <w:r>
        <w:rPr/>
        <w:t>a</w:t>
      </w:r>
      <w:r>
        <w:rPr>
          <w:spacing w:val="-20"/>
        </w:rPr>
        <w:t> </w:t>
      </w:r>
      <w:r>
        <w:rPr/>
        <w:t>daily</w:t>
      </w:r>
      <w:r>
        <w:rPr>
          <w:spacing w:val="-20"/>
        </w:rPr>
        <w:t> </w:t>
      </w:r>
      <w:r>
        <w:rPr/>
        <w:t>basis.</w:t>
      </w:r>
    </w:p>
    <w:p>
      <w:pPr>
        <w:pStyle w:val="BodyText"/>
        <w:spacing w:before="5"/>
        <w:rPr>
          <w:sz w:val="20"/>
        </w:rPr>
      </w:pPr>
      <w:r>
        <w:rPr/>
        <w:br w:type="column"/>
      </w:r>
      <w:r>
        <w:rPr>
          <w:sz w:val="20"/>
        </w:rPr>
      </w:r>
    </w:p>
    <w:p>
      <w:pPr>
        <w:pStyle w:val="BodyText"/>
        <w:spacing w:line="249" w:lineRule="auto"/>
        <w:ind w:left="187" w:right="296"/>
      </w:pPr>
      <w:r>
        <w:rPr/>
        <w:t>The</w:t>
      </w:r>
      <w:r>
        <w:rPr>
          <w:spacing w:val="-19"/>
        </w:rPr>
        <w:t> </w:t>
      </w:r>
      <w:r>
        <w:rPr/>
        <w:t>Events</w:t>
      </w:r>
      <w:r>
        <w:rPr>
          <w:spacing w:val="-19"/>
        </w:rPr>
        <w:t> </w:t>
      </w:r>
      <w:r>
        <w:rPr/>
        <w:t>team</w:t>
      </w:r>
      <w:r>
        <w:rPr>
          <w:spacing w:val="-19"/>
        </w:rPr>
        <w:t> </w:t>
      </w:r>
      <w:r>
        <w:rPr/>
        <w:t>manages</w:t>
      </w:r>
      <w:r>
        <w:rPr>
          <w:spacing w:val="-19"/>
        </w:rPr>
        <w:t> </w:t>
      </w:r>
      <w:r>
        <w:rPr/>
        <w:t>the</w:t>
      </w:r>
      <w:r>
        <w:rPr>
          <w:spacing w:val="-19"/>
        </w:rPr>
        <w:t> </w:t>
      </w:r>
      <w:r>
        <w:rPr/>
        <w:t>many</w:t>
      </w:r>
      <w:r>
        <w:rPr>
          <w:spacing w:val="-19"/>
        </w:rPr>
        <w:t> </w:t>
      </w:r>
      <w:r>
        <w:rPr/>
        <w:t>corporate events, official openings, public relations programs and VIP visits hosted by the University</w:t>
      </w:r>
      <w:r>
        <w:rPr>
          <w:spacing w:val="-16"/>
        </w:rPr>
        <w:t> </w:t>
      </w:r>
      <w:r>
        <w:rPr/>
        <w:t>and</w:t>
      </w:r>
      <w:r>
        <w:rPr>
          <w:spacing w:val="-16"/>
        </w:rPr>
        <w:t> </w:t>
      </w:r>
      <w:r>
        <w:rPr/>
        <w:t>the</w:t>
      </w:r>
      <w:r>
        <w:rPr>
          <w:spacing w:val="-16"/>
        </w:rPr>
        <w:t> </w:t>
      </w:r>
      <w:r>
        <w:rPr/>
        <w:t>Vice-Chancellor’s</w:t>
      </w:r>
      <w:r>
        <w:rPr>
          <w:spacing w:val="-16"/>
        </w:rPr>
        <w:t> </w:t>
      </w:r>
      <w:r>
        <w:rPr/>
        <w:t>office.</w:t>
      </w:r>
    </w:p>
    <w:p>
      <w:pPr>
        <w:pStyle w:val="BodyText"/>
        <w:rPr>
          <w:sz w:val="14"/>
        </w:rPr>
      </w:pPr>
    </w:p>
    <w:p>
      <w:pPr>
        <w:pStyle w:val="BodyText"/>
        <w:spacing w:line="249" w:lineRule="auto"/>
        <w:ind w:left="187" w:right="296"/>
      </w:pPr>
      <w:r>
        <w:rPr>
          <w:w w:val="80"/>
        </w:rPr>
        <w:t>In </w:t>
      </w:r>
      <w:r>
        <w:rPr>
          <w:w w:val="84"/>
        </w:rPr>
        <w:t>2015, </w:t>
      </w:r>
      <w:r>
        <w:rPr>
          <w:w w:val="97"/>
        </w:rPr>
        <w:t>the </w:t>
      </w:r>
      <w:r>
        <w:rPr>
          <w:w w:val="98"/>
        </w:rPr>
        <w:t>Events </w:t>
      </w:r>
      <w:r>
        <w:rPr>
          <w:w w:val="97"/>
        </w:rPr>
        <w:t>team </w:t>
      </w:r>
      <w:r>
        <w:rPr>
          <w:w w:val="97"/>
        </w:rPr>
        <w:t>successfully </w:t>
      </w:r>
      <w:r>
        <w:rPr>
          <w:w w:val="97"/>
        </w:rPr>
        <w:t>delivered </w:t>
      </w:r>
      <w:r>
        <w:rPr/>
        <w:t>almost 50 corporate events.</w:t>
      </w:r>
    </w:p>
    <w:p>
      <w:pPr>
        <w:pStyle w:val="BodyText"/>
        <w:rPr>
          <w:sz w:val="14"/>
        </w:rPr>
      </w:pPr>
    </w:p>
    <w:p>
      <w:pPr>
        <w:pStyle w:val="BodyText"/>
        <w:spacing w:line="249" w:lineRule="auto"/>
        <w:ind w:left="187" w:right="411"/>
      </w:pPr>
      <w:r>
        <w:rPr/>
        <w:t>Major functions included the annual Women of the West/International Women’s Day event; a visit by the Foreign Minister, The </w:t>
      </w:r>
      <w:r>
        <w:rPr>
          <w:spacing w:val="2"/>
        </w:rPr>
        <w:t>Hon. </w:t>
      </w:r>
      <w:r>
        <w:rPr/>
        <w:t>Julie Bishop and Member for Lindsay, The </w:t>
      </w:r>
      <w:r>
        <w:rPr>
          <w:spacing w:val="2"/>
        </w:rPr>
        <w:t>Hon. </w:t>
      </w:r>
      <w:r>
        <w:rPr/>
        <w:t>Fiona Scott, to meet students participating in the New Colombo Plan initiative; the GWS Giants season launch hosted</w:t>
      </w:r>
      <w:r>
        <w:rPr>
          <w:spacing w:val="-18"/>
        </w:rPr>
        <w:t> </w:t>
      </w:r>
      <w:r>
        <w:rPr/>
        <w:t>at</w:t>
      </w:r>
      <w:r>
        <w:rPr>
          <w:spacing w:val="-18"/>
        </w:rPr>
        <w:t> </w:t>
      </w:r>
      <w:r>
        <w:rPr/>
        <w:t>the</w:t>
      </w:r>
      <w:r>
        <w:rPr>
          <w:spacing w:val="-18"/>
        </w:rPr>
        <w:t> </w:t>
      </w:r>
      <w:r>
        <w:rPr/>
        <w:t>Parramatta</w:t>
      </w:r>
      <w:r>
        <w:rPr>
          <w:spacing w:val="-18"/>
        </w:rPr>
        <w:t> </w:t>
      </w:r>
      <w:r>
        <w:rPr/>
        <w:t>campus;</w:t>
      </w:r>
      <w:r>
        <w:rPr>
          <w:spacing w:val="-18"/>
        </w:rPr>
        <w:t> </w:t>
      </w:r>
      <w:r>
        <w:rPr/>
        <w:t>the</w:t>
      </w:r>
      <w:r>
        <w:rPr>
          <w:spacing w:val="-18"/>
        </w:rPr>
        <w:t> </w:t>
      </w:r>
      <w:r>
        <w:rPr/>
        <w:t>official opening</w:t>
      </w:r>
      <w:r>
        <w:rPr>
          <w:spacing w:val="-12"/>
        </w:rPr>
        <w:t> </w:t>
      </w:r>
      <w:r>
        <w:rPr/>
        <w:t>of</w:t>
      </w:r>
      <w:r>
        <w:rPr>
          <w:spacing w:val="-12"/>
        </w:rPr>
        <w:t> </w:t>
      </w:r>
      <w:r>
        <w:rPr/>
        <w:t>the</w:t>
      </w:r>
      <w:r>
        <w:rPr>
          <w:spacing w:val="-12"/>
        </w:rPr>
        <w:t> </w:t>
      </w:r>
      <w:r>
        <w:rPr/>
        <w:t>Werrington</w:t>
      </w:r>
      <w:r>
        <w:rPr>
          <w:spacing w:val="-12"/>
        </w:rPr>
        <w:t> </w:t>
      </w:r>
      <w:r>
        <w:rPr/>
        <w:t>Park</w:t>
      </w:r>
      <w:r>
        <w:rPr>
          <w:spacing w:val="-12"/>
        </w:rPr>
        <w:t> </w:t>
      </w:r>
      <w:r>
        <w:rPr/>
        <w:t>Corporate</w:t>
      </w:r>
    </w:p>
    <w:p>
      <w:pPr>
        <w:pStyle w:val="BodyText"/>
        <w:spacing w:line="249" w:lineRule="auto"/>
        <w:ind w:left="187" w:right="296"/>
      </w:pPr>
      <w:r>
        <w:rPr/>
        <w:t>Centre; the Sydney Business Chamber Airport Symposium; the annual Yarramundi Lecture; and the ever-popular annual Ramadan Iftar event, attended by more than 300 guests.</w:t>
      </w:r>
    </w:p>
    <w:p>
      <w:pPr>
        <w:pStyle w:val="BodyText"/>
        <w:rPr>
          <w:sz w:val="14"/>
        </w:rPr>
      </w:pPr>
    </w:p>
    <w:p>
      <w:pPr>
        <w:pStyle w:val="BodyText"/>
        <w:spacing w:line="249" w:lineRule="auto"/>
        <w:ind w:left="187" w:right="456"/>
      </w:pPr>
      <w:r>
        <w:rPr/>
        <w:t>In</w:t>
      </w:r>
      <w:r>
        <w:rPr>
          <w:spacing w:val="-21"/>
        </w:rPr>
        <w:t> </w:t>
      </w:r>
      <w:r>
        <w:rPr/>
        <w:t>November,</w:t>
      </w:r>
      <w:r>
        <w:rPr>
          <w:spacing w:val="-21"/>
        </w:rPr>
        <w:t> </w:t>
      </w:r>
      <w:r>
        <w:rPr/>
        <w:t>the</w:t>
      </w:r>
      <w:r>
        <w:rPr>
          <w:spacing w:val="-21"/>
        </w:rPr>
        <w:t> </w:t>
      </w:r>
      <w:r>
        <w:rPr/>
        <w:t>Events</w:t>
      </w:r>
      <w:r>
        <w:rPr>
          <w:spacing w:val="-21"/>
        </w:rPr>
        <w:t> </w:t>
      </w:r>
      <w:r>
        <w:rPr/>
        <w:t>team</w:t>
      </w:r>
      <w:r>
        <w:rPr>
          <w:spacing w:val="-21"/>
        </w:rPr>
        <w:t> </w:t>
      </w:r>
      <w:r>
        <w:rPr/>
        <w:t>organised</w:t>
      </w:r>
      <w:r>
        <w:rPr>
          <w:spacing w:val="-21"/>
        </w:rPr>
        <w:t> </w:t>
      </w:r>
      <w:r>
        <w:rPr/>
        <w:t>a visit</w:t>
      </w:r>
      <w:r>
        <w:rPr>
          <w:spacing w:val="-18"/>
        </w:rPr>
        <w:t> </w:t>
      </w:r>
      <w:r>
        <w:rPr/>
        <w:t>to</w:t>
      </w:r>
      <w:r>
        <w:rPr>
          <w:spacing w:val="-18"/>
        </w:rPr>
        <w:t> </w:t>
      </w:r>
      <w:r>
        <w:rPr/>
        <w:t>the</w:t>
      </w:r>
      <w:r>
        <w:rPr>
          <w:spacing w:val="-18"/>
        </w:rPr>
        <w:t> </w:t>
      </w:r>
      <w:r>
        <w:rPr/>
        <w:t>University</w:t>
      </w:r>
      <w:r>
        <w:rPr>
          <w:spacing w:val="-18"/>
        </w:rPr>
        <w:t> </w:t>
      </w:r>
      <w:r>
        <w:rPr/>
        <w:t>by</w:t>
      </w:r>
      <w:r>
        <w:rPr>
          <w:spacing w:val="-18"/>
        </w:rPr>
        <w:t> </w:t>
      </w:r>
      <w:r>
        <w:rPr/>
        <w:t>the</w:t>
      </w:r>
      <w:r>
        <w:rPr>
          <w:spacing w:val="-18"/>
        </w:rPr>
        <w:t> </w:t>
      </w:r>
      <w:r>
        <w:rPr/>
        <w:t>Prime</w:t>
      </w:r>
      <w:r>
        <w:rPr>
          <w:spacing w:val="-18"/>
        </w:rPr>
        <w:t> </w:t>
      </w:r>
      <w:r>
        <w:rPr/>
        <w:t>Minister, The</w:t>
      </w:r>
      <w:r>
        <w:rPr>
          <w:spacing w:val="-20"/>
        </w:rPr>
        <w:t> </w:t>
      </w:r>
      <w:r>
        <w:rPr>
          <w:spacing w:val="2"/>
        </w:rPr>
        <w:t>Hon.</w:t>
      </w:r>
      <w:r>
        <w:rPr>
          <w:spacing w:val="-20"/>
        </w:rPr>
        <w:t> </w:t>
      </w:r>
      <w:r>
        <w:rPr/>
        <w:t>Malcolm</w:t>
      </w:r>
      <w:r>
        <w:rPr>
          <w:spacing w:val="-20"/>
        </w:rPr>
        <w:t> </w:t>
      </w:r>
      <w:r>
        <w:rPr/>
        <w:t>Turnbull,</w:t>
      </w:r>
      <w:r>
        <w:rPr>
          <w:spacing w:val="-20"/>
        </w:rPr>
        <w:t> </w:t>
      </w:r>
      <w:r>
        <w:rPr/>
        <w:t>to</w:t>
      </w:r>
      <w:r>
        <w:rPr>
          <w:spacing w:val="-20"/>
        </w:rPr>
        <w:t> </w:t>
      </w:r>
      <w:r>
        <w:rPr/>
        <w:t>take</w:t>
      </w:r>
      <w:r>
        <w:rPr>
          <w:spacing w:val="-20"/>
        </w:rPr>
        <w:t> </w:t>
      </w:r>
      <w:r>
        <w:rPr>
          <w:spacing w:val="2"/>
        </w:rPr>
        <w:t>part</w:t>
      </w:r>
      <w:r>
        <w:rPr>
          <w:spacing w:val="-20"/>
        </w:rPr>
        <w:t> </w:t>
      </w:r>
      <w:r>
        <w:rPr/>
        <w:t>in the</w:t>
      </w:r>
      <w:r>
        <w:rPr>
          <w:spacing w:val="-20"/>
        </w:rPr>
        <w:t> </w:t>
      </w:r>
      <w:r>
        <w:rPr/>
        <w:t>National</w:t>
      </w:r>
      <w:r>
        <w:rPr>
          <w:spacing w:val="-20"/>
        </w:rPr>
        <w:t> </w:t>
      </w:r>
      <w:r>
        <w:rPr/>
        <w:t>Innovation</w:t>
      </w:r>
      <w:r>
        <w:rPr>
          <w:spacing w:val="-20"/>
        </w:rPr>
        <w:t> </w:t>
      </w:r>
      <w:r>
        <w:rPr/>
        <w:t>Roundtable</w:t>
      </w:r>
      <w:r>
        <w:rPr>
          <w:spacing w:val="-20"/>
        </w:rPr>
        <w:t> </w:t>
      </w:r>
      <w:r>
        <w:rPr/>
        <w:t>at</w:t>
      </w:r>
      <w:r>
        <w:rPr>
          <w:spacing w:val="-20"/>
        </w:rPr>
        <w:t> </w:t>
      </w:r>
      <w:r>
        <w:rPr/>
        <w:t>the</w:t>
      </w:r>
    </w:p>
    <w:p>
      <w:pPr>
        <w:pStyle w:val="BodyText"/>
        <w:spacing w:line="249" w:lineRule="auto"/>
        <w:ind w:left="187" w:right="351"/>
      </w:pPr>
      <w:r>
        <w:rPr/>
        <w:t>Werrington</w:t>
      </w:r>
      <w:r>
        <w:rPr>
          <w:spacing w:val="-19"/>
        </w:rPr>
        <w:t> </w:t>
      </w:r>
      <w:r>
        <w:rPr/>
        <w:t>Park</w:t>
      </w:r>
      <w:r>
        <w:rPr>
          <w:spacing w:val="-19"/>
        </w:rPr>
        <w:t> </w:t>
      </w:r>
      <w:r>
        <w:rPr/>
        <w:t>Corporate</w:t>
      </w:r>
      <w:r>
        <w:rPr>
          <w:spacing w:val="-19"/>
        </w:rPr>
        <w:t> </w:t>
      </w:r>
      <w:r>
        <w:rPr/>
        <w:t>Centre.</w:t>
      </w:r>
      <w:r>
        <w:rPr>
          <w:spacing w:val="-19"/>
        </w:rPr>
        <w:t> </w:t>
      </w:r>
      <w:r>
        <w:rPr/>
        <w:t>The</w:t>
      </w:r>
      <w:r>
        <w:rPr>
          <w:spacing w:val="-19"/>
        </w:rPr>
        <w:t> </w:t>
      </w:r>
      <w:r>
        <w:rPr/>
        <w:t>event brought together business, government and academic</w:t>
      </w:r>
      <w:r>
        <w:rPr>
          <w:spacing w:val="-15"/>
        </w:rPr>
        <w:t> </w:t>
      </w:r>
      <w:r>
        <w:rPr/>
        <w:t>leaders</w:t>
      </w:r>
      <w:r>
        <w:rPr>
          <w:spacing w:val="-15"/>
        </w:rPr>
        <w:t> </w:t>
      </w:r>
      <w:r>
        <w:rPr/>
        <w:t>to</w:t>
      </w:r>
      <w:r>
        <w:rPr>
          <w:spacing w:val="-15"/>
        </w:rPr>
        <w:t> </w:t>
      </w:r>
      <w:r>
        <w:rPr/>
        <w:t>discuss</w:t>
      </w:r>
      <w:r>
        <w:rPr>
          <w:spacing w:val="-15"/>
        </w:rPr>
        <w:t> </w:t>
      </w:r>
      <w:r>
        <w:rPr/>
        <w:t>ways</w:t>
      </w:r>
      <w:r>
        <w:rPr>
          <w:spacing w:val="-15"/>
        </w:rPr>
        <w:t> </w:t>
      </w:r>
      <w:r>
        <w:rPr/>
        <w:t>to</w:t>
      </w:r>
      <w:r>
        <w:rPr>
          <w:spacing w:val="-15"/>
        </w:rPr>
        <w:t> </w:t>
      </w:r>
      <w:r>
        <w:rPr/>
        <w:t>invest</w:t>
      </w:r>
      <w:r>
        <w:rPr>
          <w:spacing w:val="-15"/>
        </w:rPr>
        <w:t> </w:t>
      </w:r>
      <w:r>
        <w:rPr/>
        <w:t>in research,</w:t>
      </w:r>
      <w:r>
        <w:rPr>
          <w:spacing w:val="-19"/>
        </w:rPr>
        <w:t> </w:t>
      </w:r>
      <w:r>
        <w:rPr/>
        <w:t>skills</w:t>
      </w:r>
      <w:r>
        <w:rPr>
          <w:spacing w:val="-19"/>
        </w:rPr>
        <w:t> </w:t>
      </w:r>
      <w:r>
        <w:rPr/>
        <w:t>training</w:t>
      </w:r>
      <w:r>
        <w:rPr>
          <w:spacing w:val="-19"/>
        </w:rPr>
        <w:t> </w:t>
      </w:r>
      <w:r>
        <w:rPr/>
        <w:t>and</w:t>
      </w:r>
      <w:r>
        <w:rPr>
          <w:spacing w:val="-19"/>
        </w:rPr>
        <w:t> </w:t>
      </w:r>
      <w:r>
        <w:rPr/>
        <w:t>business</w:t>
      </w:r>
      <w:r>
        <w:rPr>
          <w:spacing w:val="-19"/>
        </w:rPr>
        <w:t> </w:t>
      </w:r>
      <w:r>
        <w:rPr/>
        <w:t>support to supercharge Australia’s economy in the digital</w:t>
      </w:r>
      <w:r>
        <w:rPr>
          <w:spacing w:val="-25"/>
        </w:rPr>
        <w:t> </w:t>
      </w:r>
      <w:r>
        <w:rPr/>
        <w:t>age.</w:t>
      </w:r>
    </w:p>
    <w:p>
      <w:pPr>
        <w:pStyle w:val="BodyText"/>
        <w:rPr>
          <w:sz w:val="14"/>
        </w:rPr>
      </w:pPr>
    </w:p>
    <w:p>
      <w:pPr>
        <w:pStyle w:val="BodyText"/>
        <w:spacing w:line="249" w:lineRule="auto"/>
        <w:ind w:left="187" w:right="351"/>
      </w:pPr>
      <w:r>
        <w:rPr/>
        <w:t>The Media Unit helped generate more than </w:t>
      </w:r>
      <w:r>
        <w:rPr>
          <w:w w:val="100"/>
        </w:rPr>
        <w:t>34,000 </w:t>
      </w:r>
      <w:r>
        <w:rPr>
          <w:w w:val="97"/>
        </w:rPr>
        <w:t>media </w:t>
      </w:r>
      <w:r>
        <w:rPr>
          <w:w w:val="97"/>
        </w:rPr>
        <w:t>items </w:t>
      </w:r>
      <w:r>
        <w:rPr>
          <w:w w:val="95"/>
        </w:rPr>
        <w:t>in </w:t>
      </w:r>
      <w:r>
        <w:rPr>
          <w:w w:val="84"/>
        </w:rPr>
        <w:t>2015. </w:t>
      </w:r>
      <w:r>
        <w:rPr>
          <w:w w:val="80"/>
        </w:rPr>
        <w:t>In </w:t>
      </w:r>
      <w:r>
        <w:rPr>
          <w:w w:val="97"/>
        </w:rPr>
        <w:t>terms </w:t>
      </w:r>
      <w:r>
        <w:rPr>
          <w:w w:val="99"/>
        </w:rPr>
        <w:t>of </w:t>
      </w:r>
      <w:r>
        <w:rPr/>
        <w:t>audience and circulation, the University </w:t>
      </w:r>
      <w:r>
        <w:rPr>
          <w:w w:val="97"/>
        </w:rPr>
        <w:t>reached </w:t>
      </w:r>
      <w:r>
        <w:rPr>
          <w:w w:val="97"/>
        </w:rPr>
        <w:t>more </w:t>
      </w:r>
      <w:r>
        <w:rPr>
          <w:w w:val="97"/>
        </w:rPr>
        <w:t>than </w:t>
      </w:r>
      <w:r>
        <w:rPr>
          <w:w w:val="86"/>
        </w:rPr>
        <w:t>310 </w:t>
      </w:r>
      <w:r>
        <w:rPr>
          <w:w w:val="96"/>
        </w:rPr>
        <w:t>million </w:t>
      </w:r>
      <w:r>
        <w:rPr>
          <w:w w:val="94"/>
        </w:rPr>
        <w:t>people, </w:t>
      </w:r>
      <w:r>
        <w:rPr>
          <w:w w:val="97"/>
        </w:rPr>
        <w:t>making </w:t>
      </w:r>
      <w:r>
        <w:rPr/>
        <w:t>it the third most watched, read or listened</w:t>
      </w:r>
    </w:p>
    <w:p>
      <w:pPr>
        <w:pStyle w:val="BodyText"/>
        <w:spacing w:line="249" w:lineRule="auto"/>
        <w:ind w:left="187" w:right="434"/>
      </w:pPr>
      <w:r>
        <w:rPr/>
        <w:t>to university in NSW, behind University of Sydney and University of New South Wales.</w:t>
      </w:r>
    </w:p>
    <w:p>
      <w:pPr>
        <w:pStyle w:val="BodyText"/>
        <w:rPr>
          <w:sz w:val="14"/>
        </w:rPr>
      </w:pPr>
    </w:p>
    <w:p>
      <w:pPr>
        <w:pStyle w:val="BodyText"/>
        <w:spacing w:line="249" w:lineRule="auto"/>
        <w:ind w:left="187" w:right="409"/>
      </w:pPr>
      <w:r>
        <w:rPr/>
        <w:t>Media Unit research stories that generated significant coverage across print, radio, </w:t>
      </w:r>
      <w:r>
        <w:rPr>
          <w:w w:val="97"/>
        </w:rPr>
        <w:t>television </w:t>
      </w:r>
      <w:r>
        <w:rPr>
          <w:spacing w:val="1"/>
          <w:w w:val="97"/>
        </w:rPr>
        <w:t>and</w:t>
      </w:r>
      <w:r>
        <w:rPr>
          <w:w w:val="97"/>
        </w:rPr>
        <w:t> </w:t>
      </w:r>
      <w:r>
        <w:rPr>
          <w:w w:val="97"/>
        </w:rPr>
        <w:t>the </w:t>
      </w:r>
      <w:r>
        <w:rPr>
          <w:w w:val="97"/>
        </w:rPr>
        <w:t>internet </w:t>
      </w:r>
      <w:r>
        <w:rPr>
          <w:w w:val="95"/>
        </w:rPr>
        <w:t>in </w:t>
      </w:r>
      <w:r>
        <w:rPr>
          <w:spacing w:val="1"/>
          <w:w w:val="88"/>
        </w:rPr>
        <w:t>2015</w:t>
      </w:r>
      <w:r>
        <w:rPr>
          <w:w w:val="88"/>
        </w:rPr>
        <w:t> </w:t>
      </w:r>
      <w:r>
        <w:rPr>
          <w:spacing w:val="1"/>
          <w:w w:val="98"/>
        </w:rPr>
        <w:t>included</w:t>
      </w:r>
      <w:r>
        <w:rPr>
          <w:w w:val="98"/>
        </w:rPr>
        <w:t> </w:t>
      </w:r>
      <w:r>
        <w:rPr/>
        <w:t>the launch of Western Sydney University’s WomSAT app; University researchers’ attempts to protect the threatened Bellinger River</w:t>
      </w:r>
      <w:r>
        <w:rPr>
          <w:spacing w:val="-22"/>
        </w:rPr>
        <w:t> </w:t>
      </w:r>
      <w:r>
        <w:rPr/>
        <w:t>Turtle</w:t>
      </w:r>
      <w:r>
        <w:rPr>
          <w:spacing w:val="-22"/>
        </w:rPr>
        <w:t> </w:t>
      </w:r>
      <w:r>
        <w:rPr/>
        <w:t>from</w:t>
      </w:r>
      <w:r>
        <w:rPr>
          <w:spacing w:val="-22"/>
        </w:rPr>
        <w:t> </w:t>
      </w:r>
      <w:r>
        <w:rPr/>
        <w:t>extinction;</w:t>
      </w:r>
      <w:r>
        <w:rPr>
          <w:spacing w:val="-22"/>
        </w:rPr>
        <w:t> </w:t>
      </w:r>
      <w:r>
        <w:rPr/>
        <w:t>research</w:t>
      </w:r>
      <w:r>
        <w:rPr>
          <w:spacing w:val="-22"/>
        </w:rPr>
        <w:t> </w:t>
      </w:r>
      <w:r>
        <w:rPr/>
        <w:t>into</w:t>
      </w:r>
      <w:r>
        <w:rPr>
          <w:spacing w:val="-22"/>
        </w:rPr>
        <w:t> </w:t>
      </w:r>
      <w:r>
        <w:rPr/>
        <w:t>the links between geography and chronic illness such</w:t>
      </w:r>
      <w:r>
        <w:rPr>
          <w:spacing w:val="-21"/>
        </w:rPr>
        <w:t> </w:t>
      </w:r>
      <w:r>
        <w:rPr/>
        <w:t>as</w:t>
      </w:r>
      <w:r>
        <w:rPr>
          <w:spacing w:val="-21"/>
        </w:rPr>
        <w:t> </w:t>
      </w:r>
      <w:r>
        <w:rPr/>
        <w:t>diabetes;</w:t>
      </w:r>
      <w:r>
        <w:rPr>
          <w:spacing w:val="-21"/>
        </w:rPr>
        <w:t> </w:t>
      </w:r>
      <w:r>
        <w:rPr/>
        <w:t>research</w:t>
      </w:r>
      <w:r>
        <w:rPr>
          <w:spacing w:val="-21"/>
        </w:rPr>
        <w:t> </w:t>
      </w:r>
      <w:r>
        <w:rPr/>
        <w:t>into</w:t>
      </w:r>
      <w:r>
        <w:rPr>
          <w:spacing w:val="-21"/>
        </w:rPr>
        <w:t> </w:t>
      </w:r>
      <w:r>
        <w:rPr/>
        <w:t>the</w:t>
      </w:r>
      <w:r>
        <w:rPr>
          <w:spacing w:val="-21"/>
        </w:rPr>
        <w:t> </w:t>
      </w:r>
      <w:r>
        <w:rPr/>
        <w:t>impact</w:t>
      </w:r>
    </w:p>
    <w:p>
      <w:pPr>
        <w:pStyle w:val="BodyText"/>
        <w:spacing w:line="249" w:lineRule="auto"/>
        <w:ind w:left="187" w:right="376"/>
      </w:pPr>
      <w:r>
        <w:rPr/>
        <w:t>a cancer diagnosis has on patients’ sexual relationships; research by the Institute for Culture and Society into Sydney’s Chinatown precinct; and research by the Hawkesbury</w:t>
      </w:r>
    </w:p>
    <w:p>
      <w:pPr>
        <w:spacing w:after="0" w:line="249" w:lineRule="auto"/>
        <w:sectPr>
          <w:type w:val="continuous"/>
          <w:pgSz w:w="11910" w:h="16840"/>
          <w:pgMar w:top="1580" w:bottom="280" w:left="580" w:right="580"/>
          <w:cols w:num="3" w:equalWidth="0">
            <w:col w:w="3536" w:space="40"/>
            <w:col w:w="3403" w:space="40"/>
            <w:col w:w="3731"/>
          </w:cols>
        </w:sectPr>
      </w:pPr>
    </w:p>
    <w:p>
      <w:pPr>
        <w:pStyle w:val="BodyText"/>
        <w:spacing w:before="10"/>
        <w:rPr>
          <w:sz w:val="28"/>
        </w:rPr>
      </w:pPr>
    </w:p>
    <w:p>
      <w:pPr>
        <w:pStyle w:val="Heading2"/>
        <w:ind w:right="7947"/>
        <w:rPr>
          <w:b w:val="0"/>
        </w:rPr>
      </w:pPr>
      <w:r>
        <w:rPr>
          <w:b w:val="0"/>
        </w:rPr>
        <w:t>Community and Regional Engagement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rPr>
      </w:pPr>
    </w:p>
    <w:p>
      <w:pPr>
        <w:spacing w:after="0"/>
        <w:rPr>
          <w:rFonts w:ascii="Chronicle Text G1"/>
        </w:rPr>
        <w:sectPr>
          <w:pgSz w:w="11910" w:h="16840"/>
          <w:pgMar w:header="494" w:footer="473" w:top="680" w:bottom="660" w:left="800" w:right="800"/>
        </w:sectPr>
      </w:pPr>
    </w:p>
    <w:p>
      <w:pPr>
        <w:pStyle w:val="BodyText"/>
        <w:spacing w:line="249" w:lineRule="auto" w:before="71"/>
        <w:ind w:left="107" w:right="101"/>
      </w:pPr>
      <w:r>
        <w:rPr/>
        <w:t>Institute for the Environment revealing that open-cut mines can affect groundwater and the trees that rely on it within a radius of several kilometres from the mines.</w:t>
      </w:r>
    </w:p>
    <w:p>
      <w:pPr>
        <w:pStyle w:val="BodyText"/>
        <w:rPr>
          <w:sz w:val="14"/>
        </w:rPr>
      </w:pPr>
    </w:p>
    <w:p>
      <w:pPr>
        <w:pStyle w:val="BodyText"/>
        <w:spacing w:line="247" w:lineRule="auto"/>
        <w:ind w:left="107" w:right="104"/>
      </w:pPr>
      <w:r>
        <w:rPr/>
        <w:t>The University once again participated in the Daily Telegraph’s </w:t>
      </w:r>
      <w:r>
        <w:rPr>
          <w:rFonts w:ascii="Century Gothic" w:hAnsi="Century Gothic"/>
          <w:i/>
        </w:rPr>
        <w:t>Fair Go for the West </w:t>
      </w:r>
      <w:r>
        <w:rPr/>
        <w:t>campaign. The campaign ran throughout February and March in the lead-up to the NSW State election. Along with a number of editorial pieces featuring the University, we</w:t>
      </w:r>
    </w:p>
    <w:p>
      <w:pPr>
        <w:pStyle w:val="BodyText"/>
        <w:spacing w:line="249" w:lineRule="auto" w:before="1"/>
        <w:ind w:left="107"/>
      </w:pPr>
      <w:r>
        <w:rPr/>
        <w:t>also</w:t>
      </w:r>
      <w:r>
        <w:rPr>
          <w:spacing w:val="-18"/>
        </w:rPr>
        <w:t> </w:t>
      </w:r>
      <w:r>
        <w:rPr/>
        <w:t>hosted</w:t>
      </w:r>
      <w:r>
        <w:rPr>
          <w:spacing w:val="-18"/>
        </w:rPr>
        <w:t> </w:t>
      </w:r>
      <w:r>
        <w:rPr/>
        <w:t>the</w:t>
      </w:r>
      <w:r>
        <w:rPr>
          <w:spacing w:val="-18"/>
        </w:rPr>
        <w:t> </w:t>
      </w:r>
      <w:r>
        <w:rPr/>
        <w:t>leaders’</w:t>
      </w:r>
      <w:r>
        <w:rPr>
          <w:spacing w:val="-18"/>
        </w:rPr>
        <w:t> </w:t>
      </w:r>
      <w:r>
        <w:rPr/>
        <w:t>debate</w:t>
      </w:r>
      <w:r>
        <w:rPr>
          <w:spacing w:val="-18"/>
        </w:rPr>
        <w:t> </w:t>
      </w:r>
      <w:r>
        <w:rPr/>
        <w:t>featuring</w:t>
      </w:r>
      <w:r>
        <w:rPr>
          <w:spacing w:val="-18"/>
        </w:rPr>
        <w:t> </w:t>
      </w:r>
      <w:r>
        <w:rPr/>
        <w:t>Mike Baird</w:t>
      </w:r>
      <w:r>
        <w:rPr>
          <w:spacing w:val="-18"/>
        </w:rPr>
        <w:t> </w:t>
      </w:r>
      <w:r>
        <w:rPr/>
        <w:t>and</w:t>
      </w:r>
      <w:r>
        <w:rPr>
          <w:spacing w:val="-18"/>
        </w:rPr>
        <w:t> </w:t>
      </w:r>
      <w:r>
        <w:rPr/>
        <w:t>Luke</w:t>
      </w:r>
      <w:r>
        <w:rPr>
          <w:spacing w:val="-18"/>
        </w:rPr>
        <w:t> </w:t>
      </w:r>
      <w:r>
        <w:rPr/>
        <w:t>Foley</w:t>
      </w:r>
      <w:r>
        <w:rPr>
          <w:spacing w:val="-18"/>
        </w:rPr>
        <w:t> </w:t>
      </w:r>
      <w:r>
        <w:rPr/>
        <w:t>at</w:t>
      </w:r>
      <w:r>
        <w:rPr>
          <w:spacing w:val="-18"/>
        </w:rPr>
        <w:t> </w:t>
      </w:r>
      <w:r>
        <w:rPr/>
        <w:t>our</w:t>
      </w:r>
      <w:r>
        <w:rPr>
          <w:spacing w:val="-18"/>
        </w:rPr>
        <w:t> </w:t>
      </w:r>
      <w:r>
        <w:rPr/>
        <w:t>Penrith</w:t>
      </w:r>
      <w:r>
        <w:rPr>
          <w:spacing w:val="-18"/>
        </w:rPr>
        <w:t> </w:t>
      </w:r>
      <w:r>
        <w:rPr>
          <w:spacing w:val="2"/>
        </w:rPr>
        <w:t>campus.</w:t>
      </w:r>
    </w:p>
    <w:p>
      <w:pPr>
        <w:pStyle w:val="BodyText"/>
        <w:rPr>
          <w:sz w:val="14"/>
        </w:rPr>
      </w:pPr>
    </w:p>
    <w:p>
      <w:pPr>
        <w:pStyle w:val="BodyText"/>
        <w:spacing w:line="249" w:lineRule="auto"/>
        <w:ind w:left="107" w:right="101"/>
      </w:pPr>
      <w:r>
        <w:rPr/>
        <w:t>The University’s new identity, which was officially launched on 30 August, also generated both significant media coverage and community interest throughout the year, particularly the television commercials that featured University graduates. The ad</w:t>
      </w:r>
    </w:p>
    <w:p>
      <w:pPr>
        <w:pStyle w:val="BodyText"/>
        <w:spacing w:line="249" w:lineRule="auto"/>
        <w:ind w:left="107" w:right="-1"/>
      </w:pPr>
      <w:r>
        <w:rPr/>
        <w:t>featuring</w:t>
      </w:r>
      <w:r>
        <w:rPr>
          <w:spacing w:val="-14"/>
        </w:rPr>
        <w:t> </w:t>
      </w:r>
      <w:r>
        <w:rPr/>
        <w:t>Mr</w:t>
      </w:r>
      <w:r>
        <w:rPr>
          <w:spacing w:val="-14"/>
        </w:rPr>
        <w:t> </w:t>
      </w:r>
      <w:r>
        <w:rPr/>
        <w:t>Adut</w:t>
      </w:r>
      <w:r>
        <w:rPr>
          <w:spacing w:val="-14"/>
        </w:rPr>
        <w:t> </w:t>
      </w:r>
      <w:r>
        <w:rPr/>
        <w:t>generated</w:t>
      </w:r>
      <w:r>
        <w:rPr>
          <w:spacing w:val="-14"/>
        </w:rPr>
        <w:t> </w:t>
      </w:r>
      <w:r>
        <w:rPr/>
        <w:t>an</w:t>
      </w:r>
      <w:r>
        <w:rPr>
          <w:spacing w:val="-14"/>
        </w:rPr>
        <w:t> </w:t>
      </w:r>
      <w:r>
        <w:rPr/>
        <w:t>extraordinary amount of attention globally, and was the subject</w:t>
      </w:r>
      <w:r>
        <w:rPr>
          <w:spacing w:val="-17"/>
        </w:rPr>
        <w:t> </w:t>
      </w:r>
      <w:r>
        <w:rPr/>
        <w:t>of</w:t>
      </w:r>
      <w:r>
        <w:rPr>
          <w:spacing w:val="-17"/>
        </w:rPr>
        <w:t> </w:t>
      </w:r>
      <w:r>
        <w:rPr/>
        <w:t>immense</w:t>
      </w:r>
      <w:r>
        <w:rPr>
          <w:spacing w:val="-17"/>
        </w:rPr>
        <w:t> </w:t>
      </w:r>
      <w:r>
        <w:rPr/>
        <w:t>media</w:t>
      </w:r>
      <w:r>
        <w:rPr>
          <w:spacing w:val="-17"/>
        </w:rPr>
        <w:t> </w:t>
      </w:r>
      <w:r>
        <w:rPr/>
        <w:t>coverage</w:t>
      </w:r>
      <w:r>
        <w:rPr>
          <w:spacing w:val="-17"/>
        </w:rPr>
        <w:t> </w:t>
      </w:r>
      <w:r>
        <w:rPr/>
        <w:t>and</w:t>
      </w:r>
      <w:r>
        <w:rPr>
          <w:spacing w:val="-17"/>
        </w:rPr>
        <w:t> </w:t>
      </w:r>
      <w:r>
        <w:rPr/>
        <w:t>social media</w:t>
      </w:r>
      <w:r>
        <w:rPr>
          <w:spacing w:val="-25"/>
        </w:rPr>
        <w:t> </w:t>
      </w:r>
      <w:r>
        <w:rPr/>
        <w:t>activity.</w:t>
      </w:r>
    </w:p>
    <w:p>
      <w:pPr>
        <w:pStyle w:val="BodyText"/>
        <w:rPr>
          <w:sz w:val="14"/>
        </w:rPr>
      </w:pPr>
    </w:p>
    <w:p>
      <w:pPr>
        <w:pStyle w:val="BodyText"/>
        <w:spacing w:line="249" w:lineRule="auto"/>
        <w:ind w:left="107" w:right="86"/>
      </w:pPr>
      <w:r>
        <w:rPr/>
        <w:t>Other corporate media activities included the University’s ongoing development of the One Parramatta Square high-rise campus; Vice-Chancellor Professor Barney Glover’s appointment</w:t>
      </w:r>
      <w:r>
        <w:rPr>
          <w:spacing w:val="-17"/>
        </w:rPr>
        <w:t> </w:t>
      </w:r>
      <w:r>
        <w:rPr/>
        <w:t>as</w:t>
      </w:r>
      <w:r>
        <w:rPr>
          <w:spacing w:val="-17"/>
        </w:rPr>
        <w:t> </w:t>
      </w:r>
      <w:r>
        <w:rPr/>
        <w:t>chair</w:t>
      </w:r>
      <w:r>
        <w:rPr>
          <w:spacing w:val="-17"/>
        </w:rPr>
        <w:t> </w:t>
      </w:r>
      <w:r>
        <w:rPr/>
        <w:t>of</w:t>
      </w:r>
      <w:r>
        <w:rPr>
          <w:spacing w:val="-17"/>
        </w:rPr>
        <w:t> </w:t>
      </w:r>
      <w:r>
        <w:rPr/>
        <w:t>Universities</w:t>
      </w:r>
      <w:r>
        <w:rPr>
          <w:spacing w:val="-17"/>
        </w:rPr>
        <w:t> </w:t>
      </w:r>
      <w:r>
        <w:rPr/>
        <w:t>Australia and</w:t>
      </w:r>
      <w:r>
        <w:rPr>
          <w:spacing w:val="-15"/>
        </w:rPr>
        <w:t> </w:t>
      </w:r>
      <w:r>
        <w:rPr/>
        <w:t>his</w:t>
      </w:r>
      <w:r>
        <w:rPr>
          <w:spacing w:val="-15"/>
        </w:rPr>
        <w:t> </w:t>
      </w:r>
      <w:r>
        <w:rPr/>
        <w:t>address</w:t>
      </w:r>
      <w:r>
        <w:rPr>
          <w:spacing w:val="-15"/>
        </w:rPr>
        <w:t> </w:t>
      </w:r>
      <w:r>
        <w:rPr/>
        <w:t>to</w:t>
      </w:r>
      <w:r>
        <w:rPr>
          <w:spacing w:val="-15"/>
        </w:rPr>
        <w:t> </w:t>
      </w:r>
      <w:r>
        <w:rPr/>
        <w:t>the</w:t>
      </w:r>
      <w:r>
        <w:rPr>
          <w:spacing w:val="-15"/>
        </w:rPr>
        <w:t> </w:t>
      </w:r>
      <w:r>
        <w:rPr/>
        <w:t>National</w:t>
      </w:r>
      <w:r>
        <w:rPr>
          <w:spacing w:val="-15"/>
        </w:rPr>
        <w:t> </w:t>
      </w:r>
      <w:r>
        <w:rPr/>
        <w:t>Press</w:t>
      </w:r>
      <w:r>
        <w:rPr>
          <w:spacing w:val="-15"/>
        </w:rPr>
        <w:t> </w:t>
      </w:r>
      <w:r>
        <w:rPr/>
        <w:t>Club</w:t>
      </w:r>
    </w:p>
    <w:p>
      <w:pPr>
        <w:pStyle w:val="BodyText"/>
        <w:spacing w:line="249" w:lineRule="auto"/>
        <w:ind w:left="107" w:right="106"/>
      </w:pPr>
      <w:r>
        <w:rPr/>
        <w:t>of Australia; the announcement that the University will establish a Higher Education Learning</w:t>
      </w:r>
      <w:r>
        <w:rPr>
          <w:spacing w:val="-19"/>
        </w:rPr>
        <w:t> </w:t>
      </w:r>
      <w:r>
        <w:rPr/>
        <w:t>Centre</w:t>
      </w:r>
      <w:r>
        <w:rPr>
          <w:spacing w:val="-19"/>
        </w:rPr>
        <w:t> </w:t>
      </w:r>
      <w:r>
        <w:rPr/>
        <w:t>in</w:t>
      </w:r>
      <w:r>
        <w:rPr>
          <w:spacing w:val="-19"/>
        </w:rPr>
        <w:t> </w:t>
      </w:r>
      <w:r>
        <w:rPr/>
        <w:t>the</w:t>
      </w:r>
      <w:r>
        <w:rPr>
          <w:spacing w:val="-19"/>
        </w:rPr>
        <w:t> </w:t>
      </w:r>
      <w:r>
        <w:rPr>
          <w:spacing w:val="2"/>
        </w:rPr>
        <w:t>heart</w:t>
      </w:r>
      <w:r>
        <w:rPr>
          <w:spacing w:val="-19"/>
        </w:rPr>
        <w:t> </w:t>
      </w:r>
      <w:r>
        <w:rPr/>
        <w:t>of</w:t>
      </w:r>
      <w:r>
        <w:rPr>
          <w:spacing w:val="-19"/>
        </w:rPr>
        <w:t> </w:t>
      </w:r>
      <w:r>
        <w:rPr/>
        <w:t>Liverpool;</w:t>
      </w:r>
      <w:r>
        <w:rPr>
          <w:spacing w:val="-19"/>
        </w:rPr>
        <w:t> </w:t>
      </w:r>
      <w:r>
        <w:rPr/>
        <w:t>the announcement of the University’s </w:t>
      </w:r>
      <w:r>
        <w:rPr>
          <w:spacing w:val="2"/>
        </w:rPr>
        <w:t>$500,000 </w:t>
      </w:r>
      <w:r>
        <w:rPr/>
        <w:t>Refugee Scholarship Fund; the NSW Government’s appointment of Chancellor Professor</w:t>
      </w:r>
      <w:r>
        <w:rPr>
          <w:spacing w:val="-15"/>
        </w:rPr>
        <w:t> </w:t>
      </w:r>
      <w:r>
        <w:rPr/>
        <w:t>Peter</w:t>
      </w:r>
      <w:r>
        <w:rPr>
          <w:spacing w:val="-15"/>
        </w:rPr>
        <w:t> </w:t>
      </w:r>
      <w:r>
        <w:rPr/>
        <w:t>Shergold,</w:t>
      </w:r>
      <w:r>
        <w:rPr>
          <w:spacing w:val="-15"/>
        </w:rPr>
        <w:t> </w:t>
      </w:r>
      <w:r>
        <w:rPr/>
        <w:t>AC</w:t>
      </w:r>
      <w:r>
        <w:rPr>
          <w:spacing w:val="-15"/>
        </w:rPr>
        <w:t> </w:t>
      </w:r>
      <w:r>
        <w:rPr/>
        <w:t>to</w:t>
      </w:r>
      <w:r>
        <w:rPr>
          <w:spacing w:val="-15"/>
        </w:rPr>
        <w:t> </w:t>
      </w:r>
      <w:r>
        <w:rPr/>
        <w:t>the</w:t>
      </w:r>
      <w:r>
        <w:rPr>
          <w:spacing w:val="-15"/>
        </w:rPr>
        <w:t> </w:t>
      </w:r>
      <w:r>
        <w:rPr/>
        <w:t>role</w:t>
      </w:r>
    </w:p>
    <w:p>
      <w:pPr>
        <w:pStyle w:val="BodyText"/>
        <w:spacing w:line="249" w:lineRule="auto"/>
        <w:ind w:left="107"/>
      </w:pPr>
      <w:r>
        <w:rPr/>
        <w:t>of NSW Coordinator General of Refugee Resettlement;</w:t>
      </w:r>
      <w:r>
        <w:rPr>
          <w:spacing w:val="-14"/>
        </w:rPr>
        <w:t> </w:t>
      </w:r>
      <w:r>
        <w:rPr/>
        <w:t>and</w:t>
      </w:r>
      <w:r>
        <w:rPr>
          <w:spacing w:val="-14"/>
        </w:rPr>
        <w:t> </w:t>
      </w:r>
      <w:r>
        <w:rPr/>
        <w:t>the</w:t>
      </w:r>
      <w:r>
        <w:rPr>
          <w:spacing w:val="-14"/>
        </w:rPr>
        <w:t> </w:t>
      </w:r>
      <w:r>
        <w:rPr/>
        <w:t>Advancing</w:t>
      </w:r>
      <w:r>
        <w:rPr>
          <w:spacing w:val="-14"/>
        </w:rPr>
        <w:t> </w:t>
      </w:r>
      <w:r>
        <w:rPr/>
        <w:t>Community Cohesion</w:t>
      </w:r>
      <w:r>
        <w:rPr>
          <w:spacing w:val="-20"/>
        </w:rPr>
        <w:t> </w:t>
      </w:r>
      <w:r>
        <w:rPr/>
        <w:t>conference</w:t>
      </w:r>
      <w:r>
        <w:rPr>
          <w:spacing w:val="-20"/>
        </w:rPr>
        <w:t> </w:t>
      </w:r>
      <w:r>
        <w:rPr/>
        <w:t>hosted</w:t>
      </w:r>
      <w:r>
        <w:rPr>
          <w:spacing w:val="-20"/>
        </w:rPr>
        <w:t> </w:t>
      </w:r>
      <w:r>
        <w:rPr/>
        <w:t>by</w:t>
      </w:r>
      <w:r>
        <w:rPr>
          <w:spacing w:val="-20"/>
        </w:rPr>
        <w:t> </w:t>
      </w:r>
      <w:r>
        <w:rPr/>
        <w:t>the</w:t>
      </w:r>
      <w:r>
        <w:rPr>
          <w:spacing w:val="-20"/>
        </w:rPr>
        <w:t> </w:t>
      </w:r>
      <w:r>
        <w:rPr/>
        <w:t>University.</w:t>
      </w:r>
    </w:p>
    <w:p>
      <w:pPr>
        <w:pStyle w:val="BodyText"/>
        <w:rPr>
          <w:sz w:val="14"/>
        </w:rPr>
      </w:pPr>
    </w:p>
    <w:p>
      <w:pPr>
        <w:pStyle w:val="BodyText"/>
        <w:spacing w:line="249" w:lineRule="auto"/>
        <w:ind w:left="107" w:right="78"/>
      </w:pPr>
      <w:r>
        <w:rPr/>
        <w:t>In addition to generating media coverage, the Media team also continued focusing on expanding its coverage of the University’s ‘owned’ media channels, including the News Centre and social media channels.</w:t>
      </w:r>
    </w:p>
    <w:p>
      <w:pPr>
        <w:pStyle w:val="BodyText"/>
        <w:rPr>
          <w:sz w:val="14"/>
        </w:rPr>
      </w:pPr>
    </w:p>
    <w:p>
      <w:pPr>
        <w:pStyle w:val="BodyText"/>
        <w:spacing w:line="249" w:lineRule="auto"/>
        <w:ind w:left="107" w:right="292"/>
      </w:pPr>
      <w:r>
        <w:rPr/>
        <w:t>The Media team’s ongoing social media activity</w:t>
      </w:r>
      <w:r>
        <w:rPr>
          <w:spacing w:val="-13"/>
        </w:rPr>
        <w:t> </w:t>
      </w:r>
      <w:r>
        <w:rPr/>
        <w:t>increased</w:t>
      </w:r>
      <w:r>
        <w:rPr>
          <w:spacing w:val="-13"/>
        </w:rPr>
        <w:t> </w:t>
      </w:r>
      <w:r>
        <w:rPr/>
        <w:t>the</w:t>
      </w:r>
      <w:r>
        <w:rPr>
          <w:spacing w:val="-13"/>
        </w:rPr>
        <w:t> </w:t>
      </w:r>
      <w:r>
        <w:rPr/>
        <w:t>number</w:t>
      </w:r>
      <w:r>
        <w:rPr>
          <w:spacing w:val="-13"/>
        </w:rPr>
        <w:t> </w:t>
      </w:r>
      <w:r>
        <w:rPr/>
        <w:t>of</w:t>
      </w:r>
      <w:r>
        <w:rPr>
          <w:spacing w:val="-13"/>
        </w:rPr>
        <w:t> </w:t>
      </w:r>
      <w:r>
        <w:rPr/>
        <w:t>‘Western News’</w:t>
      </w:r>
      <w:r>
        <w:rPr>
          <w:spacing w:val="-17"/>
        </w:rPr>
        <w:t> </w:t>
      </w:r>
      <w:r>
        <w:rPr/>
        <w:t>Twitter</w:t>
      </w:r>
      <w:r>
        <w:rPr>
          <w:spacing w:val="-17"/>
        </w:rPr>
        <w:t> </w:t>
      </w:r>
      <w:r>
        <w:rPr/>
        <w:t>Feed</w:t>
      </w:r>
      <w:r>
        <w:rPr>
          <w:spacing w:val="-17"/>
        </w:rPr>
        <w:t> </w:t>
      </w:r>
      <w:r>
        <w:rPr/>
        <w:t>followers</w:t>
      </w:r>
      <w:r>
        <w:rPr>
          <w:spacing w:val="-17"/>
        </w:rPr>
        <w:t> </w:t>
      </w:r>
      <w:r>
        <w:rPr/>
        <w:t>to</w:t>
      </w:r>
      <w:r>
        <w:rPr>
          <w:spacing w:val="-17"/>
        </w:rPr>
        <w:t> </w:t>
      </w:r>
      <w:r>
        <w:rPr/>
        <w:t>more</w:t>
      </w:r>
      <w:r>
        <w:rPr>
          <w:spacing w:val="-17"/>
        </w:rPr>
        <w:t> </w:t>
      </w:r>
      <w:r>
        <w:rPr/>
        <w:t>than 7,000.</w:t>
      </w:r>
    </w:p>
    <w:p>
      <w:pPr>
        <w:pStyle w:val="Heading8"/>
        <w:spacing w:before="77"/>
      </w:pPr>
      <w:r>
        <w:rPr>
          <w:b w:val="0"/>
        </w:rPr>
        <w:br w:type="column"/>
      </w:r>
      <w:r>
        <w:rPr>
          <w:w w:val="95"/>
        </w:rPr>
        <w:t>INTERNAL COMMUNICATIONS</w:t>
      </w:r>
    </w:p>
    <w:p>
      <w:pPr>
        <w:pStyle w:val="BodyText"/>
        <w:spacing w:line="249" w:lineRule="auto" w:before="86"/>
        <w:ind w:left="107" w:right="93"/>
      </w:pPr>
      <w:r>
        <w:rPr/>
        <w:t>Internal Communications provides high- level strategic internal communications consultation, advice and support to staff across the University, helping them to communicate</w:t>
      </w:r>
      <w:r>
        <w:rPr>
          <w:spacing w:val="-16"/>
        </w:rPr>
        <w:t> </w:t>
      </w:r>
      <w:r>
        <w:rPr/>
        <w:t>effectively</w:t>
      </w:r>
      <w:r>
        <w:rPr>
          <w:spacing w:val="-16"/>
        </w:rPr>
        <w:t> </w:t>
      </w:r>
      <w:r>
        <w:rPr/>
        <w:t>with</w:t>
      </w:r>
      <w:r>
        <w:rPr>
          <w:spacing w:val="-16"/>
        </w:rPr>
        <w:t> </w:t>
      </w:r>
      <w:r>
        <w:rPr/>
        <w:t>each</w:t>
      </w:r>
      <w:r>
        <w:rPr>
          <w:spacing w:val="-16"/>
        </w:rPr>
        <w:t> </w:t>
      </w:r>
      <w:r>
        <w:rPr/>
        <w:t>other</w:t>
      </w:r>
      <w:r>
        <w:rPr>
          <w:spacing w:val="-16"/>
        </w:rPr>
        <w:t> </w:t>
      </w:r>
      <w:r>
        <w:rPr/>
        <w:t>and students.</w:t>
      </w:r>
    </w:p>
    <w:p>
      <w:pPr>
        <w:pStyle w:val="BodyText"/>
        <w:rPr>
          <w:sz w:val="14"/>
        </w:rPr>
      </w:pPr>
    </w:p>
    <w:p>
      <w:pPr>
        <w:pStyle w:val="BodyText"/>
        <w:spacing w:line="249" w:lineRule="auto"/>
        <w:ind w:left="107"/>
      </w:pPr>
      <w:r>
        <w:rPr/>
        <w:t>The team develops and delivers communications plans and strategies for University</w:t>
      </w:r>
      <w:r>
        <w:rPr>
          <w:spacing w:val="-23"/>
        </w:rPr>
        <w:t> </w:t>
      </w:r>
      <w:r>
        <w:rPr/>
        <w:t>operations,</w:t>
      </w:r>
      <w:r>
        <w:rPr>
          <w:spacing w:val="-23"/>
        </w:rPr>
        <w:t> </w:t>
      </w:r>
      <w:r>
        <w:rPr/>
        <w:t>projects</w:t>
      </w:r>
      <w:r>
        <w:rPr>
          <w:spacing w:val="-23"/>
        </w:rPr>
        <w:t> </w:t>
      </w:r>
      <w:r>
        <w:rPr/>
        <w:t>and</w:t>
      </w:r>
      <w:r>
        <w:rPr>
          <w:spacing w:val="-23"/>
        </w:rPr>
        <w:t> </w:t>
      </w:r>
      <w:r>
        <w:rPr/>
        <w:t>initiatives.</w:t>
      </w:r>
    </w:p>
    <w:p>
      <w:pPr>
        <w:pStyle w:val="BodyText"/>
        <w:spacing w:line="249" w:lineRule="auto"/>
        <w:ind w:left="107" w:right="124"/>
      </w:pPr>
      <w:r>
        <w:rPr>
          <w:spacing w:val="1"/>
          <w:w w:val="80"/>
        </w:rPr>
        <w:t>In</w:t>
      </w:r>
      <w:r>
        <w:rPr>
          <w:w w:val="80"/>
        </w:rPr>
        <w:t> </w:t>
      </w:r>
      <w:r>
        <w:rPr>
          <w:spacing w:val="1"/>
          <w:w w:val="84"/>
        </w:rPr>
        <w:t>2015,</w:t>
      </w:r>
      <w:r>
        <w:rPr>
          <w:w w:val="84"/>
        </w:rPr>
        <w:t> </w:t>
      </w:r>
      <w:r>
        <w:rPr>
          <w:spacing w:val="1"/>
          <w:w w:val="98"/>
        </w:rPr>
        <w:t>communication</w:t>
      </w:r>
      <w:r>
        <w:rPr>
          <w:w w:val="98"/>
        </w:rPr>
        <w:t> </w:t>
      </w:r>
      <w:r>
        <w:rPr>
          <w:spacing w:val="1"/>
          <w:w w:val="96"/>
        </w:rPr>
        <w:t>plans</w:t>
      </w:r>
      <w:r>
        <w:rPr>
          <w:w w:val="96"/>
        </w:rPr>
        <w:t> </w:t>
      </w:r>
      <w:r>
        <w:rPr>
          <w:w w:val="97"/>
        </w:rPr>
        <w:t>were </w:t>
      </w:r>
      <w:r>
        <w:rPr>
          <w:spacing w:val="1"/>
          <w:w w:val="97"/>
        </w:rPr>
        <w:t>used</w:t>
      </w:r>
      <w:r>
        <w:rPr>
          <w:w w:val="97"/>
        </w:rPr>
        <w:t> </w:t>
      </w:r>
      <w:r>
        <w:rPr>
          <w:w w:val="98"/>
        </w:rPr>
        <w:t>for </w:t>
      </w:r>
      <w:r>
        <w:rPr/>
        <w:t>a number of major projects including the </w:t>
      </w:r>
      <w:r>
        <w:rPr>
          <w:spacing w:val="1"/>
          <w:w w:val="88"/>
        </w:rPr>
        <w:t>2015</w:t>
      </w:r>
      <w:r>
        <w:rPr>
          <w:w w:val="88"/>
        </w:rPr>
        <w:t> </w:t>
      </w:r>
      <w:r>
        <w:rPr>
          <w:spacing w:val="-1"/>
          <w:w w:val="100"/>
        </w:rPr>
        <w:t>MyVoice</w:t>
      </w:r>
      <w:r>
        <w:rPr>
          <w:w w:val="100"/>
        </w:rPr>
        <w:t> </w:t>
      </w:r>
      <w:r>
        <w:rPr>
          <w:w w:val="98"/>
        </w:rPr>
        <w:t>Staff </w:t>
      </w:r>
      <w:r>
        <w:rPr>
          <w:spacing w:val="1"/>
          <w:w w:val="98"/>
        </w:rPr>
        <w:t>Engagement</w:t>
      </w:r>
      <w:r>
        <w:rPr>
          <w:w w:val="98"/>
        </w:rPr>
        <w:t> </w:t>
      </w:r>
      <w:r>
        <w:rPr>
          <w:w w:val="98"/>
        </w:rPr>
        <w:t>Survey </w:t>
      </w:r>
      <w:r>
        <w:rPr>
          <w:spacing w:val="1"/>
          <w:w w:val="97"/>
        </w:rPr>
        <w:t>and</w:t>
      </w:r>
      <w:r>
        <w:rPr>
          <w:w w:val="97"/>
        </w:rPr>
        <w:t> </w:t>
      </w:r>
      <w:r>
        <w:rPr/>
        <w:t>the University’s new brand. The University achieved an </w:t>
      </w:r>
      <w:r>
        <w:rPr>
          <w:spacing w:val="2"/>
        </w:rPr>
        <w:t>86 </w:t>
      </w:r>
      <w:r>
        <w:rPr/>
        <w:t>per cent response rate for the</w:t>
      </w:r>
      <w:r>
        <w:rPr>
          <w:spacing w:val="-17"/>
        </w:rPr>
        <w:t> </w:t>
      </w:r>
      <w:r>
        <w:rPr/>
        <w:t>MyVoice</w:t>
      </w:r>
      <w:r>
        <w:rPr>
          <w:spacing w:val="-17"/>
        </w:rPr>
        <w:t> </w:t>
      </w:r>
      <w:r>
        <w:rPr/>
        <w:t>Survey,</w:t>
      </w:r>
      <w:r>
        <w:rPr>
          <w:spacing w:val="-17"/>
        </w:rPr>
        <w:t> </w:t>
      </w:r>
      <w:r>
        <w:rPr/>
        <w:t>and</w:t>
      </w:r>
      <w:r>
        <w:rPr>
          <w:spacing w:val="-17"/>
        </w:rPr>
        <w:t> </w:t>
      </w:r>
      <w:r>
        <w:rPr/>
        <w:t>feedback</w:t>
      </w:r>
      <w:r>
        <w:rPr>
          <w:spacing w:val="-17"/>
        </w:rPr>
        <w:t> </w:t>
      </w:r>
      <w:r>
        <w:rPr/>
        <w:t>from</w:t>
      </w:r>
      <w:r>
        <w:rPr>
          <w:spacing w:val="-17"/>
        </w:rPr>
        <w:t> </w:t>
      </w:r>
      <w:r>
        <w:rPr/>
        <w:t>staff members indicated improvements in senior </w:t>
      </w:r>
      <w:r>
        <w:rPr>
          <w:spacing w:val="1"/>
          <w:w w:val="97"/>
        </w:rPr>
        <w:t>management</w:t>
      </w:r>
      <w:r>
        <w:rPr>
          <w:w w:val="97"/>
        </w:rPr>
        <w:t> </w:t>
      </w:r>
      <w:r>
        <w:rPr>
          <w:spacing w:val="1"/>
          <w:w w:val="98"/>
        </w:rPr>
        <w:t>communication</w:t>
      </w:r>
      <w:r>
        <w:rPr>
          <w:w w:val="98"/>
        </w:rPr>
        <w:t> </w:t>
      </w:r>
      <w:r>
        <w:rPr>
          <w:w w:val="97"/>
        </w:rPr>
        <w:t>since</w:t>
      </w:r>
      <w:r>
        <w:rPr>
          <w:spacing w:val="-14"/>
          <w:w w:val="97"/>
        </w:rPr>
        <w:t> </w:t>
      </w:r>
      <w:r>
        <w:rPr>
          <w:spacing w:val="1"/>
          <w:w w:val="84"/>
        </w:rPr>
        <w:t>2012.</w:t>
      </w:r>
    </w:p>
    <w:p>
      <w:pPr>
        <w:pStyle w:val="BodyText"/>
        <w:spacing w:line="249" w:lineRule="auto"/>
        <w:ind w:left="107" w:right="82"/>
      </w:pPr>
      <w:r>
        <w:rPr/>
        <w:t>During</w:t>
      </w:r>
      <w:r>
        <w:rPr>
          <w:spacing w:val="-25"/>
        </w:rPr>
        <w:t> </w:t>
      </w:r>
      <w:r>
        <w:rPr/>
        <w:t>the</w:t>
      </w:r>
      <w:r>
        <w:rPr>
          <w:spacing w:val="-25"/>
        </w:rPr>
        <w:t> </w:t>
      </w:r>
      <w:r>
        <w:rPr/>
        <w:t>rebrand,</w:t>
      </w:r>
      <w:r>
        <w:rPr>
          <w:spacing w:val="-25"/>
        </w:rPr>
        <w:t> </w:t>
      </w:r>
      <w:r>
        <w:rPr/>
        <w:t>Internal</w:t>
      </w:r>
      <w:r>
        <w:rPr>
          <w:spacing w:val="-25"/>
        </w:rPr>
        <w:t> </w:t>
      </w:r>
      <w:r>
        <w:rPr/>
        <w:t>Communications established a Staff Brand Ambassador program to engage staff and support units and Schools in implementing the brand changes.</w:t>
      </w:r>
    </w:p>
    <w:p>
      <w:pPr>
        <w:pStyle w:val="BodyText"/>
        <w:rPr>
          <w:sz w:val="14"/>
        </w:rPr>
      </w:pPr>
    </w:p>
    <w:p>
      <w:pPr>
        <w:pStyle w:val="BodyText"/>
        <w:spacing w:line="249" w:lineRule="auto"/>
        <w:ind w:left="107" w:right="19"/>
      </w:pPr>
      <w:r>
        <w:rPr/>
        <w:t>The team also manages a number of internal communications channels (broadcast email, E-update, Yammer, Staff News and digital screen advertisements) and provides content for several student communications channels (Western Central, vUWS and social media).</w:t>
      </w:r>
    </w:p>
    <w:p>
      <w:pPr>
        <w:pStyle w:val="BodyText"/>
        <w:spacing w:line="249" w:lineRule="auto"/>
        <w:ind w:left="107" w:right="6"/>
      </w:pPr>
      <w:r>
        <w:rPr>
          <w:spacing w:val="1"/>
          <w:w w:val="97"/>
        </w:rPr>
        <w:t>During</w:t>
      </w:r>
      <w:r>
        <w:rPr>
          <w:w w:val="97"/>
        </w:rPr>
        <w:t> </w:t>
      </w:r>
      <w:r>
        <w:rPr>
          <w:spacing w:val="1"/>
          <w:w w:val="84"/>
        </w:rPr>
        <w:t>2015,</w:t>
      </w:r>
      <w:r>
        <w:rPr>
          <w:w w:val="84"/>
        </w:rPr>
        <w:t> </w:t>
      </w:r>
      <w:r>
        <w:rPr>
          <w:w w:val="88"/>
        </w:rPr>
        <w:t>IT&amp;DS </w:t>
      </w:r>
      <w:r>
        <w:rPr>
          <w:spacing w:val="1"/>
          <w:w w:val="97"/>
        </w:rPr>
        <w:t>and</w:t>
      </w:r>
      <w:r>
        <w:rPr>
          <w:w w:val="97"/>
        </w:rPr>
        <w:t> </w:t>
      </w:r>
      <w:r>
        <w:rPr>
          <w:spacing w:val="1"/>
          <w:w w:val="100"/>
        </w:rPr>
        <w:t>CW&amp;F</w:t>
      </w:r>
      <w:r>
        <w:rPr>
          <w:w w:val="100"/>
        </w:rPr>
        <w:t> </w:t>
      </w:r>
      <w:r>
        <w:rPr>
          <w:spacing w:val="1"/>
          <w:w w:val="97"/>
        </w:rPr>
        <w:t>installed</w:t>
      </w:r>
      <w:r>
        <w:rPr>
          <w:w w:val="97"/>
        </w:rPr>
        <w:t> </w:t>
      </w:r>
      <w:r>
        <w:rPr>
          <w:spacing w:val="1"/>
          <w:w w:val="98"/>
        </w:rPr>
        <w:t>digital</w:t>
      </w:r>
      <w:r>
        <w:rPr>
          <w:w w:val="98"/>
        </w:rPr>
        <w:t> </w:t>
      </w:r>
      <w:r>
        <w:rPr/>
        <w:t>screens at the Parramatta and Kingswood campuses as </w:t>
      </w:r>
      <w:r>
        <w:rPr>
          <w:spacing w:val="2"/>
        </w:rPr>
        <w:t>part </w:t>
      </w:r>
      <w:r>
        <w:rPr/>
        <w:t>of a network that will provide a valuable student communications channel</w:t>
      </w:r>
      <w:r>
        <w:rPr>
          <w:spacing w:val="-24"/>
        </w:rPr>
        <w:t> </w:t>
      </w:r>
      <w:r>
        <w:rPr/>
        <w:t>on</w:t>
      </w:r>
      <w:r>
        <w:rPr>
          <w:spacing w:val="-24"/>
        </w:rPr>
        <w:t> </w:t>
      </w:r>
      <w:r>
        <w:rPr>
          <w:spacing w:val="2"/>
        </w:rPr>
        <w:t>campus.</w:t>
      </w:r>
      <w:r>
        <w:rPr>
          <w:spacing w:val="-24"/>
        </w:rPr>
        <w:t> </w:t>
      </w:r>
      <w:r>
        <w:rPr/>
        <w:t>Internal</w:t>
      </w:r>
      <w:r>
        <w:rPr>
          <w:spacing w:val="-24"/>
        </w:rPr>
        <w:t> </w:t>
      </w:r>
      <w:r>
        <w:rPr/>
        <w:t>Communications manages</w:t>
      </w:r>
      <w:r>
        <w:rPr>
          <w:spacing w:val="-20"/>
        </w:rPr>
        <w:t> </w:t>
      </w:r>
      <w:r>
        <w:rPr/>
        <w:t>the</w:t>
      </w:r>
      <w:r>
        <w:rPr>
          <w:spacing w:val="-20"/>
        </w:rPr>
        <w:t> </w:t>
      </w:r>
      <w:r>
        <w:rPr/>
        <w:t>content,</w:t>
      </w:r>
      <w:r>
        <w:rPr>
          <w:spacing w:val="-20"/>
        </w:rPr>
        <w:t> </w:t>
      </w:r>
      <w:r>
        <w:rPr/>
        <w:t>which</w:t>
      </w:r>
      <w:r>
        <w:rPr>
          <w:spacing w:val="-20"/>
        </w:rPr>
        <w:t> </w:t>
      </w:r>
      <w:r>
        <w:rPr/>
        <w:t>includes</w:t>
      </w:r>
      <w:r>
        <w:rPr>
          <w:spacing w:val="-20"/>
        </w:rPr>
        <w:t> </w:t>
      </w:r>
      <w:r>
        <w:rPr/>
        <w:t>essential student </w:t>
      </w:r>
      <w:r>
        <w:rPr>
          <w:spacing w:val="2"/>
        </w:rPr>
        <w:t>messages </w:t>
      </w:r>
      <w:r>
        <w:rPr/>
        <w:t>and strategic University </w:t>
      </w:r>
      <w:r>
        <w:rPr>
          <w:spacing w:val="2"/>
        </w:rPr>
        <w:t>messages.</w:t>
      </w:r>
    </w:p>
    <w:p>
      <w:pPr>
        <w:pStyle w:val="BodyText"/>
        <w:rPr>
          <w:sz w:val="14"/>
        </w:rPr>
      </w:pPr>
    </w:p>
    <w:p>
      <w:pPr>
        <w:pStyle w:val="BodyText"/>
        <w:spacing w:line="249" w:lineRule="auto"/>
        <w:ind w:left="107" w:right="-8"/>
      </w:pPr>
      <w:r>
        <w:rPr/>
        <w:t>Membership of the University’s Yammer </w:t>
      </w:r>
      <w:r>
        <w:rPr>
          <w:spacing w:val="1"/>
          <w:w w:val="98"/>
        </w:rPr>
        <w:t>network</w:t>
      </w:r>
      <w:r>
        <w:rPr>
          <w:w w:val="98"/>
        </w:rPr>
        <w:t> </w:t>
      </w:r>
      <w:r>
        <w:rPr>
          <w:spacing w:val="1"/>
          <w:w w:val="98"/>
        </w:rPr>
        <w:t>continued</w:t>
      </w:r>
      <w:r>
        <w:rPr>
          <w:w w:val="98"/>
        </w:rPr>
        <w:t> </w:t>
      </w:r>
      <w:r>
        <w:rPr>
          <w:w w:val="99"/>
        </w:rPr>
        <w:t>growing </w:t>
      </w:r>
      <w:r>
        <w:rPr>
          <w:spacing w:val="1"/>
          <w:w w:val="97"/>
        </w:rPr>
        <w:t>during</w:t>
      </w:r>
      <w:r>
        <w:rPr>
          <w:w w:val="97"/>
        </w:rPr>
        <w:t> </w:t>
      </w:r>
      <w:r>
        <w:rPr>
          <w:spacing w:val="1"/>
          <w:w w:val="84"/>
        </w:rPr>
        <w:t>2015.</w:t>
      </w:r>
      <w:r>
        <w:rPr>
          <w:w w:val="84"/>
        </w:rPr>
        <w:t> </w:t>
      </w:r>
      <w:r>
        <w:rPr/>
        <w:t>Several live ‘Ask the VC’ and ‘Ask the Executive’ Yammer chats were held, covering topics</w:t>
      </w:r>
      <w:r>
        <w:rPr>
          <w:spacing w:val="-24"/>
        </w:rPr>
        <w:t> </w:t>
      </w:r>
      <w:r>
        <w:rPr/>
        <w:t>such</w:t>
      </w:r>
      <w:r>
        <w:rPr>
          <w:spacing w:val="-24"/>
        </w:rPr>
        <w:t> </w:t>
      </w:r>
      <w:r>
        <w:rPr/>
        <w:t>as</w:t>
      </w:r>
      <w:r>
        <w:rPr>
          <w:spacing w:val="-24"/>
        </w:rPr>
        <w:t> </w:t>
      </w:r>
      <w:r>
        <w:rPr/>
        <w:t>internationalising</w:t>
      </w:r>
      <w:r>
        <w:rPr>
          <w:spacing w:val="-24"/>
        </w:rPr>
        <w:t> </w:t>
      </w:r>
      <w:r>
        <w:rPr/>
        <w:t>the</w:t>
      </w:r>
      <w:r>
        <w:rPr>
          <w:spacing w:val="-24"/>
        </w:rPr>
        <w:t> </w:t>
      </w:r>
      <w:r>
        <w:rPr/>
        <w:t>University, global rankings, the new brand, and higher education and research policy. Internal Communications introduced Yammer training for staff members in April. In July, IT&amp;DS transitioned the University to the Enterprise version of Yammer. Internal Communications is now responsible for its administering and reporting functions. In November, Internal Communications</w:t>
      </w:r>
      <w:r>
        <w:rPr>
          <w:spacing w:val="-11"/>
        </w:rPr>
        <w:t> </w:t>
      </w:r>
      <w:r>
        <w:rPr/>
        <w:t>developed</w:t>
      </w:r>
      <w:r>
        <w:rPr>
          <w:spacing w:val="-11"/>
        </w:rPr>
        <w:t> </w:t>
      </w:r>
      <w:r>
        <w:rPr/>
        <w:t>a</w:t>
      </w:r>
      <w:r>
        <w:rPr>
          <w:spacing w:val="-11"/>
        </w:rPr>
        <w:t> </w:t>
      </w:r>
      <w:r>
        <w:rPr/>
        <w:t>plan</w:t>
      </w:r>
      <w:r>
        <w:rPr>
          <w:spacing w:val="-11"/>
        </w:rPr>
        <w:t> </w:t>
      </w:r>
      <w:r>
        <w:rPr/>
        <w:t>to</w:t>
      </w:r>
      <w:r>
        <w:rPr>
          <w:spacing w:val="-11"/>
        </w:rPr>
        <w:t> </w:t>
      </w:r>
      <w:r>
        <w:rPr/>
        <w:t>support</w:t>
      </w:r>
    </w:p>
    <w:p>
      <w:pPr>
        <w:pStyle w:val="BodyText"/>
        <w:spacing w:line="249" w:lineRule="auto" w:before="71"/>
        <w:ind w:left="107" w:right="147"/>
      </w:pPr>
      <w:r>
        <w:rPr/>
        <w:br w:type="column"/>
      </w:r>
      <w:r>
        <w:rPr/>
        <w:t>Yammer communication within the School of Science and Health.</w:t>
      </w:r>
    </w:p>
    <w:p>
      <w:pPr>
        <w:pStyle w:val="BodyText"/>
        <w:rPr>
          <w:sz w:val="14"/>
        </w:rPr>
      </w:pPr>
    </w:p>
    <w:p>
      <w:pPr>
        <w:pStyle w:val="BodyText"/>
        <w:spacing w:line="249" w:lineRule="auto"/>
        <w:ind w:left="107" w:right="273"/>
      </w:pPr>
      <w:r>
        <w:rPr/>
        <w:t>The Student Communication Framework was approved by the University Executive </w:t>
      </w:r>
      <w:r>
        <w:rPr>
          <w:w w:val="95"/>
        </w:rPr>
        <w:t>in </w:t>
      </w:r>
      <w:r>
        <w:rPr>
          <w:w w:val="100"/>
        </w:rPr>
        <w:t>August </w:t>
      </w:r>
      <w:r>
        <w:rPr>
          <w:w w:val="84"/>
        </w:rPr>
        <w:t>2015. </w:t>
      </w:r>
      <w:r>
        <w:rPr>
          <w:w w:val="94"/>
        </w:rPr>
        <w:t>This </w:t>
      </w:r>
      <w:r>
        <w:rPr>
          <w:w w:val="97"/>
        </w:rPr>
        <w:t>framework </w:t>
      </w:r>
      <w:r>
        <w:rPr>
          <w:w w:val="95"/>
        </w:rPr>
        <w:t>aims </w:t>
      </w:r>
      <w:r>
        <w:rPr>
          <w:w w:val="98"/>
        </w:rPr>
        <w:t>for </w:t>
      </w:r>
      <w:r>
        <w:rPr>
          <w:w w:val="94"/>
        </w:rPr>
        <w:t>a </w:t>
      </w:r>
      <w:r>
        <w:rPr/>
        <w:t>more strategic and coordinated approach to student communications across the University. Student Communications within Internal Communications will coordinate its </w:t>
      </w:r>
      <w:r>
        <w:rPr>
          <w:w w:val="98"/>
        </w:rPr>
        <w:t>introduction </w:t>
      </w:r>
      <w:r>
        <w:rPr>
          <w:w w:val="95"/>
        </w:rPr>
        <w:t>in </w:t>
      </w:r>
      <w:r>
        <w:rPr>
          <w:w w:val="85"/>
        </w:rPr>
        <w:t>2016.</w:t>
      </w:r>
    </w:p>
    <w:p>
      <w:pPr>
        <w:pStyle w:val="BodyText"/>
        <w:rPr>
          <w:sz w:val="14"/>
        </w:rPr>
      </w:pPr>
    </w:p>
    <w:p>
      <w:pPr>
        <w:pStyle w:val="BodyText"/>
        <w:spacing w:line="249" w:lineRule="auto"/>
        <w:ind w:left="107" w:right="142"/>
      </w:pPr>
      <w:r>
        <w:rPr/>
        <w:t>Internal Communications also supported several staff events, including the live- streamed ‘State of the University’ address by Professor Glover in June, the live-streamed Budget Forum in November and the Campus Planning Forum at Penrith campus in November.</w:t>
      </w:r>
    </w:p>
    <w:p>
      <w:pPr>
        <w:pStyle w:val="BodyText"/>
        <w:spacing w:before="6"/>
        <w:rPr>
          <w:sz w:val="22"/>
        </w:rPr>
      </w:pPr>
    </w:p>
    <w:p>
      <w:pPr>
        <w:spacing w:before="0"/>
        <w:ind w:left="107" w:right="112" w:firstLine="0"/>
        <w:jc w:val="left"/>
        <w:rPr>
          <w:rFonts w:ascii="Gotham Narrow Bold"/>
          <w:b/>
          <w:sz w:val="24"/>
        </w:rPr>
      </w:pPr>
      <w:r>
        <w:rPr>
          <w:rFonts w:ascii="Gotham Narrow Bold"/>
          <w:b/>
          <w:w w:val="95"/>
          <w:sz w:val="24"/>
        </w:rPr>
        <w:t>THE WHITLAM INSTITUTE</w:t>
      </w:r>
    </w:p>
    <w:p>
      <w:pPr>
        <w:pStyle w:val="BodyText"/>
        <w:spacing w:line="249" w:lineRule="auto" w:before="209"/>
        <w:ind w:left="107" w:right="246"/>
      </w:pPr>
      <w:r>
        <w:rPr/>
        <w:t>The Whitlam Institute within the University is a dynamic public policy institute that commemorates</w:t>
      </w:r>
      <w:r>
        <w:rPr>
          <w:spacing w:val="-18"/>
        </w:rPr>
        <w:t> </w:t>
      </w:r>
      <w:r>
        <w:rPr/>
        <w:t>–</w:t>
      </w:r>
      <w:r>
        <w:rPr>
          <w:spacing w:val="-18"/>
        </w:rPr>
        <w:t> </w:t>
      </w:r>
      <w:r>
        <w:rPr/>
        <w:t>and</w:t>
      </w:r>
      <w:r>
        <w:rPr>
          <w:spacing w:val="-18"/>
        </w:rPr>
        <w:t> </w:t>
      </w:r>
      <w:r>
        <w:rPr/>
        <w:t>is</w:t>
      </w:r>
      <w:r>
        <w:rPr>
          <w:spacing w:val="-18"/>
        </w:rPr>
        <w:t> </w:t>
      </w:r>
      <w:r>
        <w:rPr/>
        <w:t>inspired</w:t>
      </w:r>
      <w:r>
        <w:rPr>
          <w:spacing w:val="-18"/>
        </w:rPr>
        <w:t> </w:t>
      </w:r>
      <w:r>
        <w:rPr/>
        <w:t>by</w:t>
      </w:r>
      <w:r>
        <w:rPr>
          <w:spacing w:val="-18"/>
        </w:rPr>
        <w:t> </w:t>
      </w:r>
      <w:r>
        <w:rPr/>
        <w:t>–</w:t>
      </w:r>
      <w:r>
        <w:rPr>
          <w:spacing w:val="-18"/>
        </w:rPr>
        <w:t> </w:t>
      </w:r>
      <w:r>
        <w:rPr/>
        <w:t>the</w:t>
      </w:r>
      <w:r>
        <w:rPr>
          <w:spacing w:val="-18"/>
        </w:rPr>
        <w:t> </w:t>
      </w:r>
      <w:r>
        <w:rPr/>
        <w:t>life and</w:t>
      </w:r>
      <w:r>
        <w:rPr>
          <w:spacing w:val="-18"/>
        </w:rPr>
        <w:t> </w:t>
      </w:r>
      <w:r>
        <w:rPr/>
        <w:t>work</w:t>
      </w:r>
      <w:r>
        <w:rPr>
          <w:spacing w:val="-18"/>
        </w:rPr>
        <w:t> </w:t>
      </w:r>
      <w:r>
        <w:rPr/>
        <w:t>of</w:t>
      </w:r>
      <w:r>
        <w:rPr>
          <w:spacing w:val="-18"/>
        </w:rPr>
        <w:t> </w:t>
      </w:r>
      <w:r>
        <w:rPr/>
        <w:t>The</w:t>
      </w:r>
      <w:r>
        <w:rPr>
          <w:spacing w:val="-18"/>
        </w:rPr>
        <w:t> </w:t>
      </w:r>
      <w:r>
        <w:rPr>
          <w:spacing w:val="2"/>
        </w:rPr>
        <w:t>Hon.</w:t>
      </w:r>
      <w:r>
        <w:rPr>
          <w:spacing w:val="-18"/>
        </w:rPr>
        <w:t> </w:t>
      </w:r>
      <w:r>
        <w:rPr/>
        <w:t>Gough</w:t>
      </w:r>
      <w:r>
        <w:rPr>
          <w:spacing w:val="-18"/>
        </w:rPr>
        <w:t> </w:t>
      </w:r>
      <w:r>
        <w:rPr/>
        <w:t>Whitlam,</w:t>
      </w:r>
      <w:r>
        <w:rPr>
          <w:spacing w:val="-18"/>
        </w:rPr>
        <w:t> </w:t>
      </w:r>
      <w:r>
        <w:rPr/>
        <w:t>AC,</w:t>
      </w:r>
    </w:p>
    <w:p>
      <w:pPr>
        <w:pStyle w:val="BodyText"/>
        <w:spacing w:line="249" w:lineRule="auto"/>
        <w:ind w:left="107" w:right="164"/>
      </w:pPr>
      <w:r>
        <w:rPr>
          <w:spacing w:val="3"/>
        </w:rPr>
        <w:t>QC.</w:t>
      </w:r>
      <w:r>
        <w:rPr>
          <w:spacing w:val="-19"/>
        </w:rPr>
        <w:t> </w:t>
      </w:r>
      <w:r>
        <w:rPr/>
        <w:t>It</w:t>
      </w:r>
      <w:r>
        <w:rPr>
          <w:spacing w:val="-19"/>
        </w:rPr>
        <w:t> </w:t>
      </w:r>
      <w:r>
        <w:rPr/>
        <w:t>pursues</w:t>
      </w:r>
      <w:r>
        <w:rPr>
          <w:spacing w:val="-19"/>
        </w:rPr>
        <w:t> </w:t>
      </w:r>
      <w:r>
        <w:rPr/>
        <w:t>the</w:t>
      </w:r>
      <w:r>
        <w:rPr>
          <w:spacing w:val="-19"/>
        </w:rPr>
        <w:t> </w:t>
      </w:r>
      <w:r>
        <w:rPr/>
        <w:t>causes</w:t>
      </w:r>
      <w:r>
        <w:rPr>
          <w:spacing w:val="-19"/>
        </w:rPr>
        <w:t> </w:t>
      </w:r>
      <w:r>
        <w:rPr/>
        <w:t>he</w:t>
      </w:r>
      <w:r>
        <w:rPr>
          <w:spacing w:val="-19"/>
        </w:rPr>
        <w:t> </w:t>
      </w:r>
      <w:r>
        <w:rPr/>
        <w:t>championed</w:t>
      </w:r>
      <w:r>
        <w:rPr>
          <w:spacing w:val="-19"/>
        </w:rPr>
        <w:t> </w:t>
      </w:r>
      <w:r>
        <w:rPr/>
        <w:t>and is guided by the principles upon which his parliamentary career and years of service to the</w:t>
      </w:r>
      <w:r>
        <w:rPr>
          <w:spacing w:val="-15"/>
        </w:rPr>
        <w:t> </w:t>
      </w:r>
      <w:r>
        <w:rPr/>
        <w:t>people</w:t>
      </w:r>
      <w:r>
        <w:rPr>
          <w:spacing w:val="-15"/>
        </w:rPr>
        <w:t> </w:t>
      </w:r>
      <w:r>
        <w:rPr/>
        <w:t>of</w:t>
      </w:r>
      <w:r>
        <w:rPr>
          <w:spacing w:val="-15"/>
        </w:rPr>
        <w:t> </w:t>
      </w:r>
      <w:r>
        <w:rPr/>
        <w:t>Australia</w:t>
      </w:r>
      <w:r>
        <w:rPr>
          <w:spacing w:val="-15"/>
        </w:rPr>
        <w:t> </w:t>
      </w:r>
      <w:r>
        <w:rPr/>
        <w:t>were</w:t>
      </w:r>
      <w:r>
        <w:rPr>
          <w:spacing w:val="-15"/>
        </w:rPr>
        <w:t> </w:t>
      </w:r>
      <w:r>
        <w:rPr/>
        <w:t>founded.</w:t>
      </w:r>
    </w:p>
    <w:p>
      <w:pPr>
        <w:pStyle w:val="BodyText"/>
        <w:rPr>
          <w:sz w:val="14"/>
        </w:rPr>
      </w:pPr>
    </w:p>
    <w:p>
      <w:pPr>
        <w:pStyle w:val="BodyText"/>
        <w:spacing w:line="249" w:lineRule="auto"/>
        <w:ind w:left="107" w:right="112"/>
      </w:pPr>
      <w:r>
        <w:rPr/>
        <w:t>The</w:t>
      </w:r>
      <w:r>
        <w:rPr>
          <w:spacing w:val="-17"/>
        </w:rPr>
        <w:t> </w:t>
      </w:r>
      <w:r>
        <w:rPr/>
        <w:t>‘three</w:t>
      </w:r>
      <w:r>
        <w:rPr>
          <w:spacing w:val="-17"/>
        </w:rPr>
        <w:t> </w:t>
      </w:r>
      <w:r>
        <w:rPr/>
        <w:t>great</w:t>
      </w:r>
      <w:r>
        <w:rPr>
          <w:spacing w:val="-17"/>
        </w:rPr>
        <w:t> </w:t>
      </w:r>
      <w:r>
        <w:rPr/>
        <w:t>aims’</w:t>
      </w:r>
      <w:r>
        <w:rPr>
          <w:spacing w:val="-17"/>
        </w:rPr>
        <w:t> </w:t>
      </w:r>
      <w:r>
        <w:rPr/>
        <w:t>that</w:t>
      </w:r>
      <w:r>
        <w:rPr>
          <w:spacing w:val="-17"/>
        </w:rPr>
        <w:t> </w:t>
      </w:r>
      <w:r>
        <w:rPr/>
        <w:t>drove</w:t>
      </w:r>
      <w:r>
        <w:rPr>
          <w:spacing w:val="-17"/>
        </w:rPr>
        <w:t> </w:t>
      </w:r>
      <w:r>
        <w:rPr/>
        <w:t>the</w:t>
      </w:r>
      <w:r>
        <w:rPr>
          <w:spacing w:val="-17"/>
        </w:rPr>
        <w:t> </w:t>
      </w:r>
      <w:r>
        <w:rPr/>
        <w:t>Whitlam Program</w:t>
      </w:r>
      <w:r>
        <w:rPr>
          <w:spacing w:val="-23"/>
        </w:rPr>
        <w:t> </w:t>
      </w:r>
      <w:r>
        <w:rPr/>
        <w:t>of</w:t>
      </w:r>
      <w:r>
        <w:rPr>
          <w:spacing w:val="-23"/>
        </w:rPr>
        <w:t> </w:t>
      </w:r>
      <w:r>
        <w:rPr/>
        <w:t>1972</w:t>
      </w:r>
      <w:r>
        <w:rPr>
          <w:spacing w:val="-23"/>
        </w:rPr>
        <w:t> </w:t>
      </w:r>
      <w:r>
        <w:rPr/>
        <w:t>guide</w:t>
      </w:r>
      <w:r>
        <w:rPr>
          <w:spacing w:val="-23"/>
        </w:rPr>
        <w:t> </w:t>
      </w:r>
      <w:r>
        <w:rPr/>
        <w:t>the</w:t>
      </w:r>
      <w:r>
        <w:rPr>
          <w:spacing w:val="-23"/>
        </w:rPr>
        <w:t> </w:t>
      </w:r>
      <w:r>
        <w:rPr/>
        <w:t>Whitlam</w:t>
      </w:r>
      <w:r>
        <w:rPr>
          <w:spacing w:val="-23"/>
        </w:rPr>
        <w:t> </w:t>
      </w:r>
      <w:r>
        <w:rPr/>
        <w:t>Institute. </w:t>
      </w:r>
      <w:r>
        <w:rPr>
          <w:w w:val="95"/>
        </w:rPr>
        <w:t>They</w:t>
      </w:r>
      <w:r>
        <w:rPr>
          <w:spacing w:val="-19"/>
          <w:w w:val="95"/>
        </w:rPr>
        <w:t> </w:t>
      </w:r>
      <w:r>
        <w:rPr>
          <w:w w:val="95"/>
        </w:rPr>
        <w:t>are:</w:t>
      </w:r>
    </w:p>
    <w:p>
      <w:pPr>
        <w:pStyle w:val="BodyText"/>
        <w:spacing w:before="11"/>
        <w:rPr>
          <w:sz w:val="13"/>
        </w:rPr>
      </w:pPr>
    </w:p>
    <w:p>
      <w:pPr>
        <w:pStyle w:val="BodyText"/>
        <w:ind w:left="107" w:right="112"/>
      </w:pPr>
      <w:r>
        <w:rPr>
          <w:rFonts w:ascii="Century Gothic" w:hAnsi="Century Gothic"/>
          <w:b/>
          <w:w w:val="115"/>
        </w:rPr>
        <w:t>≥ </w:t>
      </w:r>
      <w:r>
        <w:rPr>
          <w:w w:val="110"/>
        </w:rPr>
        <w:t>to promote equality</w:t>
      </w:r>
    </w:p>
    <w:p>
      <w:pPr>
        <w:pStyle w:val="BodyText"/>
        <w:spacing w:line="244" w:lineRule="auto" w:before="60"/>
        <w:ind w:left="333" w:right="398" w:hanging="227"/>
      </w:pPr>
      <w:r>
        <w:rPr>
          <w:rFonts w:ascii="Century Gothic" w:hAnsi="Century Gothic"/>
          <w:b/>
          <w:w w:val="115"/>
        </w:rPr>
        <w:t>≥</w:t>
      </w:r>
      <w:r>
        <w:rPr>
          <w:rFonts w:ascii="Century Gothic" w:hAnsi="Century Gothic"/>
          <w:b/>
          <w:spacing w:val="19"/>
          <w:w w:val="115"/>
        </w:rPr>
        <w:t> </w:t>
      </w:r>
      <w:r>
        <w:rPr>
          <w:w w:val="105"/>
        </w:rPr>
        <w:t>to</w:t>
      </w:r>
      <w:r>
        <w:rPr>
          <w:spacing w:val="-26"/>
          <w:w w:val="105"/>
        </w:rPr>
        <w:t> </w:t>
      </w:r>
      <w:r>
        <w:rPr>
          <w:w w:val="105"/>
        </w:rPr>
        <w:t>involve</w:t>
      </w:r>
      <w:r>
        <w:rPr>
          <w:spacing w:val="-26"/>
          <w:w w:val="105"/>
        </w:rPr>
        <w:t> </w:t>
      </w:r>
      <w:r>
        <w:rPr>
          <w:w w:val="105"/>
        </w:rPr>
        <w:t>the</w:t>
      </w:r>
      <w:r>
        <w:rPr>
          <w:spacing w:val="-26"/>
          <w:w w:val="105"/>
        </w:rPr>
        <w:t> </w:t>
      </w:r>
      <w:r>
        <w:rPr>
          <w:w w:val="105"/>
        </w:rPr>
        <w:t>people</w:t>
      </w:r>
      <w:r>
        <w:rPr>
          <w:spacing w:val="-26"/>
          <w:w w:val="105"/>
        </w:rPr>
        <w:t> </w:t>
      </w:r>
      <w:r>
        <w:rPr>
          <w:w w:val="105"/>
        </w:rPr>
        <w:t>of</w:t>
      </w:r>
      <w:r>
        <w:rPr>
          <w:spacing w:val="-26"/>
          <w:w w:val="105"/>
        </w:rPr>
        <w:t> </w:t>
      </w:r>
      <w:r>
        <w:rPr>
          <w:w w:val="105"/>
        </w:rPr>
        <w:t>Australia</w:t>
      </w:r>
      <w:r>
        <w:rPr>
          <w:spacing w:val="-26"/>
          <w:w w:val="105"/>
        </w:rPr>
        <w:t> </w:t>
      </w:r>
      <w:r>
        <w:rPr>
          <w:w w:val="105"/>
        </w:rPr>
        <w:t>in</w:t>
      </w:r>
      <w:r>
        <w:rPr>
          <w:spacing w:val="-26"/>
          <w:w w:val="105"/>
        </w:rPr>
        <w:t> </w:t>
      </w:r>
      <w:r>
        <w:rPr>
          <w:w w:val="105"/>
        </w:rPr>
        <w:t>the </w:t>
      </w:r>
      <w:r>
        <w:rPr/>
        <w:t>decision-making</w:t>
      </w:r>
      <w:r>
        <w:rPr>
          <w:spacing w:val="-14"/>
        </w:rPr>
        <w:t> </w:t>
      </w:r>
      <w:r>
        <w:rPr/>
        <w:t>processes</w:t>
      </w:r>
      <w:r>
        <w:rPr>
          <w:spacing w:val="-14"/>
        </w:rPr>
        <w:t> </w:t>
      </w:r>
      <w:r>
        <w:rPr/>
        <w:t>of</w:t>
      </w:r>
      <w:r>
        <w:rPr>
          <w:spacing w:val="-14"/>
        </w:rPr>
        <w:t> </w:t>
      </w:r>
      <w:r>
        <w:rPr/>
        <w:t>our</w:t>
      </w:r>
      <w:r>
        <w:rPr>
          <w:spacing w:val="-14"/>
        </w:rPr>
        <w:t> </w:t>
      </w:r>
      <w:r>
        <w:rPr/>
        <w:t>land</w:t>
      </w:r>
    </w:p>
    <w:p>
      <w:pPr>
        <w:pStyle w:val="BodyText"/>
        <w:spacing w:line="244" w:lineRule="auto" w:before="58"/>
        <w:ind w:left="333" w:right="643" w:hanging="227"/>
      </w:pPr>
      <w:r>
        <w:rPr>
          <w:rFonts w:ascii="Century Gothic" w:hAnsi="Century Gothic"/>
          <w:b/>
          <w:w w:val="115"/>
        </w:rPr>
        <w:t>≥ </w:t>
      </w:r>
      <w:r>
        <w:rPr/>
        <w:t>to liberate the talents and uplift the horizons of the Australian people.</w:t>
      </w:r>
    </w:p>
    <w:p>
      <w:pPr>
        <w:pStyle w:val="BodyText"/>
        <w:spacing w:before="4"/>
        <w:rPr>
          <w:sz w:val="14"/>
        </w:rPr>
      </w:pPr>
    </w:p>
    <w:p>
      <w:pPr>
        <w:pStyle w:val="BodyText"/>
        <w:spacing w:line="249" w:lineRule="auto"/>
        <w:ind w:left="107" w:right="112"/>
      </w:pPr>
      <w:r>
        <w:rPr/>
        <w:t>The Institute was established as an incorporated entity under an agreement between the University and Mr Whitlam in </w:t>
      </w:r>
      <w:r>
        <w:rPr>
          <w:spacing w:val="2"/>
        </w:rPr>
        <w:t>2000. </w:t>
      </w:r>
      <w:r>
        <w:rPr/>
        <w:t>The Institute bridges the historical legacy</w:t>
      </w:r>
      <w:r>
        <w:rPr>
          <w:spacing w:val="-15"/>
        </w:rPr>
        <w:t> </w:t>
      </w:r>
      <w:r>
        <w:rPr/>
        <w:t>of</w:t>
      </w:r>
      <w:r>
        <w:rPr>
          <w:spacing w:val="-15"/>
        </w:rPr>
        <w:t> </w:t>
      </w:r>
      <w:r>
        <w:rPr/>
        <w:t>Mr</w:t>
      </w:r>
      <w:r>
        <w:rPr>
          <w:spacing w:val="-15"/>
        </w:rPr>
        <w:t> </w:t>
      </w:r>
      <w:r>
        <w:rPr/>
        <w:t>Whitlam’s</w:t>
      </w:r>
      <w:r>
        <w:rPr>
          <w:spacing w:val="-15"/>
        </w:rPr>
        <w:t> </w:t>
      </w:r>
      <w:r>
        <w:rPr/>
        <w:t>years</w:t>
      </w:r>
      <w:r>
        <w:rPr>
          <w:spacing w:val="-15"/>
        </w:rPr>
        <w:t> </w:t>
      </w:r>
      <w:r>
        <w:rPr/>
        <w:t>in</w:t>
      </w:r>
      <w:r>
        <w:rPr>
          <w:spacing w:val="-15"/>
        </w:rPr>
        <w:t> </w:t>
      </w:r>
      <w:r>
        <w:rPr/>
        <w:t>public</w:t>
      </w:r>
      <w:r>
        <w:rPr>
          <w:spacing w:val="-15"/>
        </w:rPr>
        <w:t> </w:t>
      </w:r>
      <w:r>
        <w:rPr/>
        <w:t>life</w:t>
      </w:r>
      <w:r>
        <w:rPr>
          <w:spacing w:val="-15"/>
        </w:rPr>
        <w:t> </w:t>
      </w:r>
      <w:r>
        <w:rPr/>
        <w:t>and the contemporary relevance of his work on public</w:t>
      </w:r>
      <w:r>
        <w:rPr>
          <w:spacing w:val="-16"/>
        </w:rPr>
        <w:t> </w:t>
      </w:r>
      <w:r>
        <w:rPr/>
        <w:t>discourse</w:t>
      </w:r>
      <w:r>
        <w:rPr>
          <w:spacing w:val="-16"/>
        </w:rPr>
        <w:t> </w:t>
      </w:r>
      <w:r>
        <w:rPr/>
        <w:t>and</w:t>
      </w:r>
      <w:r>
        <w:rPr>
          <w:spacing w:val="-16"/>
        </w:rPr>
        <w:t> </w:t>
      </w:r>
      <w:r>
        <w:rPr/>
        <w:t>policy.</w:t>
      </w:r>
    </w:p>
    <w:p>
      <w:pPr>
        <w:spacing w:after="0" w:line="249" w:lineRule="auto"/>
        <w:sectPr>
          <w:type w:val="continuous"/>
          <w:pgSz w:w="11910" w:h="16840"/>
          <w:pgMar w:top="1580" w:bottom="280" w:left="800" w:right="800"/>
          <w:cols w:num="3" w:equalWidth="0">
            <w:col w:w="3320" w:space="120"/>
            <w:col w:w="3320" w:space="119"/>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9"/>
        <w:rPr>
          <w:sz w:val="20"/>
        </w:rPr>
      </w:pPr>
    </w:p>
    <w:p>
      <w:pPr>
        <w:pStyle w:val="Heading8"/>
      </w:pPr>
      <w:r>
        <w:rPr/>
        <w:t>MANAGEMENT</w:t>
      </w:r>
    </w:p>
    <w:p>
      <w:pPr>
        <w:pStyle w:val="BodyText"/>
        <w:spacing w:line="249" w:lineRule="auto" w:before="86"/>
        <w:ind w:left="107" w:right="-20"/>
      </w:pPr>
      <w:r>
        <w:rPr/>
        <w:t>The Whitlam Institute is a separate entity within the University. A company established through a Deed of Trust guides the use of funds collected for the Institute’s work. The Board of Directors, the members of which act as Trustees, oversees the Trust.</w:t>
      </w:r>
    </w:p>
    <w:p>
      <w:pPr>
        <w:pStyle w:val="BodyText"/>
        <w:rPr>
          <w:sz w:val="14"/>
        </w:rPr>
      </w:pPr>
    </w:p>
    <w:p>
      <w:pPr>
        <w:pStyle w:val="BodyText"/>
        <w:spacing w:line="249" w:lineRule="auto"/>
        <w:ind w:left="107"/>
      </w:pPr>
      <w:r>
        <w:rPr/>
        <w:t>The Whitlam Institute Board is politically bipartisan</w:t>
      </w:r>
      <w:r>
        <w:rPr>
          <w:spacing w:val="-17"/>
        </w:rPr>
        <w:t> </w:t>
      </w:r>
      <w:r>
        <w:rPr/>
        <w:t>and</w:t>
      </w:r>
      <w:r>
        <w:rPr>
          <w:spacing w:val="-17"/>
        </w:rPr>
        <w:t> </w:t>
      </w:r>
      <w:r>
        <w:rPr/>
        <w:t>consists</w:t>
      </w:r>
      <w:r>
        <w:rPr>
          <w:spacing w:val="-17"/>
        </w:rPr>
        <w:t> </w:t>
      </w:r>
      <w:r>
        <w:rPr/>
        <w:t>of</w:t>
      </w:r>
      <w:r>
        <w:rPr>
          <w:spacing w:val="-17"/>
        </w:rPr>
        <w:t> </w:t>
      </w:r>
      <w:r>
        <w:rPr/>
        <w:t>leaders</w:t>
      </w:r>
      <w:r>
        <w:rPr>
          <w:spacing w:val="-17"/>
        </w:rPr>
        <w:t> </w:t>
      </w:r>
      <w:r>
        <w:rPr/>
        <w:t>in</w:t>
      </w:r>
      <w:r>
        <w:rPr>
          <w:spacing w:val="-17"/>
        </w:rPr>
        <w:t> </w:t>
      </w:r>
      <w:r>
        <w:rPr/>
        <w:t>academia, business, government and community organisations.</w:t>
      </w:r>
      <w:r>
        <w:rPr>
          <w:spacing w:val="-20"/>
        </w:rPr>
        <w:t> </w:t>
      </w:r>
      <w:r>
        <w:rPr/>
        <w:t>The</w:t>
      </w:r>
      <w:r>
        <w:rPr>
          <w:spacing w:val="-20"/>
        </w:rPr>
        <w:t> </w:t>
      </w:r>
      <w:r>
        <w:rPr/>
        <w:t>Board</w:t>
      </w:r>
      <w:r>
        <w:rPr>
          <w:spacing w:val="-20"/>
        </w:rPr>
        <w:t> </w:t>
      </w:r>
      <w:r>
        <w:rPr/>
        <w:t>participates</w:t>
      </w:r>
      <w:r>
        <w:rPr>
          <w:spacing w:val="-20"/>
        </w:rPr>
        <w:t> </w:t>
      </w:r>
      <w:r>
        <w:rPr/>
        <w:t>in</w:t>
      </w:r>
    </w:p>
    <w:p>
      <w:pPr>
        <w:pStyle w:val="BodyText"/>
        <w:spacing w:line="247" w:lineRule="auto"/>
        <w:ind w:left="107"/>
      </w:pPr>
      <w:r>
        <w:rPr/>
        <w:t>the strategic development of the Institute. The current Chair is the </w:t>
      </w:r>
      <w:r>
        <w:rPr>
          <w:spacing w:val="2"/>
        </w:rPr>
        <w:t>Hon. </w:t>
      </w:r>
      <w:r>
        <w:rPr/>
        <w:t>John Faulkner. Indicative of the importance the University attaches to the Whitlam Institute, the Vice- Chancellor</w:t>
      </w:r>
      <w:r>
        <w:rPr>
          <w:spacing w:val="-27"/>
        </w:rPr>
        <w:t> </w:t>
      </w:r>
      <w:r>
        <w:rPr/>
        <w:t>is</w:t>
      </w:r>
      <w:r>
        <w:rPr>
          <w:spacing w:val="-27"/>
        </w:rPr>
        <w:t> </w:t>
      </w:r>
      <w:r>
        <w:rPr/>
        <w:t>a</w:t>
      </w:r>
      <w:r>
        <w:rPr>
          <w:spacing w:val="-27"/>
        </w:rPr>
        <w:t> </w:t>
      </w:r>
      <w:r>
        <w:rPr/>
        <w:t>member</w:t>
      </w:r>
      <w:r>
        <w:rPr>
          <w:spacing w:val="-27"/>
        </w:rPr>
        <w:t> </w:t>
      </w:r>
      <w:r>
        <w:rPr/>
        <w:t>of</w:t>
      </w:r>
      <w:r>
        <w:rPr>
          <w:spacing w:val="-27"/>
        </w:rPr>
        <w:t> </w:t>
      </w:r>
      <w:r>
        <w:rPr/>
        <w:t>the</w:t>
      </w:r>
      <w:r>
        <w:rPr>
          <w:spacing w:val="-27"/>
        </w:rPr>
        <w:t> </w:t>
      </w:r>
      <w:r>
        <w:rPr/>
        <w:t>Board</w:t>
      </w:r>
      <w:r>
        <w:rPr>
          <w:spacing w:val="-27"/>
        </w:rPr>
        <w:t> </w:t>
      </w:r>
      <w:r>
        <w:rPr>
          <w:rFonts w:ascii="Century Gothic"/>
          <w:i/>
        </w:rPr>
        <w:t>ex</w:t>
      </w:r>
      <w:r>
        <w:rPr>
          <w:rFonts w:ascii="Century Gothic"/>
          <w:i/>
          <w:spacing w:val="-21"/>
        </w:rPr>
        <w:t> </w:t>
      </w:r>
      <w:r>
        <w:rPr>
          <w:rFonts w:ascii="Century Gothic"/>
          <w:i/>
        </w:rPr>
        <w:t>office</w:t>
      </w:r>
      <w:r>
        <w:rPr/>
        <w:t>.</w:t>
      </w:r>
    </w:p>
    <w:p>
      <w:pPr>
        <w:pStyle w:val="BodyText"/>
        <w:spacing w:before="12"/>
        <w:rPr>
          <w:sz w:val="13"/>
        </w:rPr>
      </w:pPr>
    </w:p>
    <w:p>
      <w:pPr>
        <w:pStyle w:val="BodyText"/>
        <w:spacing w:line="249" w:lineRule="auto"/>
        <w:ind w:left="107" w:right="175"/>
      </w:pPr>
      <w:r>
        <w:rPr/>
        <w:t>The</w:t>
      </w:r>
      <w:r>
        <w:rPr>
          <w:spacing w:val="-16"/>
        </w:rPr>
        <w:t> </w:t>
      </w:r>
      <w:r>
        <w:rPr/>
        <w:t>Whitlam</w:t>
      </w:r>
      <w:r>
        <w:rPr>
          <w:spacing w:val="-16"/>
        </w:rPr>
        <w:t> </w:t>
      </w:r>
      <w:r>
        <w:rPr/>
        <w:t>Institute</w:t>
      </w:r>
      <w:r>
        <w:rPr>
          <w:spacing w:val="-16"/>
        </w:rPr>
        <w:t> </w:t>
      </w:r>
      <w:r>
        <w:rPr/>
        <w:t>is</w:t>
      </w:r>
      <w:r>
        <w:rPr>
          <w:spacing w:val="-16"/>
        </w:rPr>
        <w:t> </w:t>
      </w:r>
      <w:r>
        <w:rPr/>
        <w:t>led</w:t>
      </w:r>
      <w:r>
        <w:rPr>
          <w:spacing w:val="-16"/>
        </w:rPr>
        <w:t> </w:t>
      </w:r>
      <w:r>
        <w:rPr/>
        <w:t>by</w:t>
      </w:r>
      <w:r>
        <w:rPr>
          <w:spacing w:val="-16"/>
        </w:rPr>
        <w:t> </w:t>
      </w:r>
      <w:r>
        <w:rPr/>
        <w:t>Director</w:t>
      </w:r>
      <w:r>
        <w:rPr>
          <w:spacing w:val="-16"/>
        </w:rPr>
        <w:t> </w:t>
      </w:r>
      <w:r>
        <w:rPr/>
        <w:t>Eric Sidoti. Its small secretariat is committed to the</w:t>
      </w:r>
      <w:r>
        <w:rPr>
          <w:spacing w:val="-17"/>
        </w:rPr>
        <w:t> </w:t>
      </w:r>
      <w:r>
        <w:rPr/>
        <w:t>highest</w:t>
      </w:r>
      <w:r>
        <w:rPr>
          <w:spacing w:val="-17"/>
        </w:rPr>
        <w:t> </w:t>
      </w:r>
      <w:r>
        <w:rPr/>
        <w:t>quality</w:t>
      </w:r>
      <w:r>
        <w:rPr>
          <w:spacing w:val="-17"/>
        </w:rPr>
        <w:t> </w:t>
      </w:r>
      <w:r>
        <w:rPr/>
        <w:t>in</w:t>
      </w:r>
      <w:r>
        <w:rPr>
          <w:spacing w:val="-17"/>
        </w:rPr>
        <w:t> </w:t>
      </w:r>
      <w:r>
        <w:rPr/>
        <w:t>all</w:t>
      </w:r>
      <w:r>
        <w:rPr>
          <w:spacing w:val="-17"/>
        </w:rPr>
        <w:t> </w:t>
      </w:r>
      <w:r>
        <w:rPr/>
        <w:t>its</w:t>
      </w:r>
      <w:r>
        <w:rPr>
          <w:spacing w:val="-17"/>
        </w:rPr>
        <w:t> </w:t>
      </w:r>
      <w:r>
        <w:rPr/>
        <w:t>activity,</w:t>
      </w:r>
      <w:r>
        <w:rPr>
          <w:spacing w:val="-17"/>
        </w:rPr>
        <w:t> </w:t>
      </w:r>
      <w:r>
        <w:rPr/>
        <w:t>whether policy</w:t>
      </w:r>
      <w:r>
        <w:rPr>
          <w:spacing w:val="-18"/>
        </w:rPr>
        <w:t> </w:t>
      </w:r>
      <w:r>
        <w:rPr/>
        <w:t>and</w:t>
      </w:r>
      <w:r>
        <w:rPr>
          <w:spacing w:val="-18"/>
        </w:rPr>
        <w:t> </w:t>
      </w:r>
      <w:r>
        <w:rPr/>
        <w:t>research</w:t>
      </w:r>
      <w:r>
        <w:rPr>
          <w:spacing w:val="-18"/>
        </w:rPr>
        <w:t> </w:t>
      </w:r>
      <w:r>
        <w:rPr/>
        <w:t>work,</w:t>
      </w:r>
      <w:r>
        <w:rPr>
          <w:spacing w:val="-18"/>
        </w:rPr>
        <w:t> </w:t>
      </w:r>
      <w:r>
        <w:rPr/>
        <w:t>outreach</w:t>
      </w:r>
      <w:r>
        <w:rPr>
          <w:spacing w:val="-18"/>
        </w:rPr>
        <w:t> </w:t>
      </w:r>
      <w:r>
        <w:rPr/>
        <w:t>activity, public</w:t>
      </w:r>
      <w:r>
        <w:rPr>
          <w:spacing w:val="-18"/>
        </w:rPr>
        <w:t> </w:t>
      </w:r>
      <w:r>
        <w:rPr/>
        <w:t>information</w:t>
      </w:r>
      <w:r>
        <w:rPr>
          <w:spacing w:val="-18"/>
        </w:rPr>
        <w:t> </w:t>
      </w:r>
      <w:r>
        <w:rPr/>
        <w:t>programs</w:t>
      </w:r>
      <w:r>
        <w:rPr>
          <w:spacing w:val="-18"/>
        </w:rPr>
        <w:t> </w:t>
      </w:r>
      <w:r>
        <w:rPr/>
        <w:t>or</w:t>
      </w:r>
      <w:r>
        <w:rPr>
          <w:spacing w:val="-18"/>
        </w:rPr>
        <w:t> </w:t>
      </w:r>
      <w:r>
        <w:rPr/>
        <w:t>events.</w:t>
      </w:r>
    </w:p>
    <w:p>
      <w:pPr>
        <w:pStyle w:val="BodyText"/>
        <w:spacing w:before="7"/>
        <w:rPr>
          <w:sz w:val="21"/>
        </w:rPr>
      </w:pPr>
    </w:p>
    <w:p>
      <w:pPr>
        <w:pStyle w:val="Heading8"/>
      </w:pPr>
      <w:r>
        <w:rPr>
          <w:w w:val="95"/>
        </w:rPr>
        <w:t>WHITLAM PRIME MINISTERIAL COLLECTION</w:t>
      </w:r>
    </w:p>
    <w:p>
      <w:pPr>
        <w:pStyle w:val="BodyText"/>
        <w:spacing w:line="249" w:lineRule="auto" w:before="86"/>
        <w:ind w:left="107" w:right="40"/>
      </w:pPr>
      <w:r>
        <w:rPr/>
        <w:t>The</w:t>
      </w:r>
      <w:r>
        <w:rPr>
          <w:spacing w:val="-17"/>
        </w:rPr>
        <w:t> </w:t>
      </w:r>
      <w:r>
        <w:rPr/>
        <w:t>Whitlam</w:t>
      </w:r>
      <w:r>
        <w:rPr>
          <w:spacing w:val="-17"/>
        </w:rPr>
        <w:t> </w:t>
      </w:r>
      <w:r>
        <w:rPr/>
        <w:t>family</w:t>
      </w:r>
      <w:r>
        <w:rPr>
          <w:spacing w:val="-17"/>
        </w:rPr>
        <w:t> </w:t>
      </w:r>
      <w:r>
        <w:rPr/>
        <w:t>donated</w:t>
      </w:r>
      <w:r>
        <w:rPr>
          <w:spacing w:val="-17"/>
        </w:rPr>
        <w:t> </w:t>
      </w:r>
      <w:r>
        <w:rPr/>
        <w:t>several</w:t>
      </w:r>
      <w:r>
        <w:rPr>
          <w:spacing w:val="-17"/>
        </w:rPr>
        <w:t> </w:t>
      </w:r>
      <w:r>
        <w:rPr/>
        <w:t>thousand additional items to the Institute’s Prime Ministerial Collection following Mr Whitlam’s </w:t>
      </w:r>
      <w:r>
        <w:rPr>
          <w:w w:val="98"/>
        </w:rPr>
        <w:t>death </w:t>
      </w:r>
      <w:r>
        <w:rPr>
          <w:spacing w:val="1"/>
          <w:w w:val="98"/>
        </w:rPr>
        <w:t>on</w:t>
      </w:r>
      <w:r>
        <w:rPr>
          <w:w w:val="98"/>
        </w:rPr>
        <w:t> </w:t>
      </w:r>
      <w:r>
        <w:rPr>
          <w:spacing w:val="2"/>
          <w:w w:val="73"/>
        </w:rPr>
        <w:t>21</w:t>
      </w:r>
      <w:r>
        <w:rPr>
          <w:w w:val="73"/>
        </w:rPr>
        <w:t> </w:t>
      </w:r>
      <w:r>
        <w:rPr>
          <w:spacing w:val="1"/>
          <w:w w:val="100"/>
        </w:rPr>
        <w:t>October</w:t>
      </w:r>
      <w:r>
        <w:rPr>
          <w:w w:val="100"/>
        </w:rPr>
        <w:t> </w:t>
      </w:r>
      <w:r>
        <w:rPr>
          <w:spacing w:val="1"/>
          <w:w w:val="86"/>
        </w:rPr>
        <w:t>2014.</w:t>
      </w:r>
      <w:r>
        <w:rPr>
          <w:w w:val="86"/>
        </w:rPr>
        <w:t> </w:t>
      </w:r>
      <w:r>
        <w:rPr>
          <w:spacing w:val="1"/>
          <w:w w:val="94"/>
        </w:rPr>
        <w:t>This</w:t>
      </w:r>
      <w:r>
        <w:rPr>
          <w:w w:val="94"/>
        </w:rPr>
        <w:t> </w:t>
      </w:r>
      <w:r>
        <w:rPr>
          <w:w w:val="96"/>
        </w:rPr>
        <w:t>saw </w:t>
      </w:r>
      <w:r>
        <w:rPr>
          <w:w w:val="97"/>
        </w:rPr>
        <w:t>the </w:t>
      </w:r>
      <w:r>
        <w:rPr/>
        <w:t>collection</w:t>
      </w:r>
      <w:r>
        <w:rPr>
          <w:spacing w:val="-12"/>
        </w:rPr>
        <w:t> </w:t>
      </w:r>
      <w:r>
        <w:rPr/>
        <w:t>expand</w:t>
      </w:r>
      <w:r>
        <w:rPr>
          <w:spacing w:val="-12"/>
        </w:rPr>
        <w:t> </w:t>
      </w:r>
      <w:r>
        <w:rPr/>
        <w:t>to</w:t>
      </w:r>
      <w:r>
        <w:rPr>
          <w:spacing w:val="-12"/>
        </w:rPr>
        <w:t> </w:t>
      </w:r>
      <w:r>
        <w:rPr/>
        <w:t>more</w:t>
      </w:r>
      <w:r>
        <w:rPr>
          <w:spacing w:val="-12"/>
        </w:rPr>
        <w:t> </w:t>
      </w:r>
      <w:r>
        <w:rPr/>
        <w:t>than</w:t>
      </w:r>
      <w:r>
        <w:rPr>
          <w:spacing w:val="-12"/>
        </w:rPr>
        <w:t> </w:t>
      </w:r>
      <w:r>
        <w:rPr>
          <w:spacing w:val="2"/>
        </w:rPr>
        <w:t>35,000</w:t>
      </w:r>
    </w:p>
    <w:p>
      <w:pPr>
        <w:pStyle w:val="BodyText"/>
        <w:spacing w:line="249" w:lineRule="auto"/>
        <w:ind w:left="107" w:right="49"/>
      </w:pPr>
      <w:r>
        <w:rPr/>
        <w:t>items, making it one of the more significant collections in the country due both to the importance of individual items (such as the original ‘letter of dismissal’ and Mr Whitlam’s logbooks) and its comprehensiveness.</w:t>
      </w:r>
    </w:p>
    <w:p>
      <w:pPr>
        <w:pStyle w:val="BodyText"/>
        <w:rPr>
          <w:sz w:val="14"/>
        </w:rPr>
      </w:pPr>
    </w:p>
    <w:p>
      <w:pPr>
        <w:pStyle w:val="BodyText"/>
        <w:spacing w:line="249" w:lineRule="auto"/>
        <w:ind w:left="107" w:right="173"/>
      </w:pPr>
      <w:r>
        <w:rPr/>
        <w:t>The collection is an important and freely available</w:t>
      </w:r>
      <w:r>
        <w:rPr>
          <w:spacing w:val="-26"/>
        </w:rPr>
        <w:t> </w:t>
      </w:r>
      <w:r>
        <w:rPr/>
        <w:t>resource</w:t>
      </w:r>
      <w:r>
        <w:rPr>
          <w:spacing w:val="-26"/>
        </w:rPr>
        <w:t> </w:t>
      </w:r>
      <w:r>
        <w:rPr/>
        <w:t>for</w:t>
      </w:r>
      <w:r>
        <w:rPr>
          <w:spacing w:val="-26"/>
        </w:rPr>
        <w:t> </w:t>
      </w:r>
      <w:r>
        <w:rPr/>
        <w:t>students,</w:t>
      </w:r>
      <w:r>
        <w:rPr>
          <w:spacing w:val="-26"/>
        </w:rPr>
        <w:t> </w:t>
      </w:r>
      <w:r>
        <w:rPr/>
        <w:t>researchers, journalists</w:t>
      </w:r>
      <w:r>
        <w:rPr>
          <w:spacing w:val="-20"/>
        </w:rPr>
        <w:t> </w:t>
      </w:r>
      <w:r>
        <w:rPr/>
        <w:t>and</w:t>
      </w:r>
      <w:r>
        <w:rPr>
          <w:spacing w:val="-20"/>
        </w:rPr>
        <w:t> </w:t>
      </w:r>
      <w:r>
        <w:rPr/>
        <w:t>the</w:t>
      </w:r>
      <w:r>
        <w:rPr>
          <w:spacing w:val="-20"/>
        </w:rPr>
        <w:t> </w:t>
      </w:r>
      <w:r>
        <w:rPr/>
        <w:t>public.</w:t>
      </w:r>
      <w:r>
        <w:rPr>
          <w:spacing w:val="-20"/>
        </w:rPr>
        <w:t> </w:t>
      </w:r>
      <w:r>
        <w:rPr/>
        <w:t>The</w:t>
      </w:r>
      <w:r>
        <w:rPr>
          <w:spacing w:val="-20"/>
        </w:rPr>
        <w:t> </w:t>
      </w:r>
      <w:r>
        <w:rPr/>
        <w:t>process</w:t>
      </w:r>
    </w:p>
    <w:p>
      <w:pPr>
        <w:pStyle w:val="BodyText"/>
        <w:spacing w:line="249" w:lineRule="auto"/>
        <w:ind w:left="107" w:right="591"/>
      </w:pPr>
      <w:r>
        <w:rPr/>
        <w:t>of indexing, coding and digitising the documentary materials continues.</w:t>
      </w:r>
    </w:p>
    <w:p>
      <w:pPr>
        <w:pStyle w:val="BodyText"/>
        <w:rPr>
          <w:sz w:val="14"/>
        </w:rPr>
      </w:pPr>
    </w:p>
    <w:p>
      <w:pPr>
        <w:pStyle w:val="BodyText"/>
        <w:ind w:left="107"/>
      </w:pPr>
      <w:r>
        <w:rPr/>
        <w:t>In addition to the permanent exhibition,</w:t>
      </w:r>
    </w:p>
    <w:p>
      <w:pPr>
        <w:spacing w:line="247" w:lineRule="auto" w:before="6"/>
        <w:ind w:left="107" w:right="64" w:firstLine="0"/>
        <w:jc w:val="left"/>
        <w:rPr>
          <w:sz w:val="16"/>
        </w:rPr>
      </w:pPr>
      <w:r>
        <w:rPr>
          <w:rFonts w:ascii="Century Gothic"/>
          <w:i/>
          <w:sz w:val="16"/>
        </w:rPr>
        <w:t>A</w:t>
      </w:r>
      <w:r>
        <w:rPr>
          <w:rFonts w:ascii="Century Gothic"/>
          <w:i/>
          <w:spacing w:val="-31"/>
          <w:sz w:val="16"/>
        </w:rPr>
        <w:t> </w:t>
      </w:r>
      <w:r>
        <w:rPr>
          <w:rFonts w:ascii="Century Gothic"/>
          <w:i/>
          <w:sz w:val="16"/>
        </w:rPr>
        <w:t>Changing</w:t>
      </w:r>
      <w:r>
        <w:rPr>
          <w:rFonts w:ascii="Century Gothic"/>
          <w:i/>
          <w:spacing w:val="-31"/>
          <w:sz w:val="16"/>
        </w:rPr>
        <w:t> </w:t>
      </w:r>
      <w:r>
        <w:rPr>
          <w:rFonts w:ascii="Century Gothic"/>
          <w:i/>
          <w:sz w:val="16"/>
        </w:rPr>
        <w:t>Australia:</w:t>
      </w:r>
      <w:r>
        <w:rPr>
          <w:rFonts w:ascii="Century Gothic"/>
          <w:i/>
          <w:spacing w:val="-31"/>
          <w:sz w:val="16"/>
        </w:rPr>
        <w:t> </w:t>
      </w:r>
      <w:r>
        <w:rPr>
          <w:rFonts w:ascii="Century Gothic"/>
          <w:i/>
          <w:sz w:val="16"/>
        </w:rPr>
        <w:t>The</w:t>
      </w:r>
      <w:r>
        <w:rPr>
          <w:rFonts w:ascii="Century Gothic"/>
          <w:i/>
          <w:spacing w:val="-31"/>
          <w:sz w:val="16"/>
        </w:rPr>
        <w:t> </w:t>
      </w:r>
      <w:r>
        <w:rPr>
          <w:rFonts w:ascii="Century Gothic"/>
          <w:i/>
          <w:sz w:val="16"/>
        </w:rPr>
        <w:t>Time</w:t>
      </w:r>
      <w:r>
        <w:rPr>
          <w:rFonts w:ascii="Century Gothic"/>
          <w:i/>
          <w:spacing w:val="-31"/>
          <w:sz w:val="16"/>
        </w:rPr>
        <w:t> </w:t>
      </w:r>
      <w:r>
        <w:rPr>
          <w:rFonts w:ascii="Century Gothic"/>
          <w:i/>
          <w:sz w:val="16"/>
        </w:rPr>
        <w:t>of</w:t>
      </w:r>
      <w:r>
        <w:rPr>
          <w:rFonts w:ascii="Century Gothic"/>
          <w:i/>
          <w:spacing w:val="-31"/>
          <w:sz w:val="16"/>
        </w:rPr>
        <w:t> </w:t>
      </w:r>
      <w:r>
        <w:rPr>
          <w:rFonts w:ascii="Century Gothic"/>
          <w:i/>
          <w:sz w:val="16"/>
        </w:rPr>
        <w:t>Gough </w:t>
      </w:r>
      <w:r>
        <w:rPr>
          <w:rFonts w:ascii="Century Gothic"/>
          <w:i/>
          <w:sz w:val="16"/>
        </w:rPr>
        <w:t>Whitlam</w:t>
      </w:r>
      <w:r>
        <w:rPr>
          <w:sz w:val="16"/>
        </w:rPr>
        <w:t>,</w:t>
      </w:r>
      <w:r>
        <w:rPr>
          <w:spacing w:val="-26"/>
          <w:sz w:val="16"/>
        </w:rPr>
        <w:t> </w:t>
      </w:r>
      <w:r>
        <w:rPr>
          <w:sz w:val="16"/>
        </w:rPr>
        <w:t>other</w:t>
      </w:r>
      <w:r>
        <w:rPr>
          <w:spacing w:val="-26"/>
          <w:sz w:val="16"/>
        </w:rPr>
        <w:t> </w:t>
      </w:r>
      <w:r>
        <w:rPr>
          <w:sz w:val="16"/>
        </w:rPr>
        <w:t>items</w:t>
      </w:r>
      <w:r>
        <w:rPr>
          <w:spacing w:val="-26"/>
          <w:sz w:val="16"/>
        </w:rPr>
        <w:t> </w:t>
      </w:r>
      <w:r>
        <w:rPr>
          <w:sz w:val="16"/>
        </w:rPr>
        <w:t>from</w:t>
      </w:r>
      <w:r>
        <w:rPr>
          <w:spacing w:val="-26"/>
          <w:sz w:val="16"/>
        </w:rPr>
        <w:t> </w:t>
      </w:r>
      <w:r>
        <w:rPr>
          <w:sz w:val="16"/>
        </w:rPr>
        <w:t>the</w:t>
      </w:r>
      <w:r>
        <w:rPr>
          <w:spacing w:val="-26"/>
          <w:sz w:val="16"/>
        </w:rPr>
        <w:t> </w:t>
      </w:r>
      <w:r>
        <w:rPr>
          <w:sz w:val="16"/>
        </w:rPr>
        <w:t>collection</w:t>
      </w:r>
      <w:r>
        <w:rPr>
          <w:spacing w:val="-26"/>
          <w:sz w:val="16"/>
        </w:rPr>
        <w:t> </w:t>
      </w:r>
      <w:r>
        <w:rPr>
          <w:sz w:val="16"/>
        </w:rPr>
        <w:t>were displayed on open days at the Institute; for VIP</w:t>
      </w:r>
      <w:r>
        <w:rPr>
          <w:spacing w:val="-20"/>
          <w:sz w:val="16"/>
        </w:rPr>
        <w:t> </w:t>
      </w:r>
      <w:r>
        <w:rPr>
          <w:sz w:val="16"/>
        </w:rPr>
        <w:t>visits</w:t>
      </w:r>
      <w:r>
        <w:rPr>
          <w:spacing w:val="-20"/>
          <w:sz w:val="16"/>
        </w:rPr>
        <w:t> </w:t>
      </w:r>
      <w:r>
        <w:rPr>
          <w:sz w:val="16"/>
        </w:rPr>
        <w:t>including</w:t>
      </w:r>
      <w:r>
        <w:rPr>
          <w:spacing w:val="-20"/>
          <w:sz w:val="16"/>
        </w:rPr>
        <w:t> </w:t>
      </w:r>
      <w:r>
        <w:rPr>
          <w:sz w:val="16"/>
        </w:rPr>
        <w:t>international</w:t>
      </w:r>
      <w:r>
        <w:rPr>
          <w:spacing w:val="-20"/>
          <w:sz w:val="16"/>
        </w:rPr>
        <w:t> </w:t>
      </w:r>
      <w:r>
        <w:rPr>
          <w:sz w:val="16"/>
        </w:rPr>
        <w:t>delegations; in</w:t>
      </w:r>
      <w:r>
        <w:rPr>
          <w:spacing w:val="-19"/>
          <w:sz w:val="16"/>
        </w:rPr>
        <w:t> </w:t>
      </w:r>
      <w:r>
        <w:rPr>
          <w:sz w:val="16"/>
        </w:rPr>
        <w:t>conjunction</w:t>
      </w:r>
      <w:r>
        <w:rPr>
          <w:spacing w:val="-19"/>
          <w:sz w:val="16"/>
        </w:rPr>
        <w:t> </w:t>
      </w:r>
      <w:r>
        <w:rPr>
          <w:sz w:val="16"/>
        </w:rPr>
        <w:t>with</w:t>
      </w:r>
      <w:r>
        <w:rPr>
          <w:spacing w:val="-19"/>
          <w:sz w:val="16"/>
        </w:rPr>
        <w:t> </w:t>
      </w:r>
      <w:r>
        <w:rPr>
          <w:sz w:val="16"/>
        </w:rPr>
        <w:t>the</w:t>
      </w:r>
      <w:r>
        <w:rPr>
          <w:spacing w:val="-19"/>
          <w:sz w:val="16"/>
        </w:rPr>
        <w:t> </w:t>
      </w:r>
      <w:r>
        <w:rPr>
          <w:sz w:val="16"/>
        </w:rPr>
        <w:t>Schools</w:t>
      </w:r>
      <w:r>
        <w:rPr>
          <w:spacing w:val="-19"/>
          <w:sz w:val="16"/>
        </w:rPr>
        <w:t> </w:t>
      </w:r>
      <w:r>
        <w:rPr>
          <w:sz w:val="16"/>
        </w:rPr>
        <w:t>Program;</w:t>
      </w:r>
    </w:p>
    <w:p>
      <w:pPr>
        <w:pStyle w:val="BodyText"/>
        <w:spacing w:line="249" w:lineRule="auto" w:before="1"/>
        <w:ind w:left="107"/>
      </w:pPr>
      <w:r>
        <w:rPr/>
        <w:t>and</w:t>
      </w:r>
      <w:r>
        <w:rPr>
          <w:spacing w:val="-18"/>
        </w:rPr>
        <w:t> </w:t>
      </w:r>
      <w:r>
        <w:rPr/>
        <w:t>to</w:t>
      </w:r>
      <w:r>
        <w:rPr>
          <w:spacing w:val="-18"/>
        </w:rPr>
        <w:t> </w:t>
      </w:r>
      <w:r>
        <w:rPr/>
        <w:t>supplement</w:t>
      </w:r>
      <w:r>
        <w:rPr>
          <w:spacing w:val="-18"/>
        </w:rPr>
        <w:t> </w:t>
      </w:r>
      <w:r>
        <w:rPr/>
        <w:t>relevant</w:t>
      </w:r>
      <w:r>
        <w:rPr>
          <w:spacing w:val="-18"/>
        </w:rPr>
        <w:t> </w:t>
      </w:r>
      <w:r>
        <w:rPr/>
        <w:t>exhibitions</w:t>
      </w:r>
      <w:r>
        <w:rPr>
          <w:spacing w:val="-18"/>
        </w:rPr>
        <w:t> </w:t>
      </w:r>
      <w:r>
        <w:rPr/>
        <w:t>in</w:t>
      </w:r>
      <w:r>
        <w:rPr>
          <w:spacing w:val="-18"/>
        </w:rPr>
        <w:t> </w:t>
      </w:r>
      <w:r>
        <w:rPr/>
        <w:t>the Margaret</w:t>
      </w:r>
      <w:r>
        <w:rPr>
          <w:spacing w:val="-27"/>
        </w:rPr>
        <w:t> </w:t>
      </w:r>
      <w:r>
        <w:rPr/>
        <w:t>Whitlam</w:t>
      </w:r>
      <w:r>
        <w:rPr>
          <w:spacing w:val="-27"/>
        </w:rPr>
        <w:t> </w:t>
      </w:r>
      <w:r>
        <w:rPr/>
        <w:t>Galleries.</w:t>
      </w:r>
    </w:p>
    <w:p>
      <w:pPr>
        <w:pStyle w:val="BodyText"/>
        <w:rPr>
          <w:sz w:val="14"/>
        </w:rPr>
      </w:pPr>
    </w:p>
    <w:p>
      <w:pPr>
        <w:spacing w:line="247" w:lineRule="auto" w:before="0"/>
        <w:ind w:left="107" w:right="9" w:firstLine="0"/>
        <w:jc w:val="left"/>
        <w:rPr>
          <w:sz w:val="16"/>
        </w:rPr>
      </w:pPr>
      <w:r>
        <w:rPr>
          <w:sz w:val="16"/>
        </w:rPr>
        <w:t>A number of notable 40th anniversaries were </w:t>
      </w:r>
      <w:r>
        <w:rPr>
          <w:w w:val="97"/>
          <w:sz w:val="16"/>
        </w:rPr>
        <w:t>marked </w:t>
      </w:r>
      <w:r>
        <w:rPr>
          <w:w w:val="95"/>
          <w:sz w:val="16"/>
        </w:rPr>
        <w:t>in </w:t>
      </w:r>
      <w:r>
        <w:rPr>
          <w:w w:val="84"/>
          <w:sz w:val="16"/>
        </w:rPr>
        <w:t>2015, </w:t>
      </w:r>
      <w:r>
        <w:rPr>
          <w:w w:val="97"/>
          <w:sz w:val="16"/>
        </w:rPr>
        <w:t>including </w:t>
      </w:r>
      <w:r>
        <w:rPr>
          <w:w w:val="97"/>
          <w:sz w:val="16"/>
        </w:rPr>
        <w:t>the </w:t>
      </w:r>
      <w:r>
        <w:rPr>
          <w:w w:val="97"/>
          <w:sz w:val="16"/>
        </w:rPr>
        <w:t>passing </w:t>
      </w:r>
      <w:r>
        <w:rPr>
          <w:w w:val="99"/>
          <w:sz w:val="16"/>
        </w:rPr>
        <w:t>of </w:t>
      </w:r>
      <w:r>
        <w:rPr>
          <w:w w:val="97"/>
          <w:sz w:val="16"/>
        </w:rPr>
        <w:t>the </w:t>
      </w:r>
      <w:r>
        <w:rPr>
          <w:rFonts w:ascii="Century Gothic"/>
          <w:i/>
          <w:w w:val="90"/>
          <w:sz w:val="16"/>
        </w:rPr>
        <w:t>Racial Discrimination Act 1975</w:t>
      </w:r>
      <w:r>
        <w:rPr>
          <w:w w:val="90"/>
          <w:sz w:val="16"/>
        </w:rPr>
        <w:t>, the handing</w:t>
      </w:r>
    </w:p>
    <w:p>
      <w:pPr>
        <w:pStyle w:val="BodyText"/>
        <w:spacing w:before="2"/>
        <w:rPr>
          <w:sz w:val="20"/>
        </w:rPr>
      </w:pPr>
      <w:r>
        <w:rPr/>
        <w:br w:type="column"/>
      </w:r>
      <w:r>
        <w:rPr>
          <w:sz w:val="20"/>
        </w:rPr>
      </w:r>
    </w:p>
    <w:p>
      <w:pPr>
        <w:pStyle w:val="BodyText"/>
        <w:spacing w:line="247" w:lineRule="auto"/>
        <w:ind w:left="107" w:right="72"/>
        <w:rPr>
          <w:rFonts w:ascii="Century Gothic" w:hAnsi="Century Gothic"/>
          <w:i/>
        </w:rPr>
      </w:pPr>
      <w:r>
        <w:rPr/>
        <w:t>back of traditional lands to the Gurindji people,</w:t>
      </w:r>
      <w:r>
        <w:rPr>
          <w:spacing w:val="-16"/>
        </w:rPr>
        <w:t> </w:t>
      </w:r>
      <w:r>
        <w:rPr/>
        <w:t>the</w:t>
      </w:r>
      <w:r>
        <w:rPr>
          <w:spacing w:val="-16"/>
        </w:rPr>
        <w:t> </w:t>
      </w:r>
      <w:r>
        <w:rPr/>
        <w:t>establishment</w:t>
      </w:r>
      <w:r>
        <w:rPr>
          <w:spacing w:val="-16"/>
        </w:rPr>
        <w:t> </w:t>
      </w:r>
      <w:r>
        <w:rPr/>
        <w:t>of</w:t>
      </w:r>
      <w:r>
        <w:rPr>
          <w:spacing w:val="-16"/>
        </w:rPr>
        <w:t> </w:t>
      </w:r>
      <w:r>
        <w:rPr/>
        <w:t>the</w:t>
      </w:r>
      <w:r>
        <w:rPr>
          <w:spacing w:val="-16"/>
        </w:rPr>
        <w:t> </w:t>
      </w:r>
      <w:r>
        <w:rPr/>
        <w:t>Law</w:t>
      </w:r>
      <w:r>
        <w:rPr>
          <w:spacing w:val="-16"/>
        </w:rPr>
        <w:t> </w:t>
      </w:r>
      <w:r>
        <w:rPr/>
        <w:t>Reform Commission</w:t>
      </w:r>
      <w:r>
        <w:rPr>
          <w:spacing w:val="-24"/>
        </w:rPr>
        <w:t> </w:t>
      </w:r>
      <w:r>
        <w:rPr/>
        <w:t>and</w:t>
      </w:r>
      <w:r>
        <w:rPr>
          <w:spacing w:val="-24"/>
        </w:rPr>
        <w:t> </w:t>
      </w:r>
      <w:r>
        <w:rPr/>
        <w:t>‘the</w:t>
      </w:r>
      <w:r>
        <w:rPr>
          <w:spacing w:val="-24"/>
        </w:rPr>
        <w:t> </w:t>
      </w:r>
      <w:r>
        <w:rPr/>
        <w:t>Dismissal’.</w:t>
      </w:r>
      <w:r>
        <w:rPr>
          <w:spacing w:val="-24"/>
        </w:rPr>
        <w:t> </w:t>
      </w:r>
      <w:r>
        <w:rPr/>
        <w:t>The</w:t>
      </w:r>
      <w:r>
        <w:rPr>
          <w:spacing w:val="-24"/>
        </w:rPr>
        <w:t> </w:t>
      </w:r>
      <w:r>
        <w:rPr/>
        <w:t>Institute was involved in marking these anniversaries and</w:t>
      </w:r>
      <w:r>
        <w:rPr>
          <w:spacing w:val="-19"/>
        </w:rPr>
        <w:t> </w:t>
      </w:r>
      <w:r>
        <w:rPr/>
        <w:t>published,</w:t>
      </w:r>
      <w:r>
        <w:rPr>
          <w:spacing w:val="-19"/>
        </w:rPr>
        <w:t> </w:t>
      </w:r>
      <w:r>
        <w:rPr/>
        <w:t>in</w:t>
      </w:r>
      <w:r>
        <w:rPr>
          <w:spacing w:val="-19"/>
        </w:rPr>
        <w:t> </w:t>
      </w:r>
      <w:r>
        <w:rPr/>
        <w:t>conjunction</w:t>
      </w:r>
      <w:r>
        <w:rPr>
          <w:spacing w:val="-19"/>
        </w:rPr>
        <w:t> </w:t>
      </w:r>
      <w:r>
        <w:rPr/>
        <w:t>with</w:t>
      </w:r>
      <w:r>
        <w:rPr>
          <w:spacing w:val="-19"/>
        </w:rPr>
        <w:t> </w:t>
      </w:r>
      <w:r>
        <w:rPr/>
        <w:t>the</w:t>
      </w:r>
      <w:r>
        <w:rPr>
          <w:spacing w:val="-19"/>
        </w:rPr>
        <w:t> </w:t>
      </w:r>
      <w:r>
        <w:rPr/>
        <w:t>Centre </w:t>
      </w:r>
      <w:r>
        <w:rPr>
          <w:w w:val="95"/>
        </w:rPr>
        <w:t>for</w:t>
      </w:r>
      <w:r>
        <w:rPr>
          <w:spacing w:val="-30"/>
          <w:w w:val="95"/>
        </w:rPr>
        <w:t> </w:t>
      </w:r>
      <w:r>
        <w:rPr>
          <w:w w:val="95"/>
        </w:rPr>
        <w:t>Media</w:t>
      </w:r>
      <w:r>
        <w:rPr>
          <w:spacing w:val="-30"/>
          <w:w w:val="95"/>
        </w:rPr>
        <w:t> </w:t>
      </w:r>
      <w:r>
        <w:rPr>
          <w:w w:val="95"/>
        </w:rPr>
        <w:t>History,</w:t>
      </w:r>
      <w:r>
        <w:rPr>
          <w:spacing w:val="-30"/>
          <w:w w:val="95"/>
        </w:rPr>
        <w:t> </w:t>
      </w:r>
      <w:r>
        <w:rPr>
          <w:rFonts w:ascii="Century Gothic" w:hAnsi="Century Gothic"/>
          <w:i/>
          <w:w w:val="95"/>
        </w:rPr>
        <w:t>Gough</w:t>
      </w:r>
      <w:r>
        <w:rPr>
          <w:rFonts w:ascii="Century Gothic" w:hAnsi="Century Gothic"/>
          <w:i/>
          <w:spacing w:val="-25"/>
          <w:w w:val="95"/>
        </w:rPr>
        <w:t> </w:t>
      </w:r>
      <w:r>
        <w:rPr>
          <w:rFonts w:ascii="Century Gothic" w:hAnsi="Century Gothic"/>
          <w:i/>
          <w:w w:val="95"/>
        </w:rPr>
        <w:t>Whitlam,</w:t>
      </w:r>
      <w:r>
        <w:rPr>
          <w:rFonts w:ascii="Century Gothic" w:hAnsi="Century Gothic"/>
          <w:i/>
          <w:spacing w:val="-25"/>
          <w:w w:val="95"/>
        </w:rPr>
        <w:t> </w:t>
      </w:r>
      <w:r>
        <w:rPr>
          <w:rFonts w:ascii="Century Gothic" w:hAnsi="Century Gothic"/>
          <w:i/>
          <w:w w:val="95"/>
        </w:rPr>
        <w:t>Double</w:t>
      </w:r>
    </w:p>
    <w:p>
      <w:pPr>
        <w:spacing w:line="247" w:lineRule="auto" w:before="0"/>
        <w:ind w:left="107" w:right="6" w:firstLine="0"/>
        <w:jc w:val="left"/>
        <w:rPr>
          <w:sz w:val="16"/>
        </w:rPr>
      </w:pPr>
      <w:r>
        <w:rPr>
          <w:rFonts w:ascii="Century Gothic" w:hAnsi="Century Gothic"/>
          <w:i/>
          <w:sz w:val="16"/>
        </w:rPr>
        <w:t>J</w:t>
      </w:r>
      <w:r>
        <w:rPr>
          <w:rFonts w:ascii="Century Gothic" w:hAnsi="Century Gothic"/>
          <w:i/>
          <w:spacing w:val="-28"/>
          <w:sz w:val="16"/>
        </w:rPr>
        <w:t> </w:t>
      </w:r>
      <w:r>
        <w:rPr>
          <w:rFonts w:ascii="Century Gothic" w:hAnsi="Century Gothic"/>
          <w:i/>
          <w:sz w:val="16"/>
        </w:rPr>
        <w:t>and</w:t>
      </w:r>
      <w:r>
        <w:rPr>
          <w:rFonts w:ascii="Century Gothic" w:hAnsi="Century Gothic"/>
          <w:i/>
          <w:spacing w:val="-28"/>
          <w:sz w:val="16"/>
        </w:rPr>
        <w:t> </w:t>
      </w:r>
      <w:r>
        <w:rPr>
          <w:rFonts w:ascii="Century Gothic" w:hAnsi="Century Gothic"/>
          <w:i/>
          <w:sz w:val="16"/>
        </w:rPr>
        <w:t>the</w:t>
      </w:r>
      <w:r>
        <w:rPr>
          <w:rFonts w:ascii="Century Gothic" w:hAnsi="Century Gothic"/>
          <w:i/>
          <w:spacing w:val="-28"/>
          <w:sz w:val="16"/>
        </w:rPr>
        <w:t> </w:t>
      </w:r>
      <w:r>
        <w:rPr>
          <w:rFonts w:ascii="Century Gothic" w:hAnsi="Century Gothic"/>
          <w:i/>
          <w:sz w:val="16"/>
        </w:rPr>
        <w:t>Youth</w:t>
      </w:r>
      <w:r>
        <w:rPr>
          <w:rFonts w:ascii="Century Gothic" w:hAnsi="Century Gothic"/>
          <w:i/>
          <w:spacing w:val="-28"/>
          <w:sz w:val="16"/>
        </w:rPr>
        <w:t> </w:t>
      </w:r>
      <w:r>
        <w:rPr>
          <w:rFonts w:ascii="Century Gothic" w:hAnsi="Century Gothic"/>
          <w:i/>
          <w:sz w:val="16"/>
        </w:rPr>
        <w:t>Radio</w:t>
      </w:r>
      <w:r>
        <w:rPr>
          <w:rFonts w:ascii="Century Gothic" w:hAnsi="Century Gothic"/>
          <w:i/>
          <w:spacing w:val="-28"/>
          <w:sz w:val="16"/>
        </w:rPr>
        <w:t> </w:t>
      </w:r>
      <w:r>
        <w:rPr>
          <w:rFonts w:ascii="Century Gothic" w:hAnsi="Century Gothic"/>
          <w:i/>
          <w:sz w:val="16"/>
        </w:rPr>
        <w:t>Revolution</w:t>
      </w:r>
      <w:r>
        <w:rPr>
          <w:rFonts w:ascii="Century Gothic" w:hAnsi="Century Gothic"/>
          <w:i/>
          <w:spacing w:val="-28"/>
          <w:sz w:val="16"/>
        </w:rPr>
        <w:t> </w:t>
      </w:r>
      <w:r>
        <w:rPr>
          <w:sz w:val="16"/>
        </w:rPr>
        <w:t>by</w:t>
      </w:r>
      <w:r>
        <w:rPr>
          <w:spacing w:val="-33"/>
          <w:sz w:val="16"/>
        </w:rPr>
        <w:t> </w:t>
      </w:r>
      <w:r>
        <w:rPr>
          <w:sz w:val="16"/>
        </w:rPr>
        <w:t>Dr</w:t>
      </w:r>
      <w:r>
        <w:rPr>
          <w:spacing w:val="-33"/>
          <w:sz w:val="16"/>
        </w:rPr>
        <w:t> </w:t>
      </w:r>
      <w:r>
        <w:rPr>
          <w:sz w:val="16"/>
        </w:rPr>
        <w:t>Liz Giuffre</w:t>
      </w:r>
      <w:r>
        <w:rPr>
          <w:spacing w:val="-18"/>
          <w:sz w:val="16"/>
        </w:rPr>
        <w:t> </w:t>
      </w:r>
      <w:r>
        <w:rPr>
          <w:sz w:val="16"/>
        </w:rPr>
        <w:t>under</w:t>
      </w:r>
      <w:r>
        <w:rPr>
          <w:spacing w:val="-18"/>
          <w:sz w:val="16"/>
        </w:rPr>
        <w:t> </w:t>
      </w:r>
      <w:r>
        <w:rPr>
          <w:sz w:val="16"/>
        </w:rPr>
        <w:t>the</w:t>
      </w:r>
      <w:r>
        <w:rPr>
          <w:spacing w:val="-18"/>
          <w:sz w:val="16"/>
        </w:rPr>
        <w:t> </w:t>
      </w:r>
      <w:r>
        <w:rPr>
          <w:sz w:val="16"/>
        </w:rPr>
        <w:t>Institute’s</w:t>
      </w:r>
      <w:r>
        <w:rPr>
          <w:spacing w:val="-18"/>
          <w:sz w:val="16"/>
        </w:rPr>
        <w:t> </w:t>
      </w:r>
      <w:r>
        <w:rPr>
          <w:sz w:val="16"/>
        </w:rPr>
        <w:t>‘Whitlam</w:t>
      </w:r>
      <w:r>
        <w:rPr>
          <w:spacing w:val="-18"/>
          <w:sz w:val="16"/>
        </w:rPr>
        <w:t> </w:t>
      </w:r>
      <w:r>
        <w:rPr>
          <w:sz w:val="16"/>
        </w:rPr>
        <w:t>Legacy’ series.</w:t>
      </w:r>
    </w:p>
    <w:p>
      <w:pPr>
        <w:pStyle w:val="BodyText"/>
        <w:spacing w:before="9"/>
        <w:rPr>
          <w:sz w:val="21"/>
        </w:rPr>
      </w:pPr>
    </w:p>
    <w:p>
      <w:pPr>
        <w:pStyle w:val="Heading8"/>
        <w:ind w:right="6"/>
      </w:pPr>
      <w:r>
        <w:rPr>
          <w:w w:val="95"/>
        </w:rPr>
        <w:t>WHITLAM INSTITUTE PROGRAM</w:t>
      </w:r>
    </w:p>
    <w:p>
      <w:pPr>
        <w:pStyle w:val="BodyText"/>
        <w:spacing w:line="249" w:lineRule="auto" w:before="86"/>
        <w:ind w:left="107" w:right="50"/>
      </w:pPr>
      <w:r>
        <w:rPr/>
        <w:t>The</w:t>
      </w:r>
      <w:r>
        <w:rPr>
          <w:spacing w:val="-20"/>
        </w:rPr>
        <w:t> </w:t>
      </w:r>
      <w:r>
        <w:rPr/>
        <w:t>Whitlam</w:t>
      </w:r>
      <w:r>
        <w:rPr>
          <w:spacing w:val="-20"/>
        </w:rPr>
        <w:t> </w:t>
      </w:r>
      <w:r>
        <w:rPr/>
        <w:t>Institute’s</w:t>
      </w:r>
      <w:r>
        <w:rPr>
          <w:spacing w:val="-20"/>
        </w:rPr>
        <w:t> </w:t>
      </w:r>
      <w:r>
        <w:rPr/>
        <w:t>public</w:t>
      </w:r>
      <w:r>
        <w:rPr>
          <w:spacing w:val="-20"/>
        </w:rPr>
        <w:t> </w:t>
      </w:r>
      <w:r>
        <w:rPr/>
        <w:t>policy</w:t>
      </w:r>
      <w:r>
        <w:rPr>
          <w:spacing w:val="-20"/>
        </w:rPr>
        <w:t> </w:t>
      </w:r>
      <w:r>
        <w:rPr/>
        <w:t>research program and related activity has continued to</w:t>
      </w:r>
      <w:r>
        <w:rPr>
          <w:spacing w:val="-30"/>
        </w:rPr>
        <w:t> </w:t>
      </w:r>
      <w:r>
        <w:rPr/>
        <w:t>grow.</w:t>
      </w:r>
    </w:p>
    <w:p>
      <w:pPr>
        <w:pStyle w:val="BodyText"/>
        <w:rPr>
          <w:sz w:val="14"/>
        </w:rPr>
      </w:pPr>
    </w:p>
    <w:p>
      <w:pPr>
        <w:pStyle w:val="BodyText"/>
        <w:ind w:left="107" w:right="6"/>
      </w:pPr>
      <w:r>
        <w:rPr/>
        <w:t>Public policy research activity includes:</w:t>
      </w:r>
    </w:p>
    <w:p>
      <w:pPr>
        <w:pStyle w:val="BodyText"/>
        <w:spacing w:before="7"/>
        <w:rPr>
          <w:sz w:val="14"/>
        </w:rPr>
      </w:pPr>
    </w:p>
    <w:p>
      <w:pPr>
        <w:pStyle w:val="BodyText"/>
        <w:spacing w:line="247" w:lineRule="auto"/>
        <w:ind w:left="333" w:right="25" w:hanging="227"/>
      </w:pPr>
      <w:r>
        <w:rPr>
          <w:rFonts w:ascii="Century Gothic" w:hAnsi="Century Gothic"/>
          <w:b/>
          <w:w w:val="115"/>
        </w:rPr>
        <w:t>≥ </w:t>
      </w:r>
      <w:r>
        <w:rPr/>
        <w:t>the ongoing and substantial Human Rights and Public Life program led by Professor Anna Yeatman, Professorial Research Fellow at the Institute</w:t>
      </w:r>
    </w:p>
    <w:p>
      <w:pPr>
        <w:pStyle w:val="BodyText"/>
        <w:spacing w:line="247" w:lineRule="auto" w:before="57"/>
        <w:ind w:left="333" w:right="20" w:hanging="227"/>
      </w:pPr>
      <w:r>
        <w:rPr>
          <w:rFonts w:ascii="Century Gothic" w:hAnsi="Century Gothic"/>
          <w:b/>
          <w:w w:val="115"/>
        </w:rPr>
        <w:t>≥ </w:t>
      </w:r>
      <w:r>
        <w:rPr/>
        <w:t>policy essays addressing historical aspects of the Whitlam program (published under the ‘Whitlam Legacy’ series) and areas of contemporary policy relevance (published under the ‘Perspectives’ series)</w:t>
      </w:r>
    </w:p>
    <w:p>
      <w:pPr>
        <w:pStyle w:val="BodyText"/>
        <w:spacing w:line="247" w:lineRule="auto" w:before="57"/>
        <w:ind w:left="333" w:right="6" w:hanging="227"/>
      </w:pPr>
      <w:r>
        <w:rPr>
          <w:rFonts w:ascii="Century Gothic" w:hAnsi="Century Gothic"/>
          <w:b/>
          <w:w w:val="115"/>
        </w:rPr>
        <w:t>≥ </w:t>
      </w:r>
      <w:r>
        <w:rPr/>
        <w:t>longer term research projects – most notably,</w:t>
      </w:r>
      <w:r>
        <w:rPr>
          <w:spacing w:val="-17"/>
        </w:rPr>
        <w:t> </w:t>
      </w:r>
      <w:r>
        <w:rPr/>
        <w:t>those</w:t>
      </w:r>
      <w:r>
        <w:rPr>
          <w:spacing w:val="-17"/>
        </w:rPr>
        <w:t> </w:t>
      </w:r>
      <w:r>
        <w:rPr/>
        <w:t>on</w:t>
      </w:r>
      <w:r>
        <w:rPr>
          <w:spacing w:val="-17"/>
        </w:rPr>
        <w:t> </w:t>
      </w:r>
      <w:r>
        <w:rPr/>
        <w:t>the</w:t>
      </w:r>
      <w:r>
        <w:rPr>
          <w:spacing w:val="-17"/>
        </w:rPr>
        <w:t> </w:t>
      </w:r>
      <w:r>
        <w:rPr/>
        <w:t>effect</w:t>
      </w:r>
      <w:r>
        <w:rPr>
          <w:spacing w:val="-17"/>
        </w:rPr>
        <w:t> </w:t>
      </w:r>
      <w:r>
        <w:rPr/>
        <w:t>of</w:t>
      </w:r>
      <w:r>
        <w:rPr>
          <w:spacing w:val="-17"/>
        </w:rPr>
        <w:t> </w:t>
      </w:r>
      <w:r>
        <w:rPr/>
        <w:t>high-stakes testing</w:t>
      </w:r>
      <w:r>
        <w:rPr>
          <w:spacing w:val="-12"/>
        </w:rPr>
        <w:t> </w:t>
      </w:r>
      <w:r>
        <w:rPr/>
        <w:t>on</w:t>
      </w:r>
      <w:r>
        <w:rPr>
          <w:spacing w:val="-12"/>
        </w:rPr>
        <w:t> </w:t>
      </w:r>
      <w:r>
        <w:rPr/>
        <w:t>school</w:t>
      </w:r>
      <w:r>
        <w:rPr>
          <w:spacing w:val="-12"/>
        </w:rPr>
        <w:t> </w:t>
      </w:r>
      <w:r>
        <w:rPr/>
        <w:t>students</w:t>
      </w:r>
      <w:r>
        <w:rPr>
          <w:spacing w:val="-12"/>
        </w:rPr>
        <w:t> </w:t>
      </w:r>
      <w:r>
        <w:rPr/>
        <w:t>and</w:t>
      </w:r>
      <w:r>
        <w:rPr>
          <w:spacing w:val="-12"/>
        </w:rPr>
        <w:t> </w:t>
      </w:r>
      <w:r>
        <w:rPr/>
        <w:t>on</w:t>
      </w:r>
      <w:r>
        <w:rPr>
          <w:spacing w:val="-12"/>
        </w:rPr>
        <w:t> </w:t>
      </w:r>
      <w:r>
        <w:rPr/>
        <w:t>political participation by younger</w:t>
      </w:r>
      <w:r>
        <w:rPr>
          <w:spacing w:val="-33"/>
        </w:rPr>
        <w:t> </w:t>
      </w:r>
      <w:r>
        <w:rPr/>
        <w:t>Australians</w:t>
      </w:r>
    </w:p>
    <w:p>
      <w:pPr>
        <w:pStyle w:val="BodyText"/>
        <w:spacing w:before="57"/>
        <w:ind w:left="107" w:right="6"/>
      </w:pPr>
      <w:r>
        <w:rPr>
          <w:rFonts w:ascii="Century Gothic" w:hAnsi="Century Gothic"/>
          <w:b/>
          <w:w w:val="115"/>
        </w:rPr>
        <w:t>≥ </w:t>
      </w:r>
      <w:r>
        <w:rPr>
          <w:w w:val="105"/>
        </w:rPr>
        <w:t>public seminars, forums and talks.</w:t>
      </w:r>
    </w:p>
    <w:p>
      <w:pPr>
        <w:pStyle w:val="BodyText"/>
        <w:spacing w:before="5"/>
        <w:rPr>
          <w:sz w:val="14"/>
        </w:rPr>
      </w:pPr>
    </w:p>
    <w:p>
      <w:pPr>
        <w:pStyle w:val="BodyText"/>
        <w:spacing w:line="249" w:lineRule="auto"/>
        <w:ind w:left="107" w:right="103"/>
      </w:pPr>
      <w:r>
        <w:rPr>
          <w:w w:val="80"/>
        </w:rPr>
        <w:t>In </w:t>
      </w:r>
      <w:r>
        <w:rPr>
          <w:w w:val="97"/>
        </w:rPr>
        <w:t>the </w:t>
      </w:r>
      <w:r>
        <w:rPr>
          <w:w w:val="97"/>
        </w:rPr>
        <w:t>first </w:t>
      </w:r>
      <w:r>
        <w:rPr>
          <w:w w:val="93"/>
        </w:rPr>
        <w:t>major </w:t>
      </w:r>
      <w:r>
        <w:rPr>
          <w:w w:val="98"/>
        </w:rPr>
        <w:t>event </w:t>
      </w:r>
      <w:r>
        <w:rPr>
          <w:w w:val="99"/>
        </w:rPr>
        <w:t>of </w:t>
      </w:r>
      <w:r>
        <w:rPr>
          <w:w w:val="84"/>
        </w:rPr>
        <w:t>2015, </w:t>
      </w:r>
      <w:r>
        <w:rPr>
          <w:w w:val="96"/>
        </w:rPr>
        <w:t>Mr </w:t>
      </w:r>
      <w:r>
        <w:rPr>
          <w:w w:val="96"/>
        </w:rPr>
        <w:t>Graham </w:t>
      </w:r>
      <w:r>
        <w:rPr/>
        <w:t>Freudenberg, AM, author and political speechwriter for the Australian Labor Party, delivered the Commemorative Gough Whitlam Oration to a packed St Kilda Town Hall in Melbourne on 4 March.</w:t>
      </w:r>
    </w:p>
    <w:p>
      <w:pPr>
        <w:pStyle w:val="BodyText"/>
        <w:rPr>
          <w:sz w:val="14"/>
        </w:rPr>
      </w:pPr>
    </w:p>
    <w:p>
      <w:pPr>
        <w:pStyle w:val="BodyText"/>
        <w:spacing w:line="249" w:lineRule="auto"/>
        <w:ind w:left="107" w:right="-1"/>
      </w:pPr>
      <w:r>
        <w:rPr/>
        <w:t>A central feature of the Institute’s public policy work is the Human Rights and Public Life program. In August, the Institute once again</w:t>
      </w:r>
      <w:r>
        <w:rPr>
          <w:spacing w:val="-17"/>
        </w:rPr>
        <w:t> </w:t>
      </w:r>
      <w:r>
        <w:rPr/>
        <w:t>held</w:t>
      </w:r>
      <w:r>
        <w:rPr>
          <w:spacing w:val="-17"/>
        </w:rPr>
        <w:t> </w:t>
      </w:r>
      <w:r>
        <w:rPr/>
        <w:t>an</w:t>
      </w:r>
      <w:r>
        <w:rPr>
          <w:spacing w:val="-17"/>
        </w:rPr>
        <w:t> </w:t>
      </w:r>
      <w:r>
        <w:rPr/>
        <w:t>international</w:t>
      </w:r>
      <w:r>
        <w:rPr>
          <w:spacing w:val="-17"/>
        </w:rPr>
        <w:t> </w:t>
      </w:r>
      <w:r>
        <w:rPr/>
        <w:t>Whitlam</w:t>
      </w:r>
      <w:r>
        <w:rPr>
          <w:spacing w:val="-17"/>
        </w:rPr>
        <w:t> </w:t>
      </w:r>
      <w:r>
        <w:rPr/>
        <w:t>Workshop on ‘Reclaiming the Public’, which attracted leading international and Australian scholars. In addition, a major one-day public forum on ‘Gough Whitlam and the Social Democratic Imagination’ was held in November with leading</w:t>
      </w:r>
      <w:r>
        <w:rPr>
          <w:spacing w:val="-13"/>
        </w:rPr>
        <w:t> </w:t>
      </w:r>
      <w:r>
        <w:rPr/>
        <w:t>public</w:t>
      </w:r>
      <w:r>
        <w:rPr>
          <w:spacing w:val="-13"/>
        </w:rPr>
        <w:t> </w:t>
      </w:r>
      <w:r>
        <w:rPr/>
        <w:t>intellectuals</w:t>
      </w:r>
      <w:r>
        <w:rPr>
          <w:spacing w:val="-13"/>
        </w:rPr>
        <w:t> </w:t>
      </w:r>
      <w:r>
        <w:rPr/>
        <w:t>including</w:t>
      </w:r>
      <w:r>
        <w:rPr>
          <w:spacing w:val="-13"/>
        </w:rPr>
        <w:t> </w:t>
      </w:r>
      <w:r>
        <w:rPr/>
        <w:t>Professor Mick</w:t>
      </w:r>
      <w:r>
        <w:rPr>
          <w:spacing w:val="-21"/>
        </w:rPr>
        <w:t> </w:t>
      </w:r>
      <w:r>
        <w:rPr>
          <w:spacing w:val="2"/>
        </w:rPr>
        <w:t>Dodson,</w:t>
      </w:r>
      <w:r>
        <w:rPr>
          <w:spacing w:val="-21"/>
        </w:rPr>
        <w:t> </w:t>
      </w:r>
      <w:r>
        <w:rPr/>
        <w:t>the</w:t>
      </w:r>
      <w:r>
        <w:rPr>
          <w:spacing w:val="-21"/>
        </w:rPr>
        <w:t> </w:t>
      </w:r>
      <w:r>
        <w:rPr>
          <w:spacing w:val="2"/>
        </w:rPr>
        <w:t>Hon.</w:t>
      </w:r>
      <w:r>
        <w:rPr>
          <w:spacing w:val="-21"/>
        </w:rPr>
        <w:t> </w:t>
      </w:r>
      <w:r>
        <w:rPr>
          <w:spacing w:val="2"/>
        </w:rPr>
        <w:t>Barry</w:t>
      </w:r>
      <w:r>
        <w:rPr>
          <w:spacing w:val="-21"/>
        </w:rPr>
        <w:t> </w:t>
      </w:r>
      <w:r>
        <w:rPr>
          <w:spacing w:val="2"/>
        </w:rPr>
        <w:t>Jones,</w:t>
      </w:r>
      <w:r>
        <w:rPr>
          <w:spacing w:val="-21"/>
        </w:rPr>
        <w:t> </w:t>
      </w:r>
      <w:r>
        <w:rPr/>
        <w:t>Professor Jenny Hocking and Mr Freudenberg. The Institute also published two volumes of </w:t>
      </w:r>
      <w:r>
        <w:rPr>
          <w:spacing w:val="1"/>
          <w:w w:val="98"/>
        </w:rPr>
        <w:t>‘working</w:t>
      </w:r>
      <w:r>
        <w:rPr>
          <w:w w:val="98"/>
        </w:rPr>
        <w:t> </w:t>
      </w:r>
      <w:r>
        <w:rPr>
          <w:spacing w:val="1"/>
          <w:w w:val="97"/>
        </w:rPr>
        <w:t>papers’</w:t>
      </w:r>
      <w:r>
        <w:rPr>
          <w:w w:val="97"/>
        </w:rPr>
        <w:t> </w:t>
      </w:r>
      <w:r>
        <w:rPr>
          <w:w w:val="95"/>
        </w:rPr>
        <w:t>in</w:t>
      </w:r>
      <w:r>
        <w:rPr>
          <w:spacing w:val="-12"/>
          <w:w w:val="95"/>
        </w:rPr>
        <w:t> </w:t>
      </w:r>
      <w:r>
        <w:rPr>
          <w:spacing w:val="1"/>
          <w:w w:val="84"/>
        </w:rPr>
        <w:t>2015.</w:t>
      </w:r>
    </w:p>
    <w:p>
      <w:pPr>
        <w:pStyle w:val="BodyText"/>
        <w:spacing w:before="2"/>
        <w:rPr>
          <w:sz w:val="20"/>
        </w:rPr>
      </w:pPr>
      <w:r>
        <w:rPr/>
        <w:br w:type="column"/>
      </w:r>
      <w:r>
        <w:rPr>
          <w:sz w:val="20"/>
        </w:rPr>
      </w:r>
    </w:p>
    <w:p>
      <w:pPr>
        <w:pStyle w:val="BodyText"/>
        <w:spacing w:line="247" w:lineRule="auto"/>
        <w:ind w:left="107" w:right="206"/>
      </w:pPr>
      <w:r>
        <w:rPr/>
        <w:t>The Institute mounted a full calendar of public events covering a diverse range of issues,</w:t>
      </w:r>
      <w:r>
        <w:rPr>
          <w:spacing w:val="-20"/>
        </w:rPr>
        <w:t> </w:t>
      </w:r>
      <w:r>
        <w:rPr/>
        <w:t>with</w:t>
      </w:r>
      <w:r>
        <w:rPr>
          <w:spacing w:val="-20"/>
        </w:rPr>
        <w:t> </w:t>
      </w:r>
      <w:r>
        <w:rPr/>
        <w:t>prominent</w:t>
      </w:r>
      <w:r>
        <w:rPr>
          <w:spacing w:val="-20"/>
        </w:rPr>
        <w:t> </w:t>
      </w:r>
      <w:r>
        <w:rPr/>
        <w:t>speakers</w:t>
      </w:r>
      <w:r>
        <w:rPr>
          <w:spacing w:val="-20"/>
        </w:rPr>
        <w:t> </w:t>
      </w:r>
      <w:r>
        <w:rPr/>
        <w:t>including</w:t>
      </w:r>
      <w:r>
        <w:rPr>
          <w:spacing w:val="-20"/>
        </w:rPr>
        <w:t> </w:t>
      </w:r>
      <w:r>
        <w:rPr/>
        <w:t>US Consul General Hugo Llorens speaking on the clean-tech revolution; panels discussing Australia’s security legislation and the politics of the death penalty; and Stephen FitzGerald</w:t>
      </w:r>
      <w:r>
        <w:rPr>
          <w:spacing w:val="-32"/>
        </w:rPr>
        <w:t> </w:t>
      </w:r>
      <w:r>
        <w:rPr/>
        <w:t>speaking</w:t>
      </w:r>
      <w:r>
        <w:rPr>
          <w:spacing w:val="-32"/>
        </w:rPr>
        <w:t> </w:t>
      </w:r>
      <w:r>
        <w:rPr/>
        <w:t>on</w:t>
      </w:r>
      <w:r>
        <w:rPr>
          <w:spacing w:val="-32"/>
        </w:rPr>
        <w:t> </w:t>
      </w:r>
      <w:r>
        <w:rPr/>
        <w:t>his</w:t>
      </w:r>
      <w:r>
        <w:rPr>
          <w:spacing w:val="-32"/>
        </w:rPr>
        <w:t> </w:t>
      </w:r>
      <w:r>
        <w:rPr/>
        <w:t>memoir</w:t>
      </w:r>
      <w:r>
        <w:rPr>
          <w:spacing w:val="-32"/>
        </w:rPr>
        <w:t> </w:t>
      </w:r>
      <w:r>
        <w:rPr>
          <w:rFonts w:ascii="Century Gothic" w:hAnsi="Century Gothic"/>
          <w:i/>
        </w:rPr>
        <w:t>Comrade </w:t>
      </w:r>
      <w:r>
        <w:rPr>
          <w:rFonts w:ascii="Century Gothic" w:hAnsi="Century Gothic"/>
          <w:i/>
          <w:w w:val="90"/>
        </w:rPr>
        <w:t>Ambassador: Whitlam’s Beijing</w:t>
      </w:r>
      <w:r>
        <w:rPr>
          <w:rFonts w:ascii="Century Gothic" w:hAnsi="Century Gothic"/>
          <w:i/>
          <w:spacing w:val="-15"/>
          <w:w w:val="90"/>
        </w:rPr>
        <w:t> </w:t>
      </w:r>
      <w:r>
        <w:rPr>
          <w:rFonts w:ascii="Century Gothic" w:hAnsi="Century Gothic"/>
          <w:i/>
          <w:spacing w:val="-3"/>
          <w:w w:val="90"/>
        </w:rPr>
        <w:t>Envoy</w:t>
      </w:r>
      <w:r>
        <w:rPr>
          <w:spacing w:val="-3"/>
          <w:w w:val="90"/>
        </w:rPr>
        <w:t>.</w:t>
      </w:r>
    </w:p>
    <w:p>
      <w:pPr>
        <w:pStyle w:val="BodyText"/>
        <w:spacing w:before="12"/>
        <w:rPr>
          <w:sz w:val="13"/>
        </w:rPr>
      </w:pPr>
    </w:p>
    <w:p>
      <w:pPr>
        <w:pStyle w:val="BodyText"/>
        <w:spacing w:line="249" w:lineRule="auto"/>
        <w:ind w:left="107" w:right="21"/>
      </w:pPr>
      <w:r>
        <w:rPr/>
        <w:t>Dr Kristen Rundle was appointed as a Whitlam </w:t>
      </w:r>
      <w:r>
        <w:rPr>
          <w:w w:val="94"/>
        </w:rPr>
        <w:t>Institute </w:t>
      </w:r>
      <w:r>
        <w:rPr>
          <w:w w:val="99"/>
        </w:rPr>
        <w:t>Fellow </w:t>
      </w:r>
      <w:r>
        <w:rPr>
          <w:w w:val="95"/>
        </w:rPr>
        <w:t>in </w:t>
      </w:r>
      <w:r>
        <w:rPr>
          <w:w w:val="84"/>
        </w:rPr>
        <w:t>2015, </w:t>
      </w:r>
      <w:r>
        <w:rPr>
          <w:w w:val="98"/>
        </w:rPr>
        <w:t>following </w:t>
      </w:r>
      <w:r>
        <w:rPr>
          <w:w w:val="97"/>
        </w:rPr>
        <w:t>the </w:t>
      </w:r>
      <w:r>
        <w:rPr>
          <w:w w:val="90"/>
        </w:rPr>
        <w:t>2014 </w:t>
      </w:r>
      <w:r>
        <w:rPr/>
        <w:t>appointment of Professor Hocking as the inaugural Whitlam Institute Distinguished Fellow.</w:t>
      </w:r>
    </w:p>
    <w:p>
      <w:pPr>
        <w:pStyle w:val="BodyText"/>
        <w:spacing w:before="7"/>
        <w:rPr>
          <w:sz w:val="21"/>
        </w:rPr>
      </w:pPr>
    </w:p>
    <w:p>
      <w:pPr>
        <w:pStyle w:val="Heading8"/>
        <w:ind w:right="224"/>
      </w:pPr>
      <w:r>
        <w:rPr>
          <w:w w:val="95"/>
        </w:rPr>
        <w:t>EDUCATION AND OUTREACH  PROGRAM</w:t>
      </w:r>
    </w:p>
    <w:p>
      <w:pPr>
        <w:pStyle w:val="BodyText"/>
        <w:spacing w:line="249" w:lineRule="auto" w:before="86"/>
        <w:ind w:left="107" w:right="224"/>
      </w:pPr>
      <w:r>
        <w:rPr/>
        <w:t>The</w:t>
      </w:r>
      <w:r>
        <w:rPr>
          <w:spacing w:val="-20"/>
        </w:rPr>
        <w:t> </w:t>
      </w:r>
      <w:r>
        <w:rPr/>
        <w:t>Institute</w:t>
      </w:r>
      <w:r>
        <w:rPr>
          <w:spacing w:val="-20"/>
        </w:rPr>
        <w:t> </w:t>
      </w:r>
      <w:r>
        <w:rPr/>
        <w:t>runs</w:t>
      </w:r>
      <w:r>
        <w:rPr>
          <w:spacing w:val="-20"/>
        </w:rPr>
        <w:t> </w:t>
      </w:r>
      <w:r>
        <w:rPr/>
        <w:t>a</w:t>
      </w:r>
      <w:r>
        <w:rPr>
          <w:spacing w:val="-20"/>
        </w:rPr>
        <w:t> </w:t>
      </w:r>
      <w:r>
        <w:rPr/>
        <w:t>diverse</w:t>
      </w:r>
      <w:r>
        <w:rPr>
          <w:spacing w:val="-20"/>
        </w:rPr>
        <w:t> </w:t>
      </w:r>
      <w:r>
        <w:rPr/>
        <w:t>program</w:t>
      </w:r>
      <w:r>
        <w:rPr>
          <w:spacing w:val="-20"/>
        </w:rPr>
        <w:t> </w:t>
      </w:r>
      <w:r>
        <w:rPr/>
        <w:t>of education</w:t>
      </w:r>
      <w:r>
        <w:rPr>
          <w:spacing w:val="-15"/>
        </w:rPr>
        <w:t> </w:t>
      </w:r>
      <w:r>
        <w:rPr/>
        <w:t>and</w:t>
      </w:r>
      <w:r>
        <w:rPr>
          <w:spacing w:val="-15"/>
        </w:rPr>
        <w:t> </w:t>
      </w:r>
      <w:r>
        <w:rPr/>
        <w:t>community</w:t>
      </w:r>
      <w:r>
        <w:rPr>
          <w:spacing w:val="-15"/>
        </w:rPr>
        <w:t> </w:t>
      </w:r>
      <w:r>
        <w:rPr/>
        <w:t>activities.</w:t>
      </w:r>
    </w:p>
    <w:p>
      <w:pPr>
        <w:pStyle w:val="BodyText"/>
        <w:spacing w:line="249" w:lineRule="auto"/>
        <w:ind w:left="107" w:right="268"/>
      </w:pPr>
      <w:r>
        <w:rPr/>
        <w:t>Its Schools Program has a strong civics orientation across colonial history, heritage and contemporary democratic history, systems and institutions. The community activities include heritage tours, historical insights and curatorial lectures.</w:t>
      </w:r>
    </w:p>
    <w:p>
      <w:pPr>
        <w:pStyle w:val="BodyText"/>
        <w:rPr>
          <w:sz w:val="14"/>
        </w:rPr>
      </w:pPr>
    </w:p>
    <w:p>
      <w:pPr>
        <w:pStyle w:val="BodyText"/>
        <w:spacing w:line="249" w:lineRule="auto"/>
        <w:ind w:left="107" w:right="152"/>
      </w:pPr>
      <w:r>
        <w:rPr/>
        <w:t>Alongside these more formal activities, the Institute</w:t>
      </w:r>
      <w:r>
        <w:rPr>
          <w:spacing w:val="-19"/>
        </w:rPr>
        <w:t> </w:t>
      </w:r>
      <w:r>
        <w:rPr/>
        <w:t>holds</w:t>
      </w:r>
      <w:r>
        <w:rPr>
          <w:spacing w:val="-19"/>
        </w:rPr>
        <w:t> </w:t>
      </w:r>
      <w:r>
        <w:rPr/>
        <w:t>regular</w:t>
      </w:r>
      <w:r>
        <w:rPr>
          <w:spacing w:val="-19"/>
        </w:rPr>
        <w:t> </w:t>
      </w:r>
      <w:r>
        <w:rPr/>
        <w:t>weekend</w:t>
      </w:r>
      <w:r>
        <w:rPr>
          <w:spacing w:val="-19"/>
        </w:rPr>
        <w:t> </w:t>
      </w:r>
      <w:r>
        <w:rPr/>
        <w:t>open</w:t>
      </w:r>
      <w:r>
        <w:rPr>
          <w:spacing w:val="-19"/>
        </w:rPr>
        <w:t> </w:t>
      </w:r>
      <w:r>
        <w:rPr/>
        <w:t>days</w:t>
      </w:r>
      <w:r>
        <w:rPr>
          <w:spacing w:val="-12"/>
        </w:rPr>
        <w:t> </w:t>
      </w:r>
      <w:r>
        <w:rPr/>
        <w:t>for</w:t>
      </w:r>
      <w:r>
        <w:rPr>
          <w:spacing w:val="-12"/>
        </w:rPr>
        <w:t> </w:t>
      </w:r>
      <w:r>
        <w:rPr/>
        <w:t>the public and, for the first time this year, opened</w:t>
      </w:r>
      <w:r>
        <w:rPr>
          <w:spacing w:val="-13"/>
        </w:rPr>
        <w:t> </w:t>
      </w:r>
      <w:r>
        <w:rPr/>
        <w:t>its</w:t>
      </w:r>
      <w:r>
        <w:rPr>
          <w:spacing w:val="-13"/>
        </w:rPr>
        <w:t> </w:t>
      </w:r>
      <w:r>
        <w:rPr/>
        <w:t>doors</w:t>
      </w:r>
      <w:r>
        <w:rPr>
          <w:spacing w:val="-13"/>
        </w:rPr>
        <w:t> </w:t>
      </w:r>
      <w:r>
        <w:rPr/>
        <w:t>for</w:t>
      </w:r>
      <w:r>
        <w:rPr>
          <w:spacing w:val="-13"/>
        </w:rPr>
        <w:t> </w:t>
      </w:r>
      <w:r>
        <w:rPr/>
        <w:t>‘Christmas</w:t>
      </w:r>
      <w:r>
        <w:rPr>
          <w:spacing w:val="-13"/>
        </w:rPr>
        <w:t> </w:t>
      </w:r>
      <w:r>
        <w:rPr/>
        <w:t>at</w:t>
      </w:r>
      <w:r>
        <w:rPr>
          <w:spacing w:val="-13"/>
        </w:rPr>
        <w:t> </w:t>
      </w:r>
      <w:r>
        <w:rPr/>
        <w:t>the</w:t>
      </w:r>
      <w:r>
        <w:rPr>
          <w:spacing w:val="-13"/>
        </w:rPr>
        <w:t> </w:t>
      </w:r>
      <w:r>
        <w:rPr/>
        <w:t>Female Orphan School’ on the evening of Friday 4 December.</w:t>
      </w:r>
    </w:p>
    <w:p>
      <w:pPr>
        <w:pStyle w:val="BodyText"/>
        <w:rPr>
          <w:sz w:val="14"/>
        </w:rPr>
      </w:pPr>
    </w:p>
    <w:p>
      <w:pPr>
        <w:pStyle w:val="BodyText"/>
        <w:spacing w:line="249" w:lineRule="auto"/>
        <w:ind w:left="107" w:right="337"/>
      </w:pPr>
      <w:r>
        <w:rPr/>
        <w:t>While thousands of people engage with the</w:t>
      </w:r>
      <w:r>
        <w:rPr>
          <w:spacing w:val="-21"/>
        </w:rPr>
        <w:t> </w:t>
      </w:r>
      <w:r>
        <w:rPr/>
        <w:t>Institute’s</w:t>
      </w:r>
      <w:r>
        <w:rPr>
          <w:spacing w:val="-21"/>
        </w:rPr>
        <w:t> </w:t>
      </w:r>
      <w:r>
        <w:rPr/>
        <w:t>events</w:t>
      </w:r>
      <w:r>
        <w:rPr>
          <w:spacing w:val="-21"/>
        </w:rPr>
        <w:t> </w:t>
      </w:r>
      <w:r>
        <w:rPr/>
        <w:t>on-site</w:t>
      </w:r>
      <w:r>
        <w:rPr>
          <w:spacing w:val="-21"/>
        </w:rPr>
        <w:t> </w:t>
      </w:r>
      <w:r>
        <w:rPr/>
        <w:t>at</w:t>
      </w:r>
      <w:r>
        <w:rPr>
          <w:spacing w:val="-21"/>
        </w:rPr>
        <w:t> </w:t>
      </w:r>
      <w:r>
        <w:rPr/>
        <w:t>the</w:t>
      </w:r>
      <w:r>
        <w:rPr>
          <w:spacing w:val="-21"/>
        </w:rPr>
        <w:t> </w:t>
      </w:r>
      <w:r>
        <w:rPr/>
        <w:t>Female Orphan</w:t>
      </w:r>
      <w:r>
        <w:rPr>
          <w:spacing w:val="-16"/>
        </w:rPr>
        <w:t> </w:t>
      </w:r>
      <w:r>
        <w:rPr/>
        <w:t>School,</w:t>
      </w:r>
      <w:r>
        <w:rPr>
          <w:spacing w:val="-16"/>
        </w:rPr>
        <w:t> </w:t>
      </w:r>
      <w:r>
        <w:rPr/>
        <w:t>the</w:t>
      </w:r>
      <w:r>
        <w:rPr>
          <w:spacing w:val="-16"/>
        </w:rPr>
        <w:t> </w:t>
      </w:r>
      <w:r>
        <w:rPr/>
        <w:t>program</w:t>
      </w:r>
      <w:r>
        <w:rPr>
          <w:spacing w:val="-16"/>
        </w:rPr>
        <w:t> </w:t>
      </w:r>
      <w:r>
        <w:rPr/>
        <w:t>extends</w:t>
      </w:r>
      <w:r>
        <w:rPr>
          <w:spacing w:val="-16"/>
        </w:rPr>
        <w:t> </w:t>
      </w:r>
      <w:r>
        <w:rPr/>
        <w:t>more broadly to include public events in central Sydney,</w:t>
      </w:r>
      <w:r>
        <w:rPr>
          <w:spacing w:val="-33"/>
        </w:rPr>
        <w:t> </w:t>
      </w:r>
      <w:r>
        <w:rPr/>
        <w:t>Parramatta</w:t>
      </w:r>
      <w:r>
        <w:rPr>
          <w:spacing w:val="-33"/>
        </w:rPr>
        <w:t> </w:t>
      </w:r>
      <w:r>
        <w:rPr/>
        <w:t>and</w:t>
      </w:r>
      <w:r>
        <w:rPr>
          <w:spacing w:val="-33"/>
        </w:rPr>
        <w:t> </w:t>
      </w:r>
      <w:r>
        <w:rPr/>
        <w:t>interstate.</w:t>
      </w:r>
      <w:r>
        <w:rPr>
          <w:spacing w:val="-33"/>
        </w:rPr>
        <w:t> </w:t>
      </w:r>
      <w:r>
        <w:rPr/>
        <w:t>In</w:t>
      </w:r>
    </w:p>
    <w:p>
      <w:pPr>
        <w:pStyle w:val="BodyText"/>
        <w:spacing w:line="249" w:lineRule="auto"/>
        <w:ind w:left="107" w:right="245"/>
      </w:pPr>
      <w:r>
        <w:rPr/>
        <w:t>addition,</w:t>
      </w:r>
      <w:r>
        <w:rPr>
          <w:spacing w:val="-19"/>
        </w:rPr>
        <w:t> </w:t>
      </w:r>
      <w:r>
        <w:rPr/>
        <w:t>a</w:t>
      </w:r>
      <w:r>
        <w:rPr>
          <w:spacing w:val="-19"/>
        </w:rPr>
        <w:t> </w:t>
      </w:r>
      <w:r>
        <w:rPr/>
        <w:t>wealth</w:t>
      </w:r>
      <w:r>
        <w:rPr>
          <w:spacing w:val="-19"/>
        </w:rPr>
        <w:t> </w:t>
      </w:r>
      <w:r>
        <w:rPr/>
        <w:t>of</w:t>
      </w:r>
      <w:r>
        <w:rPr>
          <w:spacing w:val="-19"/>
        </w:rPr>
        <w:t> </w:t>
      </w:r>
      <w:r>
        <w:rPr/>
        <w:t>materials</w:t>
      </w:r>
      <w:r>
        <w:rPr>
          <w:spacing w:val="-19"/>
        </w:rPr>
        <w:t> </w:t>
      </w:r>
      <w:r>
        <w:rPr/>
        <w:t>is</w:t>
      </w:r>
      <w:r>
        <w:rPr>
          <w:spacing w:val="-19"/>
        </w:rPr>
        <w:t> </w:t>
      </w:r>
      <w:r>
        <w:rPr/>
        <w:t>available</w:t>
      </w:r>
      <w:r>
        <w:rPr>
          <w:spacing w:val="-19"/>
        </w:rPr>
        <w:t> </w:t>
      </w:r>
      <w:r>
        <w:rPr/>
        <w:t>on the Institute’s website and from extensive publications.</w:t>
      </w:r>
    </w:p>
    <w:p>
      <w:pPr>
        <w:pStyle w:val="BodyText"/>
        <w:rPr>
          <w:sz w:val="14"/>
        </w:rPr>
      </w:pPr>
    </w:p>
    <w:p>
      <w:pPr>
        <w:pStyle w:val="BodyText"/>
        <w:spacing w:line="249" w:lineRule="auto"/>
        <w:ind w:left="107" w:right="224"/>
      </w:pPr>
      <w:r>
        <w:rPr/>
        <w:t>The annual ‘What Matters?’ school essay </w:t>
      </w:r>
      <w:r>
        <w:rPr>
          <w:w w:val="98"/>
        </w:rPr>
        <w:t>writing </w:t>
      </w:r>
      <w:r>
        <w:rPr>
          <w:w w:val="99"/>
        </w:rPr>
        <w:t>competition </w:t>
      </w:r>
      <w:r>
        <w:rPr>
          <w:w w:val="97"/>
        </w:rPr>
        <w:t>set </w:t>
      </w:r>
      <w:r>
        <w:rPr>
          <w:w w:val="94"/>
        </w:rPr>
        <w:t>a </w:t>
      </w:r>
      <w:r>
        <w:rPr>
          <w:w w:val="98"/>
        </w:rPr>
        <w:t>record </w:t>
      </w:r>
      <w:r>
        <w:rPr>
          <w:w w:val="95"/>
        </w:rPr>
        <w:t>in </w:t>
      </w:r>
      <w:r>
        <w:rPr>
          <w:spacing w:val="1"/>
          <w:w w:val="84"/>
        </w:rPr>
        <w:t>2015,</w:t>
      </w:r>
      <w:r>
        <w:rPr>
          <w:w w:val="84"/>
        </w:rPr>
        <w:t> </w:t>
      </w:r>
      <w:r>
        <w:rPr/>
        <w:t>receiving</w:t>
      </w:r>
      <w:r>
        <w:rPr>
          <w:spacing w:val="-18"/>
        </w:rPr>
        <w:t> </w:t>
      </w:r>
      <w:r>
        <w:rPr/>
        <w:t>more</w:t>
      </w:r>
      <w:r>
        <w:rPr>
          <w:spacing w:val="-18"/>
        </w:rPr>
        <w:t> </w:t>
      </w:r>
      <w:r>
        <w:rPr/>
        <w:t>than</w:t>
      </w:r>
      <w:r>
        <w:rPr>
          <w:spacing w:val="-18"/>
        </w:rPr>
        <w:t> </w:t>
      </w:r>
      <w:r>
        <w:rPr/>
        <w:t>3,700</w:t>
      </w:r>
      <w:r>
        <w:rPr>
          <w:spacing w:val="-18"/>
        </w:rPr>
        <w:t> </w:t>
      </w:r>
      <w:r>
        <w:rPr/>
        <w:t>entries</w:t>
      </w:r>
      <w:r>
        <w:rPr>
          <w:spacing w:val="-18"/>
        </w:rPr>
        <w:t> </w:t>
      </w:r>
      <w:r>
        <w:rPr/>
        <w:t>from</w:t>
      </w:r>
      <w:r>
        <w:rPr>
          <w:spacing w:val="-18"/>
        </w:rPr>
        <w:t> </w:t>
      </w:r>
      <w:r>
        <w:rPr>
          <w:spacing w:val="2"/>
        </w:rPr>
        <w:t>258 </w:t>
      </w:r>
      <w:r>
        <w:rPr/>
        <w:t>schools.</w:t>
      </w:r>
    </w:p>
    <w:p>
      <w:pPr>
        <w:pStyle w:val="BodyText"/>
        <w:spacing w:before="7"/>
        <w:rPr>
          <w:sz w:val="21"/>
        </w:rPr>
      </w:pPr>
    </w:p>
    <w:p>
      <w:pPr>
        <w:pStyle w:val="Heading8"/>
        <w:ind w:right="224"/>
      </w:pPr>
      <w:r>
        <w:rPr>
          <w:w w:val="95"/>
        </w:rPr>
        <w:t>THE FEMALE ORPHAN SCHOOL</w:t>
      </w:r>
    </w:p>
    <w:p>
      <w:pPr>
        <w:spacing w:line="247" w:lineRule="auto" w:before="86"/>
        <w:ind w:left="107" w:right="22" w:firstLine="0"/>
        <w:jc w:val="left"/>
        <w:rPr>
          <w:sz w:val="16"/>
        </w:rPr>
      </w:pPr>
      <w:r>
        <w:rPr>
          <w:sz w:val="16"/>
        </w:rPr>
        <w:t>This magnificent 1813 building houses the Whitlam Prime Ministerial Collection, a reading room, a permanent exhibition (</w:t>
      </w:r>
      <w:r>
        <w:rPr>
          <w:rFonts w:ascii="Century Gothic" w:hAnsi="Century Gothic"/>
          <w:i/>
          <w:sz w:val="16"/>
        </w:rPr>
        <w:t>A Changing </w:t>
      </w:r>
      <w:r>
        <w:rPr>
          <w:rFonts w:ascii="Century Gothic" w:hAnsi="Century Gothic"/>
          <w:i/>
          <w:sz w:val="16"/>
        </w:rPr>
        <w:t>Australia: The Time of Gough Whitlam</w:t>
      </w:r>
      <w:r>
        <w:rPr>
          <w:sz w:val="16"/>
        </w:rPr>
        <w:t>), a dedicated learning space for the Institute’s</w:t>
      </w:r>
    </w:p>
    <w:p>
      <w:pPr>
        <w:spacing w:after="0" w:line="247" w:lineRule="auto"/>
        <w:jc w:val="left"/>
        <w:rPr>
          <w:sz w:val="16"/>
        </w:rPr>
        <w:sectPr>
          <w:type w:val="continuous"/>
          <w:pgSz w:w="11910" w:h="16840"/>
          <w:pgMar w:top="1580" w:bottom="280" w:left="800" w:right="800"/>
          <w:cols w:num="3" w:equalWidth="0">
            <w:col w:w="3324" w:space="116"/>
            <w:col w:w="3309" w:space="131"/>
            <w:col w:w="3430"/>
          </w:cols>
        </w:sectPr>
      </w:pPr>
    </w:p>
    <w:p>
      <w:pPr>
        <w:pStyle w:val="BodyText"/>
        <w:spacing w:before="10"/>
        <w:rPr>
          <w:sz w:val="28"/>
        </w:rPr>
      </w:pPr>
    </w:p>
    <w:p>
      <w:pPr>
        <w:pStyle w:val="Heading2"/>
        <w:ind w:right="7947"/>
        <w:rPr>
          <w:b w:val="0"/>
        </w:rPr>
      </w:pPr>
      <w:r>
        <w:rPr>
          <w:b w:val="0"/>
        </w:rPr>
        <w:t>Community and Regional Engagement</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rPr>
      </w:pPr>
    </w:p>
    <w:p>
      <w:pPr>
        <w:spacing w:after="0"/>
        <w:rPr>
          <w:rFonts w:ascii="Chronicle Text G1"/>
        </w:rPr>
        <w:sectPr>
          <w:footerReference w:type="even" r:id="rId59"/>
          <w:footerReference w:type="default" r:id="rId60"/>
          <w:pgSz w:w="11910" w:h="16840"/>
          <w:pgMar w:footer="473" w:header="494" w:top="680" w:bottom="660" w:left="800" w:right="800"/>
        </w:sectPr>
      </w:pPr>
    </w:p>
    <w:p>
      <w:pPr>
        <w:pStyle w:val="BodyText"/>
        <w:spacing w:line="249" w:lineRule="auto" w:before="71"/>
        <w:ind w:left="107" w:right="-11"/>
      </w:pPr>
      <w:r>
        <w:rPr/>
        <w:t>developing</w:t>
      </w:r>
      <w:r>
        <w:rPr>
          <w:spacing w:val="-15"/>
        </w:rPr>
        <w:t> </w:t>
      </w:r>
      <w:r>
        <w:rPr/>
        <w:t>Education</w:t>
      </w:r>
      <w:r>
        <w:rPr>
          <w:spacing w:val="-15"/>
        </w:rPr>
        <w:t> </w:t>
      </w:r>
      <w:r>
        <w:rPr/>
        <w:t>and</w:t>
      </w:r>
      <w:r>
        <w:rPr>
          <w:spacing w:val="-15"/>
        </w:rPr>
        <w:t> </w:t>
      </w:r>
      <w:r>
        <w:rPr/>
        <w:t>Outreach</w:t>
      </w:r>
      <w:r>
        <w:rPr>
          <w:spacing w:val="-15"/>
        </w:rPr>
        <w:t> </w:t>
      </w:r>
      <w:r>
        <w:rPr/>
        <w:t>program, the Margaret Whitlam Galleries, seminar and function spaces, a visitor information centre and</w:t>
      </w:r>
      <w:r>
        <w:rPr>
          <w:spacing w:val="-27"/>
        </w:rPr>
        <w:t> </w:t>
      </w:r>
      <w:r>
        <w:rPr/>
        <w:t>the</w:t>
      </w:r>
      <w:r>
        <w:rPr>
          <w:spacing w:val="-27"/>
        </w:rPr>
        <w:t> </w:t>
      </w:r>
      <w:r>
        <w:rPr/>
        <w:t>secretariat.</w:t>
      </w:r>
    </w:p>
    <w:p>
      <w:pPr>
        <w:pStyle w:val="BodyText"/>
        <w:rPr>
          <w:sz w:val="14"/>
        </w:rPr>
      </w:pPr>
    </w:p>
    <w:p>
      <w:pPr>
        <w:pStyle w:val="BodyText"/>
        <w:spacing w:line="249" w:lineRule="auto"/>
        <w:ind w:left="107" w:right="-11"/>
      </w:pPr>
      <w:r>
        <w:rPr>
          <w:spacing w:val="1"/>
          <w:w w:val="80"/>
        </w:rPr>
        <w:t>In</w:t>
      </w:r>
      <w:r>
        <w:rPr>
          <w:w w:val="80"/>
        </w:rPr>
        <w:t> </w:t>
      </w:r>
      <w:r>
        <w:rPr>
          <w:spacing w:val="1"/>
          <w:w w:val="84"/>
        </w:rPr>
        <w:t>2015,</w:t>
      </w:r>
      <w:r>
        <w:rPr>
          <w:w w:val="84"/>
        </w:rPr>
        <w:t> </w:t>
      </w:r>
      <w:r>
        <w:rPr>
          <w:spacing w:val="1"/>
          <w:w w:val="94"/>
        </w:rPr>
        <w:t>as</w:t>
      </w:r>
      <w:r>
        <w:rPr>
          <w:w w:val="94"/>
        </w:rPr>
        <w:t> </w:t>
      </w:r>
      <w:r>
        <w:rPr>
          <w:spacing w:val="2"/>
          <w:w w:val="98"/>
        </w:rPr>
        <w:t>part</w:t>
      </w:r>
      <w:r>
        <w:rPr>
          <w:w w:val="98"/>
        </w:rPr>
        <w:t> </w:t>
      </w:r>
      <w:r>
        <w:rPr>
          <w:w w:val="99"/>
        </w:rPr>
        <w:t>of </w:t>
      </w:r>
      <w:r>
        <w:rPr>
          <w:w w:val="97"/>
        </w:rPr>
        <w:t>the </w:t>
      </w:r>
      <w:r>
        <w:rPr>
          <w:spacing w:val="1"/>
          <w:w w:val="98"/>
        </w:rPr>
        <w:t>Schools</w:t>
      </w:r>
      <w:r>
        <w:rPr>
          <w:w w:val="98"/>
        </w:rPr>
        <w:t> </w:t>
      </w:r>
      <w:r>
        <w:rPr>
          <w:spacing w:val="1"/>
          <w:w w:val="94"/>
        </w:rPr>
        <w:t>program,</w:t>
      </w:r>
      <w:r>
        <w:rPr>
          <w:spacing w:val="-32"/>
          <w:w w:val="94"/>
        </w:rPr>
        <w:t> </w:t>
      </w:r>
      <w:r>
        <w:rPr>
          <w:spacing w:val="-1"/>
          <w:w w:val="92"/>
        </w:rPr>
        <w:t>8,742</w:t>
      </w:r>
      <w:r>
        <w:rPr>
          <w:w w:val="92"/>
        </w:rPr>
        <w:t> </w:t>
      </w:r>
      <w:r>
        <w:rPr/>
        <w:t>people visited the Female Orphan School to see the Institute’s exhibitions, either as </w:t>
      </w:r>
      <w:r>
        <w:rPr>
          <w:spacing w:val="2"/>
        </w:rPr>
        <w:t>part </w:t>
      </w:r>
      <w:r>
        <w:rPr/>
        <w:t>of</w:t>
      </w:r>
      <w:r>
        <w:rPr>
          <w:spacing w:val="-14"/>
        </w:rPr>
        <w:t> </w:t>
      </w:r>
      <w:r>
        <w:rPr/>
        <w:t>the</w:t>
      </w:r>
      <w:r>
        <w:rPr>
          <w:spacing w:val="-14"/>
        </w:rPr>
        <w:t> </w:t>
      </w:r>
      <w:r>
        <w:rPr/>
        <w:t>Schools</w:t>
      </w:r>
      <w:r>
        <w:rPr>
          <w:spacing w:val="-14"/>
        </w:rPr>
        <w:t> </w:t>
      </w:r>
      <w:r>
        <w:rPr/>
        <w:t>Program,</w:t>
      </w:r>
      <w:r>
        <w:rPr>
          <w:spacing w:val="-14"/>
        </w:rPr>
        <w:t> </w:t>
      </w:r>
      <w:r>
        <w:rPr/>
        <w:t>with</w:t>
      </w:r>
      <w:r>
        <w:rPr>
          <w:spacing w:val="-14"/>
        </w:rPr>
        <w:t> </w:t>
      </w:r>
      <w:r>
        <w:rPr/>
        <w:t>community</w:t>
      </w:r>
      <w:r>
        <w:rPr>
          <w:spacing w:val="-14"/>
        </w:rPr>
        <w:t> </w:t>
      </w:r>
      <w:r>
        <w:rPr/>
        <w:t>tour groups, or while participating in seminars, workshops</w:t>
      </w:r>
      <w:r>
        <w:rPr>
          <w:spacing w:val="-16"/>
        </w:rPr>
        <w:t> </w:t>
      </w:r>
      <w:r>
        <w:rPr/>
        <w:t>or</w:t>
      </w:r>
      <w:r>
        <w:rPr>
          <w:spacing w:val="-16"/>
        </w:rPr>
        <w:t> </w:t>
      </w:r>
      <w:r>
        <w:rPr/>
        <w:t>public</w:t>
      </w:r>
      <w:r>
        <w:rPr>
          <w:spacing w:val="-16"/>
        </w:rPr>
        <w:t> </w:t>
      </w:r>
      <w:r>
        <w:rPr/>
        <w:t>forums.</w:t>
      </w:r>
    </w:p>
    <w:p>
      <w:pPr>
        <w:pStyle w:val="BodyText"/>
        <w:spacing w:before="6"/>
        <w:rPr>
          <w:sz w:val="22"/>
        </w:rPr>
      </w:pPr>
    </w:p>
    <w:p>
      <w:pPr>
        <w:pStyle w:val="Heading5"/>
        <w:ind w:right="-11"/>
      </w:pPr>
      <w:r>
        <w:rPr>
          <w:w w:val="95"/>
        </w:rPr>
        <w:t>THE COLLEGE</w:t>
      </w:r>
    </w:p>
    <w:p>
      <w:pPr>
        <w:pStyle w:val="BodyText"/>
        <w:spacing w:line="249" w:lineRule="auto" w:before="209"/>
        <w:ind w:left="107" w:right="238"/>
      </w:pPr>
      <w:r>
        <w:rPr/>
        <w:t>Western Sydney University, The College is a not-for-profit company wholly owned</w:t>
      </w:r>
    </w:p>
    <w:p>
      <w:pPr>
        <w:pStyle w:val="BodyText"/>
        <w:spacing w:line="249" w:lineRule="auto"/>
        <w:ind w:left="107" w:right="239"/>
      </w:pPr>
      <w:r>
        <w:rPr/>
        <w:t>by</w:t>
      </w:r>
      <w:r>
        <w:rPr>
          <w:spacing w:val="-18"/>
        </w:rPr>
        <w:t> </w:t>
      </w:r>
      <w:r>
        <w:rPr/>
        <w:t>the</w:t>
      </w:r>
      <w:r>
        <w:rPr>
          <w:spacing w:val="-18"/>
        </w:rPr>
        <w:t> </w:t>
      </w:r>
      <w:r>
        <w:rPr/>
        <w:t>University.</w:t>
      </w:r>
      <w:r>
        <w:rPr>
          <w:spacing w:val="-18"/>
        </w:rPr>
        <w:t> </w:t>
      </w:r>
      <w:r>
        <w:rPr/>
        <w:t>The</w:t>
      </w:r>
      <w:r>
        <w:rPr>
          <w:spacing w:val="-18"/>
        </w:rPr>
        <w:t> </w:t>
      </w:r>
      <w:r>
        <w:rPr/>
        <w:t>strategic</w:t>
      </w:r>
      <w:r>
        <w:rPr>
          <w:spacing w:val="-18"/>
        </w:rPr>
        <w:t> </w:t>
      </w:r>
      <w:r>
        <w:rPr/>
        <w:t>purpose</w:t>
      </w:r>
      <w:r>
        <w:rPr>
          <w:spacing w:val="-18"/>
        </w:rPr>
        <w:t> </w:t>
      </w:r>
      <w:r>
        <w:rPr/>
        <w:t>of The</w:t>
      </w:r>
      <w:r>
        <w:rPr>
          <w:spacing w:val="-13"/>
        </w:rPr>
        <w:t> </w:t>
      </w:r>
      <w:r>
        <w:rPr/>
        <w:t>College</w:t>
      </w:r>
      <w:r>
        <w:rPr>
          <w:spacing w:val="-13"/>
        </w:rPr>
        <w:t> </w:t>
      </w:r>
      <w:r>
        <w:rPr/>
        <w:t>is</w:t>
      </w:r>
      <w:r>
        <w:rPr>
          <w:spacing w:val="-13"/>
        </w:rPr>
        <w:t> </w:t>
      </w:r>
      <w:r>
        <w:rPr/>
        <w:t>to</w:t>
      </w:r>
      <w:r>
        <w:rPr>
          <w:spacing w:val="-13"/>
        </w:rPr>
        <w:t> </w:t>
      </w:r>
      <w:r>
        <w:rPr/>
        <w:t>provide</w:t>
      </w:r>
      <w:r>
        <w:rPr>
          <w:spacing w:val="-13"/>
        </w:rPr>
        <w:t> </w:t>
      </w:r>
      <w:r>
        <w:rPr/>
        <w:t>quality</w:t>
      </w:r>
      <w:r>
        <w:rPr>
          <w:spacing w:val="-13"/>
        </w:rPr>
        <w:t> </w:t>
      </w:r>
      <w:r>
        <w:rPr/>
        <w:t>academic pathways to Western Sydney University for</w:t>
      </w:r>
      <w:r>
        <w:rPr>
          <w:spacing w:val="-20"/>
        </w:rPr>
        <w:t> </w:t>
      </w:r>
      <w:r>
        <w:rPr/>
        <w:t>Australian</w:t>
      </w:r>
      <w:r>
        <w:rPr>
          <w:spacing w:val="-20"/>
        </w:rPr>
        <w:t> </w:t>
      </w:r>
      <w:r>
        <w:rPr/>
        <w:t>and</w:t>
      </w:r>
      <w:r>
        <w:rPr>
          <w:spacing w:val="-20"/>
        </w:rPr>
        <w:t> </w:t>
      </w:r>
      <w:r>
        <w:rPr/>
        <w:t>international</w:t>
      </w:r>
      <w:r>
        <w:rPr>
          <w:spacing w:val="-20"/>
        </w:rPr>
        <w:t> </w:t>
      </w:r>
      <w:r>
        <w:rPr/>
        <w:t>students,</w:t>
      </w:r>
    </w:p>
    <w:p>
      <w:pPr>
        <w:pStyle w:val="BodyText"/>
        <w:spacing w:line="249" w:lineRule="auto"/>
        <w:ind w:left="107" w:right="85"/>
      </w:pPr>
      <w:r>
        <w:rPr/>
        <w:t>complemented by various English language and other professional and community programs.</w:t>
      </w:r>
    </w:p>
    <w:p>
      <w:pPr>
        <w:pStyle w:val="BodyText"/>
        <w:rPr>
          <w:sz w:val="14"/>
        </w:rPr>
      </w:pPr>
    </w:p>
    <w:p>
      <w:pPr>
        <w:pStyle w:val="BodyText"/>
        <w:spacing w:line="249" w:lineRule="auto"/>
        <w:ind w:left="107" w:right="51"/>
      </w:pPr>
      <w:r>
        <w:rPr/>
        <w:t>Created in 2006, The College has its antecedents in English language and foundation studies programs offered by various University schools and entities since </w:t>
      </w:r>
      <w:r>
        <w:rPr>
          <w:w w:val="97"/>
        </w:rPr>
        <w:t>the </w:t>
      </w:r>
      <w:r>
        <w:rPr>
          <w:w w:val="88"/>
        </w:rPr>
        <w:t>1980s.</w:t>
      </w:r>
    </w:p>
    <w:p>
      <w:pPr>
        <w:pStyle w:val="BodyText"/>
        <w:spacing w:line="249" w:lineRule="auto" w:before="71"/>
        <w:ind w:left="107" w:right="3619"/>
      </w:pPr>
      <w:r>
        <w:rPr/>
        <w:br w:type="column"/>
      </w:r>
      <w:r>
        <w:rPr>
          <w:w w:val="97"/>
        </w:rPr>
        <w:t>During </w:t>
      </w:r>
      <w:r>
        <w:rPr>
          <w:w w:val="84"/>
        </w:rPr>
        <w:t>2015, </w:t>
      </w:r>
      <w:r>
        <w:rPr>
          <w:w w:val="94"/>
        </w:rPr>
        <w:t>The </w:t>
      </w:r>
      <w:r>
        <w:rPr>
          <w:w w:val="98"/>
        </w:rPr>
        <w:t>College </w:t>
      </w:r>
      <w:r>
        <w:rPr>
          <w:w w:val="97"/>
        </w:rPr>
        <w:t>experienced </w:t>
      </w:r>
      <w:r>
        <w:rPr/>
        <w:t>significant (36 per cent) growth in its Academic Pathways Program, offset by a small decline in the English program. As a result, overall student numbers now exceed 3,700. Apart from planning and operating a multi-campus environment, other significant achievements made over the last 12 months include:</w:t>
      </w:r>
    </w:p>
    <w:p>
      <w:pPr>
        <w:pStyle w:val="BodyText"/>
        <w:spacing w:before="11"/>
        <w:rPr>
          <w:sz w:val="13"/>
        </w:rPr>
      </w:pPr>
    </w:p>
    <w:p>
      <w:pPr>
        <w:pStyle w:val="BodyText"/>
        <w:spacing w:line="247" w:lineRule="auto"/>
        <w:ind w:left="333" w:right="3599" w:hanging="227"/>
      </w:pPr>
      <w:r>
        <w:rPr>
          <w:rFonts w:ascii="Century Gothic" w:hAnsi="Century Gothic"/>
          <w:b/>
          <w:w w:val="115"/>
        </w:rPr>
        <w:t>≥ </w:t>
      </w:r>
      <w:r>
        <w:rPr/>
        <w:t>a change of leadership, with Professor Greg Whateley appointed as Dean of The College</w:t>
      </w:r>
    </w:p>
    <w:p>
      <w:pPr>
        <w:pStyle w:val="BodyText"/>
        <w:spacing w:line="200" w:lineRule="exact" w:before="57"/>
        <w:ind w:left="333" w:right="3619" w:hanging="227"/>
      </w:pPr>
      <w:r>
        <w:rPr>
          <w:rFonts w:ascii="Century Gothic" w:hAnsi="Century Gothic"/>
          <w:b/>
          <w:w w:val="115"/>
        </w:rPr>
        <w:t>≥</w:t>
      </w:r>
      <w:r>
        <w:rPr>
          <w:rFonts w:ascii="Century Gothic" w:hAnsi="Century Gothic"/>
          <w:b/>
          <w:spacing w:val="24"/>
          <w:w w:val="115"/>
        </w:rPr>
        <w:t> </w:t>
      </w:r>
      <w:r>
        <w:rPr>
          <w:w w:val="105"/>
        </w:rPr>
        <w:t>renaming</w:t>
      </w:r>
      <w:r>
        <w:rPr>
          <w:spacing w:val="-24"/>
          <w:w w:val="105"/>
        </w:rPr>
        <w:t> </w:t>
      </w:r>
      <w:r>
        <w:rPr>
          <w:w w:val="105"/>
        </w:rPr>
        <w:t>of</w:t>
      </w:r>
      <w:r>
        <w:rPr>
          <w:spacing w:val="-24"/>
          <w:w w:val="105"/>
        </w:rPr>
        <w:t> </w:t>
      </w:r>
      <w:r>
        <w:rPr>
          <w:w w:val="105"/>
        </w:rPr>
        <w:t>the</w:t>
      </w:r>
      <w:r>
        <w:rPr>
          <w:spacing w:val="-24"/>
          <w:w w:val="105"/>
        </w:rPr>
        <w:t> </w:t>
      </w:r>
      <w:r>
        <w:rPr>
          <w:rFonts w:ascii="Calibri" w:hAnsi="Calibri"/>
          <w:w w:val="105"/>
        </w:rPr>
        <w:t>UWS</w:t>
      </w:r>
      <w:r>
        <w:rPr>
          <w:w w:val="105"/>
        </w:rPr>
        <w:t>College</w:t>
      </w:r>
      <w:r>
        <w:rPr>
          <w:spacing w:val="-24"/>
          <w:w w:val="105"/>
        </w:rPr>
        <w:t> </w:t>
      </w:r>
      <w:r>
        <w:rPr>
          <w:w w:val="105"/>
        </w:rPr>
        <w:t>Board</w:t>
      </w:r>
      <w:r>
        <w:rPr>
          <w:spacing w:val="-24"/>
          <w:w w:val="105"/>
        </w:rPr>
        <w:t> </w:t>
      </w:r>
      <w:r>
        <w:rPr>
          <w:w w:val="105"/>
        </w:rPr>
        <w:t>to</w:t>
      </w:r>
      <w:r>
        <w:rPr>
          <w:spacing w:val="-24"/>
          <w:w w:val="105"/>
        </w:rPr>
        <w:t> </w:t>
      </w:r>
      <w:r>
        <w:rPr>
          <w:w w:val="105"/>
        </w:rPr>
        <w:t>the </w:t>
      </w:r>
      <w:r>
        <w:rPr/>
        <w:t>UWS Enterprises</w:t>
      </w:r>
      <w:r>
        <w:rPr>
          <w:spacing w:val="-18"/>
        </w:rPr>
        <w:t> </w:t>
      </w:r>
      <w:r>
        <w:rPr/>
        <w:t>Board</w:t>
      </w:r>
    </w:p>
    <w:p>
      <w:pPr>
        <w:pStyle w:val="BodyText"/>
        <w:spacing w:before="55"/>
        <w:ind w:left="107" w:right="3619"/>
      </w:pPr>
      <w:r>
        <w:rPr>
          <w:rFonts w:ascii="Century Gothic" w:hAnsi="Century Gothic"/>
          <w:b/>
          <w:w w:val="115"/>
        </w:rPr>
        <w:t>≥ </w:t>
      </w:r>
      <w:r>
        <w:rPr>
          <w:w w:val="105"/>
        </w:rPr>
        <w:t>introducing the four-term diploma</w:t>
      </w:r>
    </w:p>
    <w:p>
      <w:pPr>
        <w:pStyle w:val="BodyText"/>
        <w:spacing w:line="244" w:lineRule="auto" w:before="60"/>
        <w:ind w:left="333" w:right="3599" w:hanging="227"/>
      </w:pPr>
      <w:r>
        <w:rPr>
          <w:rFonts w:ascii="Century Gothic" w:hAnsi="Century Gothic"/>
          <w:b/>
          <w:w w:val="115"/>
        </w:rPr>
        <w:t>≥</w:t>
      </w:r>
      <w:r>
        <w:rPr>
          <w:rFonts w:ascii="Century Gothic" w:hAnsi="Century Gothic"/>
          <w:b/>
          <w:spacing w:val="11"/>
          <w:w w:val="115"/>
        </w:rPr>
        <w:t> </w:t>
      </w:r>
      <w:r>
        <w:rPr>
          <w:w w:val="105"/>
        </w:rPr>
        <w:t>opening</w:t>
      </w:r>
      <w:r>
        <w:rPr>
          <w:spacing w:val="-29"/>
          <w:w w:val="105"/>
        </w:rPr>
        <w:t> </w:t>
      </w:r>
      <w:r>
        <w:rPr>
          <w:w w:val="105"/>
        </w:rPr>
        <w:t>a</w:t>
      </w:r>
      <w:r>
        <w:rPr>
          <w:spacing w:val="-29"/>
          <w:w w:val="105"/>
        </w:rPr>
        <w:t> </w:t>
      </w:r>
      <w:r>
        <w:rPr>
          <w:w w:val="105"/>
        </w:rPr>
        <w:t>new</w:t>
      </w:r>
      <w:r>
        <w:rPr>
          <w:spacing w:val="-29"/>
          <w:w w:val="105"/>
        </w:rPr>
        <w:t> </w:t>
      </w:r>
      <w:r>
        <w:rPr>
          <w:w w:val="105"/>
        </w:rPr>
        <w:t>building</w:t>
      </w:r>
      <w:r>
        <w:rPr>
          <w:spacing w:val="-29"/>
          <w:w w:val="105"/>
        </w:rPr>
        <w:t> </w:t>
      </w:r>
      <w:r>
        <w:rPr>
          <w:w w:val="105"/>
        </w:rPr>
        <w:t>on</w:t>
      </w:r>
      <w:r>
        <w:rPr>
          <w:spacing w:val="-29"/>
          <w:w w:val="105"/>
        </w:rPr>
        <w:t> </w:t>
      </w:r>
      <w:r>
        <w:rPr>
          <w:w w:val="105"/>
        </w:rPr>
        <w:t>the</w:t>
      </w:r>
      <w:r>
        <w:rPr>
          <w:spacing w:val="-29"/>
          <w:w w:val="105"/>
        </w:rPr>
        <w:t> </w:t>
      </w:r>
      <w:r>
        <w:rPr>
          <w:w w:val="105"/>
        </w:rPr>
        <w:t>University’s </w:t>
      </w:r>
      <w:r>
        <w:rPr/>
        <w:t>Kingswood</w:t>
      </w:r>
      <w:r>
        <w:rPr>
          <w:spacing w:val="3"/>
        </w:rPr>
        <w:t> </w:t>
      </w:r>
      <w:r>
        <w:rPr/>
        <w:t>campus</w:t>
      </w:r>
    </w:p>
    <w:p>
      <w:pPr>
        <w:pStyle w:val="BodyText"/>
        <w:spacing w:line="244" w:lineRule="auto" w:before="58"/>
        <w:ind w:left="333" w:right="3619" w:hanging="227"/>
      </w:pPr>
      <w:r>
        <w:rPr>
          <w:rFonts w:ascii="Century Gothic" w:hAnsi="Century Gothic"/>
          <w:b/>
          <w:w w:val="145"/>
        </w:rPr>
        <w:t>≥ </w:t>
      </w:r>
      <w:r>
        <w:rPr>
          <w:w w:val="98"/>
        </w:rPr>
        <w:t>Hosting </w:t>
      </w:r>
      <w:r>
        <w:rPr>
          <w:w w:val="97"/>
        </w:rPr>
        <w:t>more </w:t>
      </w:r>
      <w:r>
        <w:rPr>
          <w:w w:val="97"/>
        </w:rPr>
        <w:t>than </w:t>
      </w:r>
      <w:r>
        <w:rPr>
          <w:w w:val="91"/>
        </w:rPr>
        <w:t>1,000 </w:t>
      </w:r>
      <w:r>
        <w:rPr>
          <w:w w:val="97"/>
        </w:rPr>
        <w:t>students </w:t>
      </w:r>
      <w:r>
        <w:rPr>
          <w:w w:val="95"/>
        </w:rPr>
        <w:t>in </w:t>
      </w:r>
      <w:r>
        <w:rPr/>
        <w:t>academic literacy support short courses</w:t>
      </w:r>
    </w:p>
    <w:p>
      <w:pPr>
        <w:pStyle w:val="BodyText"/>
        <w:spacing w:line="244" w:lineRule="auto" w:before="58"/>
        <w:ind w:left="333" w:right="3671" w:hanging="227"/>
      </w:pPr>
      <w:r>
        <w:rPr>
          <w:rFonts w:ascii="Century Gothic" w:hAnsi="Century Gothic"/>
          <w:b/>
          <w:w w:val="115"/>
        </w:rPr>
        <w:t>≥</w:t>
      </w:r>
      <w:r>
        <w:rPr>
          <w:rFonts w:ascii="Century Gothic" w:hAnsi="Century Gothic"/>
          <w:b/>
          <w:spacing w:val="-4"/>
          <w:w w:val="115"/>
        </w:rPr>
        <w:t> </w:t>
      </w:r>
      <w:r>
        <w:rPr>
          <w:w w:val="105"/>
        </w:rPr>
        <w:t>seeking</w:t>
      </w:r>
      <w:r>
        <w:rPr>
          <w:spacing w:val="-35"/>
          <w:w w:val="105"/>
        </w:rPr>
        <w:t> </w:t>
      </w:r>
      <w:r>
        <w:rPr>
          <w:w w:val="105"/>
        </w:rPr>
        <w:t>Engineers</w:t>
      </w:r>
      <w:r>
        <w:rPr>
          <w:spacing w:val="-35"/>
          <w:w w:val="105"/>
        </w:rPr>
        <w:t> </w:t>
      </w:r>
      <w:r>
        <w:rPr>
          <w:w w:val="105"/>
        </w:rPr>
        <w:t>Australia</w:t>
      </w:r>
      <w:r>
        <w:rPr>
          <w:spacing w:val="-35"/>
          <w:w w:val="105"/>
        </w:rPr>
        <w:t> </w:t>
      </w:r>
      <w:r>
        <w:rPr>
          <w:w w:val="105"/>
        </w:rPr>
        <w:t>accreditation </w:t>
      </w:r>
      <w:r>
        <w:rPr/>
        <w:t>for</w:t>
      </w:r>
      <w:r>
        <w:rPr>
          <w:spacing w:val="-14"/>
        </w:rPr>
        <w:t> </w:t>
      </w:r>
      <w:r>
        <w:rPr/>
        <w:t>the</w:t>
      </w:r>
      <w:r>
        <w:rPr>
          <w:spacing w:val="-14"/>
        </w:rPr>
        <w:t> </w:t>
      </w:r>
      <w:r>
        <w:rPr/>
        <w:t>Associate</w:t>
      </w:r>
      <w:r>
        <w:rPr>
          <w:spacing w:val="-14"/>
        </w:rPr>
        <w:t> </w:t>
      </w:r>
      <w:r>
        <w:rPr/>
        <w:t>Degree</w:t>
      </w:r>
      <w:r>
        <w:rPr>
          <w:spacing w:val="-14"/>
        </w:rPr>
        <w:t> </w:t>
      </w:r>
      <w:r>
        <w:rPr/>
        <w:t>in</w:t>
      </w:r>
      <w:r>
        <w:rPr>
          <w:spacing w:val="-14"/>
        </w:rPr>
        <w:t> </w:t>
      </w:r>
      <w:r>
        <w:rPr/>
        <w:t>Engineering</w:t>
      </w:r>
    </w:p>
    <w:p>
      <w:pPr>
        <w:pStyle w:val="BodyText"/>
        <w:spacing w:line="244" w:lineRule="auto" w:before="58"/>
        <w:ind w:left="333" w:right="3696" w:hanging="227"/>
      </w:pPr>
      <w:r>
        <w:rPr>
          <w:rFonts w:ascii="Century Gothic" w:hAnsi="Century Gothic"/>
          <w:b/>
          <w:w w:val="115"/>
        </w:rPr>
        <w:t>≥</w:t>
      </w:r>
      <w:r>
        <w:rPr>
          <w:rFonts w:ascii="Century Gothic" w:hAnsi="Century Gothic"/>
          <w:b/>
          <w:spacing w:val="7"/>
          <w:w w:val="115"/>
        </w:rPr>
        <w:t> </w:t>
      </w:r>
      <w:r>
        <w:rPr>
          <w:w w:val="105"/>
        </w:rPr>
        <w:t>developing</w:t>
      </w:r>
      <w:r>
        <w:rPr>
          <w:spacing w:val="-30"/>
          <w:w w:val="105"/>
        </w:rPr>
        <w:t> </w:t>
      </w:r>
      <w:r>
        <w:rPr>
          <w:w w:val="105"/>
        </w:rPr>
        <w:t>online</w:t>
      </w:r>
      <w:r>
        <w:rPr>
          <w:spacing w:val="-30"/>
          <w:w w:val="105"/>
        </w:rPr>
        <w:t> </w:t>
      </w:r>
      <w:r>
        <w:rPr>
          <w:w w:val="105"/>
        </w:rPr>
        <w:t>courses</w:t>
      </w:r>
      <w:r>
        <w:rPr>
          <w:spacing w:val="-30"/>
          <w:w w:val="105"/>
        </w:rPr>
        <w:t> </w:t>
      </w:r>
      <w:r>
        <w:rPr>
          <w:w w:val="105"/>
        </w:rPr>
        <w:t>in</w:t>
      </w:r>
      <w:r>
        <w:rPr>
          <w:spacing w:val="-30"/>
          <w:w w:val="105"/>
        </w:rPr>
        <w:t> </w:t>
      </w:r>
      <w:r>
        <w:rPr>
          <w:w w:val="105"/>
        </w:rPr>
        <w:t>all</w:t>
      </w:r>
      <w:r>
        <w:rPr>
          <w:spacing w:val="-30"/>
          <w:w w:val="105"/>
        </w:rPr>
        <w:t> </w:t>
      </w:r>
      <w:r>
        <w:rPr>
          <w:w w:val="105"/>
        </w:rPr>
        <w:t>discipline areas</w:t>
      </w:r>
    </w:p>
    <w:p>
      <w:pPr>
        <w:pStyle w:val="BodyText"/>
        <w:spacing w:line="247" w:lineRule="auto" w:before="58"/>
        <w:ind w:left="333" w:right="3602" w:hanging="227"/>
      </w:pPr>
      <w:r>
        <w:rPr>
          <w:rFonts w:ascii="Century Gothic" w:hAnsi="Century Gothic"/>
          <w:b/>
          <w:w w:val="115"/>
        </w:rPr>
        <w:t>≥ </w:t>
      </w:r>
      <w:r>
        <w:rPr/>
        <w:t>becoming the largest International English Language Testing System test centre in Australia</w:t>
      </w:r>
    </w:p>
    <w:p>
      <w:pPr>
        <w:pStyle w:val="BodyText"/>
        <w:spacing w:line="247" w:lineRule="auto" w:before="57"/>
        <w:ind w:left="333" w:right="3573" w:hanging="227"/>
        <w:jc w:val="both"/>
      </w:pPr>
      <w:r>
        <w:rPr>
          <w:rFonts w:ascii="Century Gothic" w:hAnsi="Century Gothic"/>
          <w:b/>
          <w:w w:val="115"/>
        </w:rPr>
        <w:t>≥</w:t>
      </w:r>
      <w:r>
        <w:rPr>
          <w:rFonts w:ascii="Century Gothic" w:hAnsi="Century Gothic"/>
          <w:b/>
          <w:spacing w:val="10"/>
          <w:w w:val="115"/>
        </w:rPr>
        <w:t> </w:t>
      </w:r>
      <w:r>
        <w:rPr/>
        <w:t>signing memoranda of understanding with Deloitte</w:t>
      </w:r>
      <w:r>
        <w:rPr>
          <w:spacing w:val="-16"/>
        </w:rPr>
        <w:t> </w:t>
      </w:r>
      <w:r>
        <w:rPr/>
        <w:t>Australia’s</w:t>
      </w:r>
      <w:r>
        <w:rPr>
          <w:spacing w:val="-16"/>
        </w:rPr>
        <w:t> </w:t>
      </w:r>
      <w:r>
        <w:rPr/>
        <w:t>Financial</w:t>
      </w:r>
      <w:r>
        <w:rPr>
          <w:spacing w:val="-16"/>
        </w:rPr>
        <w:t> </w:t>
      </w:r>
      <w:r>
        <w:rPr/>
        <w:t>Services</w:t>
      </w:r>
      <w:r>
        <w:rPr>
          <w:spacing w:val="-16"/>
        </w:rPr>
        <w:t> </w:t>
      </w:r>
      <w:r>
        <w:rPr/>
        <w:t>team and</w:t>
      </w:r>
      <w:r>
        <w:rPr>
          <w:spacing w:val="-13"/>
        </w:rPr>
        <w:t> </w:t>
      </w:r>
      <w:r>
        <w:rPr/>
        <w:t>the</w:t>
      </w:r>
      <w:r>
        <w:rPr>
          <w:spacing w:val="-13"/>
        </w:rPr>
        <w:t> </w:t>
      </w:r>
      <w:r>
        <w:rPr/>
        <w:t>NSW</w:t>
      </w:r>
      <w:r>
        <w:rPr>
          <w:spacing w:val="-13"/>
        </w:rPr>
        <w:t> </w:t>
      </w:r>
      <w:r>
        <w:rPr/>
        <w:t>Department</w:t>
      </w:r>
      <w:r>
        <w:rPr>
          <w:spacing w:val="-13"/>
        </w:rPr>
        <w:t> </w:t>
      </w:r>
      <w:r>
        <w:rPr/>
        <w:t>of</w:t>
      </w:r>
      <w:r>
        <w:rPr>
          <w:spacing w:val="-13"/>
        </w:rPr>
        <w:t> </w:t>
      </w:r>
      <w:r>
        <w:rPr/>
        <w:t>Justice.</w:t>
      </w:r>
    </w:p>
    <w:p>
      <w:pPr>
        <w:spacing w:after="0" w:line="247" w:lineRule="auto"/>
        <w:jc w:val="both"/>
        <w:sectPr>
          <w:type w:val="continuous"/>
          <w:pgSz w:w="11910" w:h="16840"/>
          <w:pgMar w:top="1580" w:bottom="280" w:left="800" w:right="800"/>
          <w:cols w:num="2" w:equalWidth="0">
            <w:col w:w="3270" w:space="169"/>
            <w:col w:w="6871"/>
          </w:cols>
        </w:sectPr>
      </w:pPr>
    </w:p>
    <w:p>
      <w:pPr>
        <w:pStyle w:val="BodyText"/>
        <w:spacing w:before="10"/>
        <w:rPr>
          <w:sz w:val="28"/>
        </w:rPr>
      </w:pPr>
    </w:p>
    <w:p>
      <w:pPr>
        <w:pStyle w:val="Heading2"/>
        <w:ind w:left="327" w:right="7913"/>
        <w:rPr>
          <w:b w:val="0"/>
        </w:rPr>
      </w:pPr>
      <w:r>
        <w:rPr>
          <w:b w:val="0"/>
        </w:rPr>
        <w:t>Management and Resources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580" w:right="580"/>
        </w:sectPr>
      </w:pPr>
    </w:p>
    <w:p>
      <w:pPr>
        <w:pStyle w:val="BodyText"/>
        <w:spacing w:before="3"/>
        <w:rPr>
          <w:rFonts w:ascii="Chronicle Text G1"/>
          <w:b w:val="0"/>
          <w:sz w:val="18"/>
        </w:rPr>
      </w:pPr>
    </w:p>
    <w:p>
      <w:pPr>
        <w:pStyle w:val="Heading5"/>
        <w:spacing w:line="260" w:lineRule="exact"/>
        <w:ind w:left="327" w:right="85"/>
      </w:pPr>
      <w:r>
        <w:rPr>
          <w:w w:val="95"/>
        </w:rPr>
        <w:t>OFFICE OF PEOPLE AND </w:t>
      </w:r>
      <w:r>
        <w:rPr/>
        <w:t>CULTURE</w:t>
      </w:r>
    </w:p>
    <w:p>
      <w:pPr>
        <w:pStyle w:val="BodyText"/>
        <w:spacing w:before="6"/>
        <w:rPr>
          <w:rFonts w:ascii="Gotham Narrow Bold"/>
          <w:b/>
          <w:sz w:val="25"/>
        </w:rPr>
      </w:pPr>
    </w:p>
    <w:p>
      <w:pPr>
        <w:pStyle w:val="Heading8"/>
        <w:ind w:left="327" w:right="85"/>
      </w:pPr>
      <w:r>
        <w:rPr>
          <w:w w:val="95"/>
        </w:rPr>
        <w:t>UNIVERSITY STAFF PROFILE</w:t>
      </w:r>
    </w:p>
    <w:p>
      <w:pPr>
        <w:pStyle w:val="BodyText"/>
        <w:spacing w:line="249" w:lineRule="auto" w:before="86"/>
        <w:ind w:left="327" w:right="38"/>
        <w:jc w:val="both"/>
      </w:pPr>
      <w:r>
        <w:rPr/>
        <w:t>There</w:t>
      </w:r>
      <w:r>
        <w:rPr>
          <w:spacing w:val="-26"/>
        </w:rPr>
        <w:t> </w:t>
      </w:r>
      <w:r>
        <w:rPr/>
        <w:t>were</w:t>
      </w:r>
      <w:r>
        <w:rPr>
          <w:spacing w:val="-26"/>
        </w:rPr>
        <w:t> </w:t>
      </w:r>
      <w:r>
        <w:rPr>
          <w:spacing w:val="2"/>
        </w:rPr>
        <w:t>2,579.39</w:t>
      </w:r>
      <w:r>
        <w:rPr>
          <w:spacing w:val="-26"/>
        </w:rPr>
        <w:t> </w:t>
      </w:r>
      <w:r>
        <w:rPr/>
        <w:t>full-time</w:t>
      </w:r>
      <w:r>
        <w:rPr>
          <w:spacing w:val="-26"/>
        </w:rPr>
        <w:t> </w:t>
      </w:r>
      <w:r>
        <w:rPr/>
        <w:t>equivalent</w:t>
      </w:r>
      <w:r>
        <w:rPr>
          <w:spacing w:val="-26"/>
        </w:rPr>
        <w:t> </w:t>
      </w:r>
      <w:r>
        <w:rPr/>
        <w:t>staff members</w:t>
      </w:r>
      <w:r>
        <w:rPr>
          <w:spacing w:val="-14"/>
        </w:rPr>
        <w:t> </w:t>
      </w:r>
      <w:r>
        <w:rPr/>
        <w:t>in</w:t>
      </w:r>
      <w:r>
        <w:rPr>
          <w:spacing w:val="-14"/>
        </w:rPr>
        <w:t> </w:t>
      </w:r>
      <w:r>
        <w:rPr/>
        <w:t>ongoing</w:t>
      </w:r>
      <w:r>
        <w:rPr>
          <w:spacing w:val="-14"/>
        </w:rPr>
        <w:t> </w:t>
      </w:r>
      <w:r>
        <w:rPr/>
        <w:t>and</w:t>
      </w:r>
      <w:r>
        <w:rPr>
          <w:spacing w:val="-14"/>
        </w:rPr>
        <w:t> </w:t>
      </w:r>
      <w:r>
        <w:rPr/>
        <w:t>fixed-term</w:t>
      </w:r>
      <w:r>
        <w:rPr>
          <w:spacing w:val="-14"/>
        </w:rPr>
        <w:t> </w:t>
      </w:r>
      <w:r>
        <w:rPr/>
        <w:t>positions </w:t>
      </w:r>
      <w:r>
        <w:rPr>
          <w:spacing w:val="1"/>
          <w:w w:val="94"/>
        </w:rPr>
        <w:t>as</w:t>
      </w:r>
      <w:r>
        <w:rPr>
          <w:w w:val="94"/>
        </w:rPr>
        <w:t> </w:t>
      </w:r>
      <w:r>
        <w:rPr>
          <w:w w:val="98"/>
        </w:rPr>
        <w:t>at </w:t>
      </w:r>
      <w:r>
        <w:rPr>
          <w:spacing w:val="2"/>
          <w:w w:val="74"/>
        </w:rPr>
        <w:t>31</w:t>
      </w:r>
      <w:r>
        <w:rPr>
          <w:w w:val="74"/>
        </w:rPr>
        <w:t> </w:t>
      </w:r>
      <w:r>
        <w:rPr>
          <w:spacing w:val="1"/>
          <w:w w:val="97"/>
        </w:rPr>
        <w:t>March</w:t>
      </w:r>
      <w:r>
        <w:rPr>
          <w:spacing w:val="-21"/>
          <w:w w:val="97"/>
        </w:rPr>
        <w:t> </w:t>
      </w:r>
      <w:r>
        <w:rPr>
          <w:spacing w:val="1"/>
          <w:w w:val="84"/>
        </w:rPr>
        <w:t>2015.</w:t>
      </w:r>
    </w:p>
    <w:p>
      <w:pPr>
        <w:pStyle w:val="BodyText"/>
        <w:rPr>
          <w:sz w:val="14"/>
        </w:rPr>
      </w:pPr>
    </w:p>
    <w:p>
      <w:pPr>
        <w:pStyle w:val="BodyText"/>
        <w:spacing w:line="249" w:lineRule="auto"/>
        <w:ind w:left="327" w:right="-3"/>
      </w:pPr>
      <w:r>
        <w:rPr/>
        <w:t>The Office of People and Culture (OPC) is responsible for developing and implementing strategically aligned and effective human resource policies, practices and services for employees and managers. </w:t>
      </w:r>
      <w:r>
        <w:rPr>
          <w:spacing w:val="2"/>
        </w:rPr>
        <w:t>OPC </w:t>
      </w:r>
      <w:r>
        <w:rPr/>
        <w:t>works in partnership with the Schools, Institutes and Divisions,</w:t>
      </w:r>
      <w:r>
        <w:rPr>
          <w:spacing w:val="-21"/>
        </w:rPr>
        <w:t> </w:t>
      </w:r>
      <w:r>
        <w:rPr/>
        <w:t>and</w:t>
      </w:r>
      <w:r>
        <w:rPr>
          <w:spacing w:val="-21"/>
        </w:rPr>
        <w:t> </w:t>
      </w:r>
      <w:r>
        <w:rPr/>
        <w:t>with</w:t>
      </w:r>
      <w:r>
        <w:rPr>
          <w:spacing w:val="-21"/>
        </w:rPr>
        <w:t> </w:t>
      </w:r>
      <w:r>
        <w:rPr/>
        <w:t>University</w:t>
      </w:r>
      <w:r>
        <w:rPr>
          <w:spacing w:val="-21"/>
        </w:rPr>
        <w:t> </w:t>
      </w:r>
      <w:r>
        <w:rPr/>
        <w:t>management,</w:t>
      </w:r>
      <w:r>
        <w:rPr>
          <w:spacing w:val="-21"/>
        </w:rPr>
        <w:t> </w:t>
      </w:r>
      <w:r>
        <w:rPr/>
        <w:t>to achieve</w:t>
      </w:r>
      <w:r>
        <w:rPr>
          <w:spacing w:val="-21"/>
        </w:rPr>
        <w:t> </w:t>
      </w:r>
      <w:r>
        <w:rPr/>
        <w:t>the</w:t>
      </w:r>
      <w:r>
        <w:rPr>
          <w:spacing w:val="-21"/>
        </w:rPr>
        <w:t> </w:t>
      </w:r>
      <w:r>
        <w:rPr/>
        <w:t>University’s</w:t>
      </w:r>
      <w:r>
        <w:rPr>
          <w:spacing w:val="-21"/>
        </w:rPr>
        <w:t> </w:t>
      </w:r>
      <w:r>
        <w:rPr/>
        <w:t>strategic</w:t>
      </w:r>
      <w:r>
        <w:rPr>
          <w:spacing w:val="-21"/>
        </w:rPr>
        <w:t> </w:t>
      </w:r>
      <w:r>
        <w:rPr/>
        <w:t>goals.</w:t>
      </w:r>
    </w:p>
    <w:p>
      <w:pPr>
        <w:pStyle w:val="BodyText"/>
        <w:rPr>
          <w:sz w:val="14"/>
        </w:rPr>
      </w:pPr>
    </w:p>
    <w:p>
      <w:pPr>
        <w:pStyle w:val="BodyText"/>
        <w:spacing w:line="249" w:lineRule="auto"/>
        <w:ind w:left="327" w:right="66"/>
      </w:pPr>
      <w:r>
        <w:rPr/>
        <w:t>OPC supports the University in the following areas:</w:t>
      </w:r>
    </w:p>
    <w:p>
      <w:pPr>
        <w:pStyle w:val="BodyText"/>
        <w:spacing w:before="11"/>
        <w:rPr>
          <w:sz w:val="13"/>
        </w:rPr>
      </w:pPr>
    </w:p>
    <w:p>
      <w:pPr>
        <w:pStyle w:val="BodyText"/>
        <w:ind w:left="327" w:right="85"/>
      </w:pPr>
      <w:r>
        <w:rPr>
          <w:rFonts w:ascii="Century Gothic" w:hAnsi="Century Gothic"/>
          <w:b/>
          <w:w w:val="115"/>
        </w:rPr>
        <w:t>≥ </w:t>
      </w:r>
      <w:r>
        <w:rPr>
          <w:w w:val="105"/>
        </w:rPr>
        <w:t>HR strategy and services</w:t>
      </w:r>
    </w:p>
    <w:p>
      <w:pPr>
        <w:pStyle w:val="BodyText"/>
        <w:spacing w:line="244" w:lineRule="auto" w:before="60"/>
        <w:ind w:left="553" w:right="474" w:hanging="227"/>
      </w:pPr>
      <w:r>
        <w:rPr>
          <w:rFonts w:ascii="Century Gothic" w:hAnsi="Century Gothic"/>
          <w:b/>
          <w:w w:val="115"/>
        </w:rPr>
        <w:t>≥</w:t>
      </w:r>
      <w:r>
        <w:rPr>
          <w:rFonts w:ascii="Century Gothic" w:hAnsi="Century Gothic"/>
          <w:b/>
          <w:spacing w:val="-2"/>
          <w:w w:val="115"/>
        </w:rPr>
        <w:t> </w:t>
      </w:r>
      <w:r>
        <w:rPr>
          <w:w w:val="105"/>
        </w:rPr>
        <w:t>Aboriginal</w:t>
      </w:r>
      <w:r>
        <w:rPr>
          <w:spacing w:val="-34"/>
          <w:w w:val="105"/>
        </w:rPr>
        <w:t> </w:t>
      </w:r>
      <w:r>
        <w:rPr>
          <w:w w:val="105"/>
        </w:rPr>
        <w:t>and</w:t>
      </w:r>
      <w:r>
        <w:rPr>
          <w:spacing w:val="-34"/>
          <w:w w:val="105"/>
        </w:rPr>
        <w:t> </w:t>
      </w:r>
      <w:r>
        <w:rPr>
          <w:w w:val="105"/>
        </w:rPr>
        <w:t>Torres</w:t>
      </w:r>
      <w:r>
        <w:rPr>
          <w:spacing w:val="-34"/>
          <w:w w:val="105"/>
        </w:rPr>
        <w:t> </w:t>
      </w:r>
      <w:r>
        <w:rPr>
          <w:w w:val="105"/>
        </w:rPr>
        <w:t>Strait</w:t>
      </w:r>
      <w:r>
        <w:rPr>
          <w:spacing w:val="-34"/>
          <w:w w:val="105"/>
        </w:rPr>
        <w:t> </w:t>
      </w:r>
      <w:r>
        <w:rPr>
          <w:w w:val="105"/>
        </w:rPr>
        <w:t>Islander </w:t>
      </w:r>
      <w:r>
        <w:rPr/>
        <w:t>employment and</w:t>
      </w:r>
      <w:r>
        <w:rPr>
          <w:spacing w:val="-32"/>
        </w:rPr>
        <w:t> </w:t>
      </w:r>
      <w:r>
        <w:rPr/>
        <w:t>engagement</w:t>
      </w:r>
    </w:p>
    <w:p>
      <w:pPr>
        <w:pStyle w:val="BodyText"/>
        <w:spacing w:before="58"/>
        <w:ind w:left="327" w:right="85"/>
      </w:pPr>
      <w:r>
        <w:rPr>
          <w:rFonts w:ascii="Century Gothic" w:hAnsi="Century Gothic"/>
          <w:b/>
          <w:w w:val="105"/>
        </w:rPr>
        <w:t>≥ </w:t>
      </w:r>
      <w:r>
        <w:rPr>
          <w:w w:val="105"/>
        </w:rPr>
        <w:t>Organisational development</w:t>
      </w:r>
    </w:p>
    <w:p>
      <w:pPr>
        <w:pStyle w:val="BodyText"/>
        <w:spacing w:before="60"/>
        <w:ind w:left="327" w:right="85"/>
      </w:pPr>
      <w:r>
        <w:rPr>
          <w:rFonts w:ascii="Century Gothic" w:hAnsi="Century Gothic"/>
          <w:b/>
          <w:w w:val="110"/>
        </w:rPr>
        <w:t>≥ </w:t>
      </w:r>
      <w:r>
        <w:rPr>
          <w:w w:val="110"/>
        </w:rPr>
        <w:t>Recruitment</w:t>
      </w:r>
    </w:p>
    <w:p>
      <w:pPr>
        <w:pStyle w:val="BodyText"/>
        <w:spacing w:before="60"/>
        <w:ind w:left="327" w:right="85"/>
      </w:pPr>
      <w:r>
        <w:rPr>
          <w:rFonts w:ascii="Century Gothic" w:hAnsi="Century Gothic"/>
          <w:b/>
          <w:w w:val="115"/>
        </w:rPr>
        <w:t>≥ </w:t>
      </w:r>
      <w:r>
        <w:rPr>
          <w:w w:val="105"/>
        </w:rPr>
        <w:t>Work, health and safety</w:t>
      </w:r>
    </w:p>
    <w:p>
      <w:pPr>
        <w:pStyle w:val="BodyText"/>
        <w:spacing w:line="244" w:lineRule="auto" w:before="60"/>
        <w:ind w:left="553" w:right="264" w:hanging="227"/>
      </w:pPr>
      <w:r>
        <w:rPr>
          <w:rFonts w:ascii="Century Gothic" w:hAnsi="Century Gothic"/>
          <w:b/>
          <w:w w:val="115"/>
        </w:rPr>
        <w:t>≥</w:t>
      </w:r>
      <w:r>
        <w:rPr>
          <w:rFonts w:ascii="Century Gothic" w:hAnsi="Century Gothic"/>
          <w:b/>
          <w:spacing w:val="-5"/>
          <w:w w:val="115"/>
        </w:rPr>
        <w:t> </w:t>
      </w:r>
      <w:r>
        <w:rPr>
          <w:w w:val="105"/>
        </w:rPr>
        <w:t>Workplace</w:t>
      </w:r>
      <w:r>
        <w:rPr>
          <w:spacing w:val="-35"/>
          <w:w w:val="105"/>
        </w:rPr>
        <w:t> </w:t>
      </w:r>
      <w:r>
        <w:rPr>
          <w:w w:val="105"/>
        </w:rPr>
        <w:t>relations</w:t>
      </w:r>
      <w:r>
        <w:rPr>
          <w:spacing w:val="-35"/>
          <w:w w:val="105"/>
        </w:rPr>
        <w:t> </w:t>
      </w:r>
      <w:r>
        <w:rPr>
          <w:w w:val="105"/>
        </w:rPr>
        <w:t>and</w:t>
      </w:r>
      <w:r>
        <w:rPr>
          <w:spacing w:val="-35"/>
          <w:w w:val="105"/>
        </w:rPr>
        <w:t> </w:t>
      </w:r>
      <w:r>
        <w:rPr>
          <w:w w:val="105"/>
        </w:rPr>
        <w:t>organisational design.</w:t>
      </w:r>
    </w:p>
    <w:p>
      <w:pPr>
        <w:pStyle w:val="BodyText"/>
        <w:spacing w:before="4"/>
        <w:rPr>
          <w:sz w:val="14"/>
        </w:rPr>
      </w:pPr>
    </w:p>
    <w:p>
      <w:pPr>
        <w:pStyle w:val="BodyText"/>
        <w:spacing w:line="249" w:lineRule="auto"/>
        <w:ind w:left="327" w:right="51"/>
      </w:pPr>
      <w:r>
        <w:rPr>
          <w:w w:val="80"/>
        </w:rPr>
        <w:t>In </w:t>
      </w:r>
      <w:r>
        <w:rPr>
          <w:w w:val="86"/>
        </w:rPr>
        <w:t>2014, </w:t>
      </w:r>
      <w:r>
        <w:rPr>
          <w:w w:val="102"/>
        </w:rPr>
        <w:t>OPC </w:t>
      </w:r>
      <w:r>
        <w:rPr>
          <w:w w:val="98"/>
        </w:rPr>
        <w:t>continued </w:t>
      </w:r>
      <w:r>
        <w:rPr>
          <w:w w:val="101"/>
        </w:rPr>
        <w:t>to </w:t>
      </w:r>
      <w:r>
        <w:rPr>
          <w:w w:val="97"/>
        </w:rPr>
        <w:t>implement </w:t>
      </w:r>
      <w:r>
        <w:rPr>
          <w:w w:val="97"/>
        </w:rPr>
        <w:t>the </w:t>
      </w:r>
      <w:r>
        <w:rPr>
          <w:w w:val="97"/>
        </w:rPr>
        <w:t>Our </w:t>
      </w:r>
      <w:r>
        <w:rPr/>
        <w:t>People staffing plan, including undertaking significant work in the areas of workforce planning; electronic onboarding, orientation and induction; and academic careers and development.</w:t>
      </w:r>
    </w:p>
    <w:p>
      <w:pPr>
        <w:pStyle w:val="BodyText"/>
        <w:spacing w:before="4"/>
        <w:rPr>
          <w:sz w:val="17"/>
        </w:rPr>
      </w:pPr>
      <w:r>
        <w:rPr/>
        <w:br w:type="column"/>
      </w:r>
      <w:r>
        <w:rPr>
          <w:sz w:val="17"/>
        </w:rPr>
      </w:r>
    </w:p>
    <w:p>
      <w:pPr>
        <w:pStyle w:val="Heading8"/>
        <w:ind w:left="204" w:right="-2"/>
      </w:pPr>
      <w:r>
        <w:rPr>
          <w:w w:val="95"/>
        </w:rPr>
        <w:t>HR STRATEGY AND SERVICES</w:t>
      </w:r>
    </w:p>
    <w:p>
      <w:pPr>
        <w:pStyle w:val="BodyText"/>
        <w:spacing w:line="249" w:lineRule="auto" w:before="86"/>
        <w:ind w:left="204" w:right="-2"/>
      </w:pPr>
      <w:r>
        <w:rPr/>
        <w:t>HR Strategy and Services </w:t>
      </w:r>
      <w:r>
        <w:rPr>
          <w:spacing w:val="2"/>
        </w:rPr>
        <w:t>(HRSS) </w:t>
      </w:r>
      <w:r>
        <w:rPr/>
        <w:t>is responsible for delivering HR operational services and program initiatives at the University, including payroll, Human Resources Information Systems, administration</w:t>
      </w:r>
      <w:r>
        <w:rPr>
          <w:spacing w:val="-23"/>
        </w:rPr>
        <w:t> </w:t>
      </w:r>
      <w:r>
        <w:rPr/>
        <w:t>of</w:t>
      </w:r>
      <w:r>
        <w:rPr>
          <w:spacing w:val="-23"/>
        </w:rPr>
        <w:t> </w:t>
      </w:r>
      <w:r>
        <w:rPr/>
        <w:t>superannuation,</w:t>
      </w:r>
      <w:r>
        <w:rPr>
          <w:spacing w:val="-23"/>
        </w:rPr>
        <w:t> </w:t>
      </w:r>
      <w:r>
        <w:rPr/>
        <w:t>applications for academic promotions, and staff scholarships and awards. The Recruitment team</w:t>
      </w:r>
      <w:r>
        <w:rPr>
          <w:spacing w:val="-16"/>
        </w:rPr>
        <w:t> </w:t>
      </w:r>
      <w:r>
        <w:rPr/>
        <w:t>and</w:t>
      </w:r>
      <w:r>
        <w:rPr>
          <w:spacing w:val="-16"/>
        </w:rPr>
        <w:t> </w:t>
      </w:r>
      <w:r>
        <w:rPr/>
        <w:t>was</w:t>
      </w:r>
      <w:r>
        <w:rPr>
          <w:spacing w:val="-16"/>
        </w:rPr>
        <w:t> </w:t>
      </w:r>
      <w:r>
        <w:rPr/>
        <w:t>merged</w:t>
      </w:r>
      <w:r>
        <w:rPr>
          <w:spacing w:val="-16"/>
        </w:rPr>
        <w:t> </w:t>
      </w:r>
      <w:r>
        <w:rPr/>
        <w:t>with</w:t>
      </w:r>
      <w:r>
        <w:rPr>
          <w:spacing w:val="-16"/>
        </w:rPr>
        <w:t> </w:t>
      </w:r>
      <w:r>
        <w:rPr/>
        <w:t>the</w:t>
      </w:r>
      <w:r>
        <w:rPr>
          <w:spacing w:val="-16"/>
        </w:rPr>
        <w:t> </w:t>
      </w:r>
      <w:r>
        <w:rPr/>
        <w:t>HR</w:t>
      </w:r>
      <w:r>
        <w:rPr>
          <w:spacing w:val="-16"/>
        </w:rPr>
        <w:t> </w:t>
      </w:r>
      <w:r>
        <w:rPr/>
        <w:t>Strategy</w:t>
      </w:r>
      <w:r>
        <w:rPr>
          <w:spacing w:val="-16"/>
        </w:rPr>
        <w:t> </w:t>
      </w:r>
      <w:r>
        <w:rPr/>
        <w:t>&amp; </w:t>
      </w:r>
      <w:r>
        <w:rPr>
          <w:spacing w:val="1"/>
          <w:w w:val="97"/>
        </w:rPr>
        <w:t>Services</w:t>
      </w:r>
      <w:r>
        <w:rPr>
          <w:w w:val="97"/>
        </w:rPr>
        <w:t> </w:t>
      </w:r>
      <w:r>
        <w:rPr>
          <w:w w:val="97"/>
        </w:rPr>
        <w:t>team </w:t>
      </w:r>
      <w:r>
        <w:rPr>
          <w:spacing w:val="1"/>
          <w:w w:val="96"/>
        </w:rPr>
        <w:t>early</w:t>
      </w:r>
      <w:r>
        <w:rPr>
          <w:w w:val="96"/>
        </w:rPr>
        <w:t> </w:t>
      </w:r>
      <w:r>
        <w:rPr>
          <w:w w:val="95"/>
        </w:rPr>
        <w:t>in</w:t>
      </w:r>
      <w:r>
        <w:rPr>
          <w:spacing w:val="-21"/>
          <w:w w:val="95"/>
        </w:rPr>
        <w:t> </w:t>
      </w:r>
      <w:r>
        <w:rPr>
          <w:spacing w:val="1"/>
          <w:w w:val="84"/>
        </w:rPr>
        <w:t>2015.</w:t>
      </w:r>
    </w:p>
    <w:p>
      <w:pPr>
        <w:pStyle w:val="BodyText"/>
        <w:rPr>
          <w:sz w:val="14"/>
        </w:rPr>
      </w:pPr>
    </w:p>
    <w:p>
      <w:pPr>
        <w:pStyle w:val="BodyText"/>
        <w:spacing w:line="249" w:lineRule="auto"/>
        <w:ind w:left="204" w:right="164"/>
      </w:pPr>
      <w:r>
        <w:rPr/>
        <w:t>Key</w:t>
      </w:r>
      <w:r>
        <w:rPr>
          <w:spacing w:val="-15"/>
        </w:rPr>
        <w:t> </w:t>
      </w:r>
      <w:r>
        <w:rPr/>
        <w:t>events</w:t>
      </w:r>
      <w:r>
        <w:rPr>
          <w:spacing w:val="-15"/>
        </w:rPr>
        <w:t> </w:t>
      </w:r>
      <w:r>
        <w:rPr/>
        <w:t>organised</w:t>
      </w:r>
      <w:r>
        <w:rPr>
          <w:spacing w:val="-15"/>
        </w:rPr>
        <w:t> </w:t>
      </w:r>
      <w:r>
        <w:rPr/>
        <w:t>by</w:t>
      </w:r>
      <w:r>
        <w:rPr>
          <w:spacing w:val="-15"/>
        </w:rPr>
        <w:t> </w:t>
      </w:r>
      <w:r>
        <w:rPr>
          <w:spacing w:val="2"/>
        </w:rPr>
        <w:t>HRSS</w:t>
      </w:r>
      <w:r>
        <w:rPr>
          <w:spacing w:val="-15"/>
        </w:rPr>
        <w:t> </w:t>
      </w:r>
      <w:r>
        <w:rPr/>
        <w:t>included</w:t>
      </w:r>
      <w:r>
        <w:rPr>
          <w:spacing w:val="-15"/>
        </w:rPr>
        <w:t> </w:t>
      </w:r>
      <w:r>
        <w:rPr/>
        <w:t>the 4th Annual Professoriate Dinner, attended by over 80 members of the University professoriate,</w:t>
      </w:r>
      <w:r>
        <w:rPr>
          <w:spacing w:val="-18"/>
        </w:rPr>
        <w:t> </w:t>
      </w:r>
      <w:r>
        <w:rPr/>
        <w:t>and</w:t>
      </w:r>
      <w:r>
        <w:rPr>
          <w:spacing w:val="-18"/>
        </w:rPr>
        <w:t> </w:t>
      </w:r>
      <w:r>
        <w:rPr/>
        <w:t>the</w:t>
      </w:r>
      <w:r>
        <w:rPr>
          <w:spacing w:val="-18"/>
        </w:rPr>
        <w:t> </w:t>
      </w:r>
      <w:r>
        <w:rPr/>
        <w:t>6th</w:t>
      </w:r>
      <w:r>
        <w:rPr>
          <w:spacing w:val="-18"/>
        </w:rPr>
        <w:t> </w:t>
      </w:r>
      <w:r>
        <w:rPr/>
        <w:t>Annual</w:t>
      </w:r>
      <w:r>
        <w:rPr>
          <w:spacing w:val="-18"/>
        </w:rPr>
        <w:t> </w:t>
      </w:r>
      <w:r>
        <w:rPr/>
        <w:t>University Professional</w:t>
      </w:r>
      <w:r>
        <w:rPr>
          <w:spacing w:val="-21"/>
        </w:rPr>
        <w:t> </w:t>
      </w:r>
      <w:r>
        <w:rPr/>
        <w:t>Staff</w:t>
      </w:r>
      <w:r>
        <w:rPr>
          <w:spacing w:val="-22"/>
        </w:rPr>
        <w:t> </w:t>
      </w:r>
      <w:r>
        <w:rPr/>
        <w:t>Conference,</w:t>
      </w:r>
      <w:r>
        <w:rPr>
          <w:spacing w:val="-21"/>
        </w:rPr>
        <w:t> </w:t>
      </w:r>
      <w:r>
        <w:rPr/>
        <w:t>with</w:t>
      </w:r>
      <w:r>
        <w:rPr>
          <w:spacing w:val="-21"/>
        </w:rPr>
        <w:t> </w:t>
      </w:r>
      <w:r>
        <w:rPr/>
        <w:t>16</w:t>
      </w:r>
      <w:r>
        <w:rPr>
          <w:spacing w:val="-21"/>
        </w:rPr>
        <w:t> </w:t>
      </w:r>
      <w:r>
        <w:rPr/>
        <w:t>staff presentations and over 350 professional staff</w:t>
      </w:r>
      <w:r>
        <w:rPr>
          <w:spacing w:val="-18"/>
        </w:rPr>
        <w:t> </w:t>
      </w:r>
      <w:r>
        <w:rPr/>
        <w:t>members</w:t>
      </w:r>
      <w:r>
        <w:rPr>
          <w:spacing w:val="-18"/>
        </w:rPr>
        <w:t> </w:t>
      </w:r>
      <w:r>
        <w:rPr/>
        <w:t>attending.</w:t>
      </w:r>
      <w:r>
        <w:rPr>
          <w:spacing w:val="-18"/>
        </w:rPr>
        <w:t> </w:t>
      </w:r>
      <w:r>
        <w:rPr/>
        <w:t>The</w:t>
      </w:r>
      <w:r>
        <w:rPr>
          <w:spacing w:val="-18"/>
        </w:rPr>
        <w:t> </w:t>
      </w:r>
      <w:r>
        <w:rPr/>
        <w:t>University</w:t>
      </w:r>
      <w:r>
        <w:rPr>
          <w:spacing w:val="-18"/>
        </w:rPr>
        <w:t> </w:t>
      </w:r>
      <w:r>
        <w:rPr/>
        <w:t>is</w:t>
      </w:r>
      <w:r>
        <w:rPr>
          <w:spacing w:val="-18"/>
        </w:rPr>
        <w:t> </w:t>
      </w:r>
      <w:r>
        <w:rPr/>
        <w:t>a sector</w:t>
      </w:r>
      <w:r>
        <w:rPr>
          <w:spacing w:val="-15"/>
        </w:rPr>
        <w:t> </w:t>
      </w:r>
      <w:r>
        <w:rPr/>
        <w:t>leader</w:t>
      </w:r>
      <w:r>
        <w:rPr>
          <w:spacing w:val="-15"/>
        </w:rPr>
        <w:t> </w:t>
      </w:r>
      <w:r>
        <w:rPr/>
        <w:t>in</w:t>
      </w:r>
      <w:r>
        <w:rPr>
          <w:spacing w:val="-15"/>
        </w:rPr>
        <w:t> </w:t>
      </w:r>
      <w:r>
        <w:rPr/>
        <w:t>supporting</w:t>
      </w:r>
      <w:r>
        <w:rPr>
          <w:spacing w:val="-15"/>
        </w:rPr>
        <w:t> </w:t>
      </w:r>
      <w:r>
        <w:rPr/>
        <w:t>these</w:t>
      </w:r>
      <w:r>
        <w:rPr>
          <w:spacing w:val="-15"/>
        </w:rPr>
        <w:t> </w:t>
      </w:r>
      <w:r>
        <w:rPr/>
        <w:t>innovative approaches to bringing together staff members from the various disciplines and portfolio</w:t>
      </w:r>
      <w:r>
        <w:rPr>
          <w:spacing w:val="-23"/>
        </w:rPr>
        <w:t> </w:t>
      </w:r>
      <w:r>
        <w:rPr/>
        <w:t>areas.</w:t>
      </w:r>
    </w:p>
    <w:p>
      <w:pPr>
        <w:pStyle w:val="BodyText"/>
        <w:spacing w:before="6"/>
        <w:rPr>
          <w:sz w:val="14"/>
        </w:rPr>
      </w:pPr>
    </w:p>
    <w:p>
      <w:pPr>
        <w:pStyle w:val="Heading8"/>
        <w:ind w:left="204" w:right="-2"/>
      </w:pPr>
      <w:r>
        <w:rPr>
          <w:color w:val="636466"/>
          <w:w w:val="95"/>
        </w:rPr>
        <w:t>Academic Development Program</w:t>
      </w:r>
    </w:p>
    <w:p>
      <w:pPr>
        <w:pStyle w:val="BodyText"/>
        <w:spacing w:line="249" w:lineRule="auto" w:before="86"/>
        <w:ind w:left="204" w:right="-2"/>
      </w:pPr>
      <w:r>
        <w:rPr>
          <w:w w:val="97"/>
        </w:rPr>
        <w:t>During </w:t>
      </w:r>
      <w:r>
        <w:rPr>
          <w:w w:val="84"/>
        </w:rPr>
        <w:t>2015, </w:t>
      </w:r>
      <w:r>
        <w:rPr>
          <w:spacing w:val="-1"/>
          <w:w w:val="98"/>
        </w:rPr>
        <w:t>applications</w:t>
      </w:r>
      <w:r>
        <w:rPr>
          <w:w w:val="98"/>
        </w:rPr>
        <w:t> </w:t>
      </w:r>
      <w:r>
        <w:rPr>
          <w:spacing w:val="-1"/>
          <w:w w:val="98"/>
        </w:rPr>
        <w:t>for</w:t>
      </w:r>
      <w:r>
        <w:rPr>
          <w:w w:val="98"/>
        </w:rPr>
        <w:t> </w:t>
      </w:r>
      <w:r>
        <w:rPr>
          <w:w w:val="97"/>
        </w:rPr>
        <w:t>the </w:t>
      </w:r>
      <w:r>
        <w:rPr>
          <w:w w:val="100"/>
        </w:rPr>
        <w:t>Academic </w:t>
      </w:r>
      <w:r>
        <w:rPr/>
        <w:t>Development</w:t>
      </w:r>
      <w:r>
        <w:rPr>
          <w:spacing w:val="-24"/>
        </w:rPr>
        <w:t> </w:t>
      </w:r>
      <w:r>
        <w:rPr/>
        <w:t>Program</w:t>
      </w:r>
      <w:r>
        <w:rPr>
          <w:spacing w:val="-24"/>
        </w:rPr>
        <w:t> </w:t>
      </w:r>
      <w:r>
        <w:rPr/>
        <w:t>(ADP)</w:t>
      </w:r>
      <w:r>
        <w:rPr>
          <w:spacing w:val="-24"/>
        </w:rPr>
        <w:t> </w:t>
      </w:r>
      <w:r>
        <w:rPr/>
        <w:t>were</w:t>
      </w:r>
      <w:r>
        <w:rPr>
          <w:spacing w:val="-24"/>
        </w:rPr>
        <w:t> </w:t>
      </w:r>
      <w:r>
        <w:rPr/>
        <w:t>called</w:t>
      </w:r>
      <w:r>
        <w:rPr>
          <w:spacing w:val="-24"/>
        </w:rPr>
        <w:t> </w:t>
      </w:r>
      <w:r>
        <w:rPr/>
        <w:t>for</w:t>
      </w:r>
      <w:r>
        <w:rPr>
          <w:spacing w:val="-24"/>
        </w:rPr>
        <w:t> </w:t>
      </w:r>
      <w:r>
        <w:rPr/>
        <w:t>in two</w:t>
      </w:r>
      <w:r>
        <w:rPr>
          <w:spacing w:val="-24"/>
        </w:rPr>
        <w:t> </w:t>
      </w:r>
      <w:r>
        <w:rPr/>
        <w:t>rounds.</w:t>
      </w:r>
      <w:r>
        <w:rPr>
          <w:spacing w:val="-24"/>
        </w:rPr>
        <w:t> </w:t>
      </w:r>
      <w:r>
        <w:rPr/>
        <w:t>The</w:t>
      </w:r>
      <w:r>
        <w:rPr>
          <w:spacing w:val="-24"/>
        </w:rPr>
        <w:t> </w:t>
      </w:r>
      <w:r>
        <w:rPr/>
        <w:t>ADP</w:t>
      </w:r>
      <w:r>
        <w:rPr>
          <w:spacing w:val="-24"/>
        </w:rPr>
        <w:t> </w:t>
      </w:r>
      <w:r>
        <w:rPr/>
        <w:t>allows</w:t>
      </w:r>
      <w:r>
        <w:rPr>
          <w:spacing w:val="-24"/>
        </w:rPr>
        <w:t> </w:t>
      </w:r>
      <w:r>
        <w:rPr/>
        <w:t>our</w:t>
      </w:r>
      <w:r>
        <w:rPr>
          <w:spacing w:val="-24"/>
        </w:rPr>
        <w:t> </w:t>
      </w:r>
      <w:r>
        <w:rPr/>
        <w:t>academic</w:t>
      </w:r>
      <w:r>
        <w:rPr>
          <w:spacing w:val="-24"/>
        </w:rPr>
        <w:t> </w:t>
      </w:r>
      <w:r>
        <w:rPr/>
        <w:t>staff to undertake a sustained period of academic development </w:t>
      </w:r>
      <w:r>
        <w:rPr>
          <w:spacing w:val="-4"/>
        </w:rPr>
        <w:t>(up </w:t>
      </w:r>
      <w:r>
        <w:rPr/>
        <w:t>to 22 weeks) to pursue research;</w:t>
      </w:r>
      <w:r>
        <w:rPr>
          <w:spacing w:val="-27"/>
        </w:rPr>
        <w:t> </w:t>
      </w:r>
      <w:r>
        <w:rPr/>
        <w:t>to</w:t>
      </w:r>
      <w:r>
        <w:rPr>
          <w:spacing w:val="-27"/>
        </w:rPr>
        <w:t> </w:t>
      </w:r>
      <w:r>
        <w:rPr/>
        <w:t>acquire</w:t>
      </w:r>
      <w:r>
        <w:rPr>
          <w:spacing w:val="-27"/>
        </w:rPr>
        <w:t> </w:t>
      </w:r>
      <w:r>
        <w:rPr/>
        <w:t>new</w:t>
      </w:r>
      <w:r>
        <w:rPr>
          <w:spacing w:val="-27"/>
        </w:rPr>
        <w:t> </w:t>
      </w:r>
      <w:r>
        <w:rPr/>
        <w:t>skills</w:t>
      </w:r>
      <w:r>
        <w:rPr>
          <w:spacing w:val="-27"/>
        </w:rPr>
        <w:t> </w:t>
      </w:r>
      <w:r>
        <w:rPr/>
        <w:t>and</w:t>
      </w:r>
      <w:r>
        <w:rPr>
          <w:spacing w:val="-27"/>
        </w:rPr>
        <w:t> </w:t>
      </w:r>
      <w:r>
        <w:rPr/>
        <w:t>knowledge that</w:t>
      </w:r>
      <w:r>
        <w:rPr>
          <w:spacing w:val="-27"/>
        </w:rPr>
        <w:t> </w:t>
      </w:r>
      <w:r>
        <w:rPr/>
        <w:t>can</w:t>
      </w:r>
      <w:r>
        <w:rPr>
          <w:spacing w:val="-27"/>
        </w:rPr>
        <w:t> </w:t>
      </w:r>
      <w:r>
        <w:rPr/>
        <w:t>be</w:t>
      </w:r>
      <w:r>
        <w:rPr>
          <w:spacing w:val="-27"/>
        </w:rPr>
        <w:t> </w:t>
      </w:r>
      <w:r>
        <w:rPr/>
        <w:t>applied</w:t>
      </w:r>
      <w:r>
        <w:rPr>
          <w:spacing w:val="-27"/>
        </w:rPr>
        <w:t> </w:t>
      </w:r>
      <w:r>
        <w:rPr/>
        <w:t>to</w:t>
      </w:r>
      <w:r>
        <w:rPr>
          <w:spacing w:val="-27"/>
        </w:rPr>
        <w:t> </w:t>
      </w:r>
      <w:r>
        <w:rPr/>
        <w:t>their</w:t>
      </w:r>
      <w:r>
        <w:rPr>
          <w:spacing w:val="-27"/>
        </w:rPr>
        <w:t> </w:t>
      </w:r>
      <w:r>
        <w:rPr/>
        <w:t>teaching;</w:t>
      </w:r>
      <w:r>
        <w:rPr>
          <w:spacing w:val="-27"/>
        </w:rPr>
        <w:t> </w:t>
      </w:r>
      <w:r>
        <w:rPr/>
        <w:t>or</w:t>
      </w:r>
    </w:p>
    <w:p>
      <w:pPr>
        <w:pStyle w:val="BodyText"/>
        <w:spacing w:line="249" w:lineRule="auto"/>
        <w:ind w:left="204" w:right="55"/>
      </w:pPr>
      <w:r>
        <w:rPr/>
        <w:pict>
          <v:group style="position:absolute;margin-left:34.015999pt;margin-top:86.41671pt;width:527.25pt;height:144.6pt;mso-position-horizontal-relative:page;mso-position-vertical-relative:paragraph;z-index:-332920" coordorigin="680,1728" coordsize="10545,2892">
            <v:rect style="position:absolute;left:680;top:1728;width:10545;height:2891" filled="true" fillcolor="#e6e7e8" stroked="false">
              <v:fill type="solid"/>
            </v:rect>
            <v:shape style="position:absolute;left:907;top:2006;width:1634;height:240" type="#_x0000_t202" filled="false" stroked="false">
              <v:textbox inset="0,0,0,0">
                <w:txbxContent>
                  <w:p>
                    <w:pPr>
                      <w:spacing w:line="240" w:lineRule="exact" w:before="0"/>
                      <w:ind w:left="0" w:right="-2" w:firstLine="0"/>
                      <w:jc w:val="left"/>
                      <w:rPr>
                        <w:rFonts w:ascii="Gotham Narrow Bold"/>
                        <w:b/>
                        <w:sz w:val="24"/>
                      </w:rPr>
                    </w:pPr>
                    <w:r>
                      <w:rPr>
                        <w:rFonts w:ascii="Gotham Narrow Bold"/>
                        <w:b/>
                        <w:spacing w:val="-6"/>
                        <w:w w:val="95"/>
                        <w:sz w:val="24"/>
                      </w:rPr>
                      <w:t>STAFF </w:t>
                    </w:r>
                    <w:r>
                      <w:rPr>
                        <w:rFonts w:ascii="Gotham Narrow Bold"/>
                        <w:b/>
                        <w:spacing w:val="-3"/>
                        <w:w w:val="95"/>
                        <w:sz w:val="24"/>
                      </w:rPr>
                      <w:t>PROFILE</w:t>
                    </w:r>
                  </w:p>
                </w:txbxContent>
              </v:textbox>
              <w10:wrap type="none"/>
            </v:shape>
            <v:shape style="position:absolute;left:902;top:4094;width:5741;height:160" type="#_x0000_t202" filled="false" stroked="false">
              <v:textbox inset="0,0,0,0">
                <w:txbxContent>
                  <w:p>
                    <w:pPr>
                      <w:spacing w:line="160" w:lineRule="exact" w:before="0"/>
                      <w:ind w:left="0" w:right="0" w:firstLine="0"/>
                      <w:jc w:val="left"/>
                      <w:rPr>
                        <w:sz w:val="16"/>
                      </w:rPr>
                    </w:pPr>
                    <w:r>
                      <w:rPr>
                        <w:spacing w:val="2"/>
                        <w:w w:val="92"/>
                        <w:sz w:val="16"/>
                      </w:rPr>
                      <w:t>T</w:t>
                    </w:r>
                    <w:r>
                      <w:rPr>
                        <w:spacing w:val="2"/>
                        <w:w w:val="95"/>
                        <w:sz w:val="16"/>
                      </w:rPr>
                      <w:t>h</w:t>
                    </w:r>
                    <w:r>
                      <w:rPr>
                        <w:spacing w:val="3"/>
                        <w:w w:val="95"/>
                        <w:sz w:val="16"/>
                      </w:rPr>
                      <w:t>e</w:t>
                    </w:r>
                    <w:r>
                      <w:rPr>
                        <w:spacing w:val="2"/>
                        <w:w w:val="95"/>
                        <w:sz w:val="16"/>
                      </w:rPr>
                      <w:t>s</w:t>
                    </w:r>
                    <w:r>
                      <w:rPr>
                        <w:w w:val="95"/>
                        <w:sz w:val="16"/>
                      </w:rPr>
                      <w:t>e</w:t>
                    </w:r>
                    <w:r>
                      <w:rPr>
                        <w:spacing w:val="-12"/>
                        <w:sz w:val="16"/>
                      </w:rPr>
                      <w:t> </w:t>
                    </w:r>
                    <w:r>
                      <w:rPr>
                        <w:w w:val="97"/>
                        <w:sz w:val="16"/>
                      </w:rPr>
                      <w:t>f</w:t>
                    </w:r>
                    <w:r>
                      <w:rPr>
                        <w:spacing w:val="2"/>
                        <w:w w:val="97"/>
                        <w:sz w:val="16"/>
                      </w:rPr>
                      <w:t>i</w:t>
                    </w:r>
                    <w:r>
                      <w:rPr>
                        <w:spacing w:val="2"/>
                        <w:w w:val="102"/>
                        <w:sz w:val="16"/>
                      </w:rPr>
                      <w:t>g</w:t>
                    </w:r>
                    <w:r>
                      <w:rPr>
                        <w:spacing w:val="1"/>
                        <w:w w:val="95"/>
                        <w:sz w:val="16"/>
                      </w:rPr>
                      <w:t>u</w:t>
                    </w:r>
                    <w:r>
                      <w:rPr>
                        <w:spacing w:val="-1"/>
                        <w:w w:val="95"/>
                        <w:sz w:val="16"/>
                      </w:rPr>
                      <w:t>r</w:t>
                    </w:r>
                    <w:r>
                      <w:rPr>
                        <w:spacing w:val="3"/>
                        <w:w w:val="95"/>
                        <w:sz w:val="16"/>
                      </w:rPr>
                      <w:t>e</w:t>
                    </w:r>
                    <w:r>
                      <w:rPr>
                        <w:w w:val="95"/>
                        <w:sz w:val="16"/>
                      </w:rPr>
                      <w:t>s</w:t>
                    </w:r>
                    <w:r>
                      <w:rPr>
                        <w:spacing w:val="-12"/>
                        <w:sz w:val="16"/>
                      </w:rPr>
                      <w:t> </w:t>
                    </w:r>
                    <w:r>
                      <w:rPr>
                        <w:spacing w:val="2"/>
                        <w:w w:val="102"/>
                        <w:sz w:val="16"/>
                      </w:rPr>
                      <w:t>d</w:t>
                    </w:r>
                    <w:r>
                      <w:rPr>
                        <w:w w:val="100"/>
                        <w:sz w:val="16"/>
                      </w:rPr>
                      <w:t>o</w:t>
                    </w:r>
                    <w:r>
                      <w:rPr>
                        <w:spacing w:val="-12"/>
                        <w:sz w:val="16"/>
                      </w:rPr>
                      <w:t> </w:t>
                    </w:r>
                    <w:r>
                      <w:rPr>
                        <w:spacing w:val="2"/>
                        <w:w w:val="95"/>
                        <w:sz w:val="16"/>
                      </w:rPr>
                      <w:t>n</w:t>
                    </w:r>
                    <w:r>
                      <w:rPr>
                        <w:w w:val="100"/>
                        <w:sz w:val="16"/>
                      </w:rPr>
                      <w:t>o</w:t>
                    </w:r>
                    <w:r>
                      <w:rPr>
                        <w:w w:val="102"/>
                        <w:sz w:val="16"/>
                      </w:rPr>
                      <w:t>t</w:t>
                    </w:r>
                    <w:r>
                      <w:rPr>
                        <w:spacing w:val="-12"/>
                        <w:sz w:val="16"/>
                      </w:rPr>
                      <w:t> </w:t>
                    </w:r>
                    <w:r>
                      <w:rPr>
                        <w:spacing w:val="1"/>
                        <w:w w:val="95"/>
                        <w:sz w:val="16"/>
                      </w:rPr>
                      <w:t>i</w:t>
                    </w:r>
                    <w:r>
                      <w:rPr>
                        <w:spacing w:val="2"/>
                        <w:w w:val="95"/>
                        <w:sz w:val="16"/>
                      </w:rPr>
                      <w:t>n</w:t>
                    </w:r>
                    <w:r>
                      <w:rPr>
                        <w:spacing w:val="1"/>
                        <w:w w:val="102"/>
                        <w:sz w:val="16"/>
                      </w:rPr>
                      <w:t>c</w:t>
                    </w:r>
                    <w:r>
                      <w:rPr>
                        <w:spacing w:val="1"/>
                        <w:w w:val="95"/>
                        <w:sz w:val="16"/>
                      </w:rPr>
                      <w:t>l</w:t>
                    </w:r>
                    <w:r>
                      <w:rPr>
                        <w:spacing w:val="2"/>
                        <w:w w:val="95"/>
                        <w:sz w:val="16"/>
                      </w:rPr>
                      <w:t>u</w:t>
                    </w:r>
                    <w:r>
                      <w:rPr>
                        <w:spacing w:val="2"/>
                        <w:w w:val="102"/>
                        <w:sz w:val="16"/>
                      </w:rPr>
                      <w:t>d</w:t>
                    </w:r>
                    <w:r>
                      <w:rPr>
                        <w:w w:val="95"/>
                        <w:sz w:val="16"/>
                      </w:rPr>
                      <w:t>e</w:t>
                    </w:r>
                    <w:r>
                      <w:rPr>
                        <w:spacing w:val="-12"/>
                        <w:sz w:val="16"/>
                      </w:rPr>
                      <w:t> </w:t>
                    </w:r>
                    <w:r>
                      <w:rPr>
                        <w:spacing w:val="3"/>
                        <w:w w:val="102"/>
                        <w:sz w:val="16"/>
                      </w:rPr>
                      <w:t>c</w:t>
                    </w:r>
                    <w:r>
                      <w:rPr>
                        <w:spacing w:val="2"/>
                        <w:w w:val="94"/>
                        <w:sz w:val="16"/>
                      </w:rPr>
                      <w:t>a</w:t>
                    </w:r>
                    <w:r>
                      <w:rPr>
                        <w:spacing w:val="1"/>
                        <w:w w:val="95"/>
                        <w:sz w:val="16"/>
                      </w:rPr>
                      <w:t>s</w:t>
                    </w:r>
                    <w:r>
                      <w:rPr>
                        <w:spacing w:val="2"/>
                        <w:w w:val="95"/>
                        <w:sz w:val="16"/>
                      </w:rPr>
                      <w:t>u</w:t>
                    </w:r>
                    <w:r>
                      <w:rPr>
                        <w:spacing w:val="2"/>
                        <w:w w:val="94"/>
                        <w:sz w:val="16"/>
                      </w:rPr>
                      <w:t>a</w:t>
                    </w:r>
                    <w:r>
                      <w:rPr>
                        <w:spacing w:val="1"/>
                        <w:w w:val="95"/>
                        <w:sz w:val="16"/>
                      </w:rPr>
                      <w:t>l</w:t>
                    </w:r>
                    <w:r>
                      <w:rPr>
                        <w:w w:val="95"/>
                        <w:sz w:val="16"/>
                      </w:rPr>
                      <w:t>s</w:t>
                    </w:r>
                    <w:r>
                      <w:rPr>
                        <w:spacing w:val="-12"/>
                        <w:sz w:val="16"/>
                      </w:rPr>
                      <w:t> </w:t>
                    </w:r>
                    <w:r>
                      <w:rPr>
                        <w:spacing w:val="2"/>
                        <w:w w:val="94"/>
                        <w:sz w:val="16"/>
                      </w:rPr>
                      <w:t>a</w:t>
                    </w:r>
                    <w:r>
                      <w:rPr>
                        <w:spacing w:val="2"/>
                        <w:w w:val="95"/>
                        <w:sz w:val="16"/>
                      </w:rPr>
                      <w:t>n</w:t>
                    </w:r>
                    <w:r>
                      <w:rPr>
                        <w:w w:val="102"/>
                        <w:sz w:val="16"/>
                      </w:rPr>
                      <w:t>d</w:t>
                    </w:r>
                    <w:r>
                      <w:rPr>
                        <w:spacing w:val="-12"/>
                        <w:sz w:val="16"/>
                      </w:rPr>
                      <w:t> </w:t>
                    </w:r>
                    <w:r>
                      <w:rPr>
                        <w:spacing w:val="2"/>
                        <w:w w:val="94"/>
                        <w:sz w:val="16"/>
                      </w:rPr>
                      <w:t>a</w:t>
                    </w:r>
                    <w:r>
                      <w:rPr>
                        <w:spacing w:val="-1"/>
                        <w:w w:val="95"/>
                        <w:sz w:val="16"/>
                      </w:rPr>
                      <w:t>r</w:t>
                    </w:r>
                    <w:r>
                      <w:rPr>
                        <w:w w:val="95"/>
                        <w:sz w:val="16"/>
                      </w:rPr>
                      <w:t>e</w:t>
                    </w:r>
                    <w:r>
                      <w:rPr>
                        <w:spacing w:val="-12"/>
                        <w:sz w:val="16"/>
                      </w:rPr>
                      <w:t> </w:t>
                    </w:r>
                    <w:r>
                      <w:rPr>
                        <w:w w:val="94"/>
                        <w:sz w:val="16"/>
                      </w:rPr>
                      <w:t>a</w:t>
                    </w:r>
                    <w:r>
                      <w:rPr>
                        <w:spacing w:val="-12"/>
                        <w:sz w:val="16"/>
                      </w:rPr>
                      <w:t> </w:t>
                    </w:r>
                    <w:r>
                      <w:rPr>
                        <w:spacing w:val="1"/>
                        <w:w w:val="95"/>
                        <w:sz w:val="16"/>
                      </w:rPr>
                      <w:t>s</w:t>
                    </w:r>
                    <w:r>
                      <w:rPr>
                        <w:spacing w:val="2"/>
                        <w:w w:val="95"/>
                        <w:sz w:val="16"/>
                      </w:rPr>
                      <w:t>n</w:t>
                    </w:r>
                    <w:r>
                      <w:rPr>
                        <w:spacing w:val="2"/>
                        <w:w w:val="94"/>
                        <w:sz w:val="16"/>
                      </w:rPr>
                      <w:t>a</w:t>
                    </w:r>
                    <w:r>
                      <w:rPr>
                        <w:spacing w:val="1"/>
                        <w:w w:val="102"/>
                        <w:sz w:val="16"/>
                      </w:rPr>
                      <w:t>p</w:t>
                    </w:r>
                    <w:r>
                      <w:rPr>
                        <w:spacing w:val="1"/>
                        <w:w w:val="95"/>
                        <w:sz w:val="16"/>
                      </w:rPr>
                      <w:t>s</w:t>
                    </w:r>
                    <w:r>
                      <w:rPr>
                        <w:spacing w:val="2"/>
                        <w:w w:val="95"/>
                        <w:sz w:val="16"/>
                      </w:rPr>
                      <w:t>h</w:t>
                    </w:r>
                    <w:r>
                      <w:rPr>
                        <w:w w:val="100"/>
                        <w:sz w:val="16"/>
                      </w:rPr>
                      <w:t>o</w:t>
                    </w:r>
                    <w:r>
                      <w:rPr>
                        <w:w w:val="102"/>
                        <w:sz w:val="16"/>
                      </w:rPr>
                      <w:t>t</w:t>
                    </w:r>
                    <w:r>
                      <w:rPr>
                        <w:spacing w:val="-12"/>
                        <w:sz w:val="16"/>
                      </w:rPr>
                      <w:t> </w:t>
                    </w:r>
                    <w:r>
                      <w:rPr>
                        <w:w w:val="100"/>
                        <w:sz w:val="16"/>
                      </w:rPr>
                      <w:t>o</w:t>
                    </w:r>
                    <w:r>
                      <w:rPr>
                        <w:w w:val="98"/>
                        <w:sz w:val="16"/>
                      </w:rPr>
                      <w:t>f</w:t>
                    </w:r>
                    <w:r>
                      <w:rPr>
                        <w:spacing w:val="-12"/>
                        <w:sz w:val="16"/>
                      </w:rPr>
                      <w:t> </w:t>
                    </w:r>
                    <w:r>
                      <w:rPr>
                        <w:spacing w:val="2"/>
                        <w:w w:val="102"/>
                        <w:sz w:val="16"/>
                      </w:rPr>
                      <w:t>d</w:t>
                    </w:r>
                    <w:r>
                      <w:rPr>
                        <w:w w:val="94"/>
                        <w:sz w:val="16"/>
                      </w:rPr>
                      <w:t>a</w:t>
                    </w:r>
                    <w:r>
                      <w:rPr>
                        <w:spacing w:val="2"/>
                        <w:w w:val="102"/>
                        <w:sz w:val="16"/>
                      </w:rPr>
                      <w:t>t</w:t>
                    </w:r>
                    <w:r>
                      <w:rPr>
                        <w:w w:val="94"/>
                        <w:sz w:val="16"/>
                      </w:rPr>
                      <w:t>a</w:t>
                    </w:r>
                    <w:r>
                      <w:rPr>
                        <w:spacing w:val="-12"/>
                        <w:sz w:val="16"/>
                      </w:rPr>
                      <w:t> </w:t>
                    </w:r>
                    <w:r>
                      <w:rPr>
                        <w:spacing w:val="2"/>
                        <w:w w:val="94"/>
                        <w:sz w:val="16"/>
                      </w:rPr>
                      <w:t>a</w:t>
                    </w:r>
                    <w:r>
                      <w:rPr>
                        <w:w w:val="95"/>
                        <w:sz w:val="16"/>
                      </w:rPr>
                      <w:t>s</w:t>
                    </w:r>
                    <w:r>
                      <w:rPr>
                        <w:spacing w:val="-12"/>
                        <w:sz w:val="16"/>
                      </w:rPr>
                      <w:t> </w:t>
                    </w:r>
                    <w:r>
                      <w:rPr>
                        <w:w w:val="94"/>
                        <w:sz w:val="16"/>
                      </w:rPr>
                      <w:t>a</w:t>
                    </w:r>
                    <w:r>
                      <w:rPr>
                        <w:w w:val="102"/>
                        <w:sz w:val="16"/>
                      </w:rPr>
                      <w:t>t</w:t>
                    </w:r>
                    <w:r>
                      <w:rPr>
                        <w:spacing w:val="-12"/>
                        <w:sz w:val="16"/>
                      </w:rPr>
                      <w:t> </w:t>
                    </w:r>
                    <w:r>
                      <w:rPr>
                        <w:spacing w:val="5"/>
                        <w:w w:val="94"/>
                        <w:sz w:val="16"/>
                      </w:rPr>
                      <w:t>3</w:t>
                    </w:r>
                    <w:r>
                      <w:rPr>
                        <w:w w:val="54"/>
                        <w:sz w:val="16"/>
                      </w:rPr>
                      <w:t>1</w:t>
                    </w:r>
                    <w:r>
                      <w:rPr>
                        <w:spacing w:val="-12"/>
                        <w:sz w:val="16"/>
                      </w:rPr>
                      <w:t> </w:t>
                    </w:r>
                    <w:r>
                      <w:rPr>
                        <w:spacing w:val="3"/>
                        <w:w w:val="97"/>
                        <w:sz w:val="16"/>
                      </w:rPr>
                      <w:t>M</w:t>
                    </w:r>
                    <w:r>
                      <w:rPr>
                        <w:spacing w:val="2"/>
                        <w:w w:val="94"/>
                        <w:sz w:val="16"/>
                      </w:rPr>
                      <w:t>a</w:t>
                    </w:r>
                    <w:r>
                      <w:rPr>
                        <w:spacing w:val="-1"/>
                        <w:w w:val="95"/>
                        <w:sz w:val="16"/>
                      </w:rPr>
                      <w:t>r</w:t>
                    </w:r>
                    <w:r>
                      <w:rPr>
                        <w:spacing w:val="1"/>
                        <w:w w:val="102"/>
                        <w:sz w:val="16"/>
                      </w:rPr>
                      <w:t>c</w:t>
                    </w:r>
                    <w:r>
                      <w:rPr>
                        <w:w w:val="95"/>
                        <w:sz w:val="16"/>
                      </w:rPr>
                      <w:t>h</w:t>
                    </w:r>
                    <w:r>
                      <w:rPr>
                        <w:spacing w:val="-12"/>
                        <w:sz w:val="16"/>
                      </w:rPr>
                      <w:t> </w:t>
                    </w:r>
                    <w:r>
                      <w:rPr>
                        <w:spacing w:val="2"/>
                        <w:w w:val="93"/>
                        <w:sz w:val="16"/>
                      </w:rPr>
                      <w:t>2</w:t>
                    </w:r>
                    <w:r>
                      <w:rPr>
                        <w:spacing w:val="1"/>
                        <w:w w:val="111"/>
                        <w:sz w:val="16"/>
                      </w:rPr>
                      <w:t>0</w:t>
                    </w:r>
                    <w:r>
                      <w:rPr>
                        <w:spacing w:val="2"/>
                        <w:w w:val="54"/>
                        <w:sz w:val="16"/>
                      </w:rPr>
                      <w:t>1</w:t>
                    </w:r>
                    <w:r>
                      <w:rPr>
                        <w:spacing w:val="4"/>
                        <w:w w:val="95"/>
                        <w:sz w:val="16"/>
                      </w:rPr>
                      <w:t>5</w:t>
                    </w:r>
                    <w:r>
                      <w:rPr>
                        <w:w w:val="68"/>
                        <w:sz w:val="16"/>
                      </w:rPr>
                      <w:t>.</w:t>
                    </w:r>
                  </w:p>
                </w:txbxContent>
              </v:textbox>
              <w10:wrap type="none"/>
            </v:shape>
            <w10:wrap type="none"/>
          </v:group>
        </w:pict>
      </w:r>
      <w:r>
        <w:rPr/>
        <w:t>to develop ongoing partnerships with international</w:t>
      </w:r>
      <w:r>
        <w:rPr>
          <w:spacing w:val="-35"/>
        </w:rPr>
        <w:t> </w:t>
      </w:r>
      <w:r>
        <w:rPr/>
        <w:t>and</w:t>
      </w:r>
      <w:r>
        <w:rPr>
          <w:spacing w:val="-35"/>
        </w:rPr>
        <w:t> </w:t>
      </w:r>
      <w:r>
        <w:rPr/>
        <w:t>national</w:t>
      </w:r>
      <w:r>
        <w:rPr>
          <w:spacing w:val="-35"/>
        </w:rPr>
        <w:t> </w:t>
      </w:r>
      <w:r>
        <w:rPr/>
        <w:t>collaborators</w:t>
      </w:r>
      <w:r>
        <w:rPr>
          <w:spacing w:val="-35"/>
        </w:rPr>
        <w:t> </w:t>
      </w:r>
      <w:r>
        <w:rPr/>
        <w:t>and/or industry</w:t>
      </w:r>
      <w:r>
        <w:rPr>
          <w:spacing w:val="-29"/>
        </w:rPr>
        <w:t> </w:t>
      </w:r>
      <w:r>
        <w:rPr/>
        <w:t>that</w:t>
      </w:r>
      <w:r>
        <w:rPr>
          <w:spacing w:val="-29"/>
        </w:rPr>
        <w:t> </w:t>
      </w:r>
      <w:r>
        <w:rPr/>
        <w:t>will</w:t>
      </w:r>
      <w:r>
        <w:rPr>
          <w:spacing w:val="-29"/>
        </w:rPr>
        <w:t> </w:t>
      </w:r>
      <w:r>
        <w:rPr/>
        <w:t>benefit</w:t>
      </w:r>
      <w:r>
        <w:rPr>
          <w:spacing w:val="-29"/>
        </w:rPr>
        <w:t> </w:t>
      </w:r>
      <w:r>
        <w:rPr/>
        <w:t>the</w:t>
      </w:r>
      <w:r>
        <w:rPr>
          <w:spacing w:val="-29"/>
        </w:rPr>
        <w:t> </w:t>
      </w:r>
      <w:r>
        <w:rPr/>
        <w:t>University.</w:t>
      </w:r>
      <w:r>
        <w:rPr>
          <w:spacing w:val="-29"/>
        </w:rPr>
        <w:t> </w:t>
      </w:r>
      <w:r>
        <w:rPr/>
        <w:t>Eleven academics</w:t>
      </w:r>
      <w:r>
        <w:rPr>
          <w:spacing w:val="-27"/>
        </w:rPr>
        <w:t> </w:t>
      </w:r>
      <w:r>
        <w:rPr/>
        <w:t>were</w:t>
      </w:r>
      <w:r>
        <w:rPr>
          <w:spacing w:val="-27"/>
        </w:rPr>
        <w:t> </w:t>
      </w:r>
      <w:r>
        <w:rPr/>
        <w:t>successful</w:t>
      </w:r>
      <w:r>
        <w:rPr>
          <w:spacing w:val="-27"/>
        </w:rPr>
        <w:t> </w:t>
      </w:r>
      <w:r>
        <w:rPr/>
        <w:t>in</w:t>
      </w:r>
      <w:r>
        <w:rPr>
          <w:spacing w:val="-27"/>
        </w:rPr>
        <w:t> </w:t>
      </w:r>
      <w:r>
        <w:rPr/>
        <w:t>Round</w:t>
      </w:r>
      <w:r>
        <w:rPr>
          <w:spacing w:val="-27"/>
        </w:rPr>
        <w:t> </w:t>
      </w:r>
      <w:r>
        <w:rPr>
          <w:w w:val="95"/>
        </w:rPr>
        <w:t>1</w:t>
      </w:r>
      <w:r>
        <w:rPr>
          <w:spacing w:val="-25"/>
          <w:w w:val="95"/>
        </w:rPr>
        <w:t> </w:t>
      </w:r>
      <w:r>
        <w:rPr/>
        <w:t>and</w:t>
      </w:r>
      <w:r>
        <w:rPr>
          <w:spacing w:val="-27"/>
        </w:rPr>
        <w:t> </w:t>
      </w:r>
      <w:r>
        <w:rPr/>
        <w:t>will </w:t>
      </w:r>
      <w:r>
        <w:rPr>
          <w:w w:val="97"/>
        </w:rPr>
        <w:t>undertake </w:t>
      </w:r>
      <w:r>
        <w:rPr>
          <w:w w:val="97"/>
        </w:rPr>
        <w:t>the </w:t>
      </w:r>
      <w:r>
        <w:rPr>
          <w:w w:val="104"/>
        </w:rPr>
        <w:t>ADP </w:t>
      </w:r>
      <w:r>
        <w:rPr>
          <w:spacing w:val="-1"/>
          <w:w w:val="95"/>
        </w:rPr>
        <w:t>in</w:t>
      </w:r>
      <w:r>
        <w:rPr>
          <w:w w:val="95"/>
        </w:rPr>
        <w:t> </w:t>
      </w:r>
      <w:r>
        <w:rPr>
          <w:w w:val="97"/>
        </w:rPr>
        <w:t>the </w:t>
      </w:r>
      <w:r>
        <w:rPr>
          <w:w w:val="97"/>
        </w:rPr>
        <w:t>first </w:t>
      </w:r>
      <w:r>
        <w:rPr>
          <w:spacing w:val="-1"/>
          <w:w w:val="96"/>
        </w:rPr>
        <w:t>half</w:t>
      </w:r>
      <w:r>
        <w:rPr>
          <w:w w:val="96"/>
        </w:rPr>
        <w:t> </w:t>
      </w:r>
      <w:r>
        <w:rPr>
          <w:spacing w:val="-1"/>
          <w:w w:val="99"/>
        </w:rPr>
        <w:t>of</w:t>
      </w:r>
      <w:r>
        <w:rPr>
          <w:w w:val="99"/>
        </w:rPr>
        <w:t> </w:t>
      </w:r>
      <w:r>
        <w:rPr>
          <w:w w:val="85"/>
        </w:rPr>
        <w:t>2016, </w:t>
      </w:r>
      <w:r>
        <w:rPr/>
        <w:t>and</w:t>
      </w:r>
      <w:r>
        <w:rPr>
          <w:spacing w:val="-23"/>
        </w:rPr>
        <w:t> </w:t>
      </w:r>
      <w:r>
        <w:rPr/>
        <w:t>22</w:t>
      </w:r>
      <w:r>
        <w:rPr>
          <w:spacing w:val="-23"/>
        </w:rPr>
        <w:t> </w:t>
      </w:r>
      <w:r>
        <w:rPr/>
        <w:t>were</w:t>
      </w:r>
      <w:r>
        <w:rPr>
          <w:spacing w:val="-23"/>
        </w:rPr>
        <w:t> </w:t>
      </w:r>
      <w:r>
        <w:rPr/>
        <w:t>successful</w:t>
      </w:r>
      <w:r>
        <w:rPr>
          <w:spacing w:val="-23"/>
        </w:rPr>
        <w:t> </w:t>
      </w:r>
      <w:r>
        <w:rPr/>
        <w:t>in</w:t>
      </w:r>
      <w:r>
        <w:rPr>
          <w:spacing w:val="-23"/>
        </w:rPr>
        <w:t> </w:t>
      </w:r>
      <w:r>
        <w:rPr/>
        <w:t>Round</w:t>
      </w:r>
      <w:r>
        <w:rPr>
          <w:spacing w:val="-23"/>
        </w:rPr>
        <w:t> </w:t>
      </w:r>
      <w:r>
        <w:rPr/>
        <w:t>2</w:t>
      </w:r>
      <w:r>
        <w:rPr>
          <w:spacing w:val="-23"/>
        </w:rPr>
        <w:t> </w:t>
      </w:r>
      <w:r>
        <w:rPr/>
        <w:t>and</w:t>
      </w:r>
      <w:r>
        <w:rPr>
          <w:spacing w:val="-23"/>
        </w:rPr>
        <w:t> </w:t>
      </w:r>
      <w:r>
        <w:rPr/>
        <w:t>will</w:t>
      </w:r>
      <w:r>
        <w:rPr>
          <w:spacing w:val="-23"/>
        </w:rPr>
        <w:t> </w:t>
      </w:r>
      <w:r>
        <w:rPr/>
        <w:t>be </w:t>
      </w:r>
      <w:r>
        <w:rPr>
          <w:w w:val="97"/>
        </w:rPr>
        <w:t>undertaking</w:t>
      </w:r>
      <w:r>
        <w:rPr>
          <w:spacing w:val="-13"/>
          <w:w w:val="97"/>
        </w:rPr>
        <w:t> </w:t>
      </w:r>
      <w:r>
        <w:rPr>
          <w:spacing w:val="-1"/>
          <w:w w:val="99"/>
        </w:rPr>
        <w:t>it</w:t>
      </w:r>
      <w:r>
        <w:rPr>
          <w:spacing w:val="-13"/>
          <w:w w:val="99"/>
        </w:rPr>
        <w:t> </w:t>
      </w:r>
      <w:r>
        <w:rPr>
          <w:spacing w:val="-1"/>
          <w:w w:val="95"/>
        </w:rPr>
        <w:t>in</w:t>
      </w:r>
      <w:r>
        <w:rPr>
          <w:spacing w:val="-12"/>
          <w:w w:val="95"/>
        </w:rPr>
        <w:t> </w:t>
      </w:r>
      <w:r>
        <w:rPr>
          <w:w w:val="97"/>
        </w:rPr>
        <w:t>the</w:t>
      </w:r>
      <w:r>
        <w:rPr>
          <w:spacing w:val="-13"/>
          <w:w w:val="97"/>
        </w:rPr>
        <w:t> </w:t>
      </w:r>
      <w:r>
        <w:rPr>
          <w:w w:val="98"/>
        </w:rPr>
        <w:t>second</w:t>
      </w:r>
      <w:r>
        <w:rPr>
          <w:spacing w:val="-13"/>
          <w:w w:val="98"/>
        </w:rPr>
        <w:t> </w:t>
      </w:r>
      <w:r>
        <w:rPr>
          <w:spacing w:val="-1"/>
          <w:w w:val="96"/>
        </w:rPr>
        <w:t>half</w:t>
      </w:r>
      <w:r>
        <w:rPr>
          <w:spacing w:val="-12"/>
          <w:w w:val="96"/>
        </w:rPr>
        <w:t> </w:t>
      </w:r>
      <w:r>
        <w:rPr>
          <w:spacing w:val="-1"/>
          <w:w w:val="99"/>
        </w:rPr>
        <w:t>of</w:t>
      </w:r>
      <w:r>
        <w:rPr>
          <w:spacing w:val="-14"/>
          <w:w w:val="99"/>
        </w:rPr>
        <w:t> </w:t>
      </w:r>
      <w:r>
        <w:rPr>
          <w:w w:val="85"/>
        </w:rPr>
        <w:t>2016.</w:t>
      </w:r>
    </w:p>
    <w:p>
      <w:pPr>
        <w:pStyle w:val="BodyText"/>
        <w:spacing w:before="4"/>
        <w:rPr>
          <w:sz w:val="17"/>
        </w:rPr>
      </w:pPr>
      <w:r>
        <w:rPr/>
        <w:br w:type="column"/>
      </w:r>
      <w:r>
        <w:rPr>
          <w:sz w:val="17"/>
        </w:rPr>
      </w:r>
    </w:p>
    <w:p>
      <w:pPr>
        <w:pStyle w:val="Heading8"/>
        <w:ind w:left="190" w:right="383"/>
      </w:pPr>
      <w:r>
        <w:rPr>
          <w:color w:val="636466"/>
          <w:w w:val="95"/>
        </w:rPr>
        <w:t>HRSS Projects</w:t>
      </w:r>
    </w:p>
    <w:p>
      <w:pPr>
        <w:pStyle w:val="BodyText"/>
        <w:spacing w:line="249" w:lineRule="auto" w:before="86"/>
        <w:ind w:left="190" w:right="383"/>
      </w:pPr>
      <w:r>
        <w:rPr/>
        <w:t>The project to convert paper-based forms to </w:t>
      </w:r>
      <w:r>
        <w:rPr>
          <w:w w:val="96"/>
        </w:rPr>
        <w:t>online </w:t>
      </w:r>
      <w:r>
        <w:rPr>
          <w:w w:val="98"/>
        </w:rPr>
        <w:t>format </w:t>
      </w:r>
      <w:r>
        <w:rPr>
          <w:w w:val="98"/>
        </w:rPr>
        <w:t>continued </w:t>
      </w:r>
      <w:r>
        <w:rPr>
          <w:w w:val="98"/>
        </w:rPr>
        <w:t>throughout </w:t>
      </w:r>
      <w:r>
        <w:rPr>
          <w:w w:val="84"/>
        </w:rPr>
        <w:t>2015.</w:t>
      </w:r>
    </w:p>
    <w:p>
      <w:pPr>
        <w:pStyle w:val="BodyText"/>
        <w:rPr>
          <w:sz w:val="14"/>
        </w:rPr>
      </w:pPr>
    </w:p>
    <w:p>
      <w:pPr>
        <w:pStyle w:val="BodyText"/>
        <w:ind w:left="190" w:right="383"/>
      </w:pPr>
      <w:r>
        <w:rPr>
          <w:spacing w:val="3"/>
          <w:w w:val="100"/>
        </w:rPr>
        <w:t>O</w:t>
      </w:r>
      <w:r>
        <w:rPr>
          <w:w w:val="102"/>
        </w:rPr>
        <w:t>t</w:t>
      </w:r>
      <w:r>
        <w:rPr>
          <w:spacing w:val="2"/>
          <w:w w:val="95"/>
        </w:rPr>
        <w:t>h</w:t>
      </w:r>
      <w:r>
        <w:rPr>
          <w:spacing w:val="2"/>
          <w:w w:val="95"/>
        </w:rPr>
        <w:t>e</w:t>
      </w:r>
      <w:r>
        <w:rPr>
          <w:w w:val="95"/>
        </w:rPr>
        <w:t>r</w:t>
      </w:r>
      <w:r>
        <w:rPr>
          <w:spacing w:val="-12"/>
        </w:rPr>
        <w:t> </w:t>
      </w:r>
      <w:r>
        <w:rPr>
          <w:spacing w:val="-1"/>
          <w:w w:val="96"/>
        </w:rPr>
        <w:t>k</w:t>
      </w:r>
      <w:r>
        <w:rPr>
          <w:spacing w:val="-1"/>
          <w:w w:val="95"/>
        </w:rPr>
        <w:t>e</w:t>
      </w:r>
      <w:r>
        <w:rPr>
          <w:w w:val="101"/>
        </w:rPr>
        <w:t>y</w:t>
      </w:r>
      <w:r>
        <w:rPr>
          <w:spacing w:val="-12"/>
        </w:rPr>
        <w:t> </w:t>
      </w:r>
      <w:r>
        <w:rPr>
          <w:spacing w:val="2"/>
          <w:w w:val="94"/>
        </w:rPr>
        <w:t>a</w:t>
      </w:r>
      <w:r>
        <w:rPr>
          <w:spacing w:val="4"/>
          <w:w w:val="102"/>
        </w:rPr>
        <w:t>c</w:t>
      </w:r>
      <w:r>
        <w:rPr>
          <w:w w:val="102"/>
        </w:rPr>
        <w:t>t</w:t>
      </w:r>
      <w:r>
        <w:rPr>
          <w:w w:val="95"/>
        </w:rPr>
        <w:t>i</w:t>
      </w:r>
      <w:r>
        <w:rPr>
          <w:spacing w:val="1"/>
          <w:w w:val="101"/>
        </w:rPr>
        <w:t>v</w:t>
      </w:r>
      <w:r>
        <w:rPr>
          <w:w w:val="95"/>
        </w:rPr>
        <w:t>i</w:t>
      </w:r>
      <w:r>
        <w:rPr>
          <w:w w:val="102"/>
        </w:rPr>
        <w:t>t</w:t>
      </w:r>
      <w:r>
        <w:rPr>
          <w:spacing w:val="1"/>
          <w:w w:val="95"/>
        </w:rPr>
        <w:t>i</w:t>
      </w:r>
      <w:r>
        <w:rPr>
          <w:spacing w:val="3"/>
          <w:w w:val="95"/>
        </w:rPr>
        <w:t>e</w:t>
      </w:r>
      <w:r>
        <w:rPr>
          <w:w w:val="95"/>
        </w:rPr>
        <w:t>s</w:t>
      </w:r>
      <w:r>
        <w:rPr>
          <w:spacing w:val="-12"/>
        </w:rPr>
        <w:t> </w:t>
      </w:r>
      <w:r>
        <w:rPr>
          <w:spacing w:val="2"/>
          <w:w w:val="102"/>
        </w:rPr>
        <w:t>d</w:t>
      </w:r>
      <w:r>
        <w:rPr>
          <w:spacing w:val="1"/>
          <w:w w:val="95"/>
        </w:rPr>
        <w:t>u</w:t>
      </w:r>
      <w:r>
        <w:rPr>
          <w:spacing w:val="1"/>
          <w:w w:val="95"/>
        </w:rPr>
        <w:t>r</w:t>
      </w:r>
      <w:r>
        <w:rPr>
          <w:spacing w:val="1"/>
          <w:w w:val="95"/>
        </w:rPr>
        <w:t>i</w:t>
      </w:r>
      <w:r>
        <w:rPr>
          <w:spacing w:val="2"/>
          <w:w w:val="95"/>
        </w:rPr>
        <w:t>n</w:t>
      </w:r>
      <w:r>
        <w:rPr>
          <w:w w:val="102"/>
        </w:rPr>
        <w:t>g</w:t>
      </w:r>
      <w:r>
        <w:rPr>
          <w:spacing w:val="-12"/>
        </w:rPr>
        <w:t> </w:t>
      </w:r>
      <w:r>
        <w:rPr>
          <w:spacing w:val="2"/>
          <w:w w:val="93"/>
        </w:rPr>
        <w:t>2</w:t>
      </w:r>
      <w:r>
        <w:rPr>
          <w:spacing w:val="1"/>
          <w:w w:val="111"/>
        </w:rPr>
        <w:t>0</w:t>
      </w:r>
      <w:r>
        <w:rPr>
          <w:spacing w:val="2"/>
          <w:w w:val="54"/>
        </w:rPr>
        <w:t>1</w:t>
      </w:r>
      <w:r>
        <w:rPr>
          <w:w w:val="95"/>
        </w:rPr>
        <w:t>5</w:t>
      </w:r>
      <w:r>
        <w:rPr>
          <w:spacing w:val="-12"/>
        </w:rPr>
        <w:t> </w:t>
      </w:r>
      <w:r>
        <w:rPr>
          <w:spacing w:val="1"/>
          <w:w w:val="95"/>
        </w:rPr>
        <w:t>i</w:t>
      </w:r>
      <w:r>
        <w:rPr>
          <w:spacing w:val="2"/>
          <w:w w:val="95"/>
        </w:rPr>
        <w:t>n</w:t>
      </w:r>
      <w:r>
        <w:rPr>
          <w:spacing w:val="1"/>
          <w:w w:val="102"/>
        </w:rPr>
        <w:t>c</w:t>
      </w:r>
      <w:r>
        <w:rPr>
          <w:spacing w:val="1"/>
          <w:w w:val="95"/>
        </w:rPr>
        <w:t>l</w:t>
      </w:r>
      <w:r>
        <w:rPr>
          <w:spacing w:val="2"/>
          <w:w w:val="95"/>
        </w:rPr>
        <w:t>u</w:t>
      </w:r>
      <w:r>
        <w:rPr>
          <w:spacing w:val="2"/>
          <w:w w:val="102"/>
        </w:rPr>
        <w:t>d</w:t>
      </w:r>
      <w:r>
        <w:rPr>
          <w:spacing w:val="3"/>
          <w:w w:val="95"/>
        </w:rPr>
        <w:t>e</w:t>
      </w:r>
      <w:r>
        <w:rPr>
          <w:spacing w:val="1"/>
          <w:w w:val="102"/>
        </w:rPr>
        <w:t>d</w:t>
      </w:r>
      <w:r>
        <w:rPr>
          <w:w w:val="61"/>
        </w:rPr>
        <w:t>:</w:t>
      </w:r>
    </w:p>
    <w:p>
      <w:pPr>
        <w:pStyle w:val="BodyText"/>
        <w:spacing w:before="7"/>
        <w:rPr>
          <w:sz w:val="14"/>
        </w:rPr>
      </w:pPr>
    </w:p>
    <w:p>
      <w:pPr>
        <w:pStyle w:val="BodyText"/>
        <w:spacing w:line="247" w:lineRule="auto"/>
        <w:ind w:left="417" w:right="430" w:hanging="227"/>
      </w:pPr>
      <w:r>
        <w:rPr>
          <w:rFonts w:ascii="Century Gothic" w:hAnsi="Century Gothic"/>
          <w:b/>
          <w:w w:val="115"/>
        </w:rPr>
        <w:t>≥ </w:t>
      </w:r>
      <w:r>
        <w:rPr>
          <w:w w:val="105"/>
        </w:rPr>
        <w:t>implementing full electronic onboarding for</w:t>
      </w:r>
      <w:r>
        <w:rPr>
          <w:spacing w:val="-37"/>
          <w:w w:val="105"/>
        </w:rPr>
        <w:t> </w:t>
      </w:r>
      <w:r>
        <w:rPr>
          <w:w w:val="105"/>
        </w:rPr>
        <w:t>all</w:t>
      </w:r>
      <w:r>
        <w:rPr>
          <w:spacing w:val="-37"/>
          <w:w w:val="105"/>
        </w:rPr>
        <w:t> </w:t>
      </w:r>
      <w:r>
        <w:rPr>
          <w:w w:val="105"/>
        </w:rPr>
        <w:t>new</w:t>
      </w:r>
      <w:r>
        <w:rPr>
          <w:spacing w:val="-37"/>
          <w:w w:val="105"/>
        </w:rPr>
        <w:t> </w:t>
      </w:r>
      <w:r>
        <w:rPr>
          <w:w w:val="105"/>
        </w:rPr>
        <w:t>ongoing</w:t>
      </w:r>
      <w:r>
        <w:rPr>
          <w:spacing w:val="-37"/>
          <w:w w:val="105"/>
        </w:rPr>
        <w:t> </w:t>
      </w:r>
      <w:r>
        <w:rPr>
          <w:w w:val="105"/>
        </w:rPr>
        <w:t>and</w:t>
      </w:r>
      <w:r>
        <w:rPr>
          <w:spacing w:val="-37"/>
          <w:w w:val="105"/>
        </w:rPr>
        <w:t> </w:t>
      </w:r>
      <w:r>
        <w:rPr>
          <w:w w:val="105"/>
        </w:rPr>
        <w:t>limited-term</w:t>
      </w:r>
      <w:r>
        <w:rPr>
          <w:spacing w:val="-37"/>
          <w:w w:val="105"/>
        </w:rPr>
        <w:t> </w:t>
      </w:r>
      <w:r>
        <w:rPr>
          <w:w w:val="105"/>
        </w:rPr>
        <w:t>staff members</w:t>
      </w:r>
    </w:p>
    <w:p>
      <w:pPr>
        <w:pStyle w:val="BodyText"/>
        <w:spacing w:line="247" w:lineRule="auto" w:before="57"/>
        <w:ind w:left="417" w:right="262" w:hanging="227"/>
      </w:pPr>
      <w:r>
        <w:rPr>
          <w:rFonts w:ascii="Century Gothic" w:hAnsi="Century Gothic"/>
          <w:b/>
          <w:w w:val="115"/>
        </w:rPr>
        <w:t>≥ </w:t>
      </w:r>
      <w:r>
        <w:rPr/>
        <w:t>scoping and initiating the ‘Casual Employment Process Improvement online’ project</w:t>
      </w:r>
    </w:p>
    <w:p>
      <w:pPr>
        <w:pStyle w:val="BodyText"/>
        <w:spacing w:line="244" w:lineRule="auto" w:before="57"/>
        <w:ind w:left="417" w:right="504" w:hanging="227"/>
      </w:pPr>
      <w:r>
        <w:rPr>
          <w:rFonts w:ascii="Century Gothic" w:hAnsi="Century Gothic"/>
          <w:b/>
          <w:w w:val="115"/>
        </w:rPr>
        <w:t>≥ </w:t>
      </w:r>
      <w:r>
        <w:rPr>
          <w:w w:val="105"/>
        </w:rPr>
        <w:t>achieving a significant reduction in the </w:t>
      </w:r>
      <w:r>
        <w:rPr/>
        <w:t>University’s excess annual leave liability</w:t>
      </w:r>
    </w:p>
    <w:p>
      <w:pPr>
        <w:pStyle w:val="BodyText"/>
        <w:spacing w:line="247" w:lineRule="auto" w:before="58"/>
        <w:ind w:left="417" w:right="383" w:hanging="227"/>
      </w:pPr>
      <w:r>
        <w:rPr>
          <w:rFonts w:ascii="Century Gothic" w:hAnsi="Century Gothic"/>
          <w:b/>
          <w:w w:val="115"/>
        </w:rPr>
        <w:t>≥ </w:t>
      </w:r>
      <w:r>
        <w:rPr>
          <w:w w:val="105"/>
        </w:rPr>
        <w:t>scoping and initiating the ‘Refresh’ </w:t>
      </w:r>
      <w:r>
        <w:rPr/>
        <w:t>academic career development pathways </w:t>
      </w:r>
      <w:r>
        <w:rPr>
          <w:w w:val="105"/>
        </w:rPr>
        <w:t>project</w:t>
      </w:r>
    </w:p>
    <w:p>
      <w:pPr>
        <w:pStyle w:val="BodyText"/>
        <w:spacing w:line="244" w:lineRule="auto" w:before="57"/>
        <w:ind w:left="417" w:right="383" w:hanging="227"/>
      </w:pPr>
      <w:r>
        <w:rPr>
          <w:rFonts w:ascii="Century Gothic" w:hAnsi="Century Gothic"/>
          <w:b/>
          <w:w w:val="115"/>
        </w:rPr>
        <w:t>≥</w:t>
      </w:r>
      <w:r>
        <w:rPr>
          <w:rFonts w:ascii="Century Gothic" w:hAnsi="Century Gothic"/>
          <w:b/>
          <w:spacing w:val="18"/>
          <w:w w:val="115"/>
        </w:rPr>
        <w:t> </w:t>
      </w:r>
      <w:r>
        <w:rPr>
          <w:w w:val="105"/>
        </w:rPr>
        <w:t>merging</w:t>
      </w:r>
      <w:r>
        <w:rPr>
          <w:spacing w:val="-26"/>
          <w:w w:val="105"/>
        </w:rPr>
        <w:t> </w:t>
      </w:r>
      <w:r>
        <w:rPr>
          <w:w w:val="105"/>
        </w:rPr>
        <w:t>the</w:t>
      </w:r>
      <w:r>
        <w:rPr>
          <w:spacing w:val="-26"/>
          <w:w w:val="105"/>
        </w:rPr>
        <w:t> </w:t>
      </w:r>
      <w:r>
        <w:rPr>
          <w:w w:val="105"/>
        </w:rPr>
        <w:t>UWS</w:t>
      </w:r>
      <w:r>
        <w:rPr>
          <w:spacing w:val="-26"/>
          <w:w w:val="105"/>
        </w:rPr>
        <w:t> </w:t>
      </w:r>
      <w:r>
        <w:rPr>
          <w:w w:val="105"/>
        </w:rPr>
        <w:t>College</w:t>
      </w:r>
      <w:r>
        <w:rPr>
          <w:spacing w:val="-26"/>
          <w:w w:val="105"/>
        </w:rPr>
        <w:t> </w:t>
      </w:r>
      <w:r>
        <w:rPr>
          <w:w w:val="105"/>
        </w:rPr>
        <w:t>HR</w:t>
      </w:r>
      <w:r>
        <w:rPr>
          <w:spacing w:val="-26"/>
          <w:w w:val="105"/>
        </w:rPr>
        <w:t> </w:t>
      </w:r>
      <w:r>
        <w:rPr>
          <w:w w:val="105"/>
        </w:rPr>
        <w:t>unit</w:t>
      </w:r>
      <w:r>
        <w:rPr>
          <w:spacing w:val="-26"/>
          <w:w w:val="105"/>
        </w:rPr>
        <w:t> </w:t>
      </w:r>
      <w:r>
        <w:rPr>
          <w:w w:val="105"/>
        </w:rPr>
        <w:t>into</w:t>
      </w:r>
      <w:r>
        <w:rPr>
          <w:spacing w:val="-26"/>
          <w:w w:val="105"/>
        </w:rPr>
        <w:t> </w:t>
      </w:r>
      <w:r>
        <w:rPr>
          <w:w w:val="105"/>
        </w:rPr>
        <w:t>the </w:t>
      </w:r>
      <w:r>
        <w:rPr/>
        <w:t>HR</w:t>
      </w:r>
      <w:r>
        <w:rPr>
          <w:spacing w:val="-20"/>
        </w:rPr>
        <w:t> </w:t>
      </w:r>
      <w:r>
        <w:rPr>
          <w:spacing w:val="2"/>
        </w:rPr>
        <w:t>S&amp;S</w:t>
      </w:r>
      <w:r>
        <w:rPr>
          <w:spacing w:val="-20"/>
        </w:rPr>
        <w:t> </w:t>
      </w:r>
      <w:r>
        <w:rPr/>
        <w:t>partnership</w:t>
      </w:r>
      <w:r>
        <w:rPr>
          <w:spacing w:val="-20"/>
        </w:rPr>
        <w:t> </w:t>
      </w:r>
      <w:r>
        <w:rPr/>
        <w:t>teams</w:t>
      </w:r>
    </w:p>
    <w:p>
      <w:pPr>
        <w:pStyle w:val="BodyText"/>
        <w:spacing w:line="247" w:lineRule="auto" w:before="58"/>
        <w:ind w:left="417" w:right="420" w:hanging="227"/>
      </w:pPr>
      <w:r>
        <w:rPr>
          <w:rFonts w:ascii="Century Gothic" w:hAnsi="Century Gothic"/>
          <w:b/>
          <w:w w:val="115"/>
        </w:rPr>
        <w:t>≥ </w:t>
      </w:r>
      <w:r>
        <w:rPr/>
        <w:t>scoping and initiating the transition of the UWS Connect payroll to Alesco (WSU </w:t>
      </w:r>
      <w:r>
        <w:rPr>
          <w:w w:val="95"/>
        </w:rPr>
        <w:t>payroll system).</w:t>
      </w:r>
    </w:p>
    <w:p>
      <w:pPr>
        <w:pStyle w:val="BodyText"/>
        <w:spacing w:before="4"/>
        <w:rPr>
          <w:sz w:val="12"/>
        </w:rPr>
      </w:pPr>
    </w:p>
    <w:p>
      <w:pPr>
        <w:pStyle w:val="Heading8"/>
        <w:ind w:left="190" w:right="383"/>
      </w:pPr>
      <w:r>
        <w:rPr>
          <w:w w:val="95"/>
        </w:rPr>
        <w:t>ACADEMIC PROMOTIONS</w:t>
      </w:r>
    </w:p>
    <w:p>
      <w:pPr>
        <w:pStyle w:val="BodyText"/>
        <w:spacing w:line="249" w:lineRule="auto" w:before="86"/>
        <w:ind w:left="190" w:right="262"/>
      </w:pPr>
      <w:r>
        <w:rPr>
          <w:w w:val="94"/>
        </w:rPr>
        <w:t>The </w:t>
      </w:r>
      <w:r>
        <w:rPr>
          <w:w w:val="88"/>
        </w:rPr>
        <w:t>2015 </w:t>
      </w:r>
      <w:r>
        <w:rPr>
          <w:w w:val="97"/>
        </w:rPr>
        <w:t>round </w:t>
      </w:r>
      <w:r>
        <w:rPr>
          <w:w w:val="99"/>
        </w:rPr>
        <w:t>of </w:t>
      </w:r>
      <w:r>
        <w:rPr>
          <w:w w:val="98"/>
        </w:rPr>
        <w:t>academic </w:t>
      </w:r>
      <w:r>
        <w:rPr>
          <w:w w:val="98"/>
        </w:rPr>
        <w:t>promotions </w:t>
      </w:r>
      <w:r>
        <w:rPr/>
        <w:t>attracted 68 applications. The applications were considered by the Academic Promotions Committees established under the provisions of the Academic Promotions Policies, with 45 applicants gaining promotion.</w:t>
      </w:r>
    </w:p>
    <w:p>
      <w:pPr>
        <w:spacing w:after="0" w:line="249" w:lineRule="auto"/>
        <w:sectPr>
          <w:type w:val="continuous"/>
          <w:pgSz w:w="11910" w:h="16840"/>
          <w:pgMar w:top="1580" w:bottom="280" w:left="580" w:right="580"/>
          <w:cols w:num="3" w:equalWidth="0">
            <w:col w:w="3522" w:space="40"/>
            <w:col w:w="3414" w:space="40"/>
            <w:col w:w="373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tbl>
      <w:tblPr>
        <w:tblW w:w="0" w:type="auto"/>
        <w:jc w:val="left"/>
        <w:tblInd w:w="32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2021"/>
        <w:gridCol w:w="808"/>
        <w:gridCol w:w="808"/>
        <w:gridCol w:w="808"/>
        <w:gridCol w:w="808"/>
        <w:gridCol w:w="808"/>
        <w:gridCol w:w="808"/>
        <w:gridCol w:w="808"/>
        <w:gridCol w:w="808"/>
        <w:gridCol w:w="808"/>
        <w:gridCol w:w="808"/>
      </w:tblGrid>
      <w:tr>
        <w:trPr>
          <w:trHeight w:val="288" w:hRule="exact"/>
        </w:trPr>
        <w:tc>
          <w:tcPr>
            <w:tcW w:w="2829" w:type="dxa"/>
            <w:gridSpan w:val="2"/>
            <w:tcBorders>
              <w:top w:val="nil"/>
              <w:left w:val="nil"/>
              <w:bottom w:val="nil"/>
              <w:right w:val="nil"/>
            </w:tcBorders>
            <w:shd w:val="clear" w:color="auto" w:fill="939598"/>
          </w:tcPr>
          <w:p>
            <w:pPr>
              <w:pStyle w:val="TableParagraph"/>
              <w:spacing w:before="54"/>
              <w:ind w:right="77"/>
              <w:rPr>
                <w:rFonts w:ascii="Gotham Narrow Bold"/>
                <w:b/>
                <w:sz w:val="16"/>
              </w:rPr>
            </w:pPr>
            <w:r>
              <w:rPr>
                <w:rFonts w:ascii="Gotham Narrow Bold"/>
                <w:b/>
                <w:color w:val="FFFFFF"/>
                <w:w w:val="95"/>
                <w:sz w:val="16"/>
              </w:rPr>
              <w:t>2006</w:t>
            </w:r>
          </w:p>
        </w:tc>
        <w:tc>
          <w:tcPr>
            <w:tcW w:w="808" w:type="dxa"/>
            <w:tcBorders>
              <w:top w:val="nil"/>
              <w:left w:val="nil"/>
              <w:bottom w:val="nil"/>
              <w:right w:val="nil"/>
            </w:tcBorders>
            <w:shd w:val="clear" w:color="auto" w:fill="939598"/>
          </w:tcPr>
          <w:p>
            <w:pPr>
              <w:pStyle w:val="TableParagraph"/>
              <w:spacing w:before="54"/>
              <w:ind w:right="79"/>
              <w:rPr>
                <w:rFonts w:ascii="Gotham Narrow Bold"/>
                <w:b/>
                <w:sz w:val="16"/>
              </w:rPr>
            </w:pPr>
            <w:r>
              <w:rPr>
                <w:rFonts w:ascii="Gotham Narrow Bold"/>
                <w:b/>
                <w:color w:val="FFFFFF"/>
                <w:w w:val="95"/>
                <w:sz w:val="16"/>
              </w:rPr>
              <w:t>2007</w:t>
            </w:r>
          </w:p>
        </w:tc>
        <w:tc>
          <w:tcPr>
            <w:tcW w:w="808" w:type="dxa"/>
            <w:tcBorders>
              <w:top w:val="nil"/>
              <w:left w:val="nil"/>
              <w:bottom w:val="nil"/>
              <w:right w:val="nil"/>
            </w:tcBorders>
            <w:shd w:val="clear" w:color="auto" w:fill="939598"/>
          </w:tcPr>
          <w:p>
            <w:pPr>
              <w:pStyle w:val="TableParagraph"/>
              <w:spacing w:before="54"/>
              <w:ind w:right="77"/>
              <w:rPr>
                <w:rFonts w:ascii="Gotham Narrow Bold"/>
                <w:b/>
                <w:sz w:val="16"/>
              </w:rPr>
            </w:pPr>
            <w:r>
              <w:rPr>
                <w:rFonts w:ascii="Gotham Narrow Bold"/>
                <w:b/>
                <w:color w:val="FFFFFF"/>
                <w:w w:val="95"/>
                <w:sz w:val="16"/>
              </w:rPr>
              <w:t>2008</w:t>
            </w:r>
          </w:p>
        </w:tc>
        <w:tc>
          <w:tcPr>
            <w:tcW w:w="808" w:type="dxa"/>
            <w:tcBorders>
              <w:top w:val="nil"/>
              <w:left w:val="nil"/>
              <w:bottom w:val="nil"/>
              <w:right w:val="nil"/>
            </w:tcBorders>
            <w:shd w:val="clear" w:color="auto" w:fill="939598"/>
          </w:tcPr>
          <w:p>
            <w:pPr>
              <w:pStyle w:val="TableParagraph"/>
              <w:spacing w:before="54"/>
              <w:ind w:right="75"/>
              <w:rPr>
                <w:rFonts w:ascii="Gotham Narrow Bold"/>
                <w:b/>
                <w:sz w:val="16"/>
              </w:rPr>
            </w:pPr>
            <w:r>
              <w:rPr>
                <w:rFonts w:ascii="Gotham Narrow Bold"/>
                <w:b/>
                <w:color w:val="FFFFFF"/>
                <w:w w:val="95"/>
                <w:sz w:val="16"/>
              </w:rPr>
              <w:t>2009</w:t>
            </w:r>
          </w:p>
        </w:tc>
        <w:tc>
          <w:tcPr>
            <w:tcW w:w="808" w:type="dxa"/>
            <w:tcBorders>
              <w:top w:val="nil"/>
              <w:left w:val="nil"/>
              <w:bottom w:val="nil"/>
              <w:right w:val="nil"/>
            </w:tcBorders>
            <w:shd w:val="clear" w:color="auto" w:fill="939598"/>
          </w:tcPr>
          <w:p>
            <w:pPr>
              <w:pStyle w:val="TableParagraph"/>
              <w:spacing w:before="54"/>
              <w:ind w:right="77"/>
              <w:rPr>
                <w:rFonts w:ascii="Gotham Narrow Bold"/>
                <w:b/>
                <w:sz w:val="16"/>
              </w:rPr>
            </w:pPr>
            <w:r>
              <w:rPr>
                <w:rFonts w:ascii="Gotham Narrow Bold"/>
                <w:b/>
                <w:color w:val="FFFFFF"/>
                <w:w w:val="95"/>
                <w:sz w:val="16"/>
              </w:rPr>
              <w:t>2010</w:t>
            </w:r>
          </w:p>
        </w:tc>
        <w:tc>
          <w:tcPr>
            <w:tcW w:w="808" w:type="dxa"/>
            <w:tcBorders>
              <w:top w:val="nil"/>
              <w:left w:val="nil"/>
              <w:bottom w:val="nil"/>
              <w:right w:val="nil"/>
            </w:tcBorders>
            <w:shd w:val="clear" w:color="auto" w:fill="939598"/>
          </w:tcPr>
          <w:p>
            <w:pPr>
              <w:pStyle w:val="TableParagraph"/>
              <w:spacing w:before="54"/>
              <w:ind w:right="77"/>
              <w:rPr>
                <w:rFonts w:ascii="Gotham Narrow Bold"/>
                <w:b/>
                <w:sz w:val="16"/>
              </w:rPr>
            </w:pPr>
            <w:r>
              <w:rPr>
                <w:rFonts w:ascii="Gotham Narrow Bold"/>
                <w:b/>
                <w:color w:val="FFFFFF"/>
                <w:w w:val="95"/>
                <w:sz w:val="16"/>
              </w:rPr>
              <w:t>2011</w:t>
            </w:r>
          </w:p>
        </w:tc>
        <w:tc>
          <w:tcPr>
            <w:tcW w:w="808" w:type="dxa"/>
            <w:tcBorders>
              <w:top w:val="nil"/>
              <w:left w:val="nil"/>
              <w:bottom w:val="nil"/>
              <w:right w:val="nil"/>
            </w:tcBorders>
            <w:shd w:val="clear" w:color="auto" w:fill="939598"/>
          </w:tcPr>
          <w:p>
            <w:pPr>
              <w:pStyle w:val="TableParagraph"/>
              <w:spacing w:before="54"/>
              <w:ind w:right="77"/>
              <w:rPr>
                <w:rFonts w:ascii="Gotham Narrow Bold"/>
                <w:b/>
                <w:sz w:val="16"/>
              </w:rPr>
            </w:pPr>
            <w:r>
              <w:rPr>
                <w:rFonts w:ascii="Gotham Narrow Bold"/>
                <w:b/>
                <w:color w:val="FFFFFF"/>
                <w:w w:val="95"/>
                <w:sz w:val="16"/>
              </w:rPr>
              <w:t>2012</w:t>
            </w:r>
          </w:p>
        </w:tc>
        <w:tc>
          <w:tcPr>
            <w:tcW w:w="808" w:type="dxa"/>
            <w:tcBorders>
              <w:top w:val="nil"/>
              <w:left w:val="nil"/>
              <w:bottom w:val="nil"/>
              <w:right w:val="nil"/>
            </w:tcBorders>
            <w:shd w:val="clear" w:color="auto" w:fill="939598"/>
          </w:tcPr>
          <w:p>
            <w:pPr>
              <w:pStyle w:val="TableParagraph"/>
              <w:spacing w:before="54"/>
              <w:ind w:right="77"/>
              <w:rPr>
                <w:rFonts w:ascii="Gotham Narrow Bold"/>
                <w:b/>
                <w:sz w:val="16"/>
              </w:rPr>
            </w:pPr>
            <w:r>
              <w:rPr>
                <w:rFonts w:ascii="Gotham Narrow Bold"/>
                <w:b/>
                <w:color w:val="FFFFFF"/>
                <w:w w:val="95"/>
                <w:sz w:val="16"/>
              </w:rPr>
              <w:t>2013</w:t>
            </w:r>
          </w:p>
        </w:tc>
        <w:tc>
          <w:tcPr>
            <w:tcW w:w="808" w:type="dxa"/>
            <w:tcBorders>
              <w:top w:val="nil"/>
              <w:left w:val="nil"/>
              <w:bottom w:val="nil"/>
              <w:right w:val="nil"/>
            </w:tcBorders>
            <w:shd w:val="clear" w:color="auto" w:fill="939598"/>
          </w:tcPr>
          <w:p>
            <w:pPr>
              <w:pStyle w:val="TableParagraph"/>
              <w:spacing w:before="54"/>
              <w:ind w:right="77"/>
              <w:rPr>
                <w:rFonts w:ascii="Gotham Narrow Bold"/>
                <w:b/>
                <w:sz w:val="16"/>
              </w:rPr>
            </w:pPr>
            <w:r>
              <w:rPr>
                <w:rFonts w:ascii="Gotham Narrow Bold"/>
                <w:b/>
                <w:color w:val="FFFFFF"/>
                <w:w w:val="95"/>
                <w:sz w:val="16"/>
              </w:rPr>
              <w:t>2014</w:t>
            </w:r>
          </w:p>
        </w:tc>
        <w:tc>
          <w:tcPr>
            <w:tcW w:w="808" w:type="dxa"/>
            <w:tcBorders>
              <w:top w:val="nil"/>
              <w:left w:val="nil"/>
              <w:bottom w:val="nil"/>
              <w:right w:val="nil"/>
            </w:tcBorders>
            <w:shd w:val="clear" w:color="auto" w:fill="939598"/>
          </w:tcPr>
          <w:p>
            <w:pPr>
              <w:pStyle w:val="TableParagraph"/>
              <w:spacing w:before="54"/>
              <w:ind w:right="77"/>
              <w:rPr>
                <w:rFonts w:ascii="Gotham Narrow Bold"/>
                <w:b/>
                <w:sz w:val="16"/>
              </w:rPr>
            </w:pPr>
            <w:r>
              <w:rPr>
                <w:rFonts w:ascii="Gotham Narrow Bold"/>
                <w:b/>
                <w:color w:val="FFFFFF"/>
                <w:w w:val="95"/>
                <w:sz w:val="16"/>
              </w:rPr>
              <w:t>2015</w:t>
            </w:r>
          </w:p>
        </w:tc>
      </w:tr>
      <w:tr>
        <w:trPr>
          <w:trHeight w:val="288" w:hRule="exact"/>
        </w:trPr>
        <w:tc>
          <w:tcPr>
            <w:tcW w:w="2021" w:type="dxa"/>
            <w:tcBorders>
              <w:top w:val="nil"/>
            </w:tcBorders>
            <w:shd w:val="clear" w:color="auto" w:fill="E6E7E8"/>
          </w:tcPr>
          <w:p>
            <w:pPr>
              <w:pStyle w:val="TableParagraph"/>
              <w:spacing w:before="48"/>
              <w:ind w:left="75" w:right="13"/>
              <w:jc w:val="left"/>
              <w:rPr>
                <w:sz w:val="16"/>
              </w:rPr>
            </w:pPr>
            <w:r>
              <w:rPr>
                <w:sz w:val="16"/>
              </w:rPr>
              <w:t>Academic (levels A–E)</w:t>
            </w:r>
          </w:p>
        </w:tc>
        <w:tc>
          <w:tcPr>
            <w:tcW w:w="808" w:type="dxa"/>
            <w:tcBorders>
              <w:top w:val="nil"/>
            </w:tcBorders>
            <w:shd w:val="clear" w:color="auto" w:fill="E6E7E8"/>
          </w:tcPr>
          <w:p>
            <w:pPr>
              <w:pStyle w:val="TableParagraph"/>
              <w:spacing w:before="48"/>
              <w:ind w:right="80"/>
              <w:rPr>
                <w:sz w:val="16"/>
              </w:rPr>
            </w:pPr>
            <w:r>
              <w:rPr>
                <w:w w:val="90"/>
                <w:sz w:val="16"/>
              </w:rPr>
              <w:t>875.74</w:t>
            </w:r>
          </w:p>
        </w:tc>
        <w:tc>
          <w:tcPr>
            <w:tcW w:w="808" w:type="dxa"/>
            <w:tcBorders>
              <w:top w:val="nil"/>
            </w:tcBorders>
            <w:shd w:val="clear" w:color="auto" w:fill="E6E7E8"/>
          </w:tcPr>
          <w:p>
            <w:pPr>
              <w:pStyle w:val="TableParagraph"/>
              <w:spacing w:before="48"/>
              <w:ind w:right="72"/>
              <w:rPr>
                <w:sz w:val="16"/>
              </w:rPr>
            </w:pPr>
            <w:r>
              <w:rPr>
                <w:w w:val="75"/>
                <w:sz w:val="16"/>
              </w:rPr>
              <w:t>871.51</w:t>
            </w:r>
          </w:p>
        </w:tc>
        <w:tc>
          <w:tcPr>
            <w:tcW w:w="808" w:type="dxa"/>
            <w:tcBorders>
              <w:top w:val="nil"/>
            </w:tcBorders>
            <w:shd w:val="clear" w:color="auto" w:fill="E6E7E8"/>
          </w:tcPr>
          <w:p>
            <w:pPr>
              <w:pStyle w:val="TableParagraph"/>
              <w:spacing w:before="48"/>
              <w:ind w:right="70"/>
              <w:rPr>
                <w:sz w:val="16"/>
              </w:rPr>
            </w:pPr>
            <w:r>
              <w:rPr>
                <w:w w:val="85"/>
                <w:sz w:val="16"/>
              </w:rPr>
              <w:t>881.28</w:t>
            </w:r>
          </w:p>
        </w:tc>
        <w:tc>
          <w:tcPr>
            <w:tcW w:w="808" w:type="dxa"/>
            <w:tcBorders>
              <w:top w:val="nil"/>
            </w:tcBorders>
            <w:shd w:val="clear" w:color="auto" w:fill="E6E7E8"/>
          </w:tcPr>
          <w:p>
            <w:pPr>
              <w:pStyle w:val="TableParagraph"/>
              <w:spacing w:before="48"/>
              <w:ind w:right="72"/>
              <w:rPr>
                <w:sz w:val="16"/>
              </w:rPr>
            </w:pPr>
            <w:r>
              <w:rPr>
                <w:w w:val="95"/>
                <w:sz w:val="16"/>
              </w:rPr>
              <w:t>782.40</w:t>
            </w:r>
          </w:p>
        </w:tc>
        <w:tc>
          <w:tcPr>
            <w:tcW w:w="808" w:type="dxa"/>
            <w:tcBorders>
              <w:top w:val="nil"/>
            </w:tcBorders>
            <w:shd w:val="clear" w:color="auto" w:fill="E6E7E8"/>
          </w:tcPr>
          <w:p>
            <w:pPr>
              <w:pStyle w:val="TableParagraph"/>
              <w:spacing w:before="48"/>
              <w:ind w:right="72"/>
              <w:rPr>
                <w:sz w:val="16"/>
              </w:rPr>
            </w:pPr>
            <w:r>
              <w:rPr>
                <w:w w:val="95"/>
                <w:sz w:val="16"/>
              </w:rPr>
              <w:t>850.92</w:t>
            </w:r>
          </w:p>
        </w:tc>
        <w:tc>
          <w:tcPr>
            <w:tcW w:w="808" w:type="dxa"/>
            <w:tcBorders>
              <w:top w:val="nil"/>
            </w:tcBorders>
            <w:shd w:val="clear" w:color="auto" w:fill="E6E7E8"/>
          </w:tcPr>
          <w:p>
            <w:pPr>
              <w:pStyle w:val="TableParagraph"/>
              <w:spacing w:before="48"/>
              <w:ind w:right="69"/>
              <w:rPr>
                <w:sz w:val="16"/>
              </w:rPr>
            </w:pPr>
            <w:r>
              <w:rPr>
                <w:w w:val="90"/>
                <w:sz w:val="16"/>
              </w:rPr>
              <w:t>946.10</w:t>
            </w:r>
          </w:p>
        </w:tc>
        <w:tc>
          <w:tcPr>
            <w:tcW w:w="808" w:type="dxa"/>
            <w:tcBorders>
              <w:top w:val="nil"/>
            </w:tcBorders>
            <w:shd w:val="clear" w:color="auto" w:fill="E6E7E8"/>
          </w:tcPr>
          <w:p>
            <w:pPr>
              <w:pStyle w:val="TableParagraph"/>
              <w:spacing w:before="48"/>
              <w:ind w:right="72"/>
              <w:rPr>
                <w:sz w:val="16"/>
              </w:rPr>
            </w:pPr>
            <w:r>
              <w:rPr>
                <w:w w:val="90"/>
                <w:sz w:val="16"/>
              </w:rPr>
              <w:t>992.22</w:t>
            </w:r>
          </w:p>
        </w:tc>
        <w:tc>
          <w:tcPr>
            <w:tcW w:w="808" w:type="dxa"/>
            <w:tcBorders>
              <w:top w:val="nil"/>
            </w:tcBorders>
            <w:shd w:val="clear" w:color="auto" w:fill="E6E7E8"/>
          </w:tcPr>
          <w:p>
            <w:pPr>
              <w:pStyle w:val="TableParagraph"/>
              <w:spacing w:before="48"/>
              <w:ind w:right="73"/>
              <w:rPr>
                <w:sz w:val="16"/>
              </w:rPr>
            </w:pPr>
            <w:r>
              <w:rPr>
                <w:w w:val="90"/>
                <w:sz w:val="16"/>
              </w:rPr>
              <w:t>1,005.35</w:t>
            </w:r>
          </w:p>
        </w:tc>
        <w:tc>
          <w:tcPr>
            <w:tcW w:w="808" w:type="dxa"/>
            <w:tcBorders>
              <w:top w:val="nil"/>
            </w:tcBorders>
            <w:shd w:val="clear" w:color="auto" w:fill="E6E7E8"/>
          </w:tcPr>
          <w:p>
            <w:pPr>
              <w:pStyle w:val="TableParagraph"/>
              <w:spacing w:before="48"/>
              <w:ind w:right="73"/>
              <w:rPr>
                <w:sz w:val="16"/>
              </w:rPr>
            </w:pPr>
            <w:r>
              <w:rPr>
                <w:w w:val="95"/>
                <w:sz w:val="16"/>
              </w:rPr>
              <w:t>990.34</w:t>
            </w:r>
          </w:p>
        </w:tc>
        <w:tc>
          <w:tcPr>
            <w:tcW w:w="808" w:type="dxa"/>
            <w:tcBorders>
              <w:top w:val="nil"/>
            </w:tcBorders>
            <w:shd w:val="clear" w:color="auto" w:fill="E6E7E8"/>
          </w:tcPr>
          <w:p>
            <w:pPr>
              <w:pStyle w:val="TableParagraph"/>
              <w:spacing w:before="48"/>
              <w:ind w:right="73"/>
              <w:rPr>
                <w:sz w:val="16"/>
              </w:rPr>
            </w:pPr>
            <w:r>
              <w:rPr>
                <w:w w:val="95"/>
                <w:sz w:val="16"/>
              </w:rPr>
              <w:t>990.85</w:t>
            </w:r>
          </w:p>
        </w:tc>
      </w:tr>
      <w:tr>
        <w:trPr>
          <w:trHeight w:val="288" w:hRule="exact"/>
        </w:trPr>
        <w:tc>
          <w:tcPr>
            <w:tcW w:w="2021" w:type="dxa"/>
            <w:shd w:val="clear" w:color="auto" w:fill="E6E7E8"/>
          </w:tcPr>
          <w:p>
            <w:pPr>
              <w:pStyle w:val="TableParagraph"/>
              <w:spacing w:before="43"/>
              <w:ind w:left="74" w:right="13"/>
              <w:jc w:val="left"/>
              <w:rPr>
                <w:sz w:val="16"/>
              </w:rPr>
            </w:pPr>
            <w:r>
              <w:rPr>
                <w:w w:val="95"/>
                <w:sz w:val="16"/>
              </w:rPr>
              <w:t>General (levels 1–9)</w:t>
            </w:r>
          </w:p>
        </w:tc>
        <w:tc>
          <w:tcPr>
            <w:tcW w:w="808" w:type="dxa"/>
            <w:shd w:val="clear" w:color="auto" w:fill="E6E7E8"/>
          </w:tcPr>
          <w:p>
            <w:pPr>
              <w:pStyle w:val="TableParagraph"/>
              <w:spacing w:before="43"/>
              <w:ind w:right="73"/>
              <w:rPr>
                <w:sz w:val="16"/>
              </w:rPr>
            </w:pPr>
            <w:r>
              <w:rPr>
                <w:w w:val="90"/>
                <w:sz w:val="16"/>
              </w:rPr>
              <w:t>1,084.48</w:t>
            </w:r>
          </w:p>
        </w:tc>
        <w:tc>
          <w:tcPr>
            <w:tcW w:w="808" w:type="dxa"/>
            <w:shd w:val="clear" w:color="auto" w:fill="E6E7E8"/>
          </w:tcPr>
          <w:p>
            <w:pPr>
              <w:pStyle w:val="TableParagraph"/>
              <w:spacing w:before="43"/>
              <w:ind w:right="73"/>
              <w:rPr>
                <w:sz w:val="16"/>
              </w:rPr>
            </w:pPr>
            <w:r>
              <w:rPr>
                <w:w w:val="85"/>
                <w:sz w:val="16"/>
              </w:rPr>
              <w:t>1,026.67</w:t>
            </w:r>
          </w:p>
        </w:tc>
        <w:tc>
          <w:tcPr>
            <w:tcW w:w="808" w:type="dxa"/>
            <w:shd w:val="clear" w:color="auto" w:fill="E6E7E8"/>
          </w:tcPr>
          <w:p>
            <w:pPr>
              <w:pStyle w:val="TableParagraph"/>
              <w:spacing w:before="43"/>
              <w:ind w:right="73"/>
              <w:rPr>
                <w:sz w:val="16"/>
              </w:rPr>
            </w:pPr>
            <w:r>
              <w:rPr>
                <w:spacing w:val="4"/>
                <w:w w:val="54"/>
                <w:sz w:val="16"/>
              </w:rPr>
              <w:t>1</w:t>
            </w:r>
            <w:r>
              <w:rPr>
                <w:w w:val="59"/>
                <w:sz w:val="16"/>
              </w:rPr>
              <w:t>,</w:t>
            </w:r>
            <w:r>
              <w:rPr>
                <w:spacing w:val="3"/>
                <w:w w:val="59"/>
                <w:sz w:val="16"/>
              </w:rPr>
              <w:t>1</w:t>
            </w:r>
            <w:r>
              <w:rPr>
                <w:spacing w:val="2"/>
                <w:w w:val="54"/>
                <w:sz w:val="16"/>
              </w:rPr>
              <w:t>1</w:t>
            </w:r>
            <w:r>
              <w:rPr>
                <w:spacing w:val="1"/>
                <w:w w:val="101"/>
                <w:sz w:val="16"/>
              </w:rPr>
              <w:t>9</w:t>
            </w:r>
            <w:r>
              <w:rPr>
                <w:spacing w:val="2"/>
                <w:w w:val="68"/>
                <w:sz w:val="16"/>
              </w:rPr>
              <w:t>.</w:t>
            </w:r>
            <w:r>
              <w:rPr>
                <w:spacing w:val="1"/>
                <w:w w:val="111"/>
                <w:sz w:val="16"/>
              </w:rPr>
              <w:t>0</w:t>
            </w:r>
            <w:r>
              <w:rPr>
                <w:w w:val="93"/>
                <w:sz w:val="16"/>
              </w:rPr>
              <w:t>2</w:t>
            </w:r>
          </w:p>
        </w:tc>
        <w:tc>
          <w:tcPr>
            <w:tcW w:w="808" w:type="dxa"/>
            <w:shd w:val="clear" w:color="auto" w:fill="E6E7E8"/>
          </w:tcPr>
          <w:p>
            <w:pPr>
              <w:pStyle w:val="TableParagraph"/>
              <w:spacing w:before="43"/>
              <w:ind w:right="73"/>
              <w:rPr>
                <w:sz w:val="16"/>
              </w:rPr>
            </w:pPr>
            <w:r>
              <w:rPr>
                <w:w w:val="85"/>
                <w:sz w:val="16"/>
              </w:rPr>
              <w:t>1,080.16</w:t>
            </w:r>
          </w:p>
        </w:tc>
        <w:tc>
          <w:tcPr>
            <w:tcW w:w="808" w:type="dxa"/>
            <w:shd w:val="clear" w:color="auto" w:fill="E6E7E8"/>
          </w:tcPr>
          <w:p>
            <w:pPr>
              <w:pStyle w:val="TableParagraph"/>
              <w:spacing w:before="43"/>
              <w:ind w:right="73"/>
              <w:rPr>
                <w:sz w:val="16"/>
              </w:rPr>
            </w:pPr>
            <w:r>
              <w:rPr>
                <w:w w:val="75"/>
                <w:sz w:val="16"/>
              </w:rPr>
              <w:t>1,116.98</w:t>
            </w:r>
          </w:p>
        </w:tc>
        <w:tc>
          <w:tcPr>
            <w:tcW w:w="808" w:type="dxa"/>
            <w:shd w:val="clear" w:color="auto" w:fill="E6E7E8"/>
          </w:tcPr>
          <w:p>
            <w:pPr>
              <w:pStyle w:val="TableParagraph"/>
              <w:spacing w:before="43"/>
              <w:ind w:right="73"/>
              <w:rPr>
                <w:sz w:val="16"/>
              </w:rPr>
            </w:pPr>
            <w:r>
              <w:rPr>
                <w:spacing w:val="4"/>
                <w:w w:val="54"/>
                <w:sz w:val="16"/>
              </w:rPr>
              <w:t>1</w:t>
            </w:r>
            <w:r>
              <w:rPr>
                <w:spacing w:val="6"/>
                <w:w w:val="68"/>
                <w:sz w:val="16"/>
              </w:rPr>
              <w:t>,</w:t>
            </w:r>
            <w:r>
              <w:rPr>
                <w:spacing w:val="3"/>
                <w:w w:val="94"/>
                <w:sz w:val="16"/>
              </w:rPr>
              <w:t>25</w:t>
            </w:r>
            <w:r>
              <w:rPr>
                <w:spacing w:val="5"/>
                <w:w w:val="94"/>
                <w:sz w:val="16"/>
              </w:rPr>
              <w:t>3</w:t>
            </w:r>
            <w:r>
              <w:rPr>
                <w:spacing w:val="2"/>
                <w:w w:val="68"/>
                <w:sz w:val="16"/>
              </w:rPr>
              <w:t>.</w:t>
            </w:r>
            <w:r>
              <w:rPr>
                <w:spacing w:val="4"/>
                <w:w w:val="101"/>
                <w:sz w:val="16"/>
              </w:rPr>
              <w:t>9</w:t>
            </w:r>
            <w:r>
              <w:rPr>
                <w:w w:val="111"/>
                <w:sz w:val="16"/>
              </w:rPr>
              <w:t>0</w:t>
            </w:r>
          </w:p>
        </w:tc>
        <w:tc>
          <w:tcPr>
            <w:tcW w:w="808" w:type="dxa"/>
            <w:shd w:val="clear" w:color="auto" w:fill="E6E7E8"/>
          </w:tcPr>
          <w:p>
            <w:pPr>
              <w:pStyle w:val="TableParagraph"/>
              <w:spacing w:before="43"/>
              <w:ind w:right="73"/>
              <w:rPr>
                <w:sz w:val="16"/>
              </w:rPr>
            </w:pPr>
            <w:r>
              <w:rPr>
                <w:spacing w:val="4"/>
                <w:w w:val="54"/>
                <w:sz w:val="16"/>
              </w:rPr>
              <w:t>1</w:t>
            </w:r>
            <w:r>
              <w:rPr>
                <w:spacing w:val="6"/>
                <w:w w:val="68"/>
                <w:sz w:val="16"/>
              </w:rPr>
              <w:t>,</w:t>
            </w:r>
            <w:r>
              <w:rPr>
                <w:spacing w:val="3"/>
                <w:w w:val="93"/>
                <w:sz w:val="16"/>
              </w:rPr>
              <w:t>2</w:t>
            </w:r>
            <w:r>
              <w:rPr>
                <w:spacing w:val="3"/>
                <w:w w:val="94"/>
                <w:sz w:val="16"/>
              </w:rPr>
              <w:t>3</w:t>
            </w:r>
            <w:r>
              <w:rPr>
                <w:spacing w:val="2"/>
                <w:w w:val="111"/>
                <w:sz w:val="16"/>
              </w:rPr>
              <w:t>0</w:t>
            </w:r>
            <w:r>
              <w:rPr>
                <w:spacing w:val="5"/>
                <w:w w:val="68"/>
                <w:sz w:val="16"/>
              </w:rPr>
              <w:t>.</w:t>
            </w:r>
            <w:r>
              <w:rPr>
                <w:spacing w:val="3"/>
                <w:w w:val="98"/>
                <w:sz w:val="16"/>
              </w:rPr>
              <w:t>8</w:t>
            </w:r>
            <w:r>
              <w:rPr>
                <w:w w:val="93"/>
                <w:sz w:val="16"/>
              </w:rPr>
              <w:t>2</w:t>
            </w:r>
          </w:p>
        </w:tc>
        <w:tc>
          <w:tcPr>
            <w:tcW w:w="808" w:type="dxa"/>
            <w:shd w:val="clear" w:color="auto" w:fill="E6E7E8"/>
          </w:tcPr>
          <w:p>
            <w:pPr>
              <w:pStyle w:val="TableParagraph"/>
              <w:spacing w:before="43"/>
              <w:ind w:right="73"/>
              <w:rPr>
                <w:sz w:val="16"/>
              </w:rPr>
            </w:pPr>
            <w:r>
              <w:rPr>
                <w:w w:val="75"/>
                <w:sz w:val="16"/>
              </w:rPr>
              <w:t>1,313.77</w:t>
            </w:r>
          </w:p>
        </w:tc>
        <w:tc>
          <w:tcPr>
            <w:tcW w:w="808" w:type="dxa"/>
            <w:shd w:val="clear" w:color="auto" w:fill="E6E7E8"/>
          </w:tcPr>
          <w:p>
            <w:pPr>
              <w:pStyle w:val="TableParagraph"/>
              <w:spacing w:before="43"/>
              <w:ind w:right="73"/>
              <w:rPr>
                <w:sz w:val="16"/>
              </w:rPr>
            </w:pPr>
            <w:r>
              <w:rPr>
                <w:w w:val="75"/>
                <w:sz w:val="16"/>
              </w:rPr>
              <w:t>1,441.18</w:t>
            </w:r>
          </w:p>
        </w:tc>
        <w:tc>
          <w:tcPr>
            <w:tcW w:w="808" w:type="dxa"/>
            <w:shd w:val="clear" w:color="auto" w:fill="E6E7E8"/>
          </w:tcPr>
          <w:p>
            <w:pPr>
              <w:pStyle w:val="TableParagraph"/>
              <w:spacing w:before="43"/>
              <w:ind w:right="73"/>
              <w:rPr>
                <w:sz w:val="16"/>
              </w:rPr>
            </w:pPr>
            <w:r>
              <w:rPr>
                <w:w w:val="85"/>
                <w:sz w:val="16"/>
              </w:rPr>
              <w:t>1,437.94</w:t>
            </w:r>
          </w:p>
        </w:tc>
      </w:tr>
      <w:tr>
        <w:trPr>
          <w:trHeight w:val="488" w:hRule="exact"/>
        </w:trPr>
        <w:tc>
          <w:tcPr>
            <w:tcW w:w="2021" w:type="dxa"/>
            <w:shd w:val="clear" w:color="auto" w:fill="E6E7E8"/>
          </w:tcPr>
          <w:p>
            <w:pPr>
              <w:pStyle w:val="TableParagraph"/>
              <w:spacing w:line="249" w:lineRule="auto" w:before="43"/>
              <w:ind w:left="74" w:right="13"/>
              <w:jc w:val="left"/>
              <w:rPr>
                <w:sz w:val="16"/>
              </w:rPr>
            </w:pPr>
            <w:r>
              <w:rPr>
                <w:sz w:val="16"/>
              </w:rPr>
              <w:t>Senior (above Academic Level E or General Level 9)</w:t>
            </w:r>
          </w:p>
        </w:tc>
        <w:tc>
          <w:tcPr>
            <w:tcW w:w="808" w:type="dxa"/>
            <w:shd w:val="clear" w:color="auto" w:fill="E6E7E8"/>
          </w:tcPr>
          <w:p>
            <w:pPr>
              <w:pStyle w:val="TableParagraph"/>
              <w:spacing w:before="143"/>
              <w:ind w:right="69"/>
              <w:rPr>
                <w:sz w:val="16"/>
              </w:rPr>
            </w:pPr>
            <w:r>
              <w:rPr>
                <w:w w:val="95"/>
                <w:sz w:val="16"/>
              </w:rPr>
              <w:t>84.40</w:t>
            </w:r>
          </w:p>
        </w:tc>
        <w:tc>
          <w:tcPr>
            <w:tcW w:w="808" w:type="dxa"/>
            <w:shd w:val="clear" w:color="auto" w:fill="E6E7E8"/>
          </w:tcPr>
          <w:p>
            <w:pPr>
              <w:pStyle w:val="TableParagraph"/>
              <w:spacing w:before="143"/>
              <w:ind w:right="73"/>
              <w:rPr>
                <w:sz w:val="16"/>
              </w:rPr>
            </w:pPr>
            <w:r>
              <w:rPr>
                <w:spacing w:val="3"/>
                <w:w w:val="54"/>
                <w:sz w:val="16"/>
              </w:rPr>
              <w:t>1</w:t>
            </w:r>
            <w:r>
              <w:rPr>
                <w:w w:val="54"/>
                <w:sz w:val="16"/>
              </w:rPr>
              <w:t>1</w:t>
            </w:r>
            <w:r>
              <w:rPr>
                <w:spacing w:val="-10"/>
                <w:w w:val="83"/>
                <w:sz w:val="16"/>
              </w:rPr>
              <w:t>7</w:t>
            </w:r>
            <w:r>
              <w:rPr>
                <w:spacing w:val="-1"/>
                <w:w w:val="83"/>
                <w:sz w:val="16"/>
              </w:rPr>
              <w:t>.</w:t>
            </w:r>
            <w:r>
              <w:rPr>
                <w:spacing w:val="-2"/>
                <w:w w:val="91"/>
                <w:sz w:val="16"/>
              </w:rPr>
              <w:t>7</w:t>
            </w:r>
            <w:r>
              <w:rPr>
                <w:w w:val="111"/>
                <w:sz w:val="16"/>
              </w:rPr>
              <w:t>0</w:t>
            </w:r>
          </w:p>
        </w:tc>
        <w:tc>
          <w:tcPr>
            <w:tcW w:w="808" w:type="dxa"/>
            <w:shd w:val="clear" w:color="auto" w:fill="E6E7E8"/>
          </w:tcPr>
          <w:p>
            <w:pPr>
              <w:pStyle w:val="TableParagraph"/>
              <w:spacing w:before="143"/>
              <w:ind w:right="73"/>
              <w:rPr>
                <w:sz w:val="16"/>
              </w:rPr>
            </w:pPr>
            <w:r>
              <w:rPr>
                <w:w w:val="90"/>
                <w:sz w:val="16"/>
              </w:rPr>
              <w:t>138.60</w:t>
            </w:r>
          </w:p>
        </w:tc>
        <w:tc>
          <w:tcPr>
            <w:tcW w:w="808" w:type="dxa"/>
            <w:shd w:val="clear" w:color="auto" w:fill="E6E7E8"/>
          </w:tcPr>
          <w:p>
            <w:pPr>
              <w:pStyle w:val="TableParagraph"/>
              <w:spacing w:before="143"/>
              <w:ind w:right="73"/>
              <w:rPr>
                <w:sz w:val="16"/>
              </w:rPr>
            </w:pPr>
            <w:r>
              <w:rPr>
                <w:spacing w:val="4"/>
                <w:w w:val="54"/>
                <w:sz w:val="16"/>
              </w:rPr>
              <w:t>1</w:t>
            </w:r>
            <w:r>
              <w:rPr>
                <w:spacing w:val="-3"/>
                <w:w w:val="111"/>
                <w:sz w:val="16"/>
              </w:rPr>
              <w:t>0</w:t>
            </w:r>
            <w:r>
              <w:rPr>
                <w:spacing w:val="-10"/>
                <w:w w:val="83"/>
                <w:sz w:val="16"/>
              </w:rPr>
              <w:t>7</w:t>
            </w:r>
            <w:r>
              <w:rPr>
                <w:spacing w:val="-1"/>
                <w:w w:val="83"/>
                <w:sz w:val="16"/>
              </w:rPr>
              <w:t>.</w:t>
            </w:r>
            <w:r>
              <w:rPr>
                <w:spacing w:val="-2"/>
                <w:w w:val="91"/>
                <w:sz w:val="16"/>
              </w:rPr>
              <w:t>7</w:t>
            </w:r>
            <w:r>
              <w:rPr>
                <w:w w:val="111"/>
                <w:sz w:val="16"/>
              </w:rPr>
              <w:t>0</w:t>
            </w:r>
          </w:p>
        </w:tc>
        <w:tc>
          <w:tcPr>
            <w:tcW w:w="808" w:type="dxa"/>
            <w:shd w:val="clear" w:color="auto" w:fill="E6E7E8"/>
          </w:tcPr>
          <w:p>
            <w:pPr>
              <w:pStyle w:val="TableParagraph"/>
              <w:spacing w:before="143"/>
              <w:ind w:right="69"/>
              <w:rPr>
                <w:sz w:val="16"/>
              </w:rPr>
            </w:pPr>
            <w:r>
              <w:rPr>
                <w:w w:val="90"/>
                <w:sz w:val="16"/>
              </w:rPr>
              <w:t>104.40</w:t>
            </w:r>
          </w:p>
        </w:tc>
        <w:tc>
          <w:tcPr>
            <w:tcW w:w="808" w:type="dxa"/>
            <w:shd w:val="clear" w:color="auto" w:fill="E6E7E8"/>
          </w:tcPr>
          <w:p>
            <w:pPr>
              <w:pStyle w:val="TableParagraph"/>
              <w:spacing w:before="143"/>
              <w:ind w:right="73"/>
              <w:rPr>
                <w:sz w:val="16"/>
              </w:rPr>
            </w:pPr>
            <w:r>
              <w:rPr>
                <w:spacing w:val="3"/>
                <w:w w:val="54"/>
                <w:sz w:val="16"/>
              </w:rPr>
              <w:t>1</w:t>
            </w:r>
            <w:r>
              <w:rPr>
                <w:spacing w:val="2"/>
                <w:w w:val="78"/>
                <w:sz w:val="16"/>
              </w:rPr>
              <w:t>1</w:t>
            </w:r>
            <w:r>
              <w:rPr>
                <w:spacing w:val="4"/>
                <w:w w:val="78"/>
                <w:sz w:val="16"/>
              </w:rPr>
              <w:t>4</w:t>
            </w:r>
            <w:r>
              <w:rPr>
                <w:spacing w:val="3"/>
                <w:w w:val="68"/>
                <w:sz w:val="16"/>
              </w:rPr>
              <w:t>.</w:t>
            </w:r>
            <w:r>
              <w:rPr>
                <w:spacing w:val="3"/>
                <w:w w:val="101"/>
                <w:sz w:val="16"/>
              </w:rPr>
              <w:t>6</w:t>
            </w:r>
            <w:r>
              <w:rPr>
                <w:w w:val="111"/>
                <w:sz w:val="16"/>
              </w:rPr>
              <w:t>0</w:t>
            </w:r>
          </w:p>
        </w:tc>
        <w:tc>
          <w:tcPr>
            <w:tcW w:w="808" w:type="dxa"/>
            <w:shd w:val="clear" w:color="auto" w:fill="E6E7E8"/>
          </w:tcPr>
          <w:p>
            <w:pPr>
              <w:pStyle w:val="TableParagraph"/>
              <w:spacing w:before="143"/>
              <w:ind w:right="73"/>
              <w:rPr>
                <w:sz w:val="16"/>
              </w:rPr>
            </w:pPr>
            <w:r>
              <w:rPr>
                <w:w w:val="85"/>
                <w:sz w:val="16"/>
              </w:rPr>
              <w:t>139.8</w:t>
            </w:r>
          </w:p>
        </w:tc>
        <w:tc>
          <w:tcPr>
            <w:tcW w:w="808" w:type="dxa"/>
            <w:shd w:val="clear" w:color="auto" w:fill="E6E7E8"/>
          </w:tcPr>
          <w:p>
            <w:pPr>
              <w:pStyle w:val="TableParagraph"/>
              <w:spacing w:before="143"/>
              <w:ind w:right="73"/>
              <w:rPr>
                <w:sz w:val="16"/>
              </w:rPr>
            </w:pPr>
            <w:r>
              <w:rPr>
                <w:spacing w:val="3"/>
                <w:w w:val="54"/>
                <w:sz w:val="16"/>
              </w:rPr>
              <w:t>11</w:t>
            </w:r>
            <w:r>
              <w:rPr>
                <w:spacing w:val="4"/>
                <w:w w:val="54"/>
                <w:sz w:val="16"/>
              </w:rPr>
              <w:t>1</w:t>
            </w:r>
            <w:r>
              <w:rPr>
                <w:spacing w:val="2"/>
                <w:w w:val="68"/>
                <w:sz w:val="16"/>
              </w:rPr>
              <w:t>.</w:t>
            </w:r>
            <w:r>
              <w:rPr>
                <w:spacing w:val="4"/>
                <w:w w:val="111"/>
                <w:sz w:val="16"/>
              </w:rPr>
              <w:t>0</w:t>
            </w:r>
            <w:r>
              <w:rPr>
                <w:w w:val="111"/>
                <w:sz w:val="16"/>
              </w:rPr>
              <w:t>0</w:t>
            </w:r>
          </w:p>
        </w:tc>
        <w:tc>
          <w:tcPr>
            <w:tcW w:w="808" w:type="dxa"/>
            <w:shd w:val="clear" w:color="auto" w:fill="E6E7E8"/>
          </w:tcPr>
          <w:p>
            <w:pPr>
              <w:pStyle w:val="TableParagraph"/>
              <w:spacing w:before="143"/>
              <w:ind w:right="73"/>
              <w:rPr>
                <w:sz w:val="16"/>
              </w:rPr>
            </w:pPr>
            <w:r>
              <w:rPr>
                <w:spacing w:val="2"/>
                <w:w w:val="54"/>
                <w:sz w:val="16"/>
              </w:rPr>
              <w:t>1</w:t>
            </w:r>
            <w:r>
              <w:rPr>
                <w:spacing w:val="4"/>
                <w:w w:val="95"/>
                <w:sz w:val="16"/>
              </w:rPr>
              <w:t>5</w:t>
            </w:r>
            <w:r>
              <w:rPr>
                <w:spacing w:val="4"/>
                <w:w w:val="101"/>
                <w:sz w:val="16"/>
              </w:rPr>
              <w:t>6</w:t>
            </w:r>
            <w:r>
              <w:rPr>
                <w:spacing w:val="2"/>
                <w:w w:val="95"/>
                <w:sz w:val="16"/>
              </w:rPr>
              <w:t>.</w:t>
            </w:r>
            <w:r>
              <w:rPr>
                <w:spacing w:val="4"/>
                <w:w w:val="95"/>
                <w:sz w:val="16"/>
              </w:rPr>
              <w:t>0</w:t>
            </w:r>
            <w:r>
              <w:rPr>
                <w:w w:val="111"/>
                <w:sz w:val="16"/>
              </w:rPr>
              <w:t>0</w:t>
            </w:r>
          </w:p>
        </w:tc>
        <w:tc>
          <w:tcPr>
            <w:tcW w:w="808" w:type="dxa"/>
            <w:shd w:val="clear" w:color="auto" w:fill="E6E7E8"/>
          </w:tcPr>
          <w:p>
            <w:pPr>
              <w:pStyle w:val="TableParagraph"/>
              <w:spacing w:before="143"/>
              <w:ind w:right="73"/>
              <w:rPr>
                <w:sz w:val="16"/>
              </w:rPr>
            </w:pPr>
            <w:r>
              <w:rPr>
                <w:spacing w:val="2"/>
                <w:w w:val="54"/>
                <w:sz w:val="16"/>
              </w:rPr>
              <w:t>1</w:t>
            </w:r>
            <w:r>
              <w:rPr>
                <w:spacing w:val="3"/>
                <w:w w:val="95"/>
                <w:sz w:val="16"/>
              </w:rPr>
              <w:t>5</w:t>
            </w:r>
            <w:r>
              <w:rPr>
                <w:spacing w:val="2"/>
                <w:w w:val="111"/>
                <w:sz w:val="16"/>
              </w:rPr>
              <w:t>0</w:t>
            </w:r>
            <w:r>
              <w:rPr>
                <w:spacing w:val="3"/>
                <w:w w:val="68"/>
                <w:sz w:val="16"/>
              </w:rPr>
              <w:t>.</w:t>
            </w:r>
            <w:r>
              <w:rPr>
                <w:spacing w:val="3"/>
                <w:w w:val="101"/>
                <w:sz w:val="16"/>
              </w:rPr>
              <w:t>6</w:t>
            </w:r>
            <w:r>
              <w:rPr>
                <w:w w:val="111"/>
                <w:sz w:val="16"/>
              </w:rPr>
              <w:t>0</w:t>
            </w:r>
          </w:p>
        </w:tc>
      </w:tr>
    </w:tbl>
    <w:p>
      <w:pPr>
        <w:spacing w:after="0"/>
        <w:rPr>
          <w:sz w:val="16"/>
        </w:rPr>
        <w:sectPr>
          <w:type w:val="continuous"/>
          <w:pgSz w:w="11910" w:h="16840"/>
          <w:pgMar w:top="1580" w:bottom="280" w:left="580" w:right="580"/>
        </w:sectPr>
      </w:pPr>
    </w:p>
    <w:p>
      <w:pPr>
        <w:pStyle w:val="BodyText"/>
        <w:rPr>
          <w:sz w:val="20"/>
        </w:rPr>
      </w:pPr>
    </w:p>
    <w:p>
      <w:pPr>
        <w:pStyle w:val="BodyText"/>
        <w:rPr>
          <w:sz w:val="20"/>
        </w:rPr>
      </w:pPr>
    </w:p>
    <w:p>
      <w:pPr>
        <w:pStyle w:val="BodyText"/>
        <w:rPr>
          <w:sz w:val="20"/>
        </w:rPr>
      </w:pPr>
    </w:p>
    <w:p>
      <w:pPr>
        <w:pStyle w:val="BodyText"/>
        <w:spacing w:before="1"/>
        <w:rPr>
          <w:sz w:val="18"/>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1440"/>
        <w:gridCol w:w="1440"/>
        <w:gridCol w:w="1440"/>
        <w:gridCol w:w="1440"/>
        <w:gridCol w:w="1440"/>
        <w:gridCol w:w="1440"/>
        <w:gridCol w:w="1440"/>
      </w:tblGrid>
      <w:tr>
        <w:trPr>
          <w:trHeight w:val="288" w:hRule="exact"/>
        </w:trPr>
        <w:tc>
          <w:tcPr>
            <w:tcW w:w="1440" w:type="dxa"/>
            <w:tcBorders>
              <w:top w:val="nil"/>
              <w:left w:val="nil"/>
              <w:bottom w:val="nil"/>
              <w:right w:val="single" w:sz="4" w:space="0" w:color="FFFFFF"/>
            </w:tcBorders>
            <w:shd w:val="clear" w:color="auto" w:fill="939598"/>
          </w:tcPr>
          <w:p>
            <w:pPr>
              <w:pStyle w:val="TableParagraph"/>
              <w:spacing w:before="54"/>
              <w:ind w:left="155"/>
              <w:jc w:val="left"/>
              <w:rPr>
                <w:rFonts w:ascii="Gotham Narrow Bold"/>
                <w:b/>
                <w:sz w:val="16"/>
              </w:rPr>
            </w:pPr>
            <w:r>
              <w:rPr>
                <w:rFonts w:ascii="Gotham Narrow Bold"/>
                <w:b/>
                <w:color w:val="FFFFFF"/>
                <w:sz w:val="16"/>
              </w:rPr>
              <w:t>LEVEL</w:t>
            </w:r>
          </w:p>
        </w:tc>
        <w:tc>
          <w:tcPr>
            <w:tcW w:w="4320" w:type="dxa"/>
            <w:gridSpan w:val="3"/>
            <w:tcBorders>
              <w:top w:val="nil"/>
              <w:left w:val="single" w:sz="4" w:space="0" w:color="FFFFFF"/>
              <w:bottom w:val="nil"/>
              <w:right w:val="single" w:sz="4" w:space="0" w:color="FFFFFF"/>
            </w:tcBorders>
            <w:shd w:val="clear" w:color="auto" w:fill="939598"/>
          </w:tcPr>
          <w:p>
            <w:pPr>
              <w:pStyle w:val="TableParagraph"/>
              <w:spacing w:before="54"/>
              <w:ind w:left="1568" w:right="1568"/>
              <w:jc w:val="center"/>
              <w:rPr>
                <w:rFonts w:ascii="Gotham Narrow Bold"/>
                <w:b/>
                <w:sz w:val="16"/>
              </w:rPr>
            </w:pPr>
            <w:r>
              <w:rPr>
                <w:rFonts w:ascii="Gotham Narrow Bold"/>
                <w:b/>
                <w:color w:val="FFFFFF"/>
                <w:sz w:val="16"/>
              </w:rPr>
              <w:t>APPLICATIONS</w:t>
            </w:r>
          </w:p>
        </w:tc>
        <w:tc>
          <w:tcPr>
            <w:tcW w:w="4320" w:type="dxa"/>
            <w:gridSpan w:val="3"/>
            <w:tcBorders>
              <w:top w:val="nil"/>
              <w:left w:val="single" w:sz="4" w:space="0" w:color="FFFFFF"/>
              <w:bottom w:val="nil"/>
              <w:right w:val="nil"/>
            </w:tcBorders>
            <w:shd w:val="clear" w:color="auto" w:fill="939598"/>
          </w:tcPr>
          <w:p>
            <w:pPr>
              <w:pStyle w:val="TableParagraph"/>
              <w:spacing w:before="54"/>
              <w:ind w:left="1647" w:right="1649"/>
              <w:jc w:val="center"/>
              <w:rPr>
                <w:rFonts w:ascii="Gotham Narrow Bold"/>
                <w:b/>
                <w:sz w:val="16"/>
              </w:rPr>
            </w:pPr>
            <w:r>
              <w:rPr>
                <w:rFonts w:ascii="Gotham Narrow Bold"/>
                <w:b/>
                <w:color w:val="FFFFFF"/>
                <w:sz w:val="16"/>
              </w:rPr>
              <w:t>SUCCESSFUL</w:t>
            </w:r>
          </w:p>
        </w:tc>
      </w:tr>
      <w:tr>
        <w:trPr>
          <w:trHeight w:val="288" w:hRule="exact"/>
        </w:trPr>
        <w:tc>
          <w:tcPr>
            <w:tcW w:w="1440" w:type="dxa"/>
            <w:tcBorders>
              <w:top w:val="nil"/>
            </w:tcBorders>
            <w:shd w:val="clear" w:color="auto" w:fill="E6E7E8"/>
          </w:tcPr>
          <w:p>
            <w:pPr/>
          </w:p>
        </w:tc>
        <w:tc>
          <w:tcPr>
            <w:tcW w:w="1440" w:type="dxa"/>
            <w:tcBorders>
              <w:top w:val="nil"/>
            </w:tcBorders>
            <w:shd w:val="clear" w:color="auto" w:fill="E6E7E8"/>
          </w:tcPr>
          <w:p>
            <w:pPr>
              <w:pStyle w:val="TableParagraph"/>
              <w:ind w:right="148"/>
              <w:rPr>
                <w:rFonts w:ascii="Calibri"/>
                <w:sz w:val="16"/>
              </w:rPr>
            </w:pPr>
            <w:r>
              <w:rPr>
                <w:rFonts w:ascii="Calibri"/>
                <w:w w:val="110"/>
                <w:sz w:val="16"/>
              </w:rPr>
              <w:t>Total</w:t>
            </w:r>
          </w:p>
        </w:tc>
        <w:tc>
          <w:tcPr>
            <w:tcW w:w="1440" w:type="dxa"/>
            <w:tcBorders>
              <w:top w:val="nil"/>
            </w:tcBorders>
            <w:shd w:val="clear" w:color="auto" w:fill="E6E7E8"/>
          </w:tcPr>
          <w:p>
            <w:pPr>
              <w:pStyle w:val="TableParagraph"/>
              <w:ind w:right="144"/>
              <w:rPr>
                <w:rFonts w:ascii="Calibri"/>
                <w:sz w:val="16"/>
              </w:rPr>
            </w:pPr>
            <w:r>
              <w:rPr>
                <w:rFonts w:ascii="Calibri"/>
                <w:sz w:val="16"/>
              </w:rPr>
              <w:t>Male</w:t>
            </w:r>
          </w:p>
        </w:tc>
        <w:tc>
          <w:tcPr>
            <w:tcW w:w="1440" w:type="dxa"/>
            <w:tcBorders>
              <w:top w:val="nil"/>
            </w:tcBorders>
            <w:shd w:val="clear" w:color="auto" w:fill="E6E7E8"/>
          </w:tcPr>
          <w:p>
            <w:pPr>
              <w:pStyle w:val="TableParagraph"/>
              <w:ind w:right="74"/>
              <w:rPr>
                <w:rFonts w:ascii="Calibri"/>
                <w:sz w:val="16"/>
              </w:rPr>
            </w:pPr>
            <w:r>
              <w:rPr>
                <w:rFonts w:ascii="Calibri"/>
                <w:w w:val="110"/>
                <w:sz w:val="16"/>
              </w:rPr>
              <w:t>Female</w:t>
            </w:r>
          </w:p>
        </w:tc>
        <w:tc>
          <w:tcPr>
            <w:tcW w:w="1440" w:type="dxa"/>
            <w:tcBorders>
              <w:top w:val="nil"/>
            </w:tcBorders>
            <w:shd w:val="clear" w:color="auto" w:fill="E6E7E8"/>
          </w:tcPr>
          <w:p>
            <w:pPr>
              <w:pStyle w:val="TableParagraph"/>
              <w:ind w:right="147"/>
              <w:rPr>
                <w:rFonts w:ascii="Calibri"/>
                <w:sz w:val="16"/>
              </w:rPr>
            </w:pPr>
            <w:r>
              <w:rPr>
                <w:rFonts w:ascii="Calibri"/>
                <w:w w:val="110"/>
                <w:sz w:val="16"/>
              </w:rPr>
              <w:t>Total</w:t>
            </w:r>
          </w:p>
        </w:tc>
        <w:tc>
          <w:tcPr>
            <w:tcW w:w="1440" w:type="dxa"/>
            <w:tcBorders>
              <w:top w:val="nil"/>
            </w:tcBorders>
            <w:shd w:val="clear" w:color="auto" w:fill="E6E7E8"/>
          </w:tcPr>
          <w:p>
            <w:pPr>
              <w:pStyle w:val="TableParagraph"/>
              <w:ind w:right="144"/>
              <w:rPr>
                <w:rFonts w:ascii="Calibri"/>
                <w:sz w:val="16"/>
              </w:rPr>
            </w:pPr>
            <w:r>
              <w:rPr>
                <w:rFonts w:ascii="Calibri"/>
                <w:sz w:val="16"/>
              </w:rPr>
              <w:t>Male</w:t>
            </w:r>
          </w:p>
        </w:tc>
        <w:tc>
          <w:tcPr>
            <w:tcW w:w="1440" w:type="dxa"/>
            <w:tcBorders>
              <w:top w:val="nil"/>
            </w:tcBorders>
            <w:shd w:val="clear" w:color="auto" w:fill="E6E7E8"/>
          </w:tcPr>
          <w:p>
            <w:pPr>
              <w:pStyle w:val="TableParagraph"/>
              <w:ind w:right="73"/>
              <w:rPr>
                <w:rFonts w:ascii="Calibri"/>
                <w:sz w:val="16"/>
              </w:rPr>
            </w:pPr>
            <w:r>
              <w:rPr>
                <w:rFonts w:ascii="Calibri"/>
                <w:w w:val="110"/>
                <w:sz w:val="16"/>
              </w:rPr>
              <w:t>Female</w:t>
            </w:r>
          </w:p>
        </w:tc>
      </w:tr>
      <w:tr>
        <w:trPr>
          <w:trHeight w:val="288" w:hRule="exact"/>
        </w:trPr>
        <w:tc>
          <w:tcPr>
            <w:tcW w:w="1440" w:type="dxa"/>
            <w:shd w:val="clear" w:color="auto" w:fill="E6E7E8"/>
          </w:tcPr>
          <w:p>
            <w:pPr>
              <w:pStyle w:val="TableParagraph"/>
              <w:spacing w:before="43"/>
              <w:ind w:left="149"/>
              <w:jc w:val="left"/>
              <w:rPr>
                <w:sz w:val="16"/>
              </w:rPr>
            </w:pPr>
            <w:r>
              <w:rPr>
                <w:w w:val="104"/>
                <w:sz w:val="16"/>
              </w:rPr>
              <w:t>B</w:t>
            </w:r>
          </w:p>
        </w:tc>
        <w:tc>
          <w:tcPr>
            <w:tcW w:w="1440" w:type="dxa"/>
            <w:shd w:val="clear" w:color="auto" w:fill="E6E7E8"/>
          </w:tcPr>
          <w:p>
            <w:pPr>
              <w:pStyle w:val="TableParagraph"/>
              <w:spacing w:before="43"/>
              <w:ind w:right="147"/>
              <w:rPr>
                <w:sz w:val="16"/>
              </w:rPr>
            </w:pPr>
            <w:r>
              <w:rPr>
                <w:w w:val="91"/>
                <w:sz w:val="16"/>
              </w:rPr>
              <w:t>7</w:t>
            </w:r>
          </w:p>
        </w:tc>
        <w:tc>
          <w:tcPr>
            <w:tcW w:w="1440" w:type="dxa"/>
            <w:shd w:val="clear" w:color="auto" w:fill="E6E7E8"/>
          </w:tcPr>
          <w:p>
            <w:pPr>
              <w:pStyle w:val="TableParagraph"/>
              <w:spacing w:before="43"/>
              <w:ind w:right="147"/>
              <w:rPr>
                <w:sz w:val="16"/>
              </w:rPr>
            </w:pPr>
            <w:r>
              <w:rPr>
                <w:w w:val="94"/>
                <w:sz w:val="16"/>
              </w:rPr>
              <w:t>3</w:t>
            </w:r>
          </w:p>
        </w:tc>
        <w:tc>
          <w:tcPr>
            <w:tcW w:w="1440" w:type="dxa"/>
            <w:shd w:val="clear" w:color="auto" w:fill="E6E7E8"/>
          </w:tcPr>
          <w:p>
            <w:pPr>
              <w:pStyle w:val="TableParagraph"/>
              <w:spacing w:before="43"/>
              <w:ind w:right="147"/>
              <w:rPr>
                <w:sz w:val="16"/>
              </w:rPr>
            </w:pPr>
            <w:r>
              <w:rPr>
                <w:w w:val="103"/>
                <w:sz w:val="16"/>
              </w:rPr>
              <w:t>4</w:t>
            </w:r>
          </w:p>
        </w:tc>
        <w:tc>
          <w:tcPr>
            <w:tcW w:w="1440" w:type="dxa"/>
            <w:shd w:val="clear" w:color="auto" w:fill="E6E7E8"/>
          </w:tcPr>
          <w:p>
            <w:pPr>
              <w:pStyle w:val="TableParagraph"/>
              <w:spacing w:before="43"/>
              <w:ind w:right="147"/>
              <w:rPr>
                <w:sz w:val="16"/>
              </w:rPr>
            </w:pPr>
            <w:r>
              <w:rPr>
                <w:w w:val="91"/>
                <w:sz w:val="16"/>
              </w:rPr>
              <w:t>7</w:t>
            </w:r>
          </w:p>
        </w:tc>
        <w:tc>
          <w:tcPr>
            <w:tcW w:w="1440" w:type="dxa"/>
            <w:shd w:val="clear" w:color="auto" w:fill="E6E7E8"/>
          </w:tcPr>
          <w:p>
            <w:pPr>
              <w:pStyle w:val="TableParagraph"/>
              <w:spacing w:before="43"/>
              <w:ind w:right="147"/>
              <w:rPr>
                <w:sz w:val="16"/>
              </w:rPr>
            </w:pPr>
            <w:r>
              <w:rPr>
                <w:w w:val="94"/>
                <w:sz w:val="16"/>
              </w:rPr>
              <w:t>3</w:t>
            </w:r>
          </w:p>
        </w:tc>
        <w:tc>
          <w:tcPr>
            <w:tcW w:w="1440" w:type="dxa"/>
            <w:shd w:val="clear" w:color="auto" w:fill="E6E7E8"/>
          </w:tcPr>
          <w:p>
            <w:pPr>
              <w:pStyle w:val="TableParagraph"/>
              <w:spacing w:before="43"/>
              <w:ind w:right="147"/>
              <w:rPr>
                <w:sz w:val="16"/>
              </w:rPr>
            </w:pPr>
            <w:r>
              <w:rPr>
                <w:w w:val="103"/>
                <w:sz w:val="16"/>
              </w:rPr>
              <w:t>4</w:t>
            </w:r>
          </w:p>
        </w:tc>
      </w:tr>
      <w:tr>
        <w:trPr>
          <w:trHeight w:val="288" w:hRule="exact"/>
        </w:trPr>
        <w:tc>
          <w:tcPr>
            <w:tcW w:w="1440" w:type="dxa"/>
            <w:shd w:val="clear" w:color="auto" w:fill="E6E7E8"/>
          </w:tcPr>
          <w:p>
            <w:pPr>
              <w:pStyle w:val="TableParagraph"/>
              <w:spacing w:before="43"/>
              <w:ind w:left="150"/>
              <w:jc w:val="left"/>
              <w:rPr>
                <w:sz w:val="16"/>
              </w:rPr>
            </w:pPr>
            <w:r>
              <w:rPr>
                <w:w w:val="96"/>
                <w:sz w:val="16"/>
              </w:rPr>
              <w:t>C</w:t>
            </w:r>
          </w:p>
        </w:tc>
        <w:tc>
          <w:tcPr>
            <w:tcW w:w="1440" w:type="dxa"/>
            <w:shd w:val="clear" w:color="auto" w:fill="E6E7E8"/>
          </w:tcPr>
          <w:p>
            <w:pPr>
              <w:pStyle w:val="TableParagraph"/>
              <w:spacing w:before="43"/>
              <w:ind w:right="144"/>
              <w:rPr>
                <w:sz w:val="16"/>
              </w:rPr>
            </w:pPr>
            <w:r>
              <w:rPr>
                <w:sz w:val="16"/>
              </w:rPr>
              <w:t>30</w:t>
            </w:r>
          </w:p>
        </w:tc>
        <w:tc>
          <w:tcPr>
            <w:tcW w:w="1440" w:type="dxa"/>
            <w:shd w:val="clear" w:color="auto" w:fill="E6E7E8"/>
          </w:tcPr>
          <w:p>
            <w:pPr>
              <w:pStyle w:val="TableParagraph"/>
              <w:spacing w:before="43"/>
              <w:ind w:right="146"/>
              <w:rPr>
                <w:sz w:val="16"/>
              </w:rPr>
            </w:pPr>
            <w:r>
              <w:rPr>
                <w:w w:val="75"/>
                <w:sz w:val="16"/>
              </w:rPr>
              <w:t>15</w:t>
            </w:r>
          </w:p>
        </w:tc>
        <w:tc>
          <w:tcPr>
            <w:tcW w:w="1440" w:type="dxa"/>
            <w:shd w:val="clear" w:color="auto" w:fill="E6E7E8"/>
          </w:tcPr>
          <w:p>
            <w:pPr>
              <w:pStyle w:val="TableParagraph"/>
              <w:spacing w:before="43"/>
              <w:ind w:right="146"/>
              <w:rPr>
                <w:sz w:val="16"/>
              </w:rPr>
            </w:pPr>
            <w:r>
              <w:rPr>
                <w:w w:val="75"/>
                <w:sz w:val="16"/>
              </w:rPr>
              <w:t>15</w:t>
            </w:r>
          </w:p>
        </w:tc>
        <w:tc>
          <w:tcPr>
            <w:tcW w:w="1440" w:type="dxa"/>
            <w:shd w:val="clear" w:color="auto" w:fill="E6E7E8"/>
          </w:tcPr>
          <w:p>
            <w:pPr>
              <w:pStyle w:val="TableParagraph"/>
              <w:spacing w:before="43"/>
              <w:ind w:right="144"/>
              <w:rPr>
                <w:sz w:val="16"/>
              </w:rPr>
            </w:pPr>
            <w:r>
              <w:rPr>
                <w:w w:val="80"/>
                <w:sz w:val="16"/>
              </w:rPr>
              <w:t>19</w:t>
            </w:r>
          </w:p>
        </w:tc>
        <w:tc>
          <w:tcPr>
            <w:tcW w:w="1440" w:type="dxa"/>
            <w:shd w:val="clear" w:color="auto" w:fill="E6E7E8"/>
          </w:tcPr>
          <w:p>
            <w:pPr>
              <w:pStyle w:val="TableParagraph"/>
              <w:spacing w:before="43"/>
              <w:ind w:right="146"/>
              <w:rPr>
                <w:sz w:val="16"/>
              </w:rPr>
            </w:pPr>
            <w:r>
              <w:rPr>
                <w:w w:val="101"/>
                <w:sz w:val="16"/>
              </w:rPr>
              <w:t>9</w:t>
            </w:r>
          </w:p>
        </w:tc>
        <w:tc>
          <w:tcPr>
            <w:tcW w:w="1440" w:type="dxa"/>
            <w:shd w:val="clear" w:color="auto" w:fill="E6E7E8"/>
          </w:tcPr>
          <w:p>
            <w:pPr>
              <w:pStyle w:val="TableParagraph"/>
              <w:spacing w:before="43"/>
              <w:ind w:right="142"/>
              <w:rPr>
                <w:sz w:val="16"/>
              </w:rPr>
            </w:pPr>
            <w:r>
              <w:rPr>
                <w:w w:val="80"/>
                <w:sz w:val="16"/>
              </w:rPr>
              <w:t>10</w:t>
            </w:r>
          </w:p>
        </w:tc>
      </w:tr>
      <w:tr>
        <w:trPr>
          <w:trHeight w:val="288" w:hRule="exact"/>
        </w:trPr>
        <w:tc>
          <w:tcPr>
            <w:tcW w:w="1440" w:type="dxa"/>
            <w:shd w:val="clear" w:color="auto" w:fill="E6E7E8"/>
          </w:tcPr>
          <w:p>
            <w:pPr>
              <w:pStyle w:val="TableParagraph"/>
              <w:spacing w:before="43"/>
              <w:ind w:left="150"/>
              <w:jc w:val="left"/>
              <w:rPr>
                <w:sz w:val="16"/>
              </w:rPr>
            </w:pPr>
            <w:r>
              <w:rPr>
                <w:w w:val="93"/>
                <w:sz w:val="16"/>
              </w:rPr>
              <w:t>D</w:t>
            </w:r>
          </w:p>
        </w:tc>
        <w:tc>
          <w:tcPr>
            <w:tcW w:w="1440" w:type="dxa"/>
            <w:shd w:val="clear" w:color="auto" w:fill="E6E7E8"/>
          </w:tcPr>
          <w:p>
            <w:pPr>
              <w:pStyle w:val="TableParagraph"/>
              <w:spacing w:before="43"/>
              <w:ind w:right="141"/>
              <w:rPr>
                <w:sz w:val="16"/>
              </w:rPr>
            </w:pPr>
            <w:r>
              <w:rPr>
                <w:w w:val="90"/>
                <w:sz w:val="16"/>
              </w:rPr>
              <w:t>22</w:t>
            </w:r>
          </w:p>
        </w:tc>
        <w:tc>
          <w:tcPr>
            <w:tcW w:w="1440" w:type="dxa"/>
            <w:shd w:val="clear" w:color="auto" w:fill="E6E7E8"/>
          </w:tcPr>
          <w:p>
            <w:pPr>
              <w:pStyle w:val="TableParagraph"/>
              <w:spacing w:before="43"/>
              <w:ind w:right="144"/>
              <w:rPr>
                <w:sz w:val="16"/>
              </w:rPr>
            </w:pPr>
            <w:r>
              <w:rPr>
                <w:w w:val="80"/>
                <w:sz w:val="16"/>
              </w:rPr>
              <w:t>14</w:t>
            </w:r>
          </w:p>
        </w:tc>
        <w:tc>
          <w:tcPr>
            <w:tcW w:w="1440" w:type="dxa"/>
            <w:shd w:val="clear" w:color="auto" w:fill="E6E7E8"/>
          </w:tcPr>
          <w:p>
            <w:pPr>
              <w:pStyle w:val="TableParagraph"/>
              <w:spacing w:before="43"/>
              <w:ind w:right="147"/>
              <w:rPr>
                <w:sz w:val="16"/>
              </w:rPr>
            </w:pPr>
            <w:r>
              <w:rPr>
                <w:w w:val="98"/>
                <w:sz w:val="16"/>
              </w:rPr>
              <w:t>8</w:t>
            </w:r>
          </w:p>
        </w:tc>
        <w:tc>
          <w:tcPr>
            <w:tcW w:w="1440" w:type="dxa"/>
            <w:shd w:val="clear" w:color="auto" w:fill="E6E7E8"/>
          </w:tcPr>
          <w:p>
            <w:pPr>
              <w:pStyle w:val="TableParagraph"/>
              <w:spacing w:before="43"/>
              <w:ind w:right="144"/>
              <w:rPr>
                <w:sz w:val="16"/>
              </w:rPr>
            </w:pPr>
            <w:r>
              <w:rPr>
                <w:w w:val="75"/>
                <w:sz w:val="16"/>
              </w:rPr>
              <w:t>13</w:t>
            </w:r>
          </w:p>
        </w:tc>
        <w:tc>
          <w:tcPr>
            <w:tcW w:w="1440" w:type="dxa"/>
            <w:shd w:val="clear" w:color="auto" w:fill="E6E7E8"/>
          </w:tcPr>
          <w:p>
            <w:pPr>
              <w:pStyle w:val="TableParagraph"/>
              <w:spacing w:before="43"/>
              <w:ind w:right="146"/>
              <w:rPr>
                <w:sz w:val="16"/>
              </w:rPr>
            </w:pPr>
            <w:r>
              <w:rPr>
                <w:w w:val="101"/>
                <w:sz w:val="16"/>
              </w:rPr>
              <w:t>6</w:t>
            </w:r>
          </w:p>
        </w:tc>
        <w:tc>
          <w:tcPr>
            <w:tcW w:w="1440" w:type="dxa"/>
            <w:shd w:val="clear" w:color="auto" w:fill="E6E7E8"/>
          </w:tcPr>
          <w:p>
            <w:pPr>
              <w:pStyle w:val="TableParagraph"/>
              <w:spacing w:before="43"/>
              <w:ind w:right="146"/>
              <w:rPr>
                <w:sz w:val="16"/>
              </w:rPr>
            </w:pPr>
            <w:r>
              <w:rPr>
                <w:w w:val="91"/>
                <w:sz w:val="16"/>
              </w:rPr>
              <w:t>7</w:t>
            </w:r>
          </w:p>
        </w:tc>
      </w:tr>
      <w:tr>
        <w:trPr>
          <w:trHeight w:val="288" w:hRule="exact"/>
        </w:trPr>
        <w:tc>
          <w:tcPr>
            <w:tcW w:w="1440" w:type="dxa"/>
            <w:shd w:val="clear" w:color="auto" w:fill="E6E7E8"/>
          </w:tcPr>
          <w:p>
            <w:pPr>
              <w:pStyle w:val="TableParagraph"/>
              <w:spacing w:before="43"/>
              <w:ind w:left="150"/>
              <w:jc w:val="left"/>
              <w:rPr>
                <w:sz w:val="16"/>
              </w:rPr>
            </w:pPr>
            <w:r>
              <w:rPr>
                <w:w w:val="90"/>
                <w:sz w:val="16"/>
              </w:rPr>
              <w:t>E</w:t>
            </w:r>
          </w:p>
        </w:tc>
        <w:tc>
          <w:tcPr>
            <w:tcW w:w="1440" w:type="dxa"/>
            <w:shd w:val="clear" w:color="auto" w:fill="E6E7E8"/>
          </w:tcPr>
          <w:p>
            <w:pPr>
              <w:pStyle w:val="TableParagraph"/>
              <w:spacing w:before="43"/>
              <w:ind w:right="147"/>
              <w:rPr>
                <w:sz w:val="16"/>
              </w:rPr>
            </w:pPr>
            <w:r>
              <w:rPr>
                <w:w w:val="101"/>
                <w:sz w:val="16"/>
              </w:rPr>
              <w:t>9</w:t>
            </w:r>
          </w:p>
        </w:tc>
        <w:tc>
          <w:tcPr>
            <w:tcW w:w="1440" w:type="dxa"/>
            <w:shd w:val="clear" w:color="auto" w:fill="E6E7E8"/>
          </w:tcPr>
          <w:p>
            <w:pPr>
              <w:pStyle w:val="TableParagraph"/>
              <w:spacing w:before="43"/>
              <w:ind w:right="147"/>
              <w:rPr>
                <w:sz w:val="16"/>
              </w:rPr>
            </w:pPr>
            <w:r>
              <w:rPr>
                <w:w w:val="94"/>
                <w:sz w:val="16"/>
              </w:rPr>
              <w:t>3</w:t>
            </w:r>
          </w:p>
        </w:tc>
        <w:tc>
          <w:tcPr>
            <w:tcW w:w="1440" w:type="dxa"/>
            <w:shd w:val="clear" w:color="auto" w:fill="E6E7E8"/>
          </w:tcPr>
          <w:p>
            <w:pPr>
              <w:pStyle w:val="TableParagraph"/>
              <w:spacing w:before="43"/>
              <w:ind w:right="147"/>
              <w:rPr>
                <w:sz w:val="16"/>
              </w:rPr>
            </w:pPr>
            <w:r>
              <w:rPr>
                <w:w w:val="101"/>
                <w:sz w:val="16"/>
              </w:rPr>
              <w:t>6</w:t>
            </w:r>
          </w:p>
        </w:tc>
        <w:tc>
          <w:tcPr>
            <w:tcW w:w="1440" w:type="dxa"/>
            <w:shd w:val="clear" w:color="auto" w:fill="E6E7E8"/>
          </w:tcPr>
          <w:p>
            <w:pPr>
              <w:pStyle w:val="TableParagraph"/>
              <w:spacing w:before="43"/>
              <w:ind w:right="147"/>
              <w:rPr>
                <w:sz w:val="16"/>
              </w:rPr>
            </w:pPr>
            <w:r>
              <w:rPr>
                <w:w w:val="101"/>
                <w:sz w:val="16"/>
              </w:rPr>
              <w:t>6</w:t>
            </w:r>
          </w:p>
        </w:tc>
        <w:tc>
          <w:tcPr>
            <w:tcW w:w="1440" w:type="dxa"/>
            <w:shd w:val="clear" w:color="auto" w:fill="E6E7E8"/>
          </w:tcPr>
          <w:p>
            <w:pPr>
              <w:pStyle w:val="TableParagraph"/>
              <w:spacing w:before="43"/>
              <w:ind w:right="147"/>
              <w:rPr>
                <w:sz w:val="16"/>
              </w:rPr>
            </w:pPr>
            <w:r>
              <w:rPr>
                <w:w w:val="93"/>
                <w:sz w:val="16"/>
              </w:rPr>
              <w:t>2</w:t>
            </w:r>
          </w:p>
        </w:tc>
        <w:tc>
          <w:tcPr>
            <w:tcW w:w="1440" w:type="dxa"/>
            <w:shd w:val="clear" w:color="auto" w:fill="E6E7E8"/>
          </w:tcPr>
          <w:p>
            <w:pPr>
              <w:pStyle w:val="TableParagraph"/>
              <w:spacing w:before="43"/>
              <w:ind w:right="147"/>
              <w:rPr>
                <w:sz w:val="16"/>
              </w:rPr>
            </w:pPr>
            <w:r>
              <w:rPr>
                <w:w w:val="103"/>
                <w:sz w:val="16"/>
              </w:rPr>
              <w:t>4</w:t>
            </w:r>
          </w:p>
        </w:tc>
      </w:tr>
      <w:tr>
        <w:trPr>
          <w:trHeight w:val="288" w:hRule="exact"/>
        </w:trPr>
        <w:tc>
          <w:tcPr>
            <w:tcW w:w="1440" w:type="dxa"/>
            <w:shd w:val="clear" w:color="auto" w:fill="E6E7E8"/>
          </w:tcPr>
          <w:p>
            <w:pPr>
              <w:pStyle w:val="TableParagraph"/>
              <w:spacing w:before="50"/>
              <w:ind w:left="150"/>
              <w:jc w:val="left"/>
              <w:rPr>
                <w:rFonts w:ascii="Calibri"/>
                <w:sz w:val="16"/>
              </w:rPr>
            </w:pPr>
            <w:r>
              <w:rPr>
                <w:rFonts w:ascii="Calibri"/>
                <w:w w:val="110"/>
                <w:sz w:val="16"/>
              </w:rPr>
              <w:t>Total</w:t>
            </w:r>
          </w:p>
        </w:tc>
        <w:tc>
          <w:tcPr>
            <w:tcW w:w="1440" w:type="dxa"/>
            <w:shd w:val="clear" w:color="auto" w:fill="E6E7E8"/>
          </w:tcPr>
          <w:p>
            <w:pPr>
              <w:pStyle w:val="TableParagraph"/>
              <w:spacing w:before="50"/>
              <w:ind w:right="142"/>
              <w:rPr>
                <w:rFonts w:ascii="Calibri"/>
                <w:sz w:val="16"/>
              </w:rPr>
            </w:pPr>
            <w:r>
              <w:rPr>
                <w:rFonts w:ascii="Calibri"/>
                <w:w w:val="110"/>
                <w:sz w:val="16"/>
              </w:rPr>
              <w:t>68</w:t>
            </w:r>
          </w:p>
        </w:tc>
        <w:tc>
          <w:tcPr>
            <w:tcW w:w="1440" w:type="dxa"/>
            <w:shd w:val="clear" w:color="auto" w:fill="E6E7E8"/>
          </w:tcPr>
          <w:p>
            <w:pPr>
              <w:pStyle w:val="TableParagraph"/>
              <w:spacing w:before="50"/>
              <w:ind w:right="146"/>
              <w:rPr>
                <w:rFonts w:ascii="Calibri"/>
                <w:sz w:val="16"/>
              </w:rPr>
            </w:pPr>
            <w:r>
              <w:rPr>
                <w:rFonts w:ascii="Calibri"/>
                <w:w w:val="105"/>
                <w:sz w:val="16"/>
              </w:rPr>
              <w:t>35</w:t>
            </w:r>
          </w:p>
        </w:tc>
        <w:tc>
          <w:tcPr>
            <w:tcW w:w="1440" w:type="dxa"/>
            <w:shd w:val="clear" w:color="auto" w:fill="E6E7E8"/>
          </w:tcPr>
          <w:p>
            <w:pPr>
              <w:pStyle w:val="TableParagraph"/>
              <w:spacing w:before="50"/>
              <w:ind w:right="143"/>
              <w:rPr>
                <w:rFonts w:ascii="Calibri"/>
                <w:sz w:val="16"/>
              </w:rPr>
            </w:pPr>
            <w:r>
              <w:rPr>
                <w:rFonts w:ascii="Calibri"/>
                <w:w w:val="105"/>
                <w:sz w:val="16"/>
              </w:rPr>
              <w:t>33</w:t>
            </w:r>
          </w:p>
        </w:tc>
        <w:tc>
          <w:tcPr>
            <w:tcW w:w="1440" w:type="dxa"/>
            <w:shd w:val="clear" w:color="auto" w:fill="E6E7E8"/>
          </w:tcPr>
          <w:p>
            <w:pPr>
              <w:pStyle w:val="TableParagraph"/>
              <w:spacing w:before="50"/>
              <w:ind w:right="146"/>
              <w:rPr>
                <w:rFonts w:ascii="Calibri"/>
                <w:sz w:val="16"/>
              </w:rPr>
            </w:pPr>
            <w:r>
              <w:rPr>
                <w:rFonts w:ascii="Calibri"/>
                <w:w w:val="110"/>
                <w:sz w:val="16"/>
              </w:rPr>
              <w:t>45</w:t>
            </w:r>
          </w:p>
        </w:tc>
        <w:tc>
          <w:tcPr>
            <w:tcW w:w="1440" w:type="dxa"/>
            <w:shd w:val="clear" w:color="auto" w:fill="E6E7E8"/>
          </w:tcPr>
          <w:p>
            <w:pPr>
              <w:pStyle w:val="TableParagraph"/>
              <w:spacing w:before="50"/>
              <w:ind w:right="146"/>
              <w:rPr>
                <w:rFonts w:ascii="Calibri"/>
                <w:sz w:val="16"/>
              </w:rPr>
            </w:pPr>
            <w:r>
              <w:rPr>
                <w:rFonts w:ascii="Calibri"/>
                <w:w w:val="115"/>
                <w:sz w:val="16"/>
              </w:rPr>
              <w:t>20</w:t>
            </w:r>
          </w:p>
        </w:tc>
        <w:tc>
          <w:tcPr>
            <w:tcW w:w="1440" w:type="dxa"/>
            <w:shd w:val="clear" w:color="auto" w:fill="E6E7E8"/>
          </w:tcPr>
          <w:p>
            <w:pPr>
              <w:pStyle w:val="TableParagraph"/>
              <w:spacing w:before="50"/>
              <w:ind w:right="142"/>
              <w:rPr>
                <w:rFonts w:ascii="Calibri"/>
                <w:sz w:val="16"/>
              </w:rPr>
            </w:pPr>
            <w:r>
              <w:rPr>
                <w:rFonts w:ascii="Calibri"/>
                <w:w w:val="105"/>
                <w:sz w:val="16"/>
              </w:rPr>
              <w:t>25</w:t>
            </w:r>
          </w:p>
        </w:tc>
      </w:tr>
    </w:tbl>
    <w:p>
      <w:pPr>
        <w:pStyle w:val="BodyText"/>
        <w:rPr>
          <w:sz w:val="20"/>
        </w:rPr>
      </w:pPr>
    </w:p>
    <w:p>
      <w:pPr>
        <w:pStyle w:val="BodyText"/>
        <w:rPr>
          <w:sz w:val="20"/>
        </w:rPr>
      </w:pPr>
    </w:p>
    <w:p>
      <w:pPr>
        <w:pStyle w:val="BodyText"/>
        <w:rPr>
          <w:sz w:val="20"/>
        </w:rPr>
      </w:pPr>
    </w:p>
    <w:p>
      <w:pPr>
        <w:pStyle w:val="BodyText"/>
        <w:spacing w:before="8"/>
        <w:rPr>
          <w:sz w:val="28"/>
        </w:rPr>
      </w:pPr>
    </w:p>
    <w:p>
      <w:pPr>
        <w:spacing w:after="0"/>
        <w:rPr>
          <w:sz w:val="28"/>
        </w:rPr>
        <w:sectPr>
          <w:footerReference w:type="even" r:id="rId61"/>
          <w:footerReference w:type="default" r:id="rId62"/>
          <w:pgSz w:w="11910" w:h="16840"/>
          <w:pgMar w:footer="473" w:header="494" w:top="680" w:bottom="660" w:left="580" w:right="580"/>
          <w:pgNumType w:start="72"/>
        </w:sectPr>
      </w:pPr>
    </w:p>
    <w:p>
      <w:pPr>
        <w:pStyle w:val="Heading5"/>
        <w:spacing w:line="260" w:lineRule="exact" w:before="88"/>
        <w:ind w:left="327" w:right="52"/>
      </w:pPr>
      <w:r>
        <w:rPr/>
        <w:pict>
          <v:group style="position:absolute;margin-left:34.015999pt;margin-top:-191.098587pt;width:527.25pt;height:150pt;mso-position-horizontal-relative:page;mso-position-vertical-relative:paragraph;z-index:-332872" coordorigin="680,-3822" coordsize="10545,3000">
            <v:rect style="position:absolute;left:680;top:-3822;width:10545;height:3000" filled="true" fillcolor="#e6e7e8" stroked="false">
              <v:fill type="solid"/>
            </v:rect>
            <v:shape style="position:absolute;left:907;top:-3591;width:2674;height:240" type="#_x0000_t202" filled="false" stroked="false">
              <v:textbox inset="0,0,0,0">
                <w:txbxContent>
                  <w:p>
                    <w:pPr>
                      <w:spacing w:line="240" w:lineRule="exact" w:before="0"/>
                      <w:ind w:left="0" w:right="0" w:firstLine="0"/>
                      <w:jc w:val="left"/>
                      <w:rPr>
                        <w:rFonts w:ascii="Gotham Narrow Bold"/>
                        <w:b/>
                        <w:sz w:val="24"/>
                      </w:rPr>
                    </w:pPr>
                    <w:r>
                      <w:rPr>
                        <w:rFonts w:ascii="Gotham Narrow Bold"/>
                        <w:b/>
                        <w:spacing w:val="-3"/>
                        <w:w w:val="95"/>
                        <w:sz w:val="24"/>
                      </w:rPr>
                      <w:t>ACADEMIC PROMOTIONS</w:t>
                    </w:r>
                  </w:p>
                </w:txbxContent>
              </v:textbox>
              <w10:wrap type="none"/>
            </v:shape>
            <w10:wrap type="none"/>
          </v:group>
        </w:pict>
      </w:r>
      <w:r>
        <w:rPr>
          <w:w w:val="95"/>
        </w:rPr>
        <w:t>ORGANISATIONAL </w:t>
      </w:r>
      <w:r>
        <w:rPr/>
        <w:t>DEVELOPMENT</w:t>
      </w:r>
    </w:p>
    <w:p>
      <w:pPr>
        <w:pStyle w:val="BodyText"/>
        <w:spacing w:line="249" w:lineRule="auto" w:before="214"/>
        <w:ind w:left="327" w:right="52"/>
      </w:pPr>
      <w:r>
        <w:rPr/>
        <w:t>The Office of Organisational Development </w:t>
      </w:r>
      <w:r>
        <w:rPr>
          <w:spacing w:val="-3"/>
        </w:rPr>
        <w:t>(OD) </w:t>
      </w:r>
      <w:r>
        <w:rPr/>
        <w:t>provides strategic advice and support for University-wide initiatives. It oversees a suite</w:t>
      </w:r>
      <w:r>
        <w:rPr>
          <w:spacing w:val="-17"/>
        </w:rPr>
        <w:t> </w:t>
      </w:r>
      <w:r>
        <w:rPr/>
        <w:t>of</w:t>
      </w:r>
      <w:r>
        <w:rPr>
          <w:spacing w:val="-17"/>
        </w:rPr>
        <w:t> </w:t>
      </w:r>
      <w:r>
        <w:rPr/>
        <w:t>professional</w:t>
      </w:r>
      <w:r>
        <w:rPr>
          <w:spacing w:val="-17"/>
        </w:rPr>
        <w:t> </w:t>
      </w:r>
      <w:r>
        <w:rPr/>
        <w:t>and</w:t>
      </w:r>
      <w:r>
        <w:rPr>
          <w:spacing w:val="-17"/>
        </w:rPr>
        <w:t> </w:t>
      </w:r>
      <w:r>
        <w:rPr/>
        <w:t>career</w:t>
      </w:r>
      <w:r>
        <w:rPr>
          <w:spacing w:val="-17"/>
        </w:rPr>
        <w:t> </w:t>
      </w:r>
      <w:r>
        <w:rPr/>
        <w:t>development programs and activities that support organisational</w:t>
      </w:r>
      <w:r>
        <w:rPr>
          <w:spacing w:val="-22"/>
        </w:rPr>
        <w:t> </w:t>
      </w:r>
      <w:r>
        <w:rPr/>
        <w:t>growth,</w:t>
      </w:r>
      <w:r>
        <w:rPr>
          <w:spacing w:val="-22"/>
        </w:rPr>
        <w:t> </w:t>
      </w:r>
      <w:r>
        <w:rPr/>
        <w:t>strengthen</w:t>
      </w:r>
      <w:r>
        <w:rPr>
          <w:spacing w:val="-22"/>
        </w:rPr>
        <w:t> </w:t>
      </w:r>
      <w:r>
        <w:rPr/>
        <w:t>leadership and</w:t>
      </w:r>
      <w:r>
        <w:rPr>
          <w:spacing w:val="-20"/>
        </w:rPr>
        <w:t> </w:t>
      </w:r>
      <w:r>
        <w:rPr/>
        <w:t>professional</w:t>
      </w:r>
      <w:r>
        <w:rPr>
          <w:spacing w:val="-20"/>
        </w:rPr>
        <w:t> </w:t>
      </w:r>
      <w:r>
        <w:rPr/>
        <w:t>capabilities,</w:t>
      </w:r>
      <w:r>
        <w:rPr>
          <w:spacing w:val="-20"/>
        </w:rPr>
        <w:t> </w:t>
      </w:r>
      <w:r>
        <w:rPr/>
        <w:t>enhance</w:t>
      </w:r>
      <w:r>
        <w:rPr>
          <w:spacing w:val="-20"/>
        </w:rPr>
        <w:t> </w:t>
      </w:r>
      <w:r>
        <w:rPr/>
        <w:t>career development and foster a collaborative </w:t>
      </w:r>
      <w:r>
        <w:rPr>
          <w:w w:val="95"/>
        </w:rPr>
        <w:t>learning</w:t>
      </w:r>
      <w:r>
        <w:rPr>
          <w:spacing w:val="18"/>
          <w:w w:val="95"/>
        </w:rPr>
        <w:t> </w:t>
      </w:r>
      <w:r>
        <w:rPr>
          <w:w w:val="95"/>
        </w:rPr>
        <w:t>culture.</w:t>
      </w:r>
    </w:p>
    <w:p>
      <w:pPr>
        <w:pStyle w:val="BodyText"/>
        <w:rPr>
          <w:sz w:val="14"/>
        </w:rPr>
      </w:pPr>
    </w:p>
    <w:p>
      <w:pPr>
        <w:pStyle w:val="BodyText"/>
        <w:spacing w:line="249" w:lineRule="auto"/>
        <w:ind w:left="327" w:right="-6"/>
      </w:pPr>
      <w:r>
        <w:rPr>
          <w:w w:val="100"/>
        </w:rPr>
        <w:t>From </w:t>
      </w:r>
      <w:r>
        <w:rPr>
          <w:spacing w:val="2"/>
          <w:w w:val="98"/>
        </w:rPr>
        <w:t>January</w:t>
      </w:r>
      <w:r>
        <w:rPr>
          <w:w w:val="98"/>
        </w:rPr>
        <w:t> </w:t>
      </w:r>
      <w:r>
        <w:rPr>
          <w:spacing w:val="-1"/>
          <w:w w:val="101"/>
        </w:rPr>
        <w:t>to</w:t>
      </w:r>
      <w:r>
        <w:rPr>
          <w:w w:val="101"/>
        </w:rPr>
        <w:t> </w:t>
      </w:r>
      <w:r>
        <w:rPr>
          <w:spacing w:val="1"/>
          <w:w w:val="99"/>
        </w:rPr>
        <w:t>mid-November</w:t>
      </w:r>
      <w:r>
        <w:rPr>
          <w:w w:val="99"/>
        </w:rPr>
        <w:t> </w:t>
      </w:r>
      <w:r>
        <w:rPr>
          <w:spacing w:val="1"/>
          <w:w w:val="84"/>
        </w:rPr>
        <w:t>2015,</w:t>
      </w:r>
      <w:r>
        <w:rPr>
          <w:w w:val="84"/>
        </w:rPr>
        <w:t> </w:t>
      </w:r>
      <w:r>
        <w:rPr>
          <w:w w:val="97"/>
        </w:rPr>
        <w:t>the </w:t>
      </w:r>
      <w:r>
        <w:rPr/>
        <w:t>Office coordinated and/or delivered more than 369 courses and </w:t>
      </w:r>
      <w:r>
        <w:rPr>
          <w:spacing w:val="2"/>
        </w:rPr>
        <w:t>286 </w:t>
      </w:r>
      <w:r>
        <w:rPr/>
        <w:t>online modules. A total</w:t>
      </w:r>
      <w:r>
        <w:rPr>
          <w:spacing w:val="-16"/>
        </w:rPr>
        <w:t> </w:t>
      </w:r>
      <w:r>
        <w:rPr/>
        <w:t>of</w:t>
      </w:r>
      <w:r>
        <w:rPr>
          <w:spacing w:val="-16"/>
        </w:rPr>
        <w:t> </w:t>
      </w:r>
      <w:r>
        <w:rPr>
          <w:spacing w:val="3"/>
        </w:rPr>
        <w:t>3,606</w:t>
      </w:r>
      <w:r>
        <w:rPr>
          <w:spacing w:val="-16"/>
        </w:rPr>
        <w:t> </w:t>
      </w:r>
      <w:r>
        <w:rPr/>
        <w:t>enrolments</w:t>
      </w:r>
      <w:r>
        <w:rPr>
          <w:spacing w:val="-16"/>
        </w:rPr>
        <w:t> </w:t>
      </w:r>
      <w:r>
        <w:rPr/>
        <w:t>from</w:t>
      </w:r>
      <w:r>
        <w:rPr>
          <w:spacing w:val="-16"/>
        </w:rPr>
        <w:t> </w:t>
      </w:r>
      <w:r>
        <w:rPr/>
        <w:t>staff</w:t>
      </w:r>
      <w:r>
        <w:rPr>
          <w:spacing w:val="-16"/>
        </w:rPr>
        <w:t> </w:t>
      </w:r>
      <w:r>
        <w:rPr/>
        <w:t>members were received for the following program streams:</w:t>
      </w:r>
    </w:p>
    <w:p>
      <w:pPr>
        <w:pStyle w:val="BodyText"/>
        <w:spacing w:before="11"/>
        <w:rPr>
          <w:sz w:val="13"/>
        </w:rPr>
      </w:pPr>
    </w:p>
    <w:p>
      <w:pPr>
        <w:pStyle w:val="BodyText"/>
        <w:spacing w:line="244" w:lineRule="auto"/>
        <w:ind w:left="553" w:right="52" w:hanging="227"/>
      </w:pPr>
      <w:r>
        <w:rPr>
          <w:rFonts w:ascii="Century Gothic" w:hAnsi="Century Gothic"/>
          <w:b/>
          <w:w w:val="145"/>
        </w:rPr>
        <w:t>≥ </w:t>
      </w:r>
      <w:r>
        <w:rPr>
          <w:w w:val="96"/>
        </w:rPr>
        <w:t>Career </w:t>
      </w:r>
      <w:r>
        <w:rPr>
          <w:w w:val="95"/>
        </w:rPr>
        <w:t>Development: </w:t>
      </w:r>
      <w:r>
        <w:rPr>
          <w:w w:val="86"/>
        </w:rPr>
        <w:t>1,098 </w:t>
      </w:r>
      <w:r>
        <w:rPr>
          <w:w w:val="81"/>
        </w:rPr>
        <w:t>(31 </w:t>
      </w:r>
      <w:r>
        <w:rPr>
          <w:w w:val="97"/>
        </w:rPr>
        <w:t>per </w:t>
      </w:r>
      <w:r>
        <w:rPr>
          <w:w w:val="99"/>
        </w:rPr>
        <w:t>cent </w:t>
      </w:r>
      <w:r>
        <w:rPr>
          <w:w w:val="99"/>
        </w:rPr>
        <w:t>of </w:t>
      </w:r>
      <w:r>
        <w:rPr/>
        <w:t>enrolments)</w:t>
      </w:r>
    </w:p>
    <w:p>
      <w:pPr>
        <w:pStyle w:val="BodyText"/>
        <w:spacing w:line="244" w:lineRule="auto" w:before="58"/>
        <w:ind w:left="553" w:right="-6" w:hanging="227"/>
      </w:pPr>
      <w:r>
        <w:rPr>
          <w:rFonts w:ascii="Century Gothic" w:hAnsi="Century Gothic"/>
          <w:b/>
          <w:w w:val="115"/>
        </w:rPr>
        <w:t>≥ </w:t>
      </w:r>
      <w:r>
        <w:rPr/>
        <w:t>Leadership and Management: 932 (26 per cent)</w:t>
      </w:r>
    </w:p>
    <w:p>
      <w:pPr>
        <w:pStyle w:val="BodyText"/>
        <w:spacing w:line="244" w:lineRule="auto" w:before="58"/>
        <w:ind w:left="553" w:right="3" w:hanging="227"/>
      </w:pPr>
      <w:r>
        <w:rPr>
          <w:rFonts w:ascii="Century Gothic" w:hAnsi="Century Gothic"/>
          <w:b/>
          <w:w w:val="115"/>
        </w:rPr>
        <w:t>≥ </w:t>
      </w:r>
      <w:r>
        <w:rPr/>
        <w:t>Computer Software and Systems Training: 520 (14 per cent)</w:t>
      </w:r>
    </w:p>
    <w:p>
      <w:pPr>
        <w:pStyle w:val="BodyText"/>
        <w:spacing w:line="244" w:lineRule="auto" w:before="58"/>
        <w:ind w:left="553" w:right="52" w:hanging="227"/>
      </w:pPr>
      <w:r>
        <w:rPr>
          <w:rFonts w:ascii="Century Gothic" w:hAnsi="Century Gothic"/>
          <w:b/>
          <w:w w:val="115"/>
        </w:rPr>
        <w:t>≥ </w:t>
      </w:r>
      <w:r>
        <w:rPr/>
        <w:t>Organisational Knowledge and Policies: 589 (16 per cent)</w:t>
      </w:r>
    </w:p>
    <w:p>
      <w:pPr>
        <w:pStyle w:val="BodyText"/>
        <w:spacing w:before="58"/>
        <w:ind w:left="327" w:right="52"/>
      </w:pPr>
      <w:r>
        <w:rPr>
          <w:rFonts w:ascii="Century Gothic" w:hAnsi="Century Gothic"/>
          <w:b/>
          <w:w w:val="115"/>
        </w:rPr>
        <w:t>≥ </w:t>
      </w:r>
      <w:r>
        <w:rPr/>
        <w:t>Diversity and Wellbeing: 295 (8 per cent)</w:t>
      </w:r>
    </w:p>
    <w:p>
      <w:pPr>
        <w:pStyle w:val="BodyText"/>
        <w:spacing w:before="60"/>
        <w:ind w:left="327" w:right="52"/>
      </w:pPr>
      <w:r>
        <w:rPr>
          <w:rFonts w:ascii="Century Gothic" w:hAnsi="Century Gothic"/>
          <w:b/>
          <w:w w:val="115"/>
        </w:rPr>
        <w:t>≥ </w:t>
      </w:r>
      <w:r>
        <w:rPr/>
        <w:t>Internal Consultancies: 172 (5 per cent).</w:t>
      </w:r>
    </w:p>
    <w:p>
      <w:pPr>
        <w:pStyle w:val="BodyText"/>
        <w:spacing w:before="5"/>
        <w:rPr>
          <w:sz w:val="14"/>
        </w:rPr>
      </w:pPr>
    </w:p>
    <w:p>
      <w:pPr>
        <w:pStyle w:val="BodyText"/>
        <w:spacing w:line="249" w:lineRule="auto"/>
        <w:ind w:left="327" w:right="320"/>
        <w:jc w:val="both"/>
      </w:pPr>
      <w:r>
        <w:rPr/>
        <w:t>In</w:t>
      </w:r>
      <w:r>
        <w:rPr>
          <w:spacing w:val="-20"/>
        </w:rPr>
        <w:t> </w:t>
      </w:r>
      <w:r>
        <w:rPr/>
        <w:t>addition,</w:t>
      </w:r>
      <w:r>
        <w:rPr>
          <w:spacing w:val="-20"/>
        </w:rPr>
        <w:t> </w:t>
      </w:r>
      <w:r>
        <w:rPr/>
        <w:t>the</w:t>
      </w:r>
      <w:r>
        <w:rPr>
          <w:spacing w:val="-20"/>
        </w:rPr>
        <w:t> </w:t>
      </w:r>
      <w:r>
        <w:rPr/>
        <w:t>take-up</w:t>
      </w:r>
      <w:r>
        <w:rPr>
          <w:spacing w:val="-20"/>
        </w:rPr>
        <w:t> </w:t>
      </w:r>
      <w:r>
        <w:rPr/>
        <w:t>of</w:t>
      </w:r>
      <w:r>
        <w:rPr>
          <w:spacing w:val="-20"/>
        </w:rPr>
        <w:t> </w:t>
      </w:r>
      <w:r>
        <w:rPr/>
        <w:t>online</w:t>
      </w:r>
      <w:r>
        <w:rPr>
          <w:spacing w:val="-20"/>
        </w:rPr>
        <w:t> </w:t>
      </w:r>
      <w:r>
        <w:rPr/>
        <w:t>learning has</w:t>
      </w:r>
      <w:r>
        <w:rPr>
          <w:spacing w:val="-35"/>
        </w:rPr>
        <w:t> </w:t>
      </w:r>
      <w:r>
        <w:rPr/>
        <w:t>increased,</w:t>
      </w:r>
      <w:r>
        <w:rPr>
          <w:spacing w:val="-35"/>
        </w:rPr>
        <w:t> </w:t>
      </w:r>
      <w:r>
        <w:rPr/>
        <w:t>with</w:t>
      </w:r>
      <w:r>
        <w:rPr>
          <w:spacing w:val="-35"/>
        </w:rPr>
        <w:t> </w:t>
      </w:r>
      <w:r>
        <w:rPr/>
        <w:t>12,941</w:t>
      </w:r>
      <w:r>
        <w:rPr>
          <w:spacing w:val="-35"/>
        </w:rPr>
        <w:t> </w:t>
      </w:r>
      <w:r>
        <w:rPr/>
        <w:t>online</w:t>
      </w:r>
      <w:r>
        <w:rPr>
          <w:spacing w:val="-35"/>
        </w:rPr>
        <w:t> </w:t>
      </w:r>
      <w:r>
        <w:rPr/>
        <w:t>modules completed.</w:t>
      </w:r>
    </w:p>
    <w:p>
      <w:pPr>
        <w:pStyle w:val="BodyText"/>
        <w:rPr>
          <w:sz w:val="14"/>
        </w:rPr>
      </w:pPr>
    </w:p>
    <w:p>
      <w:pPr>
        <w:pStyle w:val="BodyText"/>
        <w:spacing w:line="249" w:lineRule="auto"/>
        <w:ind w:left="327" w:right="-6"/>
      </w:pPr>
      <w:r>
        <w:rPr/>
        <w:t>OD also provides an internal consultancy service</w:t>
      </w:r>
      <w:r>
        <w:rPr>
          <w:spacing w:val="-14"/>
        </w:rPr>
        <w:t> </w:t>
      </w:r>
      <w:r>
        <w:rPr/>
        <w:t>to</w:t>
      </w:r>
      <w:r>
        <w:rPr>
          <w:spacing w:val="-14"/>
        </w:rPr>
        <w:t> </w:t>
      </w:r>
      <w:r>
        <w:rPr/>
        <w:t>Schools</w:t>
      </w:r>
      <w:r>
        <w:rPr>
          <w:spacing w:val="-14"/>
        </w:rPr>
        <w:t> </w:t>
      </w:r>
      <w:r>
        <w:rPr/>
        <w:t>and</w:t>
      </w:r>
      <w:r>
        <w:rPr>
          <w:spacing w:val="-14"/>
        </w:rPr>
        <w:t> </w:t>
      </w:r>
      <w:r>
        <w:rPr/>
        <w:t>Divisions</w:t>
      </w:r>
      <w:r>
        <w:rPr>
          <w:spacing w:val="-14"/>
        </w:rPr>
        <w:t> </w:t>
      </w:r>
      <w:r>
        <w:rPr/>
        <w:t>to</w:t>
      </w:r>
      <w:r>
        <w:rPr>
          <w:spacing w:val="-14"/>
        </w:rPr>
        <w:t> </w:t>
      </w:r>
      <w:r>
        <w:rPr/>
        <w:t>coordinate and/or</w:t>
      </w:r>
      <w:r>
        <w:rPr>
          <w:spacing w:val="-17"/>
        </w:rPr>
        <w:t> </w:t>
      </w:r>
      <w:r>
        <w:rPr/>
        <w:t>facilitate</w:t>
      </w:r>
      <w:r>
        <w:rPr>
          <w:spacing w:val="-17"/>
        </w:rPr>
        <w:t> </w:t>
      </w:r>
      <w:r>
        <w:rPr/>
        <w:t>planning</w:t>
      </w:r>
      <w:r>
        <w:rPr>
          <w:spacing w:val="-17"/>
        </w:rPr>
        <w:t> </w:t>
      </w:r>
      <w:r>
        <w:rPr/>
        <w:t>days,</w:t>
      </w:r>
      <w:r>
        <w:rPr>
          <w:spacing w:val="-17"/>
        </w:rPr>
        <w:t> </w:t>
      </w:r>
      <w:r>
        <w:rPr/>
        <w:t>team-building activities, customised training, coaching and career</w:t>
      </w:r>
      <w:r>
        <w:rPr>
          <w:spacing w:val="-31"/>
        </w:rPr>
        <w:t> </w:t>
      </w:r>
      <w:r>
        <w:rPr/>
        <w:t>advice.</w:t>
      </w:r>
    </w:p>
    <w:p>
      <w:pPr>
        <w:pStyle w:val="BodyText"/>
        <w:spacing w:before="7"/>
        <w:rPr>
          <w:sz w:val="21"/>
        </w:rPr>
      </w:pPr>
    </w:p>
    <w:p>
      <w:pPr>
        <w:pStyle w:val="Heading8"/>
        <w:ind w:left="327" w:right="52"/>
      </w:pPr>
      <w:r>
        <w:rPr>
          <w:w w:val="95"/>
        </w:rPr>
        <w:t>KEY PROJECTS AND PROGRAMS</w:t>
      </w:r>
    </w:p>
    <w:p>
      <w:pPr>
        <w:pStyle w:val="BodyText"/>
        <w:spacing w:line="249" w:lineRule="auto" w:before="86"/>
        <w:ind w:left="327" w:right="-6"/>
      </w:pPr>
      <w:r>
        <w:rPr/>
        <w:t>The Academic Careers and Development Project focuses on the development and implementation of the Academic Capabilities and Performance Expectations Frameworks, to build an innovative, flexible, responsive and high-performing academic workforce. The project recognises the different career profiles, pathways and development and progression needs of academic staff, beginning with early-career academics.</w:t>
      </w:r>
    </w:p>
    <w:p>
      <w:pPr>
        <w:pStyle w:val="BodyText"/>
        <w:spacing w:line="249" w:lineRule="auto" w:before="72"/>
        <w:ind w:left="232"/>
      </w:pPr>
      <w:r>
        <w:rPr/>
        <w:br w:type="column"/>
      </w:r>
      <w:r>
        <w:rPr/>
        <w:t>The need for career development resources and information was also highlighted in the MyVoice Staff Engagement Survey results. The project has introduced a suite of career development resources, workshops and activities to support academic staff members and their supervisors.</w:t>
      </w:r>
    </w:p>
    <w:p>
      <w:pPr>
        <w:pStyle w:val="BodyText"/>
        <w:rPr>
          <w:sz w:val="14"/>
        </w:rPr>
      </w:pPr>
    </w:p>
    <w:p>
      <w:pPr>
        <w:pStyle w:val="BodyText"/>
        <w:spacing w:line="249" w:lineRule="auto"/>
        <w:ind w:left="232" w:right="132"/>
      </w:pPr>
      <w:r>
        <w:rPr/>
        <w:t>There</w:t>
      </w:r>
      <w:r>
        <w:rPr>
          <w:spacing w:val="-18"/>
        </w:rPr>
        <w:t> </w:t>
      </w:r>
      <w:r>
        <w:rPr/>
        <w:t>are</w:t>
      </w:r>
      <w:r>
        <w:rPr>
          <w:spacing w:val="-18"/>
        </w:rPr>
        <w:t> </w:t>
      </w:r>
      <w:r>
        <w:rPr/>
        <w:t>several</w:t>
      </w:r>
      <w:r>
        <w:rPr>
          <w:spacing w:val="-18"/>
        </w:rPr>
        <w:t> </w:t>
      </w:r>
      <w:r>
        <w:rPr/>
        <w:t>key</w:t>
      </w:r>
      <w:r>
        <w:rPr>
          <w:spacing w:val="-18"/>
        </w:rPr>
        <w:t> </w:t>
      </w:r>
      <w:r>
        <w:rPr/>
        <w:t>programs</w:t>
      </w:r>
      <w:r>
        <w:rPr>
          <w:spacing w:val="-18"/>
        </w:rPr>
        <w:t> </w:t>
      </w:r>
      <w:r>
        <w:rPr/>
        <w:t>that</w:t>
      </w:r>
      <w:r>
        <w:rPr>
          <w:spacing w:val="-18"/>
        </w:rPr>
        <w:t> </w:t>
      </w:r>
      <w:r>
        <w:rPr/>
        <w:t>support academic</w:t>
      </w:r>
      <w:r>
        <w:rPr>
          <w:spacing w:val="-24"/>
        </w:rPr>
        <w:t> </w:t>
      </w:r>
      <w:r>
        <w:rPr/>
        <w:t>career</w:t>
      </w:r>
      <w:r>
        <w:rPr>
          <w:spacing w:val="-24"/>
        </w:rPr>
        <w:t> </w:t>
      </w:r>
      <w:r>
        <w:rPr/>
        <w:t>development:</w:t>
      </w:r>
    </w:p>
    <w:p>
      <w:pPr>
        <w:pStyle w:val="BodyText"/>
        <w:spacing w:before="11"/>
        <w:rPr>
          <w:sz w:val="13"/>
        </w:rPr>
      </w:pPr>
    </w:p>
    <w:p>
      <w:pPr>
        <w:pStyle w:val="BodyText"/>
        <w:spacing w:line="247" w:lineRule="auto"/>
        <w:ind w:left="459" w:right="84" w:hanging="227"/>
      </w:pPr>
      <w:r>
        <w:rPr>
          <w:rFonts w:ascii="Century Gothic" w:hAnsi="Century Gothic"/>
          <w:b/>
          <w:w w:val="115"/>
        </w:rPr>
        <w:t>≥ </w:t>
      </w:r>
      <w:r>
        <w:rPr/>
        <w:t>The Foundations of University Learning and Teaching Program (FULT) is a professional development program for new</w:t>
      </w:r>
      <w:r>
        <w:rPr>
          <w:spacing w:val="-18"/>
        </w:rPr>
        <w:t> </w:t>
      </w:r>
      <w:r>
        <w:rPr/>
        <w:t>teaching</w:t>
      </w:r>
      <w:r>
        <w:rPr>
          <w:spacing w:val="-18"/>
        </w:rPr>
        <w:t> </w:t>
      </w:r>
      <w:r>
        <w:rPr/>
        <w:t>staff,</w:t>
      </w:r>
      <w:r>
        <w:rPr>
          <w:spacing w:val="-18"/>
        </w:rPr>
        <w:t> </w:t>
      </w:r>
      <w:r>
        <w:rPr/>
        <w:t>aimed</w:t>
      </w:r>
      <w:r>
        <w:rPr>
          <w:spacing w:val="-18"/>
        </w:rPr>
        <w:t> </w:t>
      </w:r>
      <w:r>
        <w:rPr/>
        <w:t>at</w:t>
      </w:r>
      <w:r>
        <w:rPr>
          <w:spacing w:val="-18"/>
        </w:rPr>
        <w:t> </w:t>
      </w:r>
      <w:r>
        <w:rPr/>
        <w:t>encouraging student-focused teaching, helping staff engage</w:t>
      </w:r>
      <w:r>
        <w:rPr>
          <w:spacing w:val="-17"/>
        </w:rPr>
        <w:t> </w:t>
      </w:r>
      <w:r>
        <w:rPr/>
        <w:t>students</w:t>
      </w:r>
      <w:r>
        <w:rPr>
          <w:spacing w:val="-17"/>
        </w:rPr>
        <w:t> </w:t>
      </w:r>
      <w:r>
        <w:rPr/>
        <w:t>in</w:t>
      </w:r>
      <w:r>
        <w:rPr>
          <w:spacing w:val="-17"/>
        </w:rPr>
        <w:t> </w:t>
      </w:r>
      <w:r>
        <w:rPr/>
        <w:t>learning,</w:t>
      </w:r>
      <w:r>
        <w:rPr>
          <w:spacing w:val="-17"/>
        </w:rPr>
        <w:t> </w:t>
      </w:r>
      <w:r>
        <w:rPr/>
        <w:t>and</w:t>
      </w:r>
      <w:r>
        <w:rPr>
          <w:spacing w:val="-17"/>
        </w:rPr>
        <w:t> </w:t>
      </w:r>
      <w:r>
        <w:rPr/>
        <w:t>aligning teaching and reflective practice with the scholarship</w:t>
      </w:r>
      <w:r>
        <w:rPr>
          <w:spacing w:val="-18"/>
        </w:rPr>
        <w:t> </w:t>
      </w:r>
      <w:r>
        <w:rPr/>
        <w:t>of</w:t>
      </w:r>
      <w:r>
        <w:rPr>
          <w:spacing w:val="-18"/>
        </w:rPr>
        <w:t> </w:t>
      </w:r>
      <w:r>
        <w:rPr/>
        <w:t>learning</w:t>
      </w:r>
      <w:r>
        <w:rPr>
          <w:spacing w:val="-18"/>
        </w:rPr>
        <w:t> </w:t>
      </w:r>
      <w:r>
        <w:rPr/>
        <w:t>and</w:t>
      </w:r>
      <w:r>
        <w:rPr>
          <w:spacing w:val="-18"/>
        </w:rPr>
        <w:t> </w:t>
      </w:r>
      <w:r>
        <w:rPr/>
        <w:t>teaching.</w:t>
      </w:r>
      <w:r>
        <w:rPr>
          <w:spacing w:val="-18"/>
        </w:rPr>
        <w:t> </w:t>
      </w:r>
      <w:r>
        <w:rPr/>
        <w:t>Four </w:t>
      </w:r>
      <w:r>
        <w:rPr>
          <w:spacing w:val="-1"/>
          <w:w w:val="100"/>
        </w:rPr>
        <w:t>FULT</w:t>
      </w:r>
      <w:r>
        <w:rPr>
          <w:spacing w:val="-10"/>
          <w:w w:val="100"/>
        </w:rPr>
        <w:t> </w:t>
      </w:r>
      <w:r>
        <w:rPr>
          <w:spacing w:val="1"/>
          <w:w w:val="98"/>
        </w:rPr>
        <w:t>programs</w:t>
      </w:r>
      <w:r>
        <w:rPr>
          <w:spacing w:val="-9"/>
          <w:w w:val="98"/>
        </w:rPr>
        <w:t> </w:t>
      </w:r>
      <w:r>
        <w:rPr>
          <w:w w:val="97"/>
        </w:rPr>
        <w:t>were</w:t>
      </w:r>
      <w:r>
        <w:rPr>
          <w:spacing w:val="-8"/>
          <w:w w:val="97"/>
        </w:rPr>
        <w:t> </w:t>
      </w:r>
      <w:r>
        <w:rPr>
          <w:spacing w:val="1"/>
          <w:w w:val="97"/>
        </w:rPr>
        <w:t>held</w:t>
      </w:r>
      <w:r>
        <w:rPr>
          <w:spacing w:val="-8"/>
          <w:w w:val="97"/>
        </w:rPr>
        <w:t> </w:t>
      </w:r>
      <w:r>
        <w:rPr>
          <w:w w:val="95"/>
        </w:rPr>
        <w:t>in</w:t>
      </w:r>
      <w:r>
        <w:rPr>
          <w:spacing w:val="-8"/>
          <w:w w:val="95"/>
        </w:rPr>
        <w:t> </w:t>
      </w:r>
      <w:r>
        <w:rPr>
          <w:spacing w:val="1"/>
          <w:w w:val="84"/>
        </w:rPr>
        <w:t>2015,</w:t>
      </w:r>
      <w:r>
        <w:rPr>
          <w:spacing w:val="-2"/>
          <w:w w:val="84"/>
        </w:rPr>
        <w:t> </w:t>
      </w:r>
      <w:r>
        <w:rPr>
          <w:w w:val="98"/>
        </w:rPr>
        <w:t>with</w:t>
      </w:r>
      <w:r>
        <w:rPr>
          <w:spacing w:val="-9"/>
          <w:w w:val="98"/>
        </w:rPr>
        <w:t> </w:t>
      </w:r>
      <w:r>
        <w:rPr>
          <w:spacing w:val="1"/>
          <w:w w:val="92"/>
        </w:rPr>
        <w:t>72</w:t>
      </w:r>
      <w:r>
        <w:rPr>
          <w:w w:val="92"/>
        </w:rPr>
        <w:t> </w:t>
      </w:r>
      <w:r>
        <w:rPr/>
        <w:t>academic staff</w:t>
      </w:r>
      <w:r>
        <w:rPr>
          <w:spacing w:val="-28"/>
        </w:rPr>
        <w:t> </w:t>
      </w:r>
      <w:r>
        <w:rPr/>
        <w:t>participating.</w:t>
      </w:r>
    </w:p>
    <w:p>
      <w:pPr>
        <w:pStyle w:val="BodyText"/>
        <w:spacing w:line="247" w:lineRule="auto" w:before="57"/>
        <w:ind w:left="459" w:right="206" w:hanging="227"/>
      </w:pPr>
      <w:r>
        <w:rPr>
          <w:rFonts w:ascii="Century Gothic" w:hAnsi="Century Gothic"/>
          <w:b/>
          <w:w w:val="115"/>
        </w:rPr>
        <w:t>≥ </w:t>
      </w:r>
      <w:r>
        <w:rPr/>
        <w:t>A number of academic mentoring programs are offered for early- to mid- career academic staff, and provide a unique opportunity for staff members to broaden their knowledge, skills and</w:t>
      </w:r>
    </w:p>
    <w:p>
      <w:pPr>
        <w:pStyle w:val="BodyText"/>
        <w:spacing w:line="249" w:lineRule="auto" w:before="1"/>
        <w:ind w:left="459"/>
      </w:pPr>
      <w:r>
        <w:rPr>
          <w:w w:val="94"/>
        </w:rPr>
        <w:t>experience. </w:t>
      </w:r>
      <w:r>
        <w:rPr>
          <w:w w:val="97"/>
        </w:rPr>
        <w:t>Since </w:t>
      </w:r>
      <w:r>
        <w:rPr>
          <w:w w:val="87"/>
        </w:rPr>
        <w:t>2010, </w:t>
      </w:r>
      <w:r>
        <w:rPr>
          <w:w w:val="98"/>
        </w:rPr>
        <w:t>over </w:t>
      </w:r>
      <w:r>
        <w:rPr>
          <w:w w:val="105"/>
        </w:rPr>
        <w:t>200 </w:t>
      </w:r>
      <w:r>
        <w:rPr>
          <w:w w:val="98"/>
        </w:rPr>
        <w:t>academic </w:t>
      </w:r>
      <w:r>
        <w:rPr/>
        <w:t>staff members have participated as </w:t>
      </w:r>
      <w:r>
        <w:rPr>
          <w:w w:val="97"/>
        </w:rPr>
        <w:t>mentors </w:t>
      </w:r>
      <w:r>
        <w:rPr>
          <w:w w:val="97"/>
        </w:rPr>
        <w:t>and </w:t>
      </w:r>
      <w:r>
        <w:rPr>
          <w:w w:val="93"/>
        </w:rPr>
        <w:t>mentees. </w:t>
      </w:r>
      <w:r>
        <w:rPr>
          <w:w w:val="80"/>
        </w:rPr>
        <w:t>In </w:t>
      </w:r>
      <w:r>
        <w:rPr>
          <w:w w:val="84"/>
        </w:rPr>
        <w:t>2015, </w:t>
      </w:r>
      <w:r>
        <w:rPr>
          <w:w w:val="96"/>
        </w:rPr>
        <w:t>38 </w:t>
      </w:r>
      <w:r>
        <w:rPr>
          <w:w w:val="97"/>
        </w:rPr>
        <w:t>staff</w:t>
      </w:r>
    </w:p>
    <w:p>
      <w:pPr>
        <w:pStyle w:val="BodyText"/>
        <w:spacing w:line="249" w:lineRule="auto"/>
        <w:ind w:left="459" w:right="9"/>
      </w:pPr>
      <w:r>
        <w:rPr>
          <w:spacing w:val="2"/>
        </w:rPr>
        <w:t>(19 </w:t>
      </w:r>
      <w:r>
        <w:rPr/>
        <w:t>mentoring pairs) participated in the nine-month Academic Mentoring</w:t>
      </w:r>
      <w:r>
        <w:rPr>
          <w:spacing w:val="-38"/>
        </w:rPr>
        <w:t> </w:t>
      </w:r>
      <w:r>
        <w:rPr/>
        <w:t>Program. Twelve early-career female researchers participated</w:t>
      </w:r>
      <w:r>
        <w:rPr>
          <w:spacing w:val="-13"/>
        </w:rPr>
        <w:t> </w:t>
      </w:r>
      <w:r>
        <w:rPr/>
        <w:t>in</w:t>
      </w:r>
      <w:r>
        <w:rPr>
          <w:spacing w:val="-13"/>
        </w:rPr>
        <w:t> </w:t>
      </w:r>
      <w:r>
        <w:rPr/>
        <w:t>Speed</w:t>
      </w:r>
      <w:r>
        <w:rPr>
          <w:spacing w:val="-13"/>
        </w:rPr>
        <w:t> </w:t>
      </w:r>
      <w:r>
        <w:rPr/>
        <w:t>Mentoring</w:t>
      </w:r>
      <w:r>
        <w:rPr>
          <w:spacing w:val="-13"/>
        </w:rPr>
        <w:t> </w:t>
      </w:r>
      <w:r>
        <w:rPr/>
        <w:t>with</w:t>
      </w:r>
    </w:p>
    <w:p>
      <w:pPr>
        <w:pStyle w:val="BodyText"/>
        <w:spacing w:line="249" w:lineRule="auto"/>
        <w:ind w:left="459" w:right="61"/>
      </w:pPr>
      <w:r>
        <w:rPr/>
        <w:t>the Executive, and 69 early-career </w:t>
      </w:r>
      <w:r>
        <w:rPr>
          <w:spacing w:val="2"/>
        </w:rPr>
        <w:t>academics </w:t>
      </w:r>
      <w:r>
        <w:rPr/>
        <w:t>participated in Campus-based Speed Mentoring with members of the professoriate. These short, intensive ‘speed’ mentoring sessions enable mentees</w:t>
      </w:r>
      <w:r>
        <w:rPr>
          <w:spacing w:val="-20"/>
        </w:rPr>
        <w:t> </w:t>
      </w:r>
      <w:r>
        <w:rPr/>
        <w:t>to</w:t>
      </w:r>
      <w:r>
        <w:rPr>
          <w:spacing w:val="-20"/>
        </w:rPr>
        <w:t> </w:t>
      </w:r>
      <w:r>
        <w:rPr/>
        <w:t>gain</w:t>
      </w:r>
      <w:r>
        <w:rPr>
          <w:spacing w:val="-20"/>
        </w:rPr>
        <w:t> </w:t>
      </w:r>
      <w:r>
        <w:rPr/>
        <w:t>valuable</w:t>
      </w:r>
      <w:r>
        <w:rPr>
          <w:spacing w:val="-20"/>
        </w:rPr>
        <w:t> </w:t>
      </w:r>
      <w:r>
        <w:rPr/>
        <w:t>career</w:t>
      </w:r>
      <w:r>
        <w:rPr>
          <w:spacing w:val="-20"/>
        </w:rPr>
        <w:t> </w:t>
      </w:r>
      <w:r>
        <w:rPr/>
        <w:t>guidance. The Executive and professoriate also learn about the specific challenges and experiences of early-career academics at </w:t>
      </w:r>
      <w:r>
        <w:rPr>
          <w:w w:val="95"/>
        </w:rPr>
        <w:t>the</w:t>
      </w:r>
      <w:r>
        <w:rPr>
          <w:spacing w:val="12"/>
          <w:w w:val="95"/>
        </w:rPr>
        <w:t> </w:t>
      </w:r>
      <w:r>
        <w:rPr>
          <w:w w:val="95"/>
        </w:rPr>
        <w:t>University.</w:t>
      </w:r>
    </w:p>
    <w:p>
      <w:pPr>
        <w:pStyle w:val="BodyText"/>
        <w:spacing w:line="247" w:lineRule="auto" w:before="55"/>
        <w:ind w:left="459" w:right="35" w:hanging="227"/>
      </w:pPr>
      <w:r>
        <w:rPr>
          <w:rFonts w:ascii="Century Gothic" w:hAnsi="Century Gothic"/>
          <w:b/>
          <w:w w:val="115"/>
        </w:rPr>
        <w:t>≥ </w:t>
      </w:r>
      <w:r>
        <w:rPr/>
        <w:t>Early Career Academics (ECA) Campus- based Network Forums enable peer networking</w:t>
      </w:r>
      <w:r>
        <w:rPr>
          <w:spacing w:val="-16"/>
        </w:rPr>
        <w:t> </w:t>
      </w:r>
      <w:r>
        <w:rPr/>
        <w:t>across</w:t>
      </w:r>
      <w:r>
        <w:rPr>
          <w:spacing w:val="-16"/>
        </w:rPr>
        <w:t> </w:t>
      </w:r>
      <w:r>
        <w:rPr/>
        <w:t>disciplines</w:t>
      </w:r>
      <w:r>
        <w:rPr>
          <w:spacing w:val="-16"/>
        </w:rPr>
        <w:t> </w:t>
      </w:r>
      <w:r>
        <w:rPr/>
        <w:t>and</w:t>
      </w:r>
      <w:r>
        <w:rPr>
          <w:spacing w:val="-16"/>
        </w:rPr>
        <w:t> </w:t>
      </w:r>
      <w:r>
        <w:rPr/>
        <w:t>Schools, and provide vital support for early-career academics in developing their careers. In </w:t>
      </w:r>
      <w:r>
        <w:rPr>
          <w:spacing w:val="1"/>
          <w:w w:val="84"/>
        </w:rPr>
        <w:t>2015,</w:t>
      </w:r>
      <w:r>
        <w:rPr>
          <w:w w:val="84"/>
        </w:rPr>
        <w:t> </w:t>
      </w:r>
      <w:r>
        <w:rPr>
          <w:spacing w:val="1"/>
          <w:w w:val="98"/>
        </w:rPr>
        <w:t>95</w:t>
      </w:r>
      <w:r>
        <w:rPr>
          <w:w w:val="98"/>
        </w:rPr>
        <w:t> </w:t>
      </w:r>
      <w:r>
        <w:rPr>
          <w:spacing w:val="2"/>
          <w:w w:val="98"/>
        </w:rPr>
        <w:t>academics</w:t>
      </w:r>
      <w:r>
        <w:rPr>
          <w:w w:val="98"/>
        </w:rPr>
        <w:t> </w:t>
      </w:r>
      <w:r>
        <w:rPr>
          <w:spacing w:val="1"/>
          <w:w w:val="98"/>
        </w:rPr>
        <w:t>participated</w:t>
      </w:r>
      <w:r>
        <w:rPr>
          <w:w w:val="98"/>
        </w:rPr>
        <w:t> </w:t>
      </w:r>
      <w:r>
        <w:rPr>
          <w:w w:val="95"/>
        </w:rPr>
        <w:t>in </w:t>
      </w:r>
      <w:r>
        <w:rPr>
          <w:w w:val="97"/>
        </w:rPr>
        <w:t>the </w:t>
      </w:r>
      <w:r>
        <w:rPr/>
        <w:t>network</w:t>
      </w:r>
      <w:r>
        <w:rPr>
          <w:spacing w:val="-30"/>
        </w:rPr>
        <w:t> </w:t>
      </w:r>
      <w:r>
        <w:rPr/>
        <w:t>forums.</w:t>
      </w:r>
    </w:p>
    <w:p>
      <w:pPr>
        <w:pStyle w:val="BodyText"/>
        <w:spacing w:line="247" w:lineRule="auto" w:before="57"/>
        <w:ind w:left="459" w:right="5" w:hanging="227"/>
      </w:pPr>
      <w:r>
        <w:rPr>
          <w:rFonts w:ascii="Century Gothic" w:hAnsi="Century Gothic"/>
          <w:b/>
          <w:w w:val="115"/>
        </w:rPr>
        <w:t>≥ </w:t>
      </w:r>
      <w:r>
        <w:rPr/>
        <w:t>The Future Research Leaders Program (FRLP) </w:t>
      </w:r>
      <w:r>
        <w:rPr>
          <w:spacing w:val="2"/>
        </w:rPr>
        <w:t>supports </w:t>
      </w:r>
      <w:r>
        <w:rPr/>
        <w:t>early-career researchers to develop their capabilities in relation to financial</w:t>
      </w:r>
      <w:r>
        <w:rPr>
          <w:spacing w:val="-22"/>
        </w:rPr>
        <w:t> </w:t>
      </w:r>
      <w:r>
        <w:rPr/>
        <w:t>management</w:t>
      </w:r>
      <w:r>
        <w:rPr>
          <w:spacing w:val="-22"/>
        </w:rPr>
        <w:t> </w:t>
      </w:r>
      <w:r>
        <w:rPr/>
        <w:t>and</w:t>
      </w:r>
      <w:r>
        <w:rPr>
          <w:spacing w:val="-22"/>
        </w:rPr>
        <w:t> </w:t>
      </w:r>
      <w:r>
        <w:rPr/>
        <w:t>reporting;</w:t>
      </w:r>
      <w:r>
        <w:rPr>
          <w:spacing w:val="-22"/>
        </w:rPr>
        <w:t> </w:t>
      </w:r>
      <w:r>
        <w:rPr/>
        <w:t>grant</w:t>
      </w:r>
    </w:p>
    <w:p>
      <w:pPr>
        <w:pStyle w:val="BodyText"/>
        <w:spacing w:line="249" w:lineRule="auto" w:before="71"/>
        <w:ind w:left="422" w:right="316"/>
      </w:pPr>
      <w:r>
        <w:rPr/>
        <w:br w:type="column"/>
      </w:r>
      <w:r>
        <w:rPr/>
        <w:t>writing and administration; and project </w:t>
      </w:r>
      <w:r>
        <w:rPr>
          <w:w w:val="94"/>
        </w:rPr>
        <w:t>management. </w:t>
      </w:r>
      <w:r>
        <w:rPr>
          <w:w w:val="80"/>
        </w:rPr>
        <w:t>In </w:t>
      </w:r>
      <w:r>
        <w:rPr>
          <w:w w:val="84"/>
        </w:rPr>
        <w:t>2015, </w:t>
      </w:r>
      <w:r>
        <w:rPr>
          <w:w w:val="100"/>
        </w:rPr>
        <w:t>68 </w:t>
      </w:r>
      <w:r>
        <w:rPr>
          <w:w w:val="97"/>
        </w:rPr>
        <w:t>early- </w:t>
      </w:r>
      <w:r>
        <w:rPr>
          <w:w w:val="97"/>
        </w:rPr>
        <w:t>and </w:t>
      </w:r>
      <w:r>
        <w:rPr>
          <w:w w:val="99"/>
        </w:rPr>
        <w:t>mid- </w:t>
      </w:r>
      <w:r>
        <w:rPr/>
        <w:t>career academics participated in the blended learning program.</w:t>
      </w:r>
    </w:p>
    <w:p>
      <w:pPr>
        <w:pStyle w:val="BodyText"/>
        <w:rPr>
          <w:sz w:val="14"/>
        </w:rPr>
      </w:pPr>
    </w:p>
    <w:p>
      <w:pPr>
        <w:pStyle w:val="BodyText"/>
        <w:spacing w:line="249" w:lineRule="auto"/>
        <w:ind w:left="195" w:right="672"/>
      </w:pPr>
      <w:r>
        <w:rPr/>
        <w:t>There</w:t>
      </w:r>
      <w:r>
        <w:rPr>
          <w:spacing w:val="-18"/>
        </w:rPr>
        <w:t> </w:t>
      </w:r>
      <w:r>
        <w:rPr/>
        <w:t>are</w:t>
      </w:r>
      <w:r>
        <w:rPr>
          <w:spacing w:val="-18"/>
        </w:rPr>
        <w:t> </w:t>
      </w:r>
      <w:r>
        <w:rPr/>
        <w:t>also</w:t>
      </w:r>
      <w:r>
        <w:rPr>
          <w:spacing w:val="-18"/>
        </w:rPr>
        <w:t> </w:t>
      </w:r>
      <w:r>
        <w:rPr/>
        <w:t>a</w:t>
      </w:r>
      <w:r>
        <w:rPr>
          <w:spacing w:val="-18"/>
        </w:rPr>
        <w:t> </w:t>
      </w:r>
      <w:r>
        <w:rPr/>
        <w:t>number</w:t>
      </w:r>
      <w:r>
        <w:rPr>
          <w:spacing w:val="-18"/>
        </w:rPr>
        <w:t> </w:t>
      </w:r>
      <w:r>
        <w:rPr/>
        <w:t>of</w:t>
      </w:r>
      <w:r>
        <w:rPr>
          <w:spacing w:val="-18"/>
        </w:rPr>
        <w:t> </w:t>
      </w:r>
      <w:r>
        <w:rPr/>
        <w:t>programs</w:t>
      </w:r>
      <w:r>
        <w:rPr>
          <w:spacing w:val="-18"/>
        </w:rPr>
        <w:t> </w:t>
      </w:r>
      <w:r>
        <w:rPr/>
        <w:t>that enhance</w:t>
      </w:r>
      <w:r>
        <w:rPr>
          <w:spacing w:val="-23"/>
        </w:rPr>
        <w:t> </w:t>
      </w:r>
      <w:r>
        <w:rPr/>
        <w:t>leadership</w:t>
      </w:r>
      <w:r>
        <w:rPr>
          <w:spacing w:val="-23"/>
        </w:rPr>
        <w:t> </w:t>
      </w:r>
      <w:r>
        <w:rPr/>
        <w:t>and</w:t>
      </w:r>
      <w:r>
        <w:rPr>
          <w:spacing w:val="-23"/>
        </w:rPr>
        <w:t> </w:t>
      </w:r>
      <w:r>
        <w:rPr/>
        <w:t>staff</w:t>
      </w:r>
      <w:r>
        <w:rPr>
          <w:spacing w:val="-23"/>
        </w:rPr>
        <w:t> </w:t>
      </w:r>
      <w:r>
        <w:rPr/>
        <w:t>capabilities:</w:t>
      </w:r>
    </w:p>
    <w:p>
      <w:pPr>
        <w:pStyle w:val="BodyText"/>
        <w:spacing w:before="11"/>
        <w:rPr>
          <w:sz w:val="13"/>
        </w:rPr>
      </w:pPr>
    </w:p>
    <w:p>
      <w:pPr>
        <w:pStyle w:val="BodyText"/>
        <w:spacing w:line="247" w:lineRule="auto"/>
        <w:ind w:left="422" w:right="316" w:hanging="227"/>
      </w:pPr>
      <w:r>
        <w:rPr>
          <w:rFonts w:ascii="Century Gothic" w:hAnsi="Century Gothic"/>
          <w:b/>
          <w:w w:val="115"/>
        </w:rPr>
        <w:t>≥  </w:t>
      </w:r>
      <w:r>
        <w:rPr/>
        <w:t>The Inspire Leadership Program is designed to develop and enhance the leadership skills and capabilities of academic and professional managers. </w:t>
      </w:r>
      <w:r>
        <w:rPr>
          <w:w w:val="97"/>
        </w:rPr>
        <w:t>Since </w:t>
      </w:r>
      <w:r>
        <w:rPr>
          <w:w w:val="87"/>
        </w:rPr>
        <w:t>2010, </w:t>
      </w:r>
      <w:r>
        <w:rPr>
          <w:w w:val="97"/>
        </w:rPr>
        <w:t>more </w:t>
      </w:r>
      <w:r>
        <w:rPr>
          <w:w w:val="97"/>
        </w:rPr>
        <w:t>than </w:t>
      </w:r>
      <w:r>
        <w:rPr>
          <w:w w:val="105"/>
        </w:rPr>
        <w:t>300 </w:t>
      </w:r>
      <w:r>
        <w:rPr>
          <w:w w:val="96"/>
        </w:rPr>
        <w:t>managers </w:t>
      </w:r>
      <w:r>
        <w:rPr>
          <w:w w:val="96"/>
        </w:rPr>
        <w:t>have </w:t>
      </w:r>
      <w:r>
        <w:rPr/>
        <w:t>participated in the program, including 36 supervisors and managers who completed leadership projects in the workplace in </w:t>
      </w:r>
      <w:r>
        <w:rPr>
          <w:w w:val="84"/>
        </w:rPr>
        <w:t>2015.</w:t>
      </w:r>
    </w:p>
    <w:p>
      <w:pPr>
        <w:pStyle w:val="BodyText"/>
        <w:spacing w:line="247" w:lineRule="auto" w:before="57"/>
        <w:ind w:left="422" w:right="377" w:hanging="227"/>
      </w:pPr>
      <w:r>
        <w:rPr>
          <w:rFonts w:ascii="Century Gothic" w:hAnsi="Century Gothic"/>
          <w:b/>
          <w:w w:val="115"/>
        </w:rPr>
        <w:t>≥ </w:t>
      </w:r>
      <w:r>
        <w:rPr/>
        <w:t>Since 2007, 28 Certificate IV in Frontline Management,</w:t>
      </w:r>
      <w:r>
        <w:rPr>
          <w:spacing w:val="-24"/>
        </w:rPr>
        <w:t> </w:t>
      </w:r>
      <w:r>
        <w:rPr/>
        <w:t>Certificate</w:t>
      </w:r>
      <w:r>
        <w:rPr>
          <w:spacing w:val="-24"/>
        </w:rPr>
        <w:t> </w:t>
      </w:r>
      <w:r>
        <w:rPr/>
        <w:t>IV</w:t>
      </w:r>
      <w:r>
        <w:rPr>
          <w:spacing w:val="-24"/>
        </w:rPr>
        <w:t> </w:t>
      </w:r>
      <w:r>
        <w:rPr/>
        <w:t>in</w:t>
      </w:r>
      <w:r>
        <w:rPr>
          <w:spacing w:val="-24"/>
        </w:rPr>
        <w:t> </w:t>
      </w:r>
      <w:r>
        <w:rPr/>
        <w:t>Training</w:t>
      </w:r>
      <w:r>
        <w:rPr>
          <w:spacing w:val="-24"/>
        </w:rPr>
        <w:t> </w:t>
      </w:r>
      <w:r>
        <w:rPr/>
        <w:t>and Assessment,</w:t>
      </w:r>
      <w:r>
        <w:rPr>
          <w:spacing w:val="-16"/>
        </w:rPr>
        <w:t> </w:t>
      </w:r>
      <w:r>
        <w:rPr/>
        <w:t>and</w:t>
      </w:r>
      <w:r>
        <w:rPr>
          <w:spacing w:val="-16"/>
        </w:rPr>
        <w:t> </w:t>
      </w:r>
      <w:r>
        <w:rPr/>
        <w:t>Diploma</w:t>
      </w:r>
      <w:r>
        <w:rPr>
          <w:spacing w:val="-16"/>
        </w:rPr>
        <w:t> </w:t>
      </w:r>
      <w:r>
        <w:rPr/>
        <w:t>of</w:t>
      </w:r>
      <w:r>
        <w:rPr>
          <w:spacing w:val="-16"/>
        </w:rPr>
        <w:t> </w:t>
      </w:r>
      <w:r>
        <w:rPr/>
        <w:t>Management programs have been held, with </w:t>
      </w:r>
      <w:r>
        <w:rPr>
          <w:spacing w:val="2"/>
        </w:rPr>
        <w:t>443 </w:t>
      </w:r>
      <w:r>
        <w:rPr>
          <w:spacing w:val="1"/>
          <w:w w:val="95"/>
        </w:rPr>
        <w:t>participants.</w:t>
      </w:r>
      <w:r>
        <w:rPr>
          <w:w w:val="95"/>
        </w:rPr>
        <w:t> </w:t>
      </w:r>
      <w:r>
        <w:rPr>
          <w:spacing w:val="1"/>
          <w:w w:val="80"/>
        </w:rPr>
        <w:t>In</w:t>
      </w:r>
      <w:r>
        <w:rPr>
          <w:w w:val="80"/>
        </w:rPr>
        <w:t> </w:t>
      </w:r>
      <w:r>
        <w:rPr>
          <w:spacing w:val="1"/>
          <w:w w:val="84"/>
        </w:rPr>
        <w:t>2015,</w:t>
      </w:r>
      <w:r>
        <w:rPr>
          <w:w w:val="84"/>
        </w:rPr>
        <w:t> </w:t>
      </w:r>
      <w:r>
        <w:rPr>
          <w:spacing w:val="2"/>
          <w:w w:val="82"/>
        </w:rPr>
        <w:t>10</w:t>
      </w:r>
      <w:r>
        <w:rPr>
          <w:w w:val="82"/>
        </w:rPr>
        <w:t> </w:t>
      </w:r>
      <w:r>
        <w:rPr>
          <w:spacing w:val="1"/>
          <w:w w:val="97"/>
        </w:rPr>
        <w:t>staff</w:t>
      </w:r>
      <w:r>
        <w:rPr>
          <w:w w:val="97"/>
        </w:rPr>
        <w:t> </w:t>
      </w:r>
      <w:r>
        <w:rPr>
          <w:spacing w:val="1"/>
          <w:w w:val="97"/>
        </w:rPr>
        <w:t>members</w:t>
      </w:r>
      <w:r>
        <w:rPr>
          <w:w w:val="97"/>
        </w:rPr>
        <w:t> </w:t>
      </w:r>
      <w:r>
        <w:rPr/>
        <w:t>gained qualifications in Certificate </w:t>
      </w:r>
      <w:r>
        <w:rPr>
          <w:spacing w:val="-2"/>
        </w:rPr>
        <w:t>IV. </w:t>
      </w:r>
      <w:r>
        <w:rPr/>
        <w:t>Participants are required to complete work-based</w:t>
      </w:r>
      <w:r>
        <w:rPr>
          <w:spacing w:val="-16"/>
        </w:rPr>
        <w:t> </w:t>
      </w:r>
      <w:r>
        <w:rPr/>
        <w:t>projects</w:t>
      </w:r>
      <w:r>
        <w:rPr>
          <w:spacing w:val="-16"/>
        </w:rPr>
        <w:t> </w:t>
      </w:r>
      <w:r>
        <w:rPr/>
        <w:t>and</w:t>
      </w:r>
      <w:r>
        <w:rPr>
          <w:spacing w:val="-16"/>
        </w:rPr>
        <w:t> </w:t>
      </w:r>
      <w:r>
        <w:rPr/>
        <w:t>activities.</w:t>
      </w:r>
    </w:p>
    <w:p>
      <w:pPr>
        <w:pStyle w:val="BodyText"/>
        <w:spacing w:line="247" w:lineRule="auto" w:before="57"/>
        <w:ind w:left="422" w:right="270" w:hanging="227"/>
      </w:pPr>
      <w:r>
        <w:rPr>
          <w:rFonts w:ascii="Century Gothic" w:hAnsi="Century Gothic"/>
          <w:b/>
          <w:w w:val="115"/>
        </w:rPr>
        <w:t>≥ </w:t>
      </w:r>
      <w:r>
        <w:rPr/>
        <w:t>The Compass Program is about supporting and guiding staff members to navigate various career pathways and development opportunities, and to plan their work</w:t>
      </w:r>
    </w:p>
    <w:p>
      <w:pPr>
        <w:pStyle w:val="BodyText"/>
        <w:spacing w:line="247" w:lineRule="auto"/>
        <w:ind w:left="422" w:right="270"/>
      </w:pPr>
      <w:r>
        <w:rPr/>
        <w:t>in alignment with the </w:t>
      </w:r>
      <w:r>
        <w:rPr>
          <w:rFonts w:ascii="Century Gothic" w:hAnsi="Century Gothic"/>
          <w:i/>
        </w:rPr>
        <w:t>Securing Success </w:t>
      </w:r>
      <w:r>
        <w:rPr/>
        <w:t>strategy and goals. The University uses an online system for monitoring and reporting </w:t>
      </w:r>
      <w:r>
        <w:rPr>
          <w:w w:val="98"/>
        </w:rPr>
        <w:t>on </w:t>
      </w:r>
      <w:r>
        <w:rPr>
          <w:w w:val="96"/>
        </w:rPr>
        <w:t>performance. </w:t>
      </w:r>
      <w:r>
        <w:rPr>
          <w:w w:val="80"/>
        </w:rPr>
        <w:t>In </w:t>
      </w:r>
      <w:r>
        <w:rPr>
          <w:w w:val="83"/>
        </w:rPr>
        <w:t>2014–15, </w:t>
      </w:r>
      <w:r>
        <w:rPr>
          <w:w w:val="97"/>
        </w:rPr>
        <w:t>performance </w:t>
      </w:r>
      <w:r>
        <w:rPr/>
        <w:t>reviews were completed for 87 per cent of </w:t>
      </w:r>
      <w:r>
        <w:rPr>
          <w:w w:val="95"/>
        </w:rPr>
        <w:t>the staff.</w:t>
      </w:r>
    </w:p>
    <w:p>
      <w:pPr>
        <w:pStyle w:val="BodyText"/>
        <w:spacing w:line="247" w:lineRule="auto" w:before="57"/>
        <w:ind w:left="422" w:right="550" w:hanging="227"/>
        <w:jc w:val="both"/>
      </w:pPr>
      <w:r>
        <w:rPr>
          <w:rFonts w:ascii="Century Gothic" w:hAnsi="Century Gothic"/>
          <w:b/>
          <w:w w:val="115"/>
        </w:rPr>
        <w:t>≥ </w:t>
      </w:r>
      <w:r>
        <w:rPr/>
        <w:t>The Creating a Positive Culture Program introduces</w:t>
      </w:r>
      <w:r>
        <w:rPr>
          <w:spacing w:val="-14"/>
        </w:rPr>
        <w:t> </w:t>
      </w:r>
      <w:r>
        <w:rPr/>
        <w:t>the</w:t>
      </w:r>
      <w:r>
        <w:rPr>
          <w:spacing w:val="-14"/>
        </w:rPr>
        <w:t> </w:t>
      </w:r>
      <w:r>
        <w:rPr/>
        <w:t>core</w:t>
      </w:r>
      <w:r>
        <w:rPr>
          <w:spacing w:val="-14"/>
        </w:rPr>
        <w:t> </w:t>
      </w:r>
      <w:r>
        <w:rPr/>
        <w:t>concepts</w:t>
      </w:r>
      <w:r>
        <w:rPr>
          <w:spacing w:val="-14"/>
        </w:rPr>
        <w:t> </w:t>
      </w:r>
      <w:r>
        <w:rPr/>
        <w:t>of</w:t>
      </w:r>
      <w:r>
        <w:rPr>
          <w:spacing w:val="-14"/>
        </w:rPr>
        <w:t> </w:t>
      </w:r>
      <w:r>
        <w:rPr/>
        <w:t>positive psychology to promote</w:t>
      </w:r>
      <w:r>
        <w:rPr>
          <w:spacing w:val="-34"/>
        </w:rPr>
        <w:t> </w:t>
      </w:r>
      <w:r>
        <w:rPr/>
        <w:t>flourishing</w:t>
      </w:r>
    </w:p>
    <w:p>
      <w:pPr>
        <w:pStyle w:val="BodyText"/>
        <w:spacing w:line="247" w:lineRule="auto" w:before="1"/>
        <w:ind w:left="422" w:right="287"/>
      </w:pPr>
      <w:r>
        <w:rPr/>
        <w:t>and wellbeing, resilience and optimal functioning in the workplace. The program aligns with </w:t>
      </w:r>
      <w:r>
        <w:rPr>
          <w:rFonts w:ascii="Century Gothic"/>
          <w:i/>
        </w:rPr>
        <w:t>Securing Success </w:t>
      </w:r>
      <w:r>
        <w:rPr/>
        <w:t>Goal 6 (developing a culture of adaptability</w:t>
      </w:r>
    </w:p>
    <w:p>
      <w:pPr>
        <w:pStyle w:val="BodyText"/>
        <w:spacing w:line="249" w:lineRule="auto" w:before="1"/>
        <w:ind w:left="422" w:right="558"/>
      </w:pPr>
      <w:r>
        <w:rPr/>
        <w:t>and flexibility), the Our People Staffing Plan (recognising and valuing staff) and the MyVoice Staff Engagement results (to increase staff engagement, promote a positive workplace culture</w:t>
      </w:r>
    </w:p>
    <w:p>
      <w:pPr>
        <w:pStyle w:val="BodyText"/>
        <w:spacing w:line="249" w:lineRule="auto"/>
        <w:ind w:left="422" w:right="347"/>
      </w:pPr>
      <w:r>
        <w:rPr/>
        <w:t>and improve cross-unit collaboration and communication).</w:t>
      </w:r>
      <w:r>
        <w:rPr>
          <w:spacing w:val="-22"/>
        </w:rPr>
        <w:t> </w:t>
      </w:r>
      <w:r>
        <w:rPr/>
        <w:t>The</w:t>
      </w:r>
      <w:r>
        <w:rPr>
          <w:spacing w:val="-22"/>
        </w:rPr>
        <w:t> </w:t>
      </w:r>
      <w:r>
        <w:rPr/>
        <w:t>initiative</w:t>
      </w:r>
      <w:r>
        <w:rPr>
          <w:spacing w:val="-22"/>
        </w:rPr>
        <w:t> </w:t>
      </w:r>
      <w:r>
        <w:rPr/>
        <w:t>started</w:t>
      </w:r>
      <w:r>
        <w:rPr>
          <w:spacing w:val="-22"/>
        </w:rPr>
        <w:t> </w:t>
      </w:r>
      <w:r>
        <w:rPr/>
        <w:t>with </w:t>
      </w:r>
      <w:r>
        <w:rPr>
          <w:w w:val="94"/>
        </w:rPr>
        <w:t>a </w:t>
      </w:r>
      <w:r>
        <w:rPr>
          <w:w w:val="99"/>
        </w:rPr>
        <w:t>pilot </w:t>
      </w:r>
      <w:r>
        <w:rPr>
          <w:spacing w:val="1"/>
          <w:w w:val="98"/>
        </w:rPr>
        <w:t>program</w:t>
      </w:r>
      <w:r>
        <w:rPr>
          <w:w w:val="98"/>
        </w:rPr>
        <w:t> </w:t>
      </w:r>
      <w:r>
        <w:rPr>
          <w:w w:val="95"/>
        </w:rPr>
        <w:t>in </w:t>
      </w:r>
      <w:r>
        <w:rPr>
          <w:spacing w:val="-1"/>
          <w:w w:val="97"/>
        </w:rPr>
        <w:t>late</w:t>
      </w:r>
      <w:r>
        <w:rPr>
          <w:w w:val="97"/>
        </w:rPr>
        <w:t> </w:t>
      </w:r>
      <w:r>
        <w:rPr>
          <w:spacing w:val="1"/>
          <w:w w:val="84"/>
        </w:rPr>
        <w:t>2013,</w:t>
      </w:r>
      <w:r>
        <w:rPr>
          <w:w w:val="84"/>
        </w:rPr>
        <w:t> </w:t>
      </w:r>
      <w:r>
        <w:rPr>
          <w:spacing w:val="1"/>
          <w:w w:val="97"/>
        </w:rPr>
        <w:t>and</w:t>
      </w:r>
      <w:r>
        <w:rPr>
          <w:w w:val="97"/>
        </w:rPr>
        <w:t> </w:t>
      </w:r>
      <w:r>
        <w:rPr>
          <w:spacing w:val="1"/>
          <w:w w:val="97"/>
        </w:rPr>
        <w:t>so</w:t>
      </w:r>
      <w:r>
        <w:rPr>
          <w:w w:val="97"/>
        </w:rPr>
        <w:t> </w:t>
      </w:r>
      <w:r>
        <w:rPr>
          <w:spacing w:val="1"/>
          <w:w w:val="96"/>
        </w:rPr>
        <w:t>far</w:t>
      </w:r>
      <w:r>
        <w:rPr>
          <w:w w:val="96"/>
        </w:rPr>
        <w:t> </w:t>
      </w:r>
      <w:r>
        <w:rPr>
          <w:spacing w:val="2"/>
          <w:w w:val="86"/>
        </w:rPr>
        <w:t>210</w:t>
      </w:r>
      <w:r>
        <w:rPr>
          <w:w w:val="86"/>
        </w:rPr>
        <w:t> </w:t>
      </w:r>
      <w:r>
        <w:rPr/>
        <w:t>academic and professional staff members and</w:t>
      </w:r>
      <w:r>
        <w:rPr>
          <w:spacing w:val="-16"/>
        </w:rPr>
        <w:t> </w:t>
      </w:r>
      <w:r>
        <w:rPr/>
        <w:t>senior</w:t>
      </w:r>
      <w:r>
        <w:rPr>
          <w:spacing w:val="-16"/>
        </w:rPr>
        <w:t> </w:t>
      </w:r>
      <w:r>
        <w:rPr/>
        <w:t>managers</w:t>
      </w:r>
      <w:r>
        <w:rPr>
          <w:spacing w:val="-16"/>
        </w:rPr>
        <w:t> </w:t>
      </w:r>
      <w:r>
        <w:rPr/>
        <w:t>from</w:t>
      </w:r>
      <w:r>
        <w:rPr>
          <w:spacing w:val="-16"/>
        </w:rPr>
        <w:t> </w:t>
      </w:r>
      <w:r>
        <w:rPr/>
        <w:t>the</w:t>
      </w:r>
      <w:r>
        <w:rPr>
          <w:spacing w:val="-16"/>
        </w:rPr>
        <w:t> </w:t>
      </w:r>
      <w:r>
        <w:rPr/>
        <w:t>Schools</w:t>
      </w:r>
      <w:r>
        <w:rPr>
          <w:spacing w:val="-16"/>
        </w:rPr>
        <w:t> </w:t>
      </w:r>
      <w:r>
        <w:rPr/>
        <w:t>and Divisional</w:t>
      </w:r>
      <w:r>
        <w:rPr>
          <w:spacing w:val="-20"/>
        </w:rPr>
        <w:t> </w:t>
      </w:r>
      <w:r>
        <w:rPr/>
        <w:t>Units</w:t>
      </w:r>
      <w:r>
        <w:rPr>
          <w:spacing w:val="-20"/>
        </w:rPr>
        <w:t> </w:t>
      </w:r>
      <w:r>
        <w:rPr/>
        <w:t>have</w:t>
      </w:r>
      <w:r>
        <w:rPr>
          <w:spacing w:val="-20"/>
        </w:rPr>
        <w:t> </w:t>
      </w:r>
      <w:r>
        <w:rPr/>
        <w:t>participated.</w:t>
      </w:r>
    </w:p>
    <w:p>
      <w:pPr>
        <w:spacing w:after="0" w:line="249" w:lineRule="auto"/>
        <w:sectPr>
          <w:type w:val="continuous"/>
          <w:pgSz w:w="11910" w:h="16840"/>
          <w:pgMar w:top="1580" w:bottom="280" w:left="580" w:right="580"/>
          <w:cols w:num="3" w:equalWidth="0">
            <w:col w:w="3494" w:space="40"/>
            <w:col w:w="3437" w:space="40"/>
            <w:col w:w="373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5041"/>
        <w:gridCol w:w="5041"/>
      </w:tblGrid>
      <w:tr>
        <w:trPr>
          <w:trHeight w:val="288" w:hRule="exact"/>
        </w:trPr>
        <w:tc>
          <w:tcPr>
            <w:tcW w:w="10081" w:type="dxa"/>
            <w:gridSpan w:val="2"/>
            <w:tcBorders>
              <w:top w:val="nil"/>
              <w:left w:val="nil"/>
              <w:bottom w:val="nil"/>
              <w:right w:val="nil"/>
            </w:tcBorders>
            <w:shd w:val="clear" w:color="auto" w:fill="939598"/>
          </w:tcPr>
          <w:p>
            <w:pPr>
              <w:pStyle w:val="TableParagraph"/>
              <w:tabs>
                <w:tab w:pos="7218" w:val="left" w:leader="none"/>
              </w:tabs>
              <w:spacing w:before="54"/>
              <w:ind w:left="79"/>
              <w:jc w:val="left"/>
              <w:rPr>
                <w:rFonts w:ascii="Gotham Narrow Bold" w:hAnsi="Gotham Narrow Bold"/>
                <w:b/>
                <w:sz w:val="16"/>
              </w:rPr>
            </w:pPr>
            <w:r>
              <w:rPr>
                <w:rFonts w:ascii="Gotham Narrow Bold" w:hAnsi="Gotham Narrow Bold"/>
                <w:b/>
                <w:color w:val="FFFFFF"/>
                <w:sz w:val="16"/>
              </w:rPr>
              <w:t>WORKFORCE</w:t>
            </w:r>
            <w:r>
              <w:rPr>
                <w:rFonts w:ascii="Gotham Narrow Bold" w:hAnsi="Gotham Narrow Bold"/>
                <w:b/>
                <w:color w:val="FFFFFF"/>
                <w:spacing w:val="-19"/>
                <w:sz w:val="16"/>
              </w:rPr>
              <w:t> </w:t>
            </w:r>
            <w:r>
              <w:rPr>
                <w:rFonts w:ascii="Gotham Narrow Bold" w:hAnsi="Gotham Narrow Bold"/>
                <w:b/>
                <w:color w:val="FFFFFF"/>
                <w:spacing w:val="2"/>
                <w:sz w:val="16"/>
              </w:rPr>
              <w:t>SEGMENT</w:t>
              <w:tab/>
            </w:r>
            <w:r>
              <w:rPr>
                <w:rFonts w:ascii="Gotham Narrow Bold" w:hAnsi="Gotham Narrow Bold"/>
                <w:b/>
                <w:color w:val="FFFFFF"/>
                <w:spacing w:val="2"/>
                <w:w w:val="95"/>
                <w:sz w:val="16"/>
              </w:rPr>
              <w:t>REQUISITIONS: </w:t>
            </w:r>
            <w:r>
              <w:rPr>
                <w:rFonts w:ascii="Gotham Narrow Bold" w:hAnsi="Gotham Narrow Bold"/>
                <w:b/>
                <w:color w:val="FFFFFF"/>
                <w:spacing w:val="5"/>
                <w:w w:val="95"/>
                <w:sz w:val="16"/>
              </w:rPr>
              <w:t> </w:t>
            </w:r>
            <w:r>
              <w:rPr>
                <w:rFonts w:ascii="Gotham Narrow Bold" w:hAnsi="Gotham Narrow Bold"/>
                <w:b/>
                <w:color w:val="FFFFFF"/>
                <w:w w:val="95"/>
                <w:sz w:val="16"/>
              </w:rPr>
              <w:t>JANUARY–DECEMBER</w:t>
            </w:r>
          </w:p>
        </w:tc>
      </w:tr>
      <w:tr>
        <w:trPr>
          <w:trHeight w:val="288" w:hRule="exact"/>
        </w:trPr>
        <w:tc>
          <w:tcPr>
            <w:tcW w:w="5041" w:type="dxa"/>
            <w:tcBorders>
              <w:top w:val="nil"/>
            </w:tcBorders>
            <w:shd w:val="clear" w:color="auto" w:fill="E6E7E8"/>
          </w:tcPr>
          <w:p>
            <w:pPr>
              <w:pStyle w:val="TableParagraph"/>
              <w:spacing w:before="48"/>
              <w:ind w:left="74"/>
              <w:jc w:val="left"/>
              <w:rPr>
                <w:sz w:val="16"/>
              </w:rPr>
            </w:pPr>
            <w:r>
              <w:rPr>
                <w:sz w:val="16"/>
              </w:rPr>
              <w:t>Academic full time</w:t>
            </w:r>
          </w:p>
        </w:tc>
        <w:tc>
          <w:tcPr>
            <w:tcW w:w="5041" w:type="dxa"/>
            <w:tcBorders>
              <w:top w:val="nil"/>
            </w:tcBorders>
            <w:shd w:val="clear" w:color="auto" w:fill="E6E7E8"/>
          </w:tcPr>
          <w:p>
            <w:pPr>
              <w:pStyle w:val="TableParagraph"/>
              <w:spacing w:before="48"/>
              <w:ind w:right="72"/>
              <w:rPr>
                <w:sz w:val="16"/>
              </w:rPr>
            </w:pPr>
            <w:r>
              <w:rPr>
                <w:w w:val="85"/>
                <w:sz w:val="16"/>
              </w:rPr>
              <w:t>199</w:t>
            </w:r>
          </w:p>
        </w:tc>
      </w:tr>
      <w:tr>
        <w:trPr>
          <w:trHeight w:val="288" w:hRule="exact"/>
        </w:trPr>
        <w:tc>
          <w:tcPr>
            <w:tcW w:w="5041" w:type="dxa"/>
            <w:shd w:val="clear" w:color="auto" w:fill="E6E7E8"/>
          </w:tcPr>
          <w:p>
            <w:pPr>
              <w:pStyle w:val="TableParagraph"/>
              <w:spacing w:before="43"/>
              <w:ind w:left="74"/>
              <w:jc w:val="left"/>
              <w:rPr>
                <w:sz w:val="16"/>
              </w:rPr>
            </w:pPr>
            <w:r>
              <w:rPr>
                <w:sz w:val="16"/>
              </w:rPr>
              <w:t>Academic part time</w:t>
            </w:r>
          </w:p>
        </w:tc>
        <w:tc>
          <w:tcPr>
            <w:tcW w:w="5041" w:type="dxa"/>
            <w:shd w:val="clear" w:color="auto" w:fill="E6E7E8"/>
          </w:tcPr>
          <w:p>
            <w:pPr>
              <w:pStyle w:val="TableParagraph"/>
              <w:spacing w:before="43"/>
              <w:ind w:right="68"/>
              <w:rPr>
                <w:sz w:val="16"/>
              </w:rPr>
            </w:pPr>
            <w:r>
              <w:rPr>
                <w:w w:val="95"/>
                <w:sz w:val="16"/>
              </w:rPr>
              <w:t>38</w:t>
            </w:r>
          </w:p>
        </w:tc>
      </w:tr>
      <w:tr>
        <w:trPr>
          <w:trHeight w:val="288" w:hRule="exact"/>
        </w:trPr>
        <w:tc>
          <w:tcPr>
            <w:tcW w:w="5041" w:type="dxa"/>
            <w:shd w:val="clear" w:color="auto" w:fill="E6E7E8"/>
          </w:tcPr>
          <w:p>
            <w:pPr>
              <w:pStyle w:val="TableParagraph"/>
              <w:spacing w:before="43"/>
              <w:ind w:left="74"/>
              <w:jc w:val="left"/>
              <w:rPr>
                <w:sz w:val="16"/>
              </w:rPr>
            </w:pPr>
            <w:r>
              <w:rPr>
                <w:sz w:val="16"/>
              </w:rPr>
              <w:t>Professional full time</w:t>
            </w:r>
          </w:p>
        </w:tc>
        <w:tc>
          <w:tcPr>
            <w:tcW w:w="5041" w:type="dxa"/>
            <w:shd w:val="clear" w:color="auto" w:fill="E6E7E8"/>
          </w:tcPr>
          <w:p>
            <w:pPr>
              <w:pStyle w:val="TableParagraph"/>
              <w:spacing w:before="43"/>
              <w:ind w:right="74"/>
              <w:rPr>
                <w:sz w:val="16"/>
              </w:rPr>
            </w:pPr>
            <w:r>
              <w:rPr>
                <w:sz w:val="16"/>
              </w:rPr>
              <w:t>550</w:t>
            </w:r>
          </w:p>
        </w:tc>
      </w:tr>
      <w:tr>
        <w:trPr>
          <w:trHeight w:val="288" w:hRule="exact"/>
        </w:trPr>
        <w:tc>
          <w:tcPr>
            <w:tcW w:w="5041" w:type="dxa"/>
            <w:shd w:val="clear" w:color="auto" w:fill="E6E7E8"/>
          </w:tcPr>
          <w:p>
            <w:pPr>
              <w:pStyle w:val="TableParagraph"/>
              <w:spacing w:before="43"/>
              <w:ind w:left="74"/>
              <w:jc w:val="left"/>
              <w:rPr>
                <w:sz w:val="16"/>
              </w:rPr>
            </w:pPr>
            <w:r>
              <w:rPr>
                <w:sz w:val="16"/>
              </w:rPr>
              <w:t>Professional part time</w:t>
            </w:r>
          </w:p>
        </w:tc>
        <w:tc>
          <w:tcPr>
            <w:tcW w:w="5041" w:type="dxa"/>
            <w:shd w:val="clear" w:color="auto" w:fill="E6E7E8"/>
          </w:tcPr>
          <w:p>
            <w:pPr>
              <w:pStyle w:val="TableParagraph"/>
              <w:spacing w:before="43"/>
              <w:ind w:right="71"/>
              <w:rPr>
                <w:sz w:val="16"/>
              </w:rPr>
            </w:pPr>
            <w:r>
              <w:rPr>
                <w:sz w:val="16"/>
              </w:rPr>
              <w:t>45</w:t>
            </w:r>
          </w:p>
        </w:tc>
      </w:tr>
      <w:tr>
        <w:trPr>
          <w:trHeight w:val="288" w:hRule="exact"/>
        </w:trPr>
        <w:tc>
          <w:tcPr>
            <w:tcW w:w="5041" w:type="dxa"/>
            <w:shd w:val="clear" w:color="auto" w:fill="E6E7E8"/>
          </w:tcPr>
          <w:p>
            <w:pPr>
              <w:pStyle w:val="TableParagraph"/>
              <w:spacing w:before="43"/>
              <w:ind w:left="74"/>
              <w:jc w:val="left"/>
              <w:rPr>
                <w:sz w:val="16"/>
              </w:rPr>
            </w:pPr>
            <w:r>
              <w:rPr>
                <w:sz w:val="16"/>
              </w:rPr>
              <w:t>Nominations – academic full time</w:t>
            </w:r>
          </w:p>
        </w:tc>
        <w:tc>
          <w:tcPr>
            <w:tcW w:w="5041" w:type="dxa"/>
            <w:shd w:val="clear" w:color="auto" w:fill="E6E7E8"/>
          </w:tcPr>
          <w:p>
            <w:pPr>
              <w:pStyle w:val="TableParagraph"/>
              <w:spacing w:before="43"/>
              <w:ind w:right="73"/>
              <w:rPr>
                <w:sz w:val="16"/>
              </w:rPr>
            </w:pPr>
            <w:r>
              <w:rPr>
                <w:w w:val="90"/>
                <w:sz w:val="16"/>
              </w:rPr>
              <w:t>272</w:t>
            </w:r>
          </w:p>
        </w:tc>
      </w:tr>
      <w:tr>
        <w:trPr>
          <w:trHeight w:val="288" w:hRule="exact"/>
        </w:trPr>
        <w:tc>
          <w:tcPr>
            <w:tcW w:w="5041" w:type="dxa"/>
            <w:shd w:val="clear" w:color="auto" w:fill="E6E7E8"/>
          </w:tcPr>
          <w:p>
            <w:pPr>
              <w:pStyle w:val="TableParagraph"/>
              <w:spacing w:before="43"/>
              <w:ind w:left="74"/>
              <w:jc w:val="left"/>
              <w:rPr>
                <w:sz w:val="16"/>
              </w:rPr>
            </w:pPr>
            <w:r>
              <w:rPr>
                <w:sz w:val="16"/>
              </w:rPr>
              <w:t>Nominations – academic part time</w:t>
            </w:r>
          </w:p>
        </w:tc>
        <w:tc>
          <w:tcPr>
            <w:tcW w:w="5041" w:type="dxa"/>
            <w:shd w:val="clear" w:color="auto" w:fill="E6E7E8"/>
          </w:tcPr>
          <w:p>
            <w:pPr>
              <w:pStyle w:val="TableParagraph"/>
              <w:spacing w:before="43"/>
              <w:ind w:right="74"/>
              <w:rPr>
                <w:sz w:val="16"/>
              </w:rPr>
            </w:pPr>
            <w:r>
              <w:rPr>
                <w:w w:val="95"/>
                <w:sz w:val="16"/>
              </w:rPr>
              <w:t>42</w:t>
            </w:r>
          </w:p>
        </w:tc>
      </w:tr>
      <w:tr>
        <w:trPr>
          <w:trHeight w:val="288" w:hRule="exact"/>
        </w:trPr>
        <w:tc>
          <w:tcPr>
            <w:tcW w:w="5041" w:type="dxa"/>
            <w:shd w:val="clear" w:color="auto" w:fill="E6E7E8"/>
          </w:tcPr>
          <w:p>
            <w:pPr>
              <w:pStyle w:val="TableParagraph"/>
              <w:spacing w:before="43"/>
              <w:ind w:left="74"/>
              <w:jc w:val="left"/>
              <w:rPr>
                <w:sz w:val="16"/>
              </w:rPr>
            </w:pPr>
            <w:r>
              <w:rPr>
                <w:sz w:val="16"/>
              </w:rPr>
              <w:t>Nominations – professional full time</w:t>
            </w:r>
          </w:p>
        </w:tc>
        <w:tc>
          <w:tcPr>
            <w:tcW w:w="5041" w:type="dxa"/>
            <w:shd w:val="clear" w:color="auto" w:fill="E6E7E8"/>
          </w:tcPr>
          <w:p>
            <w:pPr>
              <w:pStyle w:val="TableParagraph"/>
              <w:spacing w:before="43"/>
              <w:ind w:right="69"/>
              <w:rPr>
                <w:sz w:val="16"/>
              </w:rPr>
            </w:pPr>
            <w:r>
              <w:rPr>
                <w:w w:val="80"/>
                <w:sz w:val="16"/>
              </w:rPr>
              <w:t>185</w:t>
            </w:r>
          </w:p>
        </w:tc>
      </w:tr>
      <w:tr>
        <w:trPr>
          <w:trHeight w:val="288" w:hRule="exact"/>
        </w:trPr>
        <w:tc>
          <w:tcPr>
            <w:tcW w:w="5041" w:type="dxa"/>
            <w:shd w:val="clear" w:color="auto" w:fill="E6E7E8"/>
          </w:tcPr>
          <w:p>
            <w:pPr>
              <w:pStyle w:val="TableParagraph"/>
              <w:spacing w:before="43"/>
              <w:ind w:left="74"/>
              <w:jc w:val="left"/>
              <w:rPr>
                <w:sz w:val="16"/>
              </w:rPr>
            </w:pPr>
            <w:r>
              <w:rPr>
                <w:sz w:val="16"/>
              </w:rPr>
              <w:t>Nominations – professional part time</w:t>
            </w:r>
          </w:p>
        </w:tc>
        <w:tc>
          <w:tcPr>
            <w:tcW w:w="5041" w:type="dxa"/>
            <w:shd w:val="clear" w:color="auto" w:fill="E6E7E8"/>
          </w:tcPr>
          <w:p>
            <w:pPr>
              <w:pStyle w:val="TableParagraph"/>
              <w:spacing w:before="43"/>
              <w:ind w:right="68"/>
              <w:rPr>
                <w:sz w:val="16"/>
              </w:rPr>
            </w:pPr>
            <w:r>
              <w:rPr>
                <w:w w:val="105"/>
                <w:sz w:val="16"/>
              </w:rPr>
              <w:t>40</w:t>
            </w:r>
          </w:p>
        </w:tc>
      </w:tr>
      <w:tr>
        <w:trPr>
          <w:trHeight w:val="288" w:hRule="exact"/>
        </w:trPr>
        <w:tc>
          <w:tcPr>
            <w:tcW w:w="5041" w:type="dxa"/>
            <w:shd w:val="clear" w:color="auto" w:fill="E6E7E8"/>
          </w:tcPr>
          <w:p>
            <w:pPr>
              <w:pStyle w:val="TableParagraph"/>
              <w:spacing w:before="43"/>
              <w:ind w:left="74"/>
              <w:jc w:val="left"/>
              <w:rPr>
                <w:sz w:val="16"/>
              </w:rPr>
            </w:pPr>
            <w:r>
              <w:rPr>
                <w:sz w:val="16"/>
              </w:rPr>
              <w:t>Honorary appointments</w:t>
            </w:r>
          </w:p>
        </w:tc>
        <w:tc>
          <w:tcPr>
            <w:tcW w:w="5041" w:type="dxa"/>
            <w:shd w:val="clear" w:color="auto" w:fill="E6E7E8"/>
          </w:tcPr>
          <w:p>
            <w:pPr>
              <w:pStyle w:val="TableParagraph"/>
              <w:spacing w:before="43"/>
              <w:ind w:right="73"/>
              <w:rPr>
                <w:sz w:val="16"/>
              </w:rPr>
            </w:pPr>
            <w:r>
              <w:rPr>
                <w:w w:val="80"/>
                <w:sz w:val="16"/>
              </w:rPr>
              <w:t>361</w:t>
            </w:r>
          </w:p>
        </w:tc>
      </w:tr>
      <w:tr>
        <w:trPr>
          <w:trHeight w:val="288" w:hRule="exact"/>
        </w:trPr>
        <w:tc>
          <w:tcPr>
            <w:tcW w:w="5041" w:type="dxa"/>
            <w:shd w:val="clear" w:color="auto" w:fill="E6E7E8"/>
          </w:tcPr>
          <w:p>
            <w:pPr>
              <w:pStyle w:val="TableParagraph"/>
              <w:spacing w:before="50"/>
              <w:ind w:left="74"/>
              <w:jc w:val="left"/>
              <w:rPr>
                <w:rFonts w:ascii="Calibri"/>
                <w:sz w:val="16"/>
              </w:rPr>
            </w:pPr>
            <w:r>
              <w:rPr>
                <w:rFonts w:ascii="Calibri"/>
                <w:w w:val="105"/>
                <w:sz w:val="16"/>
              </w:rPr>
              <w:t>Total transactions finalised in  2014</w:t>
            </w:r>
          </w:p>
        </w:tc>
        <w:tc>
          <w:tcPr>
            <w:tcW w:w="5041" w:type="dxa"/>
            <w:shd w:val="clear" w:color="auto" w:fill="E6E7E8"/>
          </w:tcPr>
          <w:p>
            <w:pPr>
              <w:pStyle w:val="TableParagraph"/>
              <w:spacing w:before="50"/>
              <w:ind w:right="73"/>
              <w:rPr>
                <w:rFonts w:ascii="Calibri"/>
                <w:sz w:val="16"/>
              </w:rPr>
            </w:pPr>
            <w:r>
              <w:rPr>
                <w:rFonts w:ascii="Calibri"/>
                <w:w w:val="95"/>
                <w:sz w:val="16"/>
              </w:rPr>
              <w:t>1,732</w:t>
            </w:r>
          </w:p>
        </w:tc>
      </w:tr>
    </w:tbl>
    <w:p>
      <w:pPr>
        <w:pStyle w:val="BodyText"/>
        <w:rPr>
          <w:sz w:val="20"/>
        </w:rPr>
      </w:pPr>
    </w:p>
    <w:p>
      <w:pPr>
        <w:pStyle w:val="BodyText"/>
        <w:rPr>
          <w:sz w:val="20"/>
        </w:rPr>
      </w:pPr>
    </w:p>
    <w:p>
      <w:pPr>
        <w:pStyle w:val="BodyText"/>
        <w:rPr>
          <w:sz w:val="20"/>
        </w:rPr>
      </w:pPr>
    </w:p>
    <w:p>
      <w:pPr>
        <w:pStyle w:val="BodyText"/>
        <w:spacing w:before="5" w:after="1"/>
        <w:rPr>
          <w:sz w:val="25"/>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429"/>
        <w:gridCol w:w="1332"/>
        <w:gridCol w:w="1332"/>
        <w:gridCol w:w="1332"/>
        <w:gridCol w:w="1332"/>
        <w:gridCol w:w="1332"/>
      </w:tblGrid>
      <w:tr>
        <w:trPr>
          <w:trHeight w:val="288" w:hRule="exact"/>
        </w:trPr>
        <w:tc>
          <w:tcPr>
            <w:tcW w:w="10091" w:type="dxa"/>
            <w:gridSpan w:val="6"/>
            <w:tcBorders>
              <w:top w:val="nil"/>
              <w:left w:val="nil"/>
              <w:bottom w:val="nil"/>
              <w:right w:val="nil"/>
            </w:tcBorders>
            <w:shd w:val="clear" w:color="auto" w:fill="939598"/>
          </w:tcPr>
          <w:p>
            <w:pPr>
              <w:pStyle w:val="TableParagraph"/>
              <w:tabs>
                <w:tab w:pos="5672" w:val="left" w:leader="none"/>
                <w:tab w:pos="7005" w:val="left" w:leader="none"/>
                <w:tab w:pos="8327" w:val="left" w:leader="none"/>
                <w:tab w:pos="9667" w:val="left" w:leader="none"/>
              </w:tabs>
              <w:spacing w:before="54"/>
              <w:ind w:left="4367"/>
              <w:jc w:val="left"/>
              <w:rPr>
                <w:rFonts w:ascii="Gotham Narrow Bold"/>
                <w:b/>
                <w:sz w:val="16"/>
              </w:rPr>
            </w:pPr>
            <w:r>
              <w:rPr>
                <w:rFonts w:ascii="Gotham Narrow Bold"/>
                <w:b/>
                <w:color w:val="FFFFFF"/>
                <w:sz w:val="16"/>
              </w:rPr>
              <w:t>2011</w:t>
              <w:tab/>
              <w:t>2012</w:t>
              <w:tab/>
              <w:t>2013</w:t>
              <w:tab/>
              <w:t>2014</w:t>
              <w:tab/>
              <w:t>2015</w:t>
            </w:r>
          </w:p>
        </w:tc>
      </w:tr>
      <w:tr>
        <w:trPr>
          <w:trHeight w:val="288" w:hRule="exact"/>
        </w:trPr>
        <w:tc>
          <w:tcPr>
            <w:tcW w:w="3429" w:type="dxa"/>
            <w:tcBorders>
              <w:top w:val="nil"/>
            </w:tcBorders>
            <w:shd w:val="clear" w:color="auto" w:fill="E6E7E8"/>
          </w:tcPr>
          <w:p>
            <w:pPr>
              <w:pStyle w:val="TableParagraph"/>
              <w:spacing w:before="48"/>
              <w:ind w:left="74"/>
              <w:jc w:val="left"/>
              <w:rPr>
                <w:sz w:val="16"/>
              </w:rPr>
            </w:pPr>
            <w:r>
              <w:rPr>
                <w:sz w:val="16"/>
              </w:rPr>
              <w:t>Incidents/accidents</w:t>
            </w:r>
          </w:p>
        </w:tc>
        <w:tc>
          <w:tcPr>
            <w:tcW w:w="1332" w:type="dxa"/>
            <w:tcBorders>
              <w:top w:val="nil"/>
            </w:tcBorders>
            <w:shd w:val="clear" w:color="auto" w:fill="E6E7E8"/>
          </w:tcPr>
          <w:p>
            <w:pPr>
              <w:pStyle w:val="TableParagraph"/>
              <w:spacing w:before="48"/>
              <w:ind w:right="73"/>
              <w:rPr>
                <w:sz w:val="16"/>
              </w:rPr>
            </w:pPr>
            <w:r>
              <w:rPr>
                <w:sz w:val="16"/>
              </w:rPr>
              <w:t>479.00</w:t>
            </w:r>
          </w:p>
        </w:tc>
        <w:tc>
          <w:tcPr>
            <w:tcW w:w="1332" w:type="dxa"/>
            <w:tcBorders>
              <w:top w:val="nil"/>
            </w:tcBorders>
            <w:shd w:val="clear" w:color="auto" w:fill="E6E7E8"/>
          </w:tcPr>
          <w:p>
            <w:pPr>
              <w:pStyle w:val="TableParagraph"/>
              <w:spacing w:before="48"/>
              <w:ind w:right="73"/>
              <w:rPr>
                <w:sz w:val="16"/>
              </w:rPr>
            </w:pPr>
            <w:r>
              <w:rPr>
                <w:sz w:val="16"/>
              </w:rPr>
              <w:t>478.00</w:t>
            </w:r>
          </w:p>
        </w:tc>
        <w:tc>
          <w:tcPr>
            <w:tcW w:w="1332" w:type="dxa"/>
            <w:tcBorders>
              <w:top w:val="nil"/>
            </w:tcBorders>
            <w:shd w:val="clear" w:color="auto" w:fill="E6E7E8"/>
          </w:tcPr>
          <w:p>
            <w:pPr>
              <w:pStyle w:val="TableParagraph"/>
              <w:spacing w:before="48"/>
              <w:ind w:right="74"/>
              <w:rPr>
                <w:sz w:val="16"/>
              </w:rPr>
            </w:pPr>
            <w:r>
              <w:rPr>
                <w:w w:val="95"/>
                <w:sz w:val="16"/>
              </w:rPr>
              <w:t>525.00</w:t>
            </w:r>
          </w:p>
        </w:tc>
        <w:tc>
          <w:tcPr>
            <w:tcW w:w="1332" w:type="dxa"/>
            <w:tcBorders>
              <w:top w:val="nil"/>
            </w:tcBorders>
            <w:shd w:val="clear" w:color="auto" w:fill="E6E7E8"/>
          </w:tcPr>
          <w:p>
            <w:pPr>
              <w:pStyle w:val="TableParagraph"/>
              <w:spacing w:before="48"/>
              <w:ind w:right="73"/>
              <w:rPr>
                <w:sz w:val="16"/>
              </w:rPr>
            </w:pPr>
            <w:r>
              <w:rPr>
                <w:sz w:val="16"/>
              </w:rPr>
              <w:t>475.00</w:t>
            </w:r>
          </w:p>
        </w:tc>
        <w:tc>
          <w:tcPr>
            <w:tcW w:w="1332" w:type="dxa"/>
            <w:tcBorders>
              <w:top w:val="nil"/>
            </w:tcBorders>
            <w:shd w:val="clear" w:color="auto" w:fill="E6E7E8"/>
          </w:tcPr>
          <w:p>
            <w:pPr>
              <w:pStyle w:val="TableParagraph"/>
              <w:spacing w:before="48"/>
              <w:ind w:right="68"/>
              <w:rPr>
                <w:sz w:val="16"/>
              </w:rPr>
            </w:pPr>
            <w:r>
              <w:rPr>
                <w:w w:val="95"/>
                <w:sz w:val="16"/>
              </w:rPr>
              <w:t>585.00</w:t>
            </w:r>
          </w:p>
        </w:tc>
      </w:tr>
      <w:tr>
        <w:trPr>
          <w:trHeight w:val="288" w:hRule="exact"/>
        </w:trPr>
        <w:tc>
          <w:tcPr>
            <w:tcW w:w="3429" w:type="dxa"/>
            <w:shd w:val="clear" w:color="auto" w:fill="E6E7E8"/>
          </w:tcPr>
          <w:p>
            <w:pPr>
              <w:pStyle w:val="TableParagraph"/>
              <w:spacing w:before="43"/>
              <w:ind w:left="75"/>
              <w:jc w:val="left"/>
              <w:rPr>
                <w:sz w:val="16"/>
              </w:rPr>
            </w:pPr>
            <w:r>
              <w:rPr>
                <w:sz w:val="16"/>
              </w:rPr>
              <w:t>Claims</w:t>
            </w:r>
          </w:p>
        </w:tc>
        <w:tc>
          <w:tcPr>
            <w:tcW w:w="1332" w:type="dxa"/>
            <w:shd w:val="clear" w:color="auto" w:fill="E6E7E8"/>
          </w:tcPr>
          <w:p>
            <w:pPr>
              <w:pStyle w:val="TableParagraph"/>
              <w:spacing w:before="43"/>
              <w:ind w:right="68"/>
              <w:rPr>
                <w:sz w:val="16"/>
              </w:rPr>
            </w:pPr>
            <w:r>
              <w:rPr>
                <w:sz w:val="16"/>
              </w:rPr>
              <w:t>58.00</w:t>
            </w:r>
          </w:p>
        </w:tc>
        <w:tc>
          <w:tcPr>
            <w:tcW w:w="1332" w:type="dxa"/>
            <w:shd w:val="clear" w:color="auto" w:fill="E6E7E8"/>
          </w:tcPr>
          <w:p>
            <w:pPr>
              <w:pStyle w:val="TableParagraph"/>
              <w:spacing w:before="43"/>
              <w:ind w:right="72"/>
              <w:rPr>
                <w:sz w:val="16"/>
              </w:rPr>
            </w:pPr>
            <w:r>
              <w:rPr>
                <w:sz w:val="16"/>
              </w:rPr>
              <w:t>54.00</w:t>
            </w:r>
          </w:p>
        </w:tc>
        <w:tc>
          <w:tcPr>
            <w:tcW w:w="1332" w:type="dxa"/>
            <w:shd w:val="clear" w:color="auto" w:fill="E6E7E8"/>
          </w:tcPr>
          <w:p>
            <w:pPr>
              <w:pStyle w:val="TableParagraph"/>
              <w:spacing w:before="43"/>
              <w:ind w:right="74"/>
              <w:rPr>
                <w:sz w:val="16"/>
              </w:rPr>
            </w:pPr>
            <w:r>
              <w:rPr>
                <w:sz w:val="16"/>
              </w:rPr>
              <w:t>50.00</w:t>
            </w:r>
          </w:p>
        </w:tc>
        <w:tc>
          <w:tcPr>
            <w:tcW w:w="1332" w:type="dxa"/>
            <w:shd w:val="clear" w:color="auto" w:fill="E6E7E8"/>
          </w:tcPr>
          <w:p>
            <w:pPr>
              <w:pStyle w:val="TableParagraph"/>
              <w:spacing w:before="43"/>
              <w:ind w:right="73"/>
              <w:rPr>
                <w:sz w:val="16"/>
              </w:rPr>
            </w:pPr>
            <w:r>
              <w:rPr>
                <w:sz w:val="16"/>
              </w:rPr>
              <w:t>26.00</w:t>
            </w:r>
          </w:p>
        </w:tc>
        <w:tc>
          <w:tcPr>
            <w:tcW w:w="1332" w:type="dxa"/>
            <w:shd w:val="clear" w:color="auto" w:fill="E6E7E8"/>
          </w:tcPr>
          <w:p>
            <w:pPr>
              <w:pStyle w:val="TableParagraph"/>
              <w:spacing w:before="43"/>
              <w:ind w:right="73"/>
              <w:rPr>
                <w:sz w:val="16"/>
              </w:rPr>
            </w:pPr>
            <w:r>
              <w:rPr>
                <w:w w:val="95"/>
                <w:sz w:val="16"/>
              </w:rPr>
              <w:t>35.00</w:t>
            </w:r>
          </w:p>
        </w:tc>
      </w:tr>
      <w:tr>
        <w:trPr>
          <w:trHeight w:val="288" w:hRule="exact"/>
        </w:trPr>
        <w:tc>
          <w:tcPr>
            <w:tcW w:w="3429" w:type="dxa"/>
            <w:shd w:val="clear" w:color="auto" w:fill="E6E7E8"/>
          </w:tcPr>
          <w:p>
            <w:pPr>
              <w:pStyle w:val="TableParagraph"/>
              <w:spacing w:before="43"/>
              <w:ind w:left="74"/>
              <w:jc w:val="left"/>
              <w:rPr>
                <w:sz w:val="16"/>
              </w:rPr>
            </w:pPr>
            <w:r>
              <w:rPr>
                <w:sz w:val="16"/>
              </w:rPr>
              <w:t>Frequency rate</w:t>
            </w:r>
          </w:p>
        </w:tc>
        <w:tc>
          <w:tcPr>
            <w:tcW w:w="1332" w:type="dxa"/>
            <w:shd w:val="clear" w:color="auto" w:fill="E6E7E8"/>
          </w:tcPr>
          <w:p>
            <w:pPr>
              <w:pStyle w:val="TableParagraph"/>
              <w:spacing w:before="43"/>
              <w:ind w:right="73"/>
              <w:rPr>
                <w:sz w:val="16"/>
              </w:rPr>
            </w:pPr>
            <w:r>
              <w:rPr>
                <w:w w:val="90"/>
                <w:sz w:val="16"/>
              </w:rPr>
              <w:t>6.79</w:t>
            </w:r>
          </w:p>
        </w:tc>
        <w:tc>
          <w:tcPr>
            <w:tcW w:w="1332" w:type="dxa"/>
            <w:shd w:val="clear" w:color="auto" w:fill="E6E7E8"/>
          </w:tcPr>
          <w:p>
            <w:pPr>
              <w:pStyle w:val="TableParagraph"/>
              <w:spacing w:before="43"/>
              <w:ind w:right="71"/>
              <w:rPr>
                <w:sz w:val="16"/>
              </w:rPr>
            </w:pPr>
            <w:r>
              <w:rPr>
                <w:w w:val="95"/>
                <w:sz w:val="16"/>
              </w:rPr>
              <w:t>5.45</w:t>
            </w:r>
          </w:p>
        </w:tc>
        <w:tc>
          <w:tcPr>
            <w:tcW w:w="1332" w:type="dxa"/>
            <w:shd w:val="clear" w:color="auto" w:fill="E6E7E8"/>
          </w:tcPr>
          <w:p>
            <w:pPr>
              <w:pStyle w:val="TableParagraph"/>
              <w:spacing w:before="43"/>
              <w:ind w:right="75"/>
              <w:rPr>
                <w:sz w:val="16"/>
              </w:rPr>
            </w:pPr>
            <w:r>
              <w:rPr>
                <w:w w:val="90"/>
                <w:sz w:val="16"/>
              </w:rPr>
              <w:t>5.07</w:t>
            </w:r>
          </w:p>
        </w:tc>
        <w:tc>
          <w:tcPr>
            <w:tcW w:w="1332" w:type="dxa"/>
            <w:shd w:val="clear" w:color="auto" w:fill="E6E7E8"/>
          </w:tcPr>
          <w:p>
            <w:pPr>
              <w:pStyle w:val="TableParagraph"/>
              <w:spacing w:before="43"/>
              <w:ind w:right="73"/>
              <w:rPr>
                <w:sz w:val="16"/>
              </w:rPr>
            </w:pPr>
            <w:r>
              <w:rPr>
                <w:w w:val="90"/>
                <w:sz w:val="16"/>
              </w:rPr>
              <w:t>3.59</w:t>
            </w:r>
          </w:p>
        </w:tc>
        <w:tc>
          <w:tcPr>
            <w:tcW w:w="1332" w:type="dxa"/>
            <w:shd w:val="clear" w:color="auto" w:fill="E6E7E8"/>
          </w:tcPr>
          <w:p>
            <w:pPr>
              <w:pStyle w:val="TableParagraph"/>
              <w:spacing w:before="43"/>
              <w:ind w:right="74"/>
              <w:rPr>
                <w:sz w:val="16"/>
              </w:rPr>
            </w:pPr>
            <w:r>
              <w:rPr>
                <w:w w:val="90"/>
                <w:sz w:val="16"/>
              </w:rPr>
              <w:t>3.70</w:t>
            </w:r>
          </w:p>
        </w:tc>
      </w:tr>
      <w:tr>
        <w:trPr>
          <w:trHeight w:val="288" w:hRule="exact"/>
        </w:trPr>
        <w:tc>
          <w:tcPr>
            <w:tcW w:w="3429" w:type="dxa"/>
            <w:shd w:val="clear" w:color="auto" w:fill="E6E7E8"/>
          </w:tcPr>
          <w:p>
            <w:pPr>
              <w:pStyle w:val="TableParagraph"/>
              <w:spacing w:before="43"/>
              <w:ind w:left="74"/>
              <w:jc w:val="left"/>
              <w:rPr>
                <w:sz w:val="16"/>
              </w:rPr>
            </w:pPr>
            <w:r>
              <w:rPr>
                <w:w w:val="95"/>
                <w:sz w:val="16"/>
              </w:rPr>
              <w:t>Incident rate</w:t>
            </w:r>
          </w:p>
        </w:tc>
        <w:tc>
          <w:tcPr>
            <w:tcW w:w="1332" w:type="dxa"/>
            <w:shd w:val="clear" w:color="auto" w:fill="E6E7E8"/>
          </w:tcPr>
          <w:p>
            <w:pPr>
              <w:pStyle w:val="TableParagraph"/>
              <w:spacing w:before="43"/>
              <w:ind w:right="73"/>
              <w:rPr>
                <w:sz w:val="16"/>
              </w:rPr>
            </w:pPr>
            <w:r>
              <w:rPr>
                <w:spacing w:val="2"/>
                <w:w w:val="111"/>
                <w:sz w:val="16"/>
              </w:rPr>
              <w:t>0</w:t>
            </w:r>
            <w:r>
              <w:rPr>
                <w:spacing w:val="6"/>
                <w:w w:val="68"/>
                <w:sz w:val="16"/>
              </w:rPr>
              <w:t>.</w:t>
            </w:r>
            <w:r>
              <w:rPr>
                <w:spacing w:val="4"/>
                <w:w w:val="95"/>
                <w:sz w:val="16"/>
              </w:rPr>
              <w:t>5</w:t>
            </w:r>
            <w:r>
              <w:rPr>
                <w:w w:val="54"/>
                <w:sz w:val="16"/>
              </w:rPr>
              <w:t>1</w:t>
            </w:r>
          </w:p>
        </w:tc>
        <w:tc>
          <w:tcPr>
            <w:tcW w:w="1332" w:type="dxa"/>
            <w:shd w:val="clear" w:color="auto" w:fill="E6E7E8"/>
          </w:tcPr>
          <w:p>
            <w:pPr>
              <w:pStyle w:val="TableParagraph"/>
              <w:spacing w:before="43"/>
              <w:ind w:right="73"/>
              <w:rPr>
                <w:sz w:val="16"/>
              </w:rPr>
            </w:pPr>
            <w:r>
              <w:rPr>
                <w:w w:val="95"/>
                <w:sz w:val="16"/>
              </w:rPr>
              <w:t>0.43</w:t>
            </w:r>
          </w:p>
        </w:tc>
        <w:tc>
          <w:tcPr>
            <w:tcW w:w="1332" w:type="dxa"/>
            <w:shd w:val="clear" w:color="auto" w:fill="E6E7E8"/>
          </w:tcPr>
          <w:p>
            <w:pPr>
              <w:pStyle w:val="TableParagraph"/>
              <w:spacing w:before="43"/>
              <w:ind w:right="73"/>
              <w:rPr>
                <w:sz w:val="16"/>
              </w:rPr>
            </w:pPr>
            <w:r>
              <w:rPr>
                <w:w w:val="95"/>
                <w:sz w:val="16"/>
              </w:rPr>
              <w:t>0.36</w:t>
            </w:r>
          </w:p>
        </w:tc>
        <w:tc>
          <w:tcPr>
            <w:tcW w:w="1332" w:type="dxa"/>
            <w:shd w:val="clear" w:color="auto" w:fill="E6E7E8"/>
          </w:tcPr>
          <w:p>
            <w:pPr>
              <w:pStyle w:val="TableParagraph"/>
              <w:spacing w:before="43"/>
              <w:ind w:right="70"/>
              <w:rPr>
                <w:sz w:val="16"/>
              </w:rPr>
            </w:pPr>
            <w:r>
              <w:rPr>
                <w:w w:val="95"/>
                <w:sz w:val="16"/>
              </w:rPr>
              <w:t>0.26</w:t>
            </w:r>
          </w:p>
        </w:tc>
        <w:tc>
          <w:tcPr>
            <w:tcW w:w="1332" w:type="dxa"/>
            <w:shd w:val="clear" w:color="auto" w:fill="E6E7E8"/>
          </w:tcPr>
          <w:p>
            <w:pPr>
              <w:pStyle w:val="TableParagraph"/>
              <w:spacing w:before="43"/>
              <w:ind w:right="72"/>
              <w:rPr>
                <w:sz w:val="16"/>
              </w:rPr>
            </w:pPr>
            <w:r>
              <w:rPr>
                <w:w w:val="90"/>
                <w:sz w:val="16"/>
              </w:rPr>
              <w:t>0.27</w:t>
            </w:r>
          </w:p>
        </w:tc>
      </w:tr>
      <w:tr>
        <w:trPr>
          <w:trHeight w:val="288" w:hRule="exact"/>
        </w:trPr>
        <w:tc>
          <w:tcPr>
            <w:tcW w:w="3429" w:type="dxa"/>
            <w:shd w:val="clear" w:color="auto" w:fill="E6E7E8"/>
          </w:tcPr>
          <w:p>
            <w:pPr>
              <w:pStyle w:val="TableParagraph"/>
              <w:spacing w:before="43"/>
              <w:ind w:left="74"/>
              <w:jc w:val="left"/>
              <w:rPr>
                <w:sz w:val="16"/>
              </w:rPr>
            </w:pPr>
            <w:r>
              <w:rPr>
                <w:sz w:val="16"/>
              </w:rPr>
              <w:t>Average lost time (days)</w:t>
            </w:r>
          </w:p>
        </w:tc>
        <w:tc>
          <w:tcPr>
            <w:tcW w:w="1332" w:type="dxa"/>
            <w:shd w:val="clear" w:color="auto" w:fill="E6E7E8"/>
          </w:tcPr>
          <w:p>
            <w:pPr>
              <w:pStyle w:val="TableParagraph"/>
              <w:spacing w:before="43"/>
              <w:ind w:right="74"/>
              <w:rPr>
                <w:sz w:val="16"/>
              </w:rPr>
            </w:pPr>
            <w:r>
              <w:rPr>
                <w:w w:val="90"/>
                <w:sz w:val="16"/>
              </w:rPr>
              <w:t>23.54</w:t>
            </w:r>
          </w:p>
        </w:tc>
        <w:tc>
          <w:tcPr>
            <w:tcW w:w="1332" w:type="dxa"/>
            <w:shd w:val="clear" w:color="auto" w:fill="E6E7E8"/>
          </w:tcPr>
          <w:p>
            <w:pPr>
              <w:pStyle w:val="TableParagraph"/>
              <w:spacing w:before="43"/>
              <w:ind w:right="74"/>
              <w:rPr>
                <w:sz w:val="16"/>
              </w:rPr>
            </w:pPr>
            <w:r>
              <w:rPr>
                <w:w w:val="80"/>
                <w:sz w:val="16"/>
              </w:rPr>
              <w:t>9.13</w:t>
            </w:r>
          </w:p>
        </w:tc>
        <w:tc>
          <w:tcPr>
            <w:tcW w:w="1332" w:type="dxa"/>
            <w:shd w:val="clear" w:color="auto" w:fill="E6E7E8"/>
          </w:tcPr>
          <w:p>
            <w:pPr>
              <w:pStyle w:val="TableParagraph"/>
              <w:spacing w:before="43"/>
              <w:ind w:right="69"/>
              <w:rPr>
                <w:sz w:val="16"/>
              </w:rPr>
            </w:pPr>
            <w:r>
              <w:rPr>
                <w:w w:val="85"/>
                <w:sz w:val="16"/>
              </w:rPr>
              <w:t>18.89</w:t>
            </w:r>
          </w:p>
        </w:tc>
        <w:tc>
          <w:tcPr>
            <w:tcW w:w="1332" w:type="dxa"/>
            <w:shd w:val="clear" w:color="auto" w:fill="E6E7E8"/>
          </w:tcPr>
          <w:p>
            <w:pPr>
              <w:pStyle w:val="TableParagraph"/>
              <w:spacing w:before="43"/>
              <w:ind w:right="74"/>
              <w:rPr>
                <w:sz w:val="16"/>
              </w:rPr>
            </w:pPr>
            <w:r>
              <w:rPr>
                <w:w w:val="90"/>
                <w:sz w:val="16"/>
              </w:rPr>
              <w:t>14.09</w:t>
            </w:r>
          </w:p>
        </w:tc>
        <w:tc>
          <w:tcPr>
            <w:tcW w:w="1332" w:type="dxa"/>
            <w:shd w:val="clear" w:color="auto" w:fill="E6E7E8"/>
          </w:tcPr>
          <w:p>
            <w:pPr>
              <w:pStyle w:val="TableParagraph"/>
              <w:spacing w:before="43"/>
              <w:ind w:right="73"/>
              <w:rPr>
                <w:sz w:val="16"/>
              </w:rPr>
            </w:pPr>
            <w:r>
              <w:rPr>
                <w:w w:val="90"/>
                <w:sz w:val="16"/>
              </w:rPr>
              <w:t>7.24</w:t>
            </w:r>
          </w:p>
        </w:tc>
      </w:tr>
    </w:tbl>
    <w:p>
      <w:pPr>
        <w:pStyle w:val="BodyText"/>
        <w:rPr>
          <w:sz w:val="20"/>
        </w:rPr>
      </w:pPr>
    </w:p>
    <w:p>
      <w:pPr>
        <w:pStyle w:val="BodyText"/>
        <w:rPr>
          <w:sz w:val="20"/>
        </w:rPr>
      </w:pPr>
    </w:p>
    <w:p>
      <w:pPr>
        <w:pStyle w:val="BodyText"/>
        <w:spacing w:before="6"/>
      </w:pPr>
    </w:p>
    <w:p>
      <w:pPr>
        <w:spacing w:after="0"/>
        <w:sectPr>
          <w:pgSz w:w="11910" w:h="16840"/>
          <w:pgMar w:header="494" w:footer="473" w:top="680" w:bottom="660" w:left="580" w:right="580"/>
        </w:sectPr>
      </w:pPr>
    </w:p>
    <w:p>
      <w:pPr>
        <w:pStyle w:val="BodyText"/>
        <w:spacing w:line="249" w:lineRule="auto" w:before="71"/>
        <w:ind w:left="327" w:right="-12"/>
      </w:pPr>
      <w:r>
        <w:rPr/>
        <w:pict>
          <v:group style="position:absolute;margin-left:34.015999pt;margin-top:-386.027679pt;width:527.25pt;height:381.3pt;mso-position-horizontal-relative:page;mso-position-vertical-relative:paragraph;z-index:-332776" coordorigin="680,-7721" coordsize="10545,7626">
            <v:rect style="position:absolute;left:680;top:-7721;width:10545;height:7625" filled="true" fillcolor="#e6e7e8" stroked="false">
              <v:fill type="solid"/>
            </v:rect>
            <v:shape style="position:absolute;left:907;top:-7490;width:7711;height:644" type="#_x0000_t202" filled="false" stroked="false">
              <v:textbox inset="0,0,0,0">
                <w:txbxContent>
                  <w:p>
                    <w:pPr>
                      <w:spacing w:line="246" w:lineRule="exact" w:before="0"/>
                      <w:ind w:left="0" w:right="0" w:firstLine="0"/>
                      <w:jc w:val="left"/>
                      <w:rPr>
                        <w:rFonts w:ascii="Gotham Narrow Bold"/>
                        <w:b/>
                        <w:sz w:val="24"/>
                      </w:rPr>
                    </w:pPr>
                    <w:r>
                      <w:rPr>
                        <w:rFonts w:ascii="Gotham Narrow Bold"/>
                        <w:b/>
                        <w:sz w:val="24"/>
                      </w:rPr>
                      <w:t>DATA AT A GLANCE</w:t>
                    </w:r>
                  </w:p>
                  <w:p>
                    <w:pPr>
                      <w:spacing w:line="189" w:lineRule="exact" w:before="209"/>
                      <w:ind w:left="0" w:right="0" w:firstLine="0"/>
                      <w:jc w:val="left"/>
                      <w:rPr>
                        <w:sz w:val="16"/>
                      </w:rPr>
                    </w:pPr>
                    <w:r>
                      <w:rPr>
                        <w:spacing w:val="3"/>
                        <w:w w:val="104"/>
                        <w:sz w:val="16"/>
                      </w:rPr>
                      <w:t>B</w:t>
                    </w:r>
                    <w:r>
                      <w:rPr>
                        <w:w w:val="95"/>
                        <w:sz w:val="16"/>
                      </w:rPr>
                      <w:t>e</w:t>
                    </w:r>
                    <w:r>
                      <w:rPr>
                        <w:spacing w:val="3"/>
                        <w:w w:val="102"/>
                        <w:sz w:val="16"/>
                      </w:rPr>
                      <w:t>t</w:t>
                    </w:r>
                    <w:r>
                      <w:rPr>
                        <w:spacing w:val="-1"/>
                        <w:w w:val="101"/>
                        <w:sz w:val="16"/>
                      </w:rPr>
                      <w:t>w</w:t>
                    </w:r>
                    <w:r>
                      <w:rPr>
                        <w:spacing w:val="3"/>
                        <w:w w:val="95"/>
                        <w:sz w:val="16"/>
                      </w:rPr>
                      <w:t>e</w:t>
                    </w:r>
                    <w:r>
                      <w:rPr>
                        <w:spacing w:val="2"/>
                        <w:w w:val="95"/>
                        <w:sz w:val="16"/>
                      </w:rPr>
                      <w:t>e</w:t>
                    </w:r>
                    <w:r>
                      <w:rPr>
                        <w:w w:val="95"/>
                        <w:sz w:val="16"/>
                      </w:rPr>
                      <w:t>n</w:t>
                    </w:r>
                    <w:r>
                      <w:rPr>
                        <w:spacing w:val="-12"/>
                        <w:sz w:val="16"/>
                      </w:rPr>
                      <w:t> </w:t>
                    </w:r>
                    <w:r>
                      <w:rPr>
                        <w:spacing w:val="2"/>
                        <w:w w:val="108"/>
                        <w:sz w:val="16"/>
                      </w:rPr>
                      <w:t>J</w:t>
                    </w:r>
                    <w:r>
                      <w:rPr>
                        <w:spacing w:val="2"/>
                        <w:w w:val="94"/>
                        <w:sz w:val="16"/>
                      </w:rPr>
                      <w:t>a</w:t>
                    </w:r>
                    <w:r>
                      <w:rPr>
                        <w:spacing w:val="2"/>
                        <w:w w:val="95"/>
                        <w:sz w:val="16"/>
                      </w:rPr>
                      <w:t>nu</w:t>
                    </w:r>
                    <w:r>
                      <w:rPr>
                        <w:spacing w:val="2"/>
                        <w:w w:val="94"/>
                        <w:sz w:val="16"/>
                      </w:rPr>
                      <w:t>a</w:t>
                    </w:r>
                    <w:r>
                      <w:rPr>
                        <w:spacing w:val="5"/>
                        <w:w w:val="95"/>
                        <w:sz w:val="16"/>
                      </w:rPr>
                      <w:t>r</w:t>
                    </w:r>
                    <w:r>
                      <w:rPr>
                        <w:w w:val="101"/>
                        <w:sz w:val="16"/>
                      </w:rPr>
                      <w:t>y</w:t>
                    </w:r>
                    <w:r>
                      <w:rPr>
                        <w:spacing w:val="-12"/>
                        <w:sz w:val="16"/>
                      </w:rPr>
                      <w:t> </w:t>
                    </w:r>
                    <w:r>
                      <w:rPr>
                        <w:spacing w:val="2"/>
                        <w:w w:val="94"/>
                        <w:sz w:val="16"/>
                      </w:rPr>
                      <w:t>a</w:t>
                    </w:r>
                    <w:r>
                      <w:rPr>
                        <w:spacing w:val="2"/>
                        <w:w w:val="95"/>
                        <w:sz w:val="16"/>
                      </w:rPr>
                      <w:t>n</w:t>
                    </w:r>
                    <w:r>
                      <w:rPr>
                        <w:w w:val="102"/>
                        <w:sz w:val="16"/>
                      </w:rPr>
                      <w:t>d</w:t>
                    </w:r>
                    <w:r>
                      <w:rPr>
                        <w:spacing w:val="-12"/>
                        <w:sz w:val="16"/>
                      </w:rPr>
                      <w:t> </w:t>
                    </w:r>
                    <w:r>
                      <w:rPr>
                        <w:spacing w:val="3"/>
                        <w:w w:val="98"/>
                        <w:sz w:val="16"/>
                      </w:rPr>
                      <w:t>D</w:t>
                    </w:r>
                    <w:r>
                      <w:rPr>
                        <w:spacing w:val="3"/>
                        <w:w w:val="95"/>
                        <w:sz w:val="16"/>
                      </w:rPr>
                      <w:t>e</w:t>
                    </w:r>
                    <w:r>
                      <w:rPr>
                        <w:w w:val="102"/>
                        <w:sz w:val="16"/>
                      </w:rPr>
                      <w:t>c</w:t>
                    </w:r>
                    <w:r>
                      <w:rPr>
                        <w:spacing w:val="2"/>
                        <w:w w:val="95"/>
                        <w:sz w:val="16"/>
                      </w:rPr>
                      <w:t>e</w:t>
                    </w:r>
                    <w:r>
                      <w:rPr>
                        <w:spacing w:val="2"/>
                        <w:w w:val="98"/>
                        <w:sz w:val="16"/>
                      </w:rPr>
                      <w:t>m</w:t>
                    </w:r>
                    <w:r>
                      <w:rPr>
                        <w:spacing w:val="2"/>
                        <w:w w:val="102"/>
                        <w:sz w:val="16"/>
                      </w:rPr>
                      <w:t>b</w:t>
                    </w:r>
                    <w:r>
                      <w:rPr>
                        <w:spacing w:val="2"/>
                        <w:w w:val="95"/>
                        <w:sz w:val="16"/>
                      </w:rPr>
                      <w:t>e</w:t>
                    </w:r>
                    <w:r>
                      <w:rPr>
                        <w:w w:val="95"/>
                        <w:sz w:val="16"/>
                      </w:rPr>
                      <w:t>r</w:t>
                    </w:r>
                    <w:r>
                      <w:rPr>
                        <w:spacing w:val="-12"/>
                        <w:sz w:val="16"/>
                      </w:rPr>
                      <w:t> </w:t>
                    </w:r>
                    <w:r>
                      <w:rPr>
                        <w:spacing w:val="2"/>
                        <w:w w:val="93"/>
                        <w:sz w:val="16"/>
                      </w:rPr>
                      <w:t>2</w:t>
                    </w:r>
                    <w:r>
                      <w:rPr>
                        <w:spacing w:val="1"/>
                        <w:w w:val="111"/>
                        <w:sz w:val="16"/>
                      </w:rPr>
                      <w:t>0</w:t>
                    </w:r>
                    <w:r>
                      <w:rPr>
                        <w:spacing w:val="2"/>
                        <w:w w:val="54"/>
                        <w:sz w:val="16"/>
                      </w:rPr>
                      <w:t>1</w:t>
                    </w:r>
                    <w:r>
                      <w:rPr>
                        <w:spacing w:val="4"/>
                        <w:w w:val="95"/>
                        <w:sz w:val="16"/>
                      </w:rPr>
                      <w:t>5</w:t>
                    </w:r>
                    <w:r>
                      <w:rPr>
                        <w:w w:val="68"/>
                        <w:sz w:val="16"/>
                      </w:rPr>
                      <w:t>,</w:t>
                    </w:r>
                    <w:r>
                      <w:rPr>
                        <w:spacing w:val="-12"/>
                        <w:sz w:val="16"/>
                      </w:rPr>
                      <w:t> </w:t>
                    </w:r>
                    <w:r>
                      <w:rPr>
                        <w:w w:val="102"/>
                        <w:sz w:val="16"/>
                      </w:rPr>
                      <w:t>t</w:t>
                    </w:r>
                    <w:r>
                      <w:rPr>
                        <w:spacing w:val="2"/>
                        <w:w w:val="95"/>
                        <w:sz w:val="16"/>
                      </w:rPr>
                      <w:t>h</w:t>
                    </w:r>
                    <w:r>
                      <w:rPr>
                        <w:spacing w:val="2"/>
                        <w:w w:val="95"/>
                        <w:sz w:val="16"/>
                      </w:rPr>
                      <w:t>e</w:t>
                    </w:r>
                    <w:r>
                      <w:rPr>
                        <w:spacing w:val="-1"/>
                        <w:w w:val="95"/>
                        <w:sz w:val="16"/>
                      </w:rPr>
                      <w:t>r</w:t>
                    </w:r>
                    <w:r>
                      <w:rPr>
                        <w:w w:val="95"/>
                        <w:sz w:val="16"/>
                      </w:rPr>
                      <w:t>e</w:t>
                    </w:r>
                    <w:r>
                      <w:rPr>
                        <w:spacing w:val="-12"/>
                        <w:sz w:val="16"/>
                      </w:rPr>
                      <w:t> </w:t>
                    </w:r>
                    <w:r>
                      <w:rPr>
                        <w:spacing w:val="-1"/>
                        <w:w w:val="101"/>
                        <w:sz w:val="16"/>
                      </w:rPr>
                      <w:t>w</w:t>
                    </w:r>
                    <w:r>
                      <w:rPr>
                        <w:spacing w:val="2"/>
                        <w:w w:val="95"/>
                        <w:sz w:val="16"/>
                      </w:rPr>
                      <w:t>e</w:t>
                    </w:r>
                    <w:r>
                      <w:rPr>
                        <w:spacing w:val="-1"/>
                        <w:w w:val="95"/>
                        <w:sz w:val="16"/>
                      </w:rPr>
                      <w:t>r</w:t>
                    </w:r>
                    <w:r>
                      <w:rPr>
                        <w:w w:val="95"/>
                        <w:sz w:val="16"/>
                      </w:rPr>
                      <w:t>e</w:t>
                    </w:r>
                    <w:r>
                      <w:rPr>
                        <w:spacing w:val="-12"/>
                        <w:sz w:val="16"/>
                      </w:rPr>
                      <w:t> </w:t>
                    </w:r>
                    <w:r>
                      <w:rPr>
                        <w:spacing w:val="4"/>
                        <w:w w:val="54"/>
                        <w:sz w:val="16"/>
                      </w:rPr>
                      <w:t>1</w:t>
                    </w:r>
                    <w:r>
                      <w:rPr>
                        <w:w w:val="83"/>
                        <w:sz w:val="16"/>
                      </w:rPr>
                      <w:t>,</w:t>
                    </w:r>
                    <w:r>
                      <w:rPr>
                        <w:spacing w:val="3"/>
                        <w:w w:val="83"/>
                        <w:sz w:val="16"/>
                      </w:rPr>
                      <w:t>7</w:t>
                    </w:r>
                    <w:r>
                      <w:rPr>
                        <w:spacing w:val="1"/>
                        <w:w w:val="94"/>
                        <w:sz w:val="16"/>
                      </w:rPr>
                      <w:t>3</w:t>
                    </w:r>
                    <w:r>
                      <w:rPr>
                        <w:w w:val="93"/>
                        <w:sz w:val="16"/>
                      </w:rPr>
                      <w:t>2</w:t>
                    </w:r>
                    <w:r>
                      <w:rPr>
                        <w:spacing w:val="-12"/>
                        <w:sz w:val="16"/>
                      </w:rPr>
                      <w:t> </w:t>
                    </w:r>
                    <w:r>
                      <w:rPr>
                        <w:spacing w:val="-1"/>
                        <w:w w:val="95"/>
                        <w:sz w:val="16"/>
                      </w:rPr>
                      <w:t>r</w:t>
                    </w:r>
                    <w:r>
                      <w:rPr>
                        <w:spacing w:val="3"/>
                        <w:w w:val="95"/>
                        <w:sz w:val="16"/>
                      </w:rPr>
                      <w:t>e</w:t>
                    </w:r>
                    <w:r>
                      <w:rPr>
                        <w:spacing w:val="2"/>
                        <w:w w:val="102"/>
                        <w:sz w:val="16"/>
                      </w:rPr>
                      <w:t>q</w:t>
                    </w:r>
                    <w:r>
                      <w:rPr>
                        <w:spacing w:val="2"/>
                        <w:w w:val="95"/>
                        <w:sz w:val="16"/>
                      </w:rPr>
                      <w:t>u</w:t>
                    </w:r>
                    <w:r>
                      <w:rPr>
                        <w:spacing w:val="3"/>
                        <w:w w:val="95"/>
                        <w:sz w:val="16"/>
                      </w:rPr>
                      <w:t>e</w:t>
                    </w:r>
                    <w:r>
                      <w:rPr>
                        <w:spacing w:val="3"/>
                        <w:w w:val="95"/>
                        <w:sz w:val="16"/>
                      </w:rPr>
                      <w:t>s</w:t>
                    </w:r>
                    <w:r>
                      <w:rPr>
                        <w:spacing w:val="4"/>
                        <w:w w:val="102"/>
                        <w:sz w:val="16"/>
                      </w:rPr>
                      <w:t>t</w:t>
                    </w:r>
                    <w:r>
                      <w:rPr>
                        <w:w w:val="95"/>
                        <w:sz w:val="16"/>
                      </w:rPr>
                      <w:t>s</w:t>
                    </w:r>
                    <w:r>
                      <w:rPr>
                        <w:spacing w:val="-12"/>
                        <w:sz w:val="16"/>
                      </w:rPr>
                      <w:t> </w:t>
                    </w:r>
                    <w:r>
                      <w:rPr>
                        <w:w w:val="98"/>
                        <w:sz w:val="16"/>
                      </w:rPr>
                      <w:t>f</w:t>
                    </w:r>
                    <w:r>
                      <w:rPr>
                        <w:spacing w:val="2"/>
                        <w:w w:val="100"/>
                        <w:sz w:val="16"/>
                      </w:rPr>
                      <w:t>o</w:t>
                    </w:r>
                    <w:r>
                      <w:rPr>
                        <w:w w:val="95"/>
                        <w:sz w:val="16"/>
                      </w:rPr>
                      <w:t>r</w:t>
                    </w:r>
                    <w:r>
                      <w:rPr>
                        <w:spacing w:val="-12"/>
                        <w:sz w:val="16"/>
                      </w:rPr>
                      <w:t> </w:t>
                    </w:r>
                    <w:r>
                      <w:rPr>
                        <w:spacing w:val="-1"/>
                        <w:w w:val="95"/>
                        <w:sz w:val="16"/>
                      </w:rPr>
                      <w:t>r</w:t>
                    </w:r>
                    <w:r>
                      <w:rPr>
                        <w:spacing w:val="3"/>
                        <w:w w:val="95"/>
                        <w:sz w:val="16"/>
                      </w:rPr>
                      <w:t>e</w:t>
                    </w:r>
                    <w:r>
                      <w:rPr>
                        <w:spacing w:val="1"/>
                        <w:w w:val="102"/>
                        <w:sz w:val="16"/>
                      </w:rPr>
                      <w:t>c</w:t>
                    </w:r>
                    <w:r>
                      <w:rPr>
                        <w:spacing w:val="2"/>
                        <w:w w:val="95"/>
                        <w:sz w:val="16"/>
                      </w:rPr>
                      <w:t>r</w:t>
                    </w:r>
                    <w:r>
                      <w:rPr>
                        <w:spacing w:val="1"/>
                        <w:w w:val="95"/>
                        <w:sz w:val="16"/>
                      </w:rPr>
                      <w:t>u</w:t>
                    </w:r>
                    <w:r>
                      <w:rPr>
                        <w:w w:val="95"/>
                        <w:sz w:val="16"/>
                      </w:rPr>
                      <w:t>i</w:t>
                    </w:r>
                    <w:r>
                      <w:rPr>
                        <w:w w:val="102"/>
                        <w:sz w:val="16"/>
                      </w:rPr>
                      <w:t>t</w:t>
                    </w:r>
                    <w:r>
                      <w:rPr>
                        <w:spacing w:val="2"/>
                        <w:w w:val="98"/>
                        <w:sz w:val="16"/>
                      </w:rPr>
                      <w:t>m</w:t>
                    </w:r>
                    <w:r>
                      <w:rPr>
                        <w:spacing w:val="2"/>
                        <w:w w:val="95"/>
                        <w:sz w:val="16"/>
                      </w:rPr>
                      <w:t>e</w:t>
                    </w:r>
                    <w:r>
                      <w:rPr>
                        <w:w w:val="95"/>
                        <w:sz w:val="16"/>
                      </w:rPr>
                      <w:t>n</w:t>
                    </w:r>
                    <w:r>
                      <w:rPr>
                        <w:w w:val="102"/>
                        <w:sz w:val="16"/>
                      </w:rPr>
                      <w:t>t</w:t>
                    </w:r>
                    <w:r>
                      <w:rPr>
                        <w:spacing w:val="-12"/>
                        <w:sz w:val="16"/>
                      </w:rPr>
                      <w:t> </w:t>
                    </w:r>
                    <w:r>
                      <w:rPr>
                        <w:spacing w:val="1"/>
                        <w:w w:val="95"/>
                        <w:sz w:val="16"/>
                      </w:rPr>
                      <w:t>u</w:t>
                    </w:r>
                    <w:r>
                      <w:rPr>
                        <w:spacing w:val="2"/>
                        <w:w w:val="95"/>
                        <w:sz w:val="16"/>
                      </w:rPr>
                      <w:t>n</w:t>
                    </w:r>
                    <w:r>
                      <w:rPr>
                        <w:spacing w:val="2"/>
                        <w:w w:val="102"/>
                        <w:sz w:val="16"/>
                      </w:rPr>
                      <w:t>d</w:t>
                    </w:r>
                    <w:r>
                      <w:rPr>
                        <w:spacing w:val="2"/>
                        <w:w w:val="95"/>
                        <w:sz w:val="16"/>
                      </w:rPr>
                      <w:t>e</w:t>
                    </w:r>
                    <w:r>
                      <w:rPr>
                        <w:w w:val="95"/>
                        <w:sz w:val="16"/>
                      </w:rPr>
                      <w:t>r</w:t>
                    </w:r>
                    <w:r>
                      <w:rPr>
                        <w:spacing w:val="-12"/>
                        <w:sz w:val="16"/>
                      </w:rPr>
                      <w:t> </w:t>
                    </w:r>
                    <w:r>
                      <w:rPr>
                        <w:w w:val="102"/>
                        <w:sz w:val="16"/>
                      </w:rPr>
                      <w:t>t</w:t>
                    </w:r>
                    <w:r>
                      <w:rPr>
                        <w:spacing w:val="2"/>
                        <w:w w:val="95"/>
                        <w:sz w:val="16"/>
                      </w:rPr>
                      <w:t>h</w:t>
                    </w:r>
                    <w:r>
                      <w:rPr>
                        <w:w w:val="95"/>
                        <w:sz w:val="16"/>
                      </w:rPr>
                      <w:t>e</w:t>
                    </w:r>
                    <w:r>
                      <w:rPr>
                        <w:spacing w:val="-12"/>
                        <w:sz w:val="16"/>
                      </w:rPr>
                      <w:t> </w:t>
                    </w:r>
                    <w:r>
                      <w:rPr>
                        <w:w w:val="98"/>
                        <w:sz w:val="16"/>
                      </w:rPr>
                      <w:t>f</w:t>
                    </w:r>
                    <w:r>
                      <w:rPr>
                        <w:spacing w:val="2"/>
                        <w:w w:val="100"/>
                        <w:sz w:val="16"/>
                      </w:rPr>
                      <w:t>o</w:t>
                    </w:r>
                    <w:r>
                      <w:rPr>
                        <w:w w:val="95"/>
                        <w:sz w:val="16"/>
                      </w:rPr>
                      <w:t>l</w:t>
                    </w:r>
                    <w:r>
                      <w:rPr>
                        <w:spacing w:val="1"/>
                        <w:w w:val="95"/>
                        <w:sz w:val="16"/>
                      </w:rPr>
                      <w:t>l</w:t>
                    </w:r>
                    <w:r>
                      <w:rPr>
                        <w:spacing w:val="-1"/>
                        <w:w w:val="100"/>
                        <w:sz w:val="16"/>
                      </w:rPr>
                      <w:t>o</w:t>
                    </w:r>
                    <w:r>
                      <w:rPr>
                        <w:w w:val="101"/>
                        <w:sz w:val="16"/>
                      </w:rPr>
                      <w:t>w</w:t>
                    </w:r>
                    <w:r>
                      <w:rPr>
                        <w:spacing w:val="1"/>
                        <w:w w:val="95"/>
                        <w:sz w:val="16"/>
                      </w:rPr>
                      <w:t>i</w:t>
                    </w:r>
                    <w:r>
                      <w:rPr>
                        <w:spacing w:val="2"/>
                        <w:w w:val="95"/>
                        <w:sz w:val="16"/>
                      </w:rPr>
                      <w:t>n</w:t>
                    </w:r>
                    <w:r>
                      <w:rPr>
                        <w:w w:val="102"/>
                        <w:sz w:val="16"/>
                      </w:rPr>
                      <w:t>g</w:t>
                    </w:r>
                    <w:r>
                      <w:rPr>
                        <w:spacing w:val="-12"/>
                        <w:sz w:val="16"/>
                      </w:rPr>
                      <w:t> </w:t>
                    </w:r>
                    <w:r>
                      <w:rPr>
                        <w:spacing w:val="3"/>
                        <w:w w:val="102"/>
                        <w:sz w:val="16"/>
                      </w:rPr>
                      <w:t>c</w:t>
                    </w:r>
                    <w:r>
                      <w:rPr>
                        <w:w w:val="94"/>
                        <w:sz w:val="16"/>
                      </w:rPr>
                      <w:t>a</w:t>
                    </w:r>
                    <w:r>
                      <w:rPr>
                        <w:spacing w:val="-2"/>
                        <w:w w:val="102"/>
                        <w:sz w:val="16"/>
                      </w:rPr>
                      <w:t>t</w:t>
                    </w:r>
                    <w:r>
                      <w:rPr>
                        <w:spacing w:val="3"/>
                        <w:w w:val="95"/>
                        <w:sz w:val="16"/>
                      </w:rPr>
                      <w:t>e</w:t>
                    </w:r>
                    <w:r>
                      <w:rPr>
                        <w:spacing w:val="2"/>
                        <w:w w:val="102"/>
                        <w:sz w:val="16"/>
                      </w:rPr>
                      <w:t>g</w:t>
                    </w:r>
                    <w:r>
                      <w:rPr>
                        <w:spacing w:val="2"/>
                        <w:w w:val="100"/>
                        <w:sz w:val="16"/>
                      </w:rPr>
                      <w:t>o</w:t>
                    </w:r>
                    <w:r>
                      <w:rPr>
                        <w:spacing w:val="1"/>
                        <w:w w:val="95"/>
                        <w:sz w:val="16"/>
                      </w:rPr>
                      <w:t>r</w:t>
                    </w:r>
                    <w:r>
                      <w:rPr>
                        <w:spacing w:val="1"/>
                        <w:w w:val="95"/>
                        <w:sz w:val="16"/>
                      </w:rPr>
                      <w:t>i</w:t>
                    </w:r>
                    <w:r>
                      <w:rPr>
                        <w:spacing w:val="3"/>
                        <w:w w:val="95"/>
                        <w:sz w:val="16"/>
                      </w:rPr>
                      <w:t>e</w:t>
                    </w:r>
                    <w:r>
                      <w:rPr>
                        <w:spacing w:val="1"/>
                        <w:w w:val="95"/>
                        <w:sz w:val="16"/>
                      </w:rPr>
                      <w:t>s</w:t>
                    </w:r>
                    <w:r>
                      <w:rPr>
                        <w:w w:val="61"/>
                        <w:sz w:val="16"/>
                      </w:rPr>
                      <w:t>:</w:t>
                    </w:r>
                  </w:p>
                </w:txbxContent>
              </v:textbox>
              <w10:wrap type="none"/>
            </v:shape>
            <v:shape style="position:absolute;left:907;top:-2915;width:9232;height:240" type="#_x0000_t202" filled="false" stroked="false">
              <v:textbox inset="0,0,0,0">
                <w:txbxContent>
                  <w:p>
                    <w:pPr>
                      <w:spacing w:line="240" w:lineRule="exact" w:before="0"/>
                      <w:ind w:left="0" w:right="0" w:firstLine="0"/>
                      <w:jc w:val="left"/>
                      <w:rPr>
                        <w:rFonts w:ascii="Gotham Narrow Bold"/>
                        <w:b/>
                        <w:sz w:val="24"/>
                      </w:rPr>
                    </w:pPr>
                    <w:r>
                      <w:rPr>
                        <w:rFonts w:ascii="Gotham Narrow Bold"/>
                        <w:b/>
                        <w:spacing w:val="-5"/>
                        <w:w w:val="95"/>
                        <w:sz w:val="24"/>
                      </w:rPr>
                      <w:t>COMPARATIVE INCIDENTS/ACCIDENTS </w:t>
                    </w:r>
                    <w:r>
                      <w:rPr>
                        <w:rFonts w:ascii="Gotham Narrow Bold"/>
                        <w:b/>
                        <w:w w:val="95"/>
                        <w:sz w:val="24"/>
                      </w:rPr>
                      <w:t>AND CLAIMS </w:t>
                    </w:r>
                    <w:r>
                      <w:rPr>
                        <w:rFonts w:ascii="Gotham Narrow Bold"/>
                        <w:b/>
                        <w:spacing w:val="-10"/>
                        <w:w w:val="95"/>
                        <w:sz w:val="24"/>
                      </w:rPr>
                      <w:t>AT </w:t>
                    </w:r>
                    <w:r>
                      <w:rPr>
                        <w:rFonts w:ascii="Gotham Narrow Bold"/>
                        <w:b/>
                        <w:w w:val="95"/>
                        <w:sz w:val="24"/>
                      </w:rPr>
                      <w:t>WESTERN SYDNEY UNIVERSITY</w:t>
                    </w:r>
                  </w:p>
                </w:txbxContent>
              </v:textbox>
              <w10:wrap type="none"/>
            </v:shape>
            <v:shape style="position:absolute;left:907;top:-523;width:4089;height:160" type="#_x0000_t202" filled="false" stroked="false">
              <v:textbox inset="0,0,0,0">
                <w:txbxContent>
                  <w:p>
                    <w:pPr>
                      <w:spacing w:line="160" w:lineRule="exact" w:before="0"/>
                      <w:ind w:left="0" w:right="0" w:firstLine="0"/>
                      <w:jc w:val="left"/>
                      <w:rPr>
                        <w:sz w:val="16"/>
                      </w:rPr>
                    </w:pPr>
                    <w:r>
                      <w:rPr>
                        <w:spacing w:val="3"/>
                        <w:w w:val="101"/>
                        <w:sz w:val="16"/>
                      </w:rPr>
                      <w:t>N</w:t>
                    </w:r>
                    <w:r>
                      <w:rPr>
                        <w:w w:val="100"/>
                        <w:sz w:val="16"/>
                      </w:rPr>
                      <w:t>o</w:t>
                    </w:r>
                    <w:r>
                      <w:rPr>
                        <w:spacing w:val="-2"/>
                        <w:w w:val="102"/>
                        <w:sz w:val="16"/>
                      </w:rPr>
                      <w:t>t</w:t>
                    </w:r>
                    <w:r>
                      <w:rPr>
                        <w:spacing w:val="1"/>
                        <w:w w:val="95"/>
                        <w:sz w:val="16"/>
                      </w:rPr>
                      <w:t>e</w:t>
                    </w:r>
                    <w:r>
                      <w:rPr>
                        <w:w w:val="61"/>
                        <w:sz w:val="16"/>
                      </w:rPr>
                      <w:t>:</w:t>
                    </w:r>
                    <w:r>
                      <w:rPr>
                        <w:spacing w:val="-12"/>
                        <w:sz w:val="16"/>
                      </w:rPr>
                      <w:t> </w:t>
                    </w:r>
                    <w:r>
                      <w:rPr>
                        <w:spacing w:val="2"/>
                        <w:w w:val="93"/>
                        <w:sz w:val="16"/>
                      </w:rPr>
                      <w:t>2</w:t>
                    </w:r>
                    <w:r>
                      <w:rPr>
                        <w:spacing w:val="1"/>
                        <w:w w:val="111"/>
                        <w:sz w:val="16"/>
                      </w:rPr>
                      <w:t>0</w:t>
                    </w:r>
                    <w:r>
                      <w:rPr>
                        <w:spacing w:val="2"/>
                        <w:w w:val="54"/>
                        <w:sz w:val="16"/>
                      </w:rPr>
                      <w:t>1</w:t>
                    </w:r>
                    <w:r>
                      <w:rPr>
                        <w:w w:val="95"/>
                        <w:sz w:val="16"/>
                      </w:rPr>
                      <w:t>5</w:t>
                    </w:r>
                    <w:r>
                      <w:rPr>
                        <w:spacing w:val="-12"/>
                        <w:sz w:val="16"/>
                      </w:rPr>
                      <w:t> </w:t>
                    </w:r>
                    <w:r>
                      <w:rPr>
                        <w:w w:val="97"/>
                        <w:sz w:val="16"/>
                      </w:rPr>
                      <w:t>f</w:t>
                    </w:r>
                    <w:r>
                      <w:rPr>
                        <w:spacing w:val="2"/>
                        <w:w w:val="97"/>
                        <w:sz w:val="16"/>
                      </w:rPr>
                      <w:t>i</w:t>
                    </w:r>
                    <w:r>
                      <w:rPr>
                        <w:spacing w:val="2"/>
                        <w:w w:val="102"/>
                        <w:sz w:val="16"/>
                      </w:rPr>
                      <w:t>g</w:t>
                    </w:r>
                    <w:r>
                      <w:rPr>
                        <w:spacing w:val="1"/>
                        <w:w w:val="95"/>
                        <w:sz w:val="16"/>
                      </w:rPr>
                      <w:t>u</w:t>
                    </w:r>
                    <w:r>
                      <w:rPr>
                        <w:spacing w:val="-1"/>
                        <w:w w:val="95"/>
                        <w:sz w:val="16"/>
                      </w:rPr>
                      <w:t>r</w:t>
                    </w:r>
                    <w:r>
                      <w:rPr>
                        <w:spacing w:val="3"/>
                        <w:w w:val="95"/>
                        <w:sz w:val="16"/>
                      </w:rPr>
                      <w:t>e</w:t>
                    </w:r>
                    <w:r>
                      <w:rPr>
                        <w:w w:val="95"/>
                        <w:sz w:val="16"/>
                      </w:rPr>
                      <w:t>s</w:t>
                    </w:r>
                    <w:r>
                      <w:rPr>
                        <w:spacing w:val="-12"/>
                        <w:sz w:val="16"/>
                      </w:rPr>
                      <w:t> </w:t>
                    </w:r>
                    <w:r>
                      <w:rPr>
                        <w:spacing w:val="2"/>
                        <w:w w:val="94"/>
                        <w:sz w:val="16"/>
                      </w:rPr>
                      <w:t>a</w:t>
                    </w:r>
                    <w:r>
                      <w:rPr>
                        <w:spacing w:val="-1"/>
                        <w:w w:val="95"/>
                        <w:sz w:val="16"/>
                      </w:rPr>
                      <w:t>r</w:t>
                    </w:r>
                    <w:r>
                      <w:rPr>
                        <w:w w:val="95"/>
                        <w:sz w:val="16"/>
                      </w:rPr>
                      <w:t>e</w:t>
                    </w:r>
                    <w:r>
                      <w:rPr>
                        <w:spacing w:val="-12"/>
                        <w:sz w:val="16"/>
                      </w:rPr>
                      <w:t> </w:t>
                    </w:r>
                    <w:r>
                      <w:rPr>
                        <w:spacing w:val="-1"/>
                        <w:w w:val="101"/>
                        <w:sz w:val="16"/>
                      </w:rPr>
                      <w:t>y</w:t>
                    </w:r>
                    <w:r>
                      <w:rPr>
                        <w:spacing w:val="2"/>
                        <w:w w:val="95"/>
                        <w:sz w:val="16"/>
                      </w:rPr>
                      <w:t>e</w:t>
                    </w:r>
                    <w:r>
                      <w:rPr>
                        <w:spacing w:val="2"/>
                        <w:w w:val="94"/>
                        <w:sz w:val="16"/>
                      </w:rPr>
                      <w:t>a</w:t>
                    </w:r>
                    <w:r>
                      <w:rPr>
                        <w:spacing w:val="-5"/>
                        <w:w w:val="95"/>
                        <w:sz w:val="16"/>
                      </w:rPr>
                      <w:t>r</w:t>
                    </w:r>
                    <w:r>
                      <w:rPr>
                        <w:spacing w:val="1"/>
                        <w:w w:val="100"/>
                        <w:sz w:val="16"/>
                      </w:rPr>
                      <w:t>-</w:t>
                    </w:r>
                    <w:r>
                      <w:rPr>
                        <w:spacing w:val="-2"/>
                        <w:w w:val="102"/>
                        <w:sz w:val="16"/>
                      </w:rPr>
                      <w:t>t</w:t>
                    </w:r>
                    <w:r>
                      <w:rPr>
                        <w:spacing w:val="4"/>
                        <w:w w:val="100"/>
                        <w:sz w:val="16"/>
                      </w:rPr>
                      <w:t>o</w:t>
                    </w:r>
                    <w:r>
                      <w:rPr>
                        <w:spacing w:val="4"/>
                        <w:w w:val="100"/>
                        <w:sz w:val="16"/>
                      </w:rPr>
                      <w:t>-</w:t>
                    </w:r>
                    <w:r>
                      <w:rPr>
                        <w:spacing w:val="2"/>
                        <w:w w:val="102"/>
                        <w:sz w:val="16"/>
                      </w:rPr>
                      <w:t>d</w:t>
                    </w:r>
                    <w:r>
                      <w:rPr>
                        <w:w w:val="94"/>
                        <w:sz w:val="16"/>
                      </w:rPr>
                      <w:t>a</w:t>
                    </w:r>
                    <w:r>
                      <w:rPr>
                        <w:spacing w:val="-2"/>
                        <w:w w:val="102"/>
                        <w:sz w:val="16"/>
                      </w:rPr>
                      <w:t>t</w:t>
                    </w:r>
                    <w:r>
                      <w:rPr>
                        <w:w w:val="95"/>
                        <w:sz w:val="16"/>
                      </w:rPr>
                      <w:t>e</w:t>
                    </w:r>
                    <w:r>
                      <w:rPr>
                        <w:spacing w:val="-12"/>
                        <w:sz w:val="16"/>
                      </w:rPr>
                      <w:t> </w:t>
                    </w:r>
                    <w:r>
                      <w:rPr>
                        <w:spacing w:val="2"/>
                        <w:w w:val="94"/>
                        <w:sz w:val="16"/>
                      </w:rPr>
                      <w:t>a</w:t>
                    </w:r>
                    <w:r>
                      <w:rPr>
                        <w:w w:val="95"/>
                        <w:sz w:val="16"/>
                      </w:rPr>
                      <w:t>s</w:t>
                    </w:r>
                    <w:r>
                      <w:rPr>
                        <w:spacing w:val="-12"/>
                        <w:sz w:val="16"/>
                      </w:rPr>
                      <w:t> </w:t>
                    </w:r>
                    <w:r>
                      <w:rPr>
                        <w:w w:val="94"/>
                        <w:sz w:val="16"/>
                      </w:rPr>
                      <w:t>a</w:t>
                    </w:r>
                    <w:r>
                      <w:rPr>
                        <w:w w:val="102"/>
                        <w:sz w:val="16"/>
                      </w:rPr>
                      <w:t>t</w:t>
                    </w:r>
                    <w:r>
                      <w:rPr>
                        <w:spacing w:val="-12"/>
                        <w:sz w:val="16"/>
                      </w:rPr>
                      <w:t> </w:t>
                    </w:r>
                    <w:r>
                      <w:rPr>
                        <w:spacing w:val="5"/>
                        <w:w w:val="94"/>
                        <w:sz w:val="16"/>
                      </w:rPr>
                      <w:t>3</w:t>
                    </w:r>
                    <w:r>
                      <w:rPr>
                        <w:w w:val="54"/>
                        <w:sz w:val="16"/>
                      </w:rPr>
                      <w:t>1</w:t>
                    </w:r>
                    <w:r>
                      <w:rPr>
                        <w:spacing w:val="-12"/>
                        <w:sz w:val="16"/>
                      </w:rPr>
                      <w:t> </w:t>
                    </w:r>
                    <w:r>
                      <w:rPr>
                        <w:spacing w:val="3"/>
                        <w:w w:val="98"/>
                        <w:sz w:val="16"/>
                      </w:rPr>
                      <w:t>D</w:t>
                    </w:r>
                    <w:r>
                      <w:rPr>
                        <w:spacing w:val="3"/>
                        <w:w w:val="95"/>
                        <w:sz w:val="16"/>
                      </w:rPr>
                      <w:t>e</w:t>
                    </w:r>
                    <w:r>
                      <w:rPr>
                        <w:w w:val="102"/>
                        <w:sz w:val="16"/>
                      </w:rPr>
                      <w:t>c</w:t>
                    </w:r>
                    <w:r>
                      <w:rPr>
                        <w:spacing w:val="2"/>
                        <w:w w:val="95"/>
                        <w:sz w:val="16"/>
                      </w:rPr>
                      <w:t>e</w:t>
                    </w:r>
                    <w:r>
                      <w:rPr>
                        <w:spacing w:val="2"/>
                        <w:w w:val="98"/>
                        <w:sz w:val="16"/>
                      </w:rPr>
                      <w:t>m</w:t>
                    </w:r>
                    <w:r>
                      <w:rPr>
                        <w:spacing w:val="2"/>
                        <w:w w:val="102"/>
                        <w:sz w:val="16"/>
                      </w:rPr>
                      <w:t>b</w:t>
                    </w:r>
                    <w:r>
                      <w:rPr>
                        <w:spacing w:val="2"/>
                        <w:w w:val="95"/>
                        <w:sz w:val="16"/>
                      </w:rPr>
                      <w:t>e</w:t>
                    </w:r>
                    <w:r>
                      <w:rPr>
                        <w:w w:val="95"/>
                        <w:sz w:val="16"/>
                      </w:rPr>
                      <w:t>r</w:t>
                    </w:r>
                    <w:r>
                      <w:rPr>
                        <w:spacing w:val="-12"/>
                        <w:sz w:val="16"/>
                      </w:rPr>
                      <w:t> </w:t>
                    </w:r>
                    <w:r>
                      <w:rPr>
                        <w:spacing w:val="2"/>
                        <w:w w:val="93"/>
                        <w:sz w:val="16"/>
                      </w:rPr>
                      <w:t>2</w:t>
                    </w:r>
                    <w:r>
                      <w:rPr>
                        <w:spacing w:val="1"/>
                        <w:w w:val="111"/>
                        <w:sz w:val="16"/>
                      </w:rPr>
                      <w:t>0</w:t>
                    </w:r>
                    <w:r>
                      <w:rPr>
                        <w:spacing w:val="2"/>
                        <w:w w:val="54"/>
                        <w:sz w:val="16"/>
                      </w:rPr>
                      <w:t>1</w:t>
                    </w:r>
                    <w:r>
                      <w:rPr>
                        <w:spacing w:val="4"/>
                        <w:w w:val="95"/>
                        <w:sz w:val="16"/>
                      </w:rPr>
                      <w:t>5</w:t>
                    </w:r>
                    <w:r>
                      <w:rPr>
                        <w:w w:val="68"/>
                        <w:sz w:val="16"/>
                      </w:rPr>
                      <w:t>.</w:t>
                    </w:r>
                  </w:p>
                </w:txbxContent>
              </v:textbox>
              <w10:wrap type="none"/>
            </v:shape>
            <w10:wrap type="none"/>
          </v:group>
        </w:pict>
      </w:r>
      <w:r>
        <w:rPr/>
        <w:t>Each year, the Vice-Chancellor convenes two major conferences at the University:</w:t>
      </w:r>
    </w:p>
    <w:p>
      <w:pPr>
        <w:pStyle w:val="BodyText"/>
        <w:spacing w:before="11"/>
        <w:rPr>
          <w:sz w:val="13"/>
        </w:rPr>
      </w:pPr>
    </w:p>
    <w:p>
      <w:pPr>
        <w:pStyle w:val="BodyText"/>
        <w:spacing w:line="244" w:lineRule="auto"/>
        <w:ind w:left="553" w:right="162" w:hanging="227"/>
      </w:pPr>
      <w:r>
        <w:rPr>
          <w:rFonts w:ascii="Century Gothic" w:hAnsi="Century Gothic"/>
          <w:b/>
          <w:w w:val="115"/>
        </w:rPr>
        <w:t>≥ </w:t>
      </w:r>
      <w:r>
        <w:rPr/>
        <w:t>The Senior Management Conference </w:t>
      </w:r>
      <w:r>
        <w:rPr>
          <w:w w:val="96"/>
        </w:rPr>
        <w:t>was</w:t>
      </w:r>
      <w:r>
        <w:rPr>
          <w:spacing w:val="-9"/>
          <w:w w:val="96"/>
        </w:rPr>
        <w:t> </w:t>
      </w:r>
      <w:r>
        <w:rPr>
          <w:spacing w:val="1"/>
          <w:w w:val="97"/>
        </w:rPr>
        <w:t>held</w:t>
      </w:r>
      <w:r>
        <w:rPr>
          <w:spacing w:val="-9"/>
          <w:w w:val="97"/>
        </w:rPr>
        <w:t> </w:t>
      </w:r>
      <w:r>
        <w:rPr>
          <w:w w:val="95"/>
        </w:rPr>
        <w:t>in</w:t>
      </w:r>
      <w:r>
        <w:rPr>
          <w:spacing w:val="-8"/>
          <w:w w:val="95"/>
        </w:rPr>
        <w:t> </w:t>
      </w:r>
      <w:r>
        <w:rPr>
          <w:spacing w:val="1"/>
          <w:w w:val="98"/>
        </w:rPr>
        <w:t>June</w:t>
      </w:r>
      <w:r>
        <w:rPr>
          <w:spacing w:val="-10"/>
          <w:w w:val="98"/>
        </w:rPr>
        <w:t> </w:t>
      </w:r>
      <w:r>
        <w:rPr>
          <w:spacing w:val="1"/>
          <w:w w:val="84"/>
        </w:rPr>
        <w:t>2015,</w:t>
      </w:r>
      <w:r>
        <w:rPr>
          <w:spacing w:val="-2"/>
          <w:w w:val="84"/>
        </w:rPr>
        <w:t> </w:t>
      </w:r>
      <w:r>
        <w:rPr>
          <w:w w:val="98"/>
        </w:rPr>
        <w:t>with</w:t>
      </w:r>
      <w:r>
        <w:rPr>
          <w:spacing w:val="-10"/>
          <w:w w:val="98"/>
        </w:rPr>
        <w:t> </w:t>
      </w:r>
      <w:r>
        <w:rPr>
          <w:w w:val="97"/>
        </w:rPr>
        <w:t>the</w:t>
      </w:r>
      <w:r>
        <w:rPr>
          <w:spacing w:val="-9"/>
          <w:w w:val="97"/>
        </w:rPr>
        <w:t> </w:t>
      </w:r>
      <w:r>
        <w:rPr>
          <w:spacing w:val="1"/>
          <w:w w:val="97"/>
        </w:rPr>
        <w:t>theme</w:t>
      </w:r>
      <w:r>
        <w:rPr>
          <w:spacing w:val="-9"/>
          <w:w w:val="97"/>
        </w:rPr>
        <w:t> </w:t>
      </w:r>
      <w:r>
        <w:rPr>
          <w:w w:val="99"/>
        </w:rPr>
        <w:t>of</w:t>
      </w:r>
    </w:p>
    <w:p>
      <w:pPr>
        <w:pStyle w:val="BodyText"/>
        <w:spacing w:line="247" w:lineRule="auto" w:before="2"/>
        <w:ind w:left="553" w:right="15"/>
      </w:pPr>
      <w:r>
        <w:rPr>
          <w:w w:val="95"/>
        </w:rPr>
        <w:t>‘</w:t>
      </w:r>
      <w:r>
        <w:rPr>
          <w:rFonts w:ascii="Century Gothic" w:hAnsi="Century Gothic"/>
          <w:i/>
          <w:w w:val="95"/>
        </w:rPr>
        <w:t>Securing Success </w:t>
      </w:r>
      <w:r>
        <w:rPr>
          <w:w w:val="95"/>
        </w:rPr>
        <w:t>through Leadership</w:t>
      </w:r>
      <w:r>
        <w:rPr>
          <w:spacing w:val="-33"/>
          <w:w w:val="95"/>
        </w:rPr>
        <w:t> </w:t>
      </w:r>
      <w:r>
        <w:rPr>
          <w:w w:val="95"/>
        </w:rPr>
        <w:t>and </w:t>
      </w:r>
      <w:r>
        <w:rPr/>
        <w:t>Innovation.’</w:t>
      </w:r>
      <w:r>
        <w:rPr>
          <w:spacing w:val="-22"/>
        </w:rPr>
        <w:t> </w:t>
      </w:r>
      <w:r>
        <w:rPr/>
        <w:t>It</w:t>
      </w:r>
      <w:r>
        <w:rPr>
          <w:spacing w:val="-22"/>
        </w:rPr>
        <w:t> </w:t>
      </w:r>
      <w:r>
        <w:rPr/>
        <w:t>was</w:t>
      </w:r>
      <w:r>
        <w:rPr>
          <w:spacing w:val="-22"/>
        </w:rPr>
        <w:t> </w:t>
      </w:r>
      <w:r>
        <w:rPr/>
        <w:t>attended</w:t>
      </w:r>
      <w:r>
        <w:rPr>
          <w:spacing w:val="-22"/>
        </w:rPr>
        <w:t> </w:t>
      </w:r>
      <w:r>
        <w:rPr/>
        <w:t>by</w:t>
      </w:r>
      <w:r>
        <w:rPr>
          <w:spacing w:val="-22"/>
        </w:rPr>
        <w:t> </w:t>
      </w:r>
      <w:r>
        <w:rPr/>
        <w:t>more</w:t>
      </w:r>
      <w:r>
        <w:rPr>
          <w:spacing w:val="-22"/>
        </w:rPr>
        <w:t> </w:t>
      </w:r>
      <w:r>
        <w:rPr/>
        <w:t>than 63</w:t>
      </w:r>
      <w:r>
        <w:rPr>
          <w:spacing w:val="-15"/>
        </w:rPr>
        <w:t> </w:t>
      </w:r>
      <w:r>
        <w:rPr/>
        <w:t>senior</w:t>
      </w:r>
      <w:r>
        <w:rPr>
          <w:spacing w:val="-15"/>
        </w:rPr>
        <w:t> </w:t>
      </w:r>
      <w:r>
        <w:rPr/>
        <w:t>staff</w:t>
      </w:r>
      <w:r>
        <w:rPr>
          <w:spacing w:val="-15"/>
        </w:rPr>
        <w:t> </w:t>
      </w:r>
      <w:r>
        <w:rPr/>
        <w:t>members,</w:t>
      </w:r>
      <w:r>
        <w:rPr>
          <w:spacing w:val="-15"/>
        </w:rPr>
        <w:t> </w:t>
      </w:r>
      <w:r>
        <w:rPr/>
        <w:t>who</w:t>
      </w:r>
      <w:r>
        <w:rPr>
          <w:spacing w:val="-15"/>
        </w:rPr>
        <w:t> </w:t>
      </w:r>
      <w:r>
        <w:rPr/>
        <w:t>engaged</w:t>
      </w:r>
      <w:r>
        <w:rPr>
          <w:spacing w:val="-15"/>
        </w:rPr>
        <w:t> </w:t>
      </w:r>
      <w:r>
        <w:rPr/>
        <w:t>in strategic conversations around the future of the teaching and learning program, developing the new brand strategy, and innovation</w:t>
      </w:r>
      <w:r>
        <w:rPr>
          <w:spacing w:val="-24"/>
        </w:rPr>
        <w:t> </w:t>
      </w:r>
      <w:r>
        <w:rPr/>
        <w:t>in</w:t>
      </w:r>
      <w:r>
        <w:rPr>
          <w:spacing w:val="-24"/>
        </w:rPr>
        <w:t> </w:t>
      </w:r>
      <w:r>
        <w:rPr/>
        <w:t>research</w:t>
      </w:r>
      <w:r>
        <w:rPr>
          <w:spacing w:val="-24"/>
        </w:rPr>
        <w:t> </w:t>
      </w:r>
      <w:r>
        <w:rPr/>
        <w:t>and</w:t>
      </w:r>
      <w:r>
        <w:rPr>
          <w:spacing w:val="-24"/>
        </w:rPr>
        <w:t> </w:t>
      </w:r>
      <w:r>
        <w:rPr/>
        <w:t>engagement.</w:t>
      </w:r>
    </w:p>
    <w:p>
      <w:pPr>
        <w:pStyle w:val="BodyText"/>
        <w:spacing w:line="247" w:lineRule="auto" w:before="57"/>
        <w:ind w:left="553" w:right="110" w:hanging="227"/>
      </w:pPr>
      <w:r>
        <w:rPr>
          <w:rFonts w:ascii="Century Gothic" w:hAnsi="Century Gothic"/>
          <w:b/>
          <w:w w:val="115"/>
        </w:rPr>
        <w:t>≥</w:t>
      </w:r>
      <w:r>
        <w:rPr>
          <w:rFonts w:ascii="Century Gothic" w:hAnsi="Century Gothic"/>
          <w:b/>
          <w:spacing w:val="21"/>
          <w:w w:val="115"/>
        </w:rPr>
        <w:t> </w:t>
      </w:r>
      <w:r>
        <w:rPr/>
        <w:t>The</w:t>
      </w:r>
      <w:r>
        <w:rPr>
          <w:spacing w:val="-27"/>
        </w:rPr>
        <w:t> </w:t>
      </w:r>
      <w:r>
        <w:rPr/>
        <w:t>University’s</w:t>
      </w:r>
      <w:r>
        <w:rPr>
          <w:spacing w:val="-27"/>
        </w:rPr>
        <w:t> </w:t>
      </w:r>
      <w:r>
        <w:rPr/>
        <w:t>Quality</w:t>
      </w:r>
      <w:r>
        <w:rPr>
          <w:spacing w:val="-27"/>
        </w:rPr>
        <w:t> </w:t>
      </w:r>
      <w:r>
        <w:rPr/>
        <w:t>Forum</w:t>
      </w:r>
      <w:r>
        <w:rPr>
          <w:spacing w:val="-27"/>
        </w:rPr>
        <w:t> </w:t>
      </w:r>
      <w:r>
        <w:rPr/>
        <w:t>was</w:t>
      </w:r>
      <w:r>
        <w:rPr>
          <w:spacing w:val="-27"/>
        </w:rPr>
        <w:t> </w:t>
      </w:r>
      <w:r>
        <w:rPr/>
        <w:t>held</w:t>
      </w:r>
      <w:r>
        <w:rPr>
          <w:spacing w:val="-27"/>
        </w:rPr>
        <w:t> </w:t>
      </w:r>
      <w:r>
        <w:rPr/>
        <w:t>in </w:t>
      </w:r>
      <w:r>
        <w:rPr>
          <w:spacing w:val="-2"/>
          <w:w w:val="98"/>
        </w:rPr>
        <w:t>November</w:t>
      </w:r>
      <w:r>
        <w:rPr>
          <w:spacing w:val="-15"/>
          <w:w w:val="98"/>
        </w:rPr>
        <w:t> </w:t>
      </w:r>
      <w:r>
        <w:rPr>
          <w:spacing w:val="-1"/>
          <w:w w:val="84"/>
        </w:rPr>
        <w:t>2015,</w:t>
      </w:r>
      <w:r>
        <w:rPr>
          <w:spacing w:val="-8"/>
          <w:w w:val="84"/>
        </w:rPr>
        <w:t> </w:t>
      </w:r>
      <w:r>
        <w:rPr>
          <w:spacing w:val="-3"/>
          <w:w w:val="98"/>
        </w:rPr>
        <w:t>with</w:t>
      </w:r>
      <w:r>
        <w:rPr>
          <w:spacing w:val="-15"/>
          <w:w w:val="98"/>
        </w:rPr>
        <w:t> </w:t>
      </w:r>
      <w:r>
        <w:rPr>
          <w:spacing w:val="-2"/>
          <w:w w:val="97"/>
        </w:rPr>
        <w:t>the</w:t>
      </w:r>
      <w:r>
        <w:rPr>
          <w:spacing w:val="-15"/>
          <w:w w:val="97"/>
        </w:rPr>
        <w:t> </w:t>
      </w:r>
      <w:r>
        <w:rPr>
          <w:spacing w:val="-2"/>
          <w:w w:val="97"/>
        </w:rPr>
        <w:t>theme</w:t>
      </w:r>
      <w:r>
        <w:rPr>
          <w:spacing w:val="-15"/>
          <w:w w:val="97"/>
        </w:rPr>
        <w:t> </w:t>
      </w:r>
      <w:r>
        <w:rPr>
          <w:spacing w:val="-2"/>
          <w:w w:val="98"/>
        </w:rPr>
        <w:t>‘Quality</w:t>
      </w:r>
      <w:r>
        <w:rPr>
          <w:spacing w:val="-15"/>
          <w:w w:val="98"/>
        </w:rPr>
        <w:t> </w:t>
      </w:r>
      <w:r>
        <w:rPr>
          <w:spacing w:val="-1"/>
          <w:w w:val="95"/>
        </w:rPr>
        <w:t>in</w:t>
      </w:r>
      <w:r>
        <w:rPr>
          <w:w w:val="95"/>
        </w:rPr>
        <w:t> </w:t>
      </w:r>
      <w:r>
        <w:rPr/>
        <w:t>a</w:t>
      </w:r>
      <w:r>
        <w:rPr>
          <w:spacing w:val="-36"/>
        </w:rPr>
        <w:t> </w:t>
      </w:r>
      <w:r>
        <w:rPr/>
        <w:t>Distinctively</w:t>
      </w:r>
      <w:r>
        <w:rPr>
          <w:spacing w:val="-36"/>
        </w:rPr>
        <w:t> </w:t>
      </w:r>
      <w:r>
        <w:rPr>
          <w:spacing w:val="-3"/>
        </w:rPr>
        <w:t>Student-Centred</w:t>
      </w:r>
      <w:r>
        <w:rPr>
          <w:spacing w:val="-36"/>
        </w:rPr>
        <w:t> </w:t>
      </w:r>
      <w:r>
        <w:rPr>
          <w:spacing w:val="-3"/>
        </w:rPr>
        <w:t>University’. </w:t>
      </w:r>
      <w:r>
        <w:rPr/>
        <w:t>The forum </w:t>
      </w:r>
      <w:r>
        <w:rPr>
          <w:spacing w:val="-3"/>
        </w:rPr>
        <w:t>provided </w:t>
      </w:r>
      <w:r>
        <w:rPr/>
        <w:t>an opportunity for </w:t>
      </w:r>
      <w:r>
        <w:rPr>
          <w:spacing w:val="-3"/>
          <w:w w:val="98"/>
        </w:rPr>
        <w:t>over</w:t>
      </w:r>
      <w:r>
        <w:rPr>
          <w:w w:val="98"/>
        </w:rPr>
        <w:t> </w:t>
      </w:r>
      <w:r>
        <w:rPr>
          <w:spacing w:val="-1"/>
          <w:w w:val="86"/>
        </w:rPr>
        <w:t>130</w:t>
      </w:r>
      <w:r>
        <w:rPr>
          <w:w w:val="86"/>
        </w:rPr>
        <w:t> </w:t>
      </w:r>
      <w:r>
        <w:rPr>
          <w:spacing w:val="-1"/>
          <w:w w:val="98"/>
        </w:rPr>
        <w:t>academic</w:t>
      </w:r>
      <w:r>
        <w:rPr>
          <w:w w:val="98"/>
        </w:rPr>
        <w:t> </w:t>
      </w:r>
      <w:r>
        <w:rPr>
          <w:spacing w:val="-1"/>
          <w:w w:val="97"/>
        </w:rPr>
        <w:t>and</w:t>
      </w:r>
      <w:r>
        <w:rPr>
          <w:w w:val="97"/>
        </w:rPr>
        <w:t> </w:t>
      </w:r>
      <w:r>
        <w:rPr>
          <w:spacing w:val="-2"/>
          <w:w w:val="97"/>
        </w:rPr>
        <w:t>professional</w:t>
      </w:r>
      <w:r>
        <w:rPr>
          <w:w w:val="97"/>
        </w:rPr>
        <w:t> </w:t>
      </w:r>
      <w:r>
        <w:rPr>
          <w:spacing w:val="-1"/>
          <w:w w:val="97"/>
        </w:rPr>
        <w:t>staff</w:t>
      </w:r>
      <w:r>
        <w:rPr>
          <w:w w:val="97"/>
        </w:rPr>
        <w:t> </w:t>
      </w:r>
      <w:r>
        <w:rPr/>
        <w:t>members</w:t>
      </w:r>
      <w:r>
        <w:rPr>
          <w:spacing w:val="-29"/>
        </w:rPr>
        <w:t> </w:t>
      </w:r>
      <w:r>
        <w:rPr>
          <w:spacing w:val="-3"/>
        </w:rPr>
        <w:t>to</w:t>
      </w:r>
      <w:r>
        <w:rPr>
          <w:spacing w:val="-29"/>
        </w:rPr>
        <w:t> </w:t>
      </w:r>
      <w:r>
        <w:rPr/>
        <w:t>engage</w:t>
      </w:r>
      <w:r>
        <w:rPr>
          <w:spacing w:val="-29"/>
        </w:rPr>
        <w:t> </w:t>
      </w:r>
      <w:r>
        <w:rPr/>
        <w:t>in</w:t>
      </w:r>
      <w:r>
        <w:rPr>
          <w:spacing w:val="-29"/>
        </w:rPr>
        <w:t> </w:t>
      </w:r>
      <w:r>
        <w:rPr/>
        <w:t>discussions</w:t>
      </w:r>
      <w:r>
        <w:rPr>
          <w:spacing w:val="-29"/>
        </w:rPr>
        <w:t> </w:t>
      </w:r>
      <w:r>
        <w:rPr/>
        <w:t>about quality</w:t>
      </w:r>
      <w:r>
        <w:rPr>
          <w:spacing w:val="-37"/>
        </w:rPr>
        <w:t> </w:t>
      </w:r>
      <w:r>
        <w:rPr/>
        <w:t>in</w:t>
      </w:r>
      <w:r>
        <w:rPr>
          <w:spacing w:val="-37"/>
        </w:rPr>
        <w:t> </w:t>
      </w:r>
      <w:r>
        <w:rPr>
          <w:spacing w:val="-3"/>
        </w:rPr>
        <w:t>relation</w:t>
      </w:r>
      <w:r>
        <w:rPr>
          <w:spacing w:val="-37"/>
        </w:rPr>
        <w:t> </w:t>
      </w:r>
      <w:r>
        <w:rPr>
          <w:spacing w:val="-3"/>
        </w:rPr>
        <w:t>to</w:t>
      </w:r>
      <w:r>
        <w:rPr>
          <w:spacing w:val="-37"/>
        </w:rPr>
        <w:t> </w:t>
      </w:r>
      <w:r>
        <w:rPr/>
        <w:t>students,</w:t>
      </w:r>
      <w:r>
        <w:rPr>
          <w:spacing w:val="-37"/>
        </w:rPr>
        <w:t> </w:t>
      </w:r>
      <w:r>
        <w:rPr/>
        <w:t>learning</w:t>
      </w:r>
      <w:r>
        <w:rPr>
          <w:spacing w:val="-37"/>
        </w:rPr>
        <w:t> </w:t>
      </w:r>
      <w:r>
        <w:rPr/>
        <w:t>and</w:t>
      </w:r>
    </w:p>
    <w:p>
      <w:pPr>
        <w:pStyle w:val="BodyText"/>
        <w:spacing w:line="249" w:lineRule="auto" w:before="1"/>
        <w:ind w:left="553" w:right="16"/>
      </w:pPr>
      <w:r>
        <w:rPr/>
        <w:t>teaching,</w:t>
      </w:r>
      <w:r>
        <w:rPr>
          <w:spacing w:val="-39"/>
        </w:rPr>
        <w:t> </w:t>
      </w:r>
      <w:r>
        <w:rPr/>
        <w:t>and</w:t>
      </w:r>
      <w:r>
        <w:rPr>
          <w:spacing w:val="-39"/>
        </w:rPr>
        <w:t> </w:t>
      </w:r>
      <w:r>
        <w:rPr/>
        <w:t>research,</w:t>
      </w:r>
      <w:r>
        <w:rPr>
          <w:spacing w:val="-39"/>
        </w:rPr>
        <w:t> </w:t>
      </w:r>
      <w:r>
        <w:rPr>
          <w:spacing w:val="-3"/>
        </w:rPr>
        <w:t>with</w:t>
      </w:r>
      <w:r>
        <w:rPr>
          <w:spacing w:val="-39"/>
        </w:rPr>
        <w:t> </w:t>
      </w:r>
      <w:r>
        <w:rPr/>
        <w:t>a</w:t>
      </w:r>
      <w:r>
        <w:rPr>
          <w:spacing w:val="-39"/>
        </w:rPr>
        <w:t> </w:t>
      </w:r>
      <w:r>
        <w:rPr/>
        <w:t>focus</w:t>
      </w:r>
      <w:r>
        <w:rPr>
          <w:spacing w:val="-39"/>
        </w:rPr>
        <w:t> </w:t>
      </w:r>
      <w:r>
        <w:rPr/>
        <w:t>on</w:t>
      </w:r>
      <w:r>
        <w:rPr>
          <w:spacing w:val="-39"/>
        </w:rPr>
        <w:t> </w:t>
      </w:r>
      <w:r>
        <w:rPr/>
        <w:t>data, </w:t>
      </w:r>
      <w:r>
        <w:rPr>
          <w:w w:val="95"/>
        </w:rPr>
        <w:t>service and</w:t>
      </w:r>
      <w:r>
        <w:rPr>
          <w:spacing w:val="-24"/>
          <w:w w:val="95"/>
        </w:rPr>
        <w:t> </w:t>
      </w:r>
      <w:r>
        <w:rPr>
          <w:w w:val="95"/>
        </w:rPr>
        <w:t>outputs.</w:t>
      </w:r>
    </w:p>
    <w:p>
      <w:pPr>
        <w:pStyle w:val="BodyText"/>
        <w:spacing w:before="7"/>
        <w:rPr>
          <w:sz w:val="21"/>
        </w:rPr>
      </w:pPr>
    </w:p>
    <w:p>
      <w:pPr>
        <w:pStyle w:val="Heading8"/>
        <w:ind w:left="327" w:right="-12"/>
      </w:pPr>
      <w:r>
        <w:rPr>
          <w:w w:val="95"/>
        </w:rPr>
        <w:t>MYVOICE: STAFF ENGAGEMENT</w:t>
      </w:r>
    </w:p>
    <w:p>
      <w:pPr>
        <w:pStyle w:val="BodyText"/>
        <w:spacing w:line="249" w:lineRule="auto" w:before="86"/>
        <w:ind w:left="327" w:right="332"/>
      </w:pPr>
      <w:r>
        <w:rPr>
          <w:w w:val="94"/>
        </w:rPr>
        <w:t>The </w:t>
      </w:r>
      <w:r>
        <w:rPr>
          <w:w w:val="84"/>
        </w:rPr>
        <w:t>2015, </w:t>
      </w:r>
      <w:r>
        <w:rPr>
          <w:w w:val="97"/>
        </w:rPr>
        <w:t>the </w:t>
      </w:r>
      <w:r>
        <w:rPr>
          <w:w w:val="100"/>
        </w:rPr>
        <w:t>MyVoice </w:t>
      </w:r>
      <w:r>
        <w:rPr>
          <w:w w:val="98"/>
        </w:rPr>
        <w:t>Staff </w:t>
      </w:r>
      <w:r>
        <w:rPr>
          <w:w w:val="98"/>
        </w:rPr>
        <w:t>Engagement </w:t>
      </w:r>
      <w:r>
        <w:rPr/>
        <w:t>Survey elicited a very strong response, with 86 per cent of the staff taking the</w:t>
      </w:r>
    </w:p>
    <w:p>
      <w:pPr>
        <w:pStyle w:val="BodyText"/>
        <w:spacing w:line="249" w:lineRule="auto"/>
        <w:ind w:left="327" w:right="111"/>
      </w:pPr>
      <w:r>
        <w:rPr/>
        <w:t>opportunity</w:t>
      </w:r>
      <w:r>
        <w:rPr>
          <w:spacing w:val="-18"/>
        </w:rPr>
        <w:t> </w:t>
      </w:r>
      <w:r>
        <w:rPr/>
        <w:t>to</w:t>
      </w:r>
      <w:r>
        <w:rPr>
          <w:spacing w:val="-18"/>
        </w:rPr>
        <w:t> </w:t>
      </w:r>
      <w:r>
        <w:rPr/>
        <w:t>have</w:t>
      </w:r>
      <w:r>
        <w:rPr>
          <w:spacing w:val="-18"/>
        </w:rPr>
        <w:t> </w:t>
      </w:r>
      <w:r>
        <w:rPr/>
        <w:t>their</w:t>
      </w:r>
      <w:r>
        <w:rPr>
          <w:spacing w:val="-18"/>
        </w:rPr>
        <w:t> </w:t>
      </w:r>
      <w:r>
        <w:rPr/>
        <w:t>say.</w:t>
      </w:r>
      <w:r>
        <w:rPr>
          <w:spacing w:val="-18"/>
        </w:rPr>
        <w:t> </w:t>
      </w:r>
      <w:r>
        <w:rPr/>
        <w:t>The</w:t>
      </w:r>
      <w:r>
        <w:rPr>
          <w:spacing w:val="-18"/>
        </w:rPr>
        <w:t> </w:t>
      </w:r>
      <w:r>
        <w:rPr/>
        <w:t>University achieved</w:t>
      </w:r>
      <w:r>
        <w:rPr>
          <w:spacing w:val="-16"/>
        </w:rPr>
        <w:t> </w:t>
      </w:r>
      <w:r>
        <w:rPr/>
        <w:t>the</w:t>
      </w:r>
      <w:r>
        <w:rPr>
          <w:spacing w:val="-16"/>
        </w:rPr>
        <w:t> </w:t>
      </w:r>
      <w:r>
        <w:rPr/>
        <w:t>second-highest</w:t>
      </w:r>
      <w:r>
        <w:rPr>
          <w:spacing w:val="-16"/>
        </w:rPr>
        <w:t> </w:t>
      </w:r>
      <w:r>
        <w:rPr/>
        <w:t>response</w:t>
      </w:r>
    </w:p>
    <w:p>
      <w:pPr>
        <w:pStyle w:val="BodyText"/>
        <w:spacing w:line="192" w:lineRule="exact"/>
        <w:ind w:left="327" w:right="-12"/>
      </w:pPr>
      <w:r>
        <w:rPr/>
        <w:t>rate of the universities that participated.</w:t>
      </w:r>
    </w:p>
    <w:p>
      <w:pPr>
        <w:pStyle w:val="BodyText"/>
        <w:spacing w:line="249" w:lineRule="auto" w:before="7"/>
        <w:ind w:left="327" w:right="-12"/>
      </w:pPr>
      <w:r>
        <w:rPr/>
        <w:t>At the organisational level, all survey items </w:t>
      </w:r>
      <w:r>
        <w:rPr>
          <w:w w:val="98"/>
        </w:rPr>
        <w:t>showed </w:t>
      </w:r>
      <w:r>
        <w:rPr>
          <w:spacing w:val="1"/>
          <w:w w:val="95"/>
        </w:rPr>
        <w:t>an</w:t>
      </w:r>
      <w:r>
        <w:rPr>
          <w:w w:val="95"/>
        </w:rPr>
        <w:t> </w:t>
      </w:r>
      <w:r>
        <w:rPr>
          <w:spacing w:val="1"/>
          <w:w w:val="96"/>
        </w:rPr>
        <w:t>increase</w:t>
      </w:r>
      <w:r>
        <w:rPr>
          <w:w w:val="96"/>
        </w:rPr>
        <w:t> </w:t>
      </w:r>
      <w:r>
        <w:rPr>
          <w:w w:val="95"/>
        </w:rPr>
        <w:t>in </w:t>
      </w:r>
      <w:r>
        <w:rPr>
          <w:spacing w:val="1"/>
          <w:w w:val="97"/>
        </w:rPr>
        <w:t>satisfaction</w:t>
      </w:r>
      <w:r>
        <w:rPr>
          <w:w w:val="97"/>
        </w:rPr>
        <w:t> </w:t>
      </w:r>
      <w:r>
        <w:rPr>
          <w:w w:val="97"/>
        </w:rPr>
        <w:t>since </w:t>
      </w:r>
      <w:r>
        <w:rPr>
          <w:spacing w:val="1"/>
          <w:w w:val="84"/>
        </w:rPr>
        <w:t>2012,</w:t>
      </w:r>
      <w:r>
        <w:rPr>
          <w:w w:val="84"/>
        </w:rPr>
        <w:t> </w:t>
      </w:r>
      <w:r>
        <w:rPr/>
        <w:t>with overall results around 6 percentage points above university benchmarks. Staff engagement</w:t>
      </w:r>
      <w:r>
        <w:rPr>
          <w:spacing w:val="-22"/>
        </w:rPr>
        <w:t> </w:t>
      </w:r>
      <w:r>
        <w:rPr/>
        <w:t>increased</w:t>
      </w:r>
      <w:r>
        <w:rPr>
          <w:spacing w:val="-22"/>
        </w:rPr>
        <w:t> </w:t>
      </w:r>
      <w:r>
        <w:rPr/>
        <w:t>5</w:t>
      </w:r>
      <w:r>
        <w:rPr>
          <w:spacing w:val="-22"/>
        </w:rPr>
        <w:t> </w:t>
      </w:r>
      <w:r>
        <w:rPr/>
        <w:t>points</w:t>
      </w:r>
      <w:r>
        <w:rPr>
          <w:spacing w:val="-22"/>
        </w:rPr>
        <w:t> </w:t>
      </w:r>
      <w:r>
        <w:rPr/>
        <w:t>to</w:t>
      </w:r>
      <w:r>
        <w:rPr>
          <w:spacing w:val="-22"/>
        </w:rPr>
        <w:t> </w:t>
      </w:r>
      <w:r>
        <w:rPr/>
        <w:t>81</w:t>
      </w:r>
      <w:r>
        <w:rPr>
          <w:spacing w:val="-22"/>
        </w:rPr>
        <w:t> </w:t>
      </w:r>
      <w:r>
        <w:rPr/>
        <w:t>per</w:t>
      </w:r>
      <w:r>
        <w:rPr>
          <w:spacing w:val="-22"/>
        </w:rPr>
        <w:t> </w:t>
      </w:r>
      <w:r>
        <w:rPr/>
        <w:t>cent,</w:t>
      </w:r>
    </w:p>
    <w:p>
      <w:pPr>
        <w:pStyle w:val="BodyText"/>
        <w:spacing w:line="249" w:lineRule="auto" w:before="71"/>
        <w:ind w:left="223"/>
      </w:pPr>
      <w:r>
        <w:rPr/>
        <w:br w:type="column"/>
      </w:r>
      <w:r>
        <w:rPr/>
        <w:t>and</w:t>
      </w:r>
      <w:r>
        <w:rPr>
          <w:spacing w:val="-15"/>
        </w:rPr>
        <w:t> </w:t>
      </w:r>
      <w:r>
        <w:rPr/>
        <w:t>satisfaction</w:t>
      </w:r>
      <w:r>
        <w:rPr>
          <w:spacing w:val="-15"/>
        </w:rPr>
        <w:t> </w:t>
      </w:r>
      <w:r>
        <w:rPr/>
        <w:t>with</w:t>
      </w:r>
      <w:r>
        <w:rPr>
          <w:spacing w:val="-15"/>
        </w:rPr>
        <w:t> </w:t>
      </w:r>
      <w:r>
        <w:rPr/>
        <w:t>the</w:t>
      </w:r>
      <w:r>
        <w:rPr>
          <w:spacing w:val="-15"/>
        </w:rPr>
        <w:t> </w:t>
      </w:r>
      <w:r>
        <w:rPr/>
        <w:t>University’s</w:t>
      </w:r>
      <w:r>
        <w:rPr>
          <w:spacing w:val="-15"/>
        </w:rPr>
        <w:t> </w:t>
      </w:r>
      <w:r>
        <w:rPr/>
        <w:t>progress </w:t>
      </w:r>
      <w:r>
        <w:rPr>
          <w:spacing w:val="1"/>
          <w:w w:val="97"/>
        </w:rPr>
        <w:t>increased</w:t>
      </w:r>
      <w:r>
        <w:rPr>
          <w:spacing w:val="-8"/>
          <w:w w:val="97"/>
        </w:rPr>
        <w:t> </w:t>
      </w:r>
      <w:r>
        <w:rPr>
          <w:spacing w:val="2"/>
          <w:w w:val="82"/>
        </w:rPr>
        <w:t>10</w:t>
      </w:r>
      <w:r>
        <w:rPr>
          <w:spacing w:val="-1"/>
          <w:w w:val="82"/>
        </w:rPr>
        <w:t> </w:t>
      </w:r>
      <w:r>
        <w:rPr>
          <w:spacing w:val="1"/>
          <w:w w:val="98"/>
        </w:rPr>
        <w:t>points</w:t>
      </w:r>
      <w:r>
        <w:rPr>
          <w:spacing w:val="-9"/>
          <w:w w:val="98"/>
        </w:rPr>
        <w:t> </w:t>
      </w:r>
      <w:r>
        <w:rPr>
          <w:spacing w:val="-1"/>
          <w:w w:val="101"/>
        </w:rPr>
        <w:t>to</w:t>
      </w:r>
      <w:r>
        <w:rPr>
          <w:spacing w:val="-10"/>
          <w:w w:val="101"/>
        </w:rPr>
        <w:t> </w:t>
      </w:r>
      <w:r>
        <w:rPr>
          <w:spacing w:val="1"/>
          <w:w w:val="98"/>
        </w:rPr>
        <w:t>65</w:t>
      </w:r>
      <w:r>
        <w:rPr>
          <w:spacing w:val="-9"/>
          <w:w w:val="98"/>
        </w:rPr>
        <w:t> </w:t>
      </w:r>
      <w:r>
        <w:rPr>
          <w:spacing w:val="1"/>
          <w:w w:val="97"/>
        </w:rPr>
        <w:t>per</w:t>
      </w:r>
      <w:r>
        <w:rPr>
          <w:spacing w:val="-9"/>
          <w:w w:val="97"/>
        </w:rPr>
        <w:t> </w:t>
      </w:r>
      <w:r>
        <w:rPr>
          <w:w w:val="92"/>
        </w:rPr>
        <w:t>cent.</w:t>
      </w:r>
      <w:r>
        <w:rPr>
          <w:spacing w:val="-6"/>
          <w:w w:val="92"/>
        </w:rPr>
        <w:t> </w:t>
      </w:r>
      <w:r>
        <w:rPr>
          <w:spacing w:val="2"/>
          <w:w w:val="103"/>
        </w:rPr>
        <w:t>As</w:t>
      </w:r>
      <w:r>
        <w:rPr>
          <w:spacing w:val="-12"/>
          <w:w w:val="103"/>
        </w:rPr>
        <w:t> </w:t>
      </w:r>
      <w:r>
        <w:rPr>
          <w:w w:val="94"/>
        </w:rPr>
        <w:t>a</w:t>
      </w:r>
      <w:r>
        <w:rPr>
          <w:spacing w:val="-7"/>
          <w:w w:val="94"/>
        </w:rPr>
        <w:t> </w:t>
      </w:r>
      <w:r>
        <w:rPr>
          <w:w w:val="92"/>
        </w:rPr>
        <w:t>result, </w:t>
      </w:r>
      <w:r>
        <w:rPr/>
        <w:t>the University was awarded second place in the Voice Project Change Challenge Awards, for the second-highest positive change from one</w:t>
      </w:r>
      <w:r>
        <w:rPr>
          <w:spacing w:val="-19"/>
        </w:rPr>
        <w:t> </w:t>
      </w:r>
      <w:r>
        <w:rPr/>
        <w:t>survey</w:t>
      </w:r>
      <w:r>
        <w:rPr>
          <w:spacing w:val="-19"/>
        </w:rPr>
        <w:t> </w:t>
      </w:r>
      <w:r>
        <w:rPr/>
        <w:t>to</w:t>
      </w:r>
      <w:r>
        <w:rPr>
          <w:spacing w:val="-19"/>
        </w:rPr>
        <w:t> </w:t>
      </w:r>
      <w:r>
        <w:rPr/>
        <w:t>the</w:t>
      </w:r>
      <w:r>
        <w:rPr>
          <w:spacing w:val="-19"/>
        </w:rPr>
        <w:t> </w:t>
      </w:r>
      <w:r>
        <w:rPr/>
        <w:t>next.</w:t>
      </w:r>
    </w:p>
    <w:p>
      <w:pPr>
        <w:pStyle w:val="BodyText"/>
        <w:rPr>
          <w:sz w:val="14"/>
        </w:rPr>
      </w:pPr>
    </w:p>
    <w:p>
      <w:pPr>
        <w:pStyle w:val="BodyText"/>
        <w:spacing w:line="249" w:lineRule="auto"/>
        <w:ind w:left="223"/>
      </w:pPr>
      <w:r>
        <w:rPr/>
        <w:t>As a result of the </w:t>
      </w:r>
      <w:r>
        <w:rPr>
          <w:spacing w:val="-3"/>
        </w:rPr>
        <w:t>survey, </w:t>
      </w:r>
      <w:r>
        <w:rPr/>
        <w:t>a number of recommendations </w:t>
      </w:r>
      <w:r>
        <w:rPr>
          <w:spacing w:val="-3"/>
        </w:rPr>
        <w:t>were </w:t>
      </w:r>
      <w:r>
        <w:rPr/>
        <w:t>made for areas of </w:t>
      </w:r>
      <w:r>
        <w:rPr>
          <w:spacing w:val="-3"/>
        </w:rPr>
        <w:t>improvement </w:t>
      </w:r>
      <w:r>
        <w:rPr/>
        <w:t>and discussions </w:t>
      </w:r>
      <w:r>
        <w:rPr>
          <w:spacing w:val="-3"/>
        </w:rPr>
        <w:t>were </w:t>
      </w:r>
      <w:r>
        <w:rPr/>
        <w:t>held </w:t>
      </w:r>
      <w:r>
        <w:rPr>
          <w:spacing w:val="-3"/>
        </w:rPr>
        <w:t>with </w:t>
      </w:r>
      <w:r>
        <w:rPr/>
        <w:t>deans, directors and staff in the Schools, Institutes and Divisions </w:t>
      </w:r>
      <w:r>
        <w:rPr>
          <w:spacing w:val="-3"/>
        </w:rPr>
        <w:t>to </w:t>
      </w:r>
      <w:r>
        <w:rPr/>
        <w:t>identify areas for development</w:t>
      </w:r>
      <w:r>
        <w:rPr>
          <w:spacing w:val="-33"/>
        </w:rPr>
        <w:t> </w:t>
      </w:r>
      <w:r>
        <w:rPr/>
        <w:t>and</w:t>
      </w:r>
      <w:r>
        <w:rPr>
          <w:spacing w:val="-33"/>
        </w:rPr>
        <w:t> </w:t>
      </w:r>
      <w:r>
        <w:rPr>
          <w:spacing w:val="-3"/>
        </w:rPr>
        <w:t>create</w:t>
      </w:r>
      <w:r>
        <w:rPr>
          <w:spacing w:val="-33"/>
        </w:rPr>
        <w:t> </w:t>
      </w:r>
      <w:r>
        <w:rPr/>
        <w:t>action</w:t>
      </w:r>
      <w:r>
        <w:rPr>
          <w:spacing w:val="-33"/>
        </w:rPr>
        <w:t> </w:t>
      </w:r>
      <w:r>
        <w:rPr/>
        <w:t>plans</w:t>
      </w:r>
      <w:r>
        <w:rPr>
          <w:spacing w:val="-33"/>
        </w:rPr>
        <w:t> </w:t>
      </w:r>
      <w:r>
        <w:rPr/>
        <w:t>at</w:t>
      </w:r>
      <w:r>
        <w:rPr>
          <w:spacing w:val="-33"/>
        </w:rPr>
        <w:t> </w:t>
      </w:r>
      <w:r>
        <w:rPr/>
        <w:t>the</w:t>
      </w:r>
      <w:r>
        <w:rPr>
          <w:spacing w:val="-33"/>
        </w:rPr>
        <w:t> </w:t>
      </w:r>
      <w:r>
        <w:rPr/>
        <w:t>local </w:t>
      </w:r>
      <w:r>
        <w:rPr>
          <w:spacing w:val="-3"/>
        </w:rPr>
        <w:t>level</w:t>
      </w:r>
      <w:r>
        <w:rPr>
          <w:spacing w:val="-37"/>
        </w:rPr>
        <w:t> </w:t>
      </w:r>
      <w:r>
        <w:rPr/>
        <w:t>for</w:t>
      </w:r>
      <w:r>
        <w:rPr>
          <w:spacing w:val="-37"/>
        </w:rPr>
        <w:t> </w:t>
      </w:r>
      <w:r>
        <w:rPr/>
        <w:t>implementation</w:t>
      </w:r>
      <w:r>
        <w:rPr>
          <w:spacing w:val="-37"/>
        </w:rPr>
        <w:t> </w:t>
      </w:r>
      <w:r>
        <w:rPr>
          <w:spacing w:val="-3"/>
        </w:rPr>
        <w:t>over</w:t>
      </w:r>
      <w:r>
        <w:rPr>
          <w:spacing w:val="-37"/>
        </w:rPr>
        <w:t> </w:t>
      </w:r>
      <w:r>
        <w:rPr/>
        <w:t>the</w:t>
      </w:r>
      <w:r>
        <w:rPr>
          <w:spacing w:val="-37"/>
        </w:rPr>
        <w:t> </w:t>
      </w:r>
      <w:r>
        <w:rPr/>
        <w:t>next</w:t>
      </w:r>
      <w:r>
        <w:rPr>
          <w:spacing w:val="-37"/>
        </w:rPr>
        <w:t> </w:t>
      </w:r>
      <w:r>
        <w:rPr>
          <w:spacing w:val="-4"/>
        </w:rPr>
        <w:t>year.</w:t>
      </w:r>
    </w:p>
    <w:p>
      <w:pPr>
        <w:pStyle w:val="BodyText"/>
        <w:rPr>
          <w:sz w:val="14"/>
        </w:rPr>
      </w:pPr>
    </w:p>
    <w:p>
      <w:pPr>
        <w:pStyle w:val="BodyText"/>
        <w:spacing w:line="249" w:lineRule="auto"/>
        <w:ind w:left="223" w:right="21"/>
      </w:pPr>
      <w:r>
        <w:rPr/>
        <w:t>In response to reported lower levels of engagement by academic staff at levels B and C, the Vice-Chancellor hosted campus- based discussion forums from late July to</w:t>
      </w:r>
    </w:p>
    <w:p>
      <w:pPr>
        <w:pStyle w:val="BodyText"/>
        <w:spacing w:line="249" w:lineRule="auto"/>
        <w:ind w:left="223"/>
      </w:pPr>
      <w:r>
        <w:rPr/>
        <w:t>early</w:t>
      </w:r>
      <w:r>
        <w:rPr>
          <w:spacing w:val="-11"/>
        </w:rPr>
        <w:t> </w:t>
      </w:r>
      <w:r>
        <w:rPr/>
        <w:t>August</w:t>
      </w:r>
      <w:r>
        <w:rPr>
          <w:spacing w:val="-11"/>
        </w:rPr>
        <w:t> </w:t>
      </w:r>
      <w:r>
        <w:rPr/>
        <w:t>with</w:t>
      </w:r>
      <w:r>
        <w:rPr>
          <w:spacing w:val="-11"/>
        </w:rPr>
        <w:t> </w:t>
      </w:r>
      <w:r>
        <w:rPr/>
        <w:t>over</w:t>
      </w:r>
      <w:r>
        <w:rPr>
          <w:spacing w:val="-11"/>
        </w:rPr>
        <w:t> </w:t>
      </w:r>
      <w:r>
        <w:rPr/>
        <w:t>80</w:t>
      </w:r>
      <w:r>
        <w:rPr>
          <w:spacing w:val="-11"/>
        </w:rPr>
        <w:t> </w:t>
      </w:r>
      <w:r>
        <w:rPr/>
        <w:t>academic</w:t>
      </w:r>
      <w:r>
        <w:rPr>
          <w:spacing w:val="-11"/>
        </w:rPr>
        <w:t> </w:t>
      </w:r>
      <w:r>
        <w:rPr/>
        <w:t>staff</w:t>
      </w:r>
      <w:r>
        <w:rPr>
          <w:spacing w:val="-11"/>
        </w:rPr>
        <w:t> </w:t>
      </w:r>
      <w:r>
        <w:rPr/>
        <w:t>from levels A to E, to understand and address the issues</w:t>
      </w:r>
      <w:r>
        <w:rPr>
          <w:spacing w:val="-18"/>
        </w:rPr>
        <w:t> </w:t>
      </w:r>
      <w:r>
        <w:rPr/>
        <w:t>experienced</w:t>
      </w:r>
      <w:r>
        <w:rPr>
          <w:spacing w:val="-18"/>
        </w:rPr>
        <w:t> </w:t>
      </w:r>
      <w:r>
        <w:rPr/>
        <w:t>by</w:t>
      </w:r>
      <w:r>
        <w:rPr>
          <w:spacing w:val="-18"/>
        </w:rPr>
        <w:t> </w:t>
      </w:r>
      <w:r>
        <w:rPr/>
        <w:t>staff.</w:t>
      </w:r>
      <w:r>
        <w:rPr>
          <w:spacing w:val="-18"/>
        </w:rPr>
        <w:t> </w:t>
      </w:r>
      <w:r>
        <w:rPr/>
        <w:t>The</w:t>
      </w:r>
      <w:r>
        <w:rPr>
          <w:spacing w:val="-18"/>
        </w:rPr>
        <w:t> </w:t>
      </w:r>
      <w:r>
        <w:rPr/>
        <w:t>next</w:t>
      </w:r>
      <w:r>
        <w:rPr>
          <w:spacing w:val="-18"/>
        </w:rPr>
        <w:t> </w:t>
      </w:r>
      <w:r>
        <w:rPr/>
        <w:t>MyVoice </w:t>
      </w:r>
      <w:r>
        <w:rPr>
          <w:w w:val="98"/>
        </w:rPr>
        <w:t>Staff</w:t>
      </w:r>
      <w:r>
        <w:rPr>
          <w:spacing w:val="-8"/>
          <w:w w:val="98"/>
        </w:rPr>
        <w:t> </w:t>
      </w:r>
      <w:r>
        <w:rPr>
          <w:spacing w:val="1"/>
          <w:w w:val="98"/>
        </w:rPr>
        <w:t>Engagement</w:t>
      </w:r>
      <w:r>
        <w:rPr>
          <w:spacing w:val="-8"/>
          <w:w w:val="98"/>
        </w:rPr>
        <w:t> </w:t>
      </w:r>
      <w:r>
        <w:rPr>
          <w:w w:val="98"/>
        </w:rPr>
        <w:t>Survey</w:t>
      </w:r>
      <w:r>
        <w:rPr>
          <w:spacing w:val="-8"/>
          <w:w w:val="98"/>
        </w:rPr>
        <w:t> </w:t>
      </w:r>
      <w:r>
        <w:rPr>
          <w:w w:val="97"/>
        </w:rPr>
        <w:t>will</w:t>
      </w:r>
      <w:r>
        <w:rPr>
          <w:spacing w:val="-7"/>
          <w:w w:val="97"/>
        </w:rPr>
        <w:t> </w:t>
      </w:r>
      <w:r>
        <w:rPr>
          <w:spacing w:val="1"/>
          <w:w w:val="99"/>
        </w:rPr>
        <w:t>be</w:t>
      </w:r>
      <w:r>
        <w:rPr>
          <w:spacing w:val="-8"/>
          <w:w w:val="99"/>
        </w:rPr>
        <w:t> </w:t>
      </w:r>
      <w:r>
        <w:rPr>
          <w:spacing w:val="1"/>
          <w:w w:val="97"/>
        </w:rPr>
        <w:t>held</w:t>
      </w:r>
      <w:r>
        <w:rPr>
          <w:spacing w:val="-7"/>
          <w:w w:val="97"/>
        </w:rPr>
        <w:t> </w:t>
      </w:r>
      <w:r>
        <w:rPr>
          <w:w w:val="95"/>
        </w:rPr>
        <w:t>in</w:t>
      </w:r>
      <w:r>
        <w:rPr>
          <w:spacing w:val="-7"/>
          <w:w w:val="95"/>
        </w:rPr>
        <w:t> </w:t>
      </w:r>
      <w:r>
        <w:rPr>
          <w:spacing w:val="-2"/>
          <w:w w:val="83"/>
        </w:rPr>
        <w:t>2017.</w:t>
      </w:r>
    </w:p>
    <w:p>
      <w:pPr>
        <w:pStyle w:val="BodyText"/>
        <w:spacing w:before="6"/>
        <w:rPr>
          <w:sz w:val="22"/>
        </w:rPr>
      </w:pPr>
    </w:p>
    <w:p>
      <w:pPr>
        <w:pStyle w:val="Heading5"/>
        <w:ind w:left="223"/>
      </w:pPr>
      <w:r>
        <w:rPr/>
        <w:t>RECRUITMENT</w:t>
      </w:r>
    </w:p>
    <w:p>
      <w:pPr>
        <w:pStyle w:val="BodyText"/>
        <w:spacing w:line="249" w:lineRule="auto" w:before="209"/>
        <w:ind w:left="223" w:right="183"/>
      </w:pPr>
      <w:r>
        <w:rPr/>
        <w:t>Recruitment manages all </w:t>
      </w:r>
      <w:r>
        <w:rPr>
          <w:spacing w:val="2"/>
        </w:rPr>
        <w:t>aspects </w:t>
      </w:r>
      <w:r>
        <w:rPr/>
        <w:t>of the recruiting process for business units at the University. The recruitment team merged with the HR Partnership teams in early </w:t>
      </w:r>
      <w:r>
        <w:rPr>
          <w:spacing w:val="1"/>
          <w:w w:val="84"/>
        </w:rPr>
        <w:t>2015.</w:t>
      </w:r>
      <w:r>
        <w:rPr>
          <w:w w:val="84"/>
        </w:rPr>
        <w:t> </w:t>
      </w:r>
      <w:r>
        <w:rPr>
          <w:spacing w:val="1"/>
          <w:w w:val="94"/>
        </w:rPr>
        <w:t>The</w:t>
      </w:r>
      <w:r>
        <w:rPr>
          <w:w w:val="94"/>
        </w:rPr>
        <w:t> </w:t>
      </w:r>
      <w:r>
        <w:rPr>
          <w:spacing w:val="1"/>
          <w:w w:val="98"/>
        </w:rPr>
        <w:t>Relocations</w:t>
      </w:r>
      <w:r>
        <w:rPr>
          <w:w w:val="98"/>
        </w:rPr>
        <w:t> </w:t>
      </w:r>
      <w:r>
        <w:rPr>
          <w:spacing w:val="1"/>
          <w:w w:val="98"/>
        </w:rPr>
        <w:t>Officer</w:t>
      </w:r>
      <w:r>
        <w:rPr>
          <w:w w:val="98"/>
        </w:rPr>
        <w:t> </w:t>
      </w:r>
      <w:r>
        <w:rPr>
          <w:spacing w:val="1"/>
          <w:w w:val="96"/>
        </w:rPr>
        <w:t>assists</w:t>
      </w:r>
      <w:r>
        <w:rPr>
          <w:w w:val="96"/>
        </w:rPr>
        <w:t> </w:t>
      </w:r>
      <w:r>
        <w:rPr>
          <w:w w:val="98"/>
        </w:rPr>
        <w:t>with </w:t>
      </w:r>
      <w:r>
        <w:rPr/>
        <w:t>immigration,</w:t>
      </w:r>
      <w:r>
        <w:rPr>
          <w:spacing w:val="-19"/>
        </w:rPr>
        <w:t> </w:t>
      </w:r>
      <w:r>
        <w:rPr/>
        <w:t>visa</w:t>
      </w:r>
      <w:r>
        <w:rPr>
          <w:spacing w:val="-19"/>
        </w:rPr>
        <w:t> </w:t>
      </w:r>
      <w:r>
        <w:rPr/>
        <w:t>and</w:t>
      </w:r>
      <w:r>
        <w:rPr>
          <w:spacing w:val="-19"/>
        </w:rPr>
        <w:t> </w:t>
      </w:r>
      <w:r>
        <w:rPr/>
        <w:t>relocation</w:t>
      </w:r>
      <w:r>
        <w:rPr>
          <w:spacing w:val="-19"/>
        </w:rPr>
        <w:t> </w:t>
      </w:r>
      <w:r>
        <w:rPr/>
        <w:t>matters</w:t>
      </w:r>
      <w:r>
        <w:rPr>
          <w:spacing w:val="-19"/>
        </w:rPr>
        <w:t> </w:t>
      </w:r>
      <w:r>
        <w:rPr/>
        <w:t>for</w:t>
      </w:r>
    </w:p>
    <w:p>
      <w:pPr>
        <w:pStyle w:val="BodyText"/>
        <w:spacing w:line="249" w:lineRule="auto"/>
        <w:ind w:left="223"/>
      </w:pPr>
      <w:r>
        <w:rPr/>
        <w:t>all</w:t>
      </w:r>
      <w:r>
        <w:rPr>
          <w:spacing w:val="-17"/>
        </w:rPr>
        <w:t> </w:t>
      </w:r>
      <w:r>
        <w:rPr/>
        <w:t>staff</w:t>
      </w:r>
      <w:r>
        <w:rPr>
          <w:spacing w:val="-17"/>
        </w:rPr>
        <w:t> </w:t>
      </w:r>
      <w:r>
        <w:rPr/>
        <w:t>members</w:t>
      </w:r>
      <w:r>
        <w:rPr>
          <w:spacing w:val="-17"/>
        </w:rPr>
        <w:t> </w:t>
      </w:r>
      <w:r>
        <w:rPr/>
        <w:t>recruited</w:t>
      </w:r>
      <w:r>
        <w:rPr>
          <w:spacing w:val="-17"/>
        </w:rPr>
        <w:t> </w:t>
      </w:r>
      <w:r>
        <w:rPr/>
        <w:t>from</w:t>
      </w:r>
      <w:r>
        <w:rPr>
          <w:spacing w:val="-17"/>
        </w:rPr>
        <w:t> </w:t>
      </w:r>
      <w:r>
        <w:rPr/>
        <w:t>overseas</w:t>
      </w:r>
      <w:r>
        <w:rPr>
          <w:spacing w:val="-17"/>
        </w:rPr>
        <w:t> </w:t>
      </w:r>
      <w:r>
        <w:rPr/>
        <w:t>and interstate.</w:t>
      </w:r>
    </w:p>
    <w:p>
      <w:pPr>
        <w:pStyle w:val="Heading5"/>
        <w:spacing w:before="64"/>
        <w:ind w:left="194" w:right="348"/>
      </w:pPr>
      <w:r>
        <w:rPr>
          <w:b w:val="0"/>
        </w:rPr>
        <w:br w:type="column"/>
      </w:r>
      <w:r>
        <w:rPr>
          <w:w w:val="95"/>
        </w:rPr>
        <w:t>WORK HEALTH AND SAFETY</w:t>
      </w:r>
    </w:p>
    <w:p>
      <w:pPr>
        <w:pStyle w:val="BodyText"/>
        <w:spacing w:line="249" w:lineRule="auto" w:before="209"/>
        <w:ind w:left="194" w:right="348"/>
      </w:pPr>
      <w:r>
        <w:rPr/>
        <w:t>The focus for Work Health and Safety (WHS) </w:t>
      </w:r>
      <w:r>
        <w:rPr>
          <w:w w:val="97"/>
        </w:rPr>
        <w:t>during </w:t>
      </w:r>
      <w:r>
        <w:rPr>
          <w:w w:val="88"/>
        </w:rPr>
        <w:t>2015 </w:t>
      </w:r>
      <w:r>
        <w:rPr>
          <w:w w:val="96"/>
        </w:rPr>
        <w:t>was </w:t>
      </w:r>
      <w:r>
        <w:rPr>
          <w:w w:val="101"/>
        </w:rPr>
        <w:t>to </w:t>
      </w:r>
      <w:r>
        <w:rPr>
          <w:w w:val="97"/>
        </w:rPr>
        <w:t>further </w:t>
      </w:r>
      <w:r>
        <w:rPr>
          <w:w w:val="96"/>
        </w:rPr>
        <w:t>enhance </w:t>
      </w:r>
      <w:r>
        <w:rPr>
          <w:w w:val="97"/>
        </w:rPr>
        <w:t>the </w:t>
      </w:r>
      <w:r>
        <w:rPr>
          <w:w w:val="96"/>
        </w:rPr>
        <w:t>level </w:t>
      </w:r>
      <w:r>
        <w:rPr/>
        <w:t>of engagement in building WHS into the University’s core business. The approach</w:t>
      </w:r>
    </w:p>
    <w:p>
      <w:pPr>
        <w:pStyle w:val="BodyText"/>
        <w:spacing w:line="249" w:lineRule="auto"/>
        <w:ind w:left="194" w:right="387"/>
      </w:pPr>
      <w:r>
        <w:rPr/>
        <w:t>of integrating WHS into the business fabric of the organisation has proven successful, with greater levels of accountability and responsibility being demonstrated. The WHS Unit ensures the University complies with WHS legislation, helping to make it a safe place to work and study.</w:t>
      </w:r>
    </w:p>
    <w:p>
      <w:pPr>
        <w:pStyle w:val="BodyText"/>
        <w:rPr>
          <w:sz w:val="14"/>
        </w:rPr>
      </w:pPr>
    </w:p>
    <w:p>
      <w:pPr>
        <w:pStyle w:val="BodyText"/>
        <w:spacing w:line="249" w:lineRule="auto"/>
        <w:ind w:left="194" w:right="254"/>
      </w:pPr>
      <w:r>
        <w:rPr/>
        <w:t>The Unit continued to help management and staff establish a culture that encourages every person to work and study in a safe manner and to care for the health and safety of other people and the environment.</w:t>
      </w:r>
    </w:p>
    <w:p>
      <w:pPr>
        <w:pStyle w:val="BodyText"/>
        <w:rPr>
          <w:sz w:val="14"/>
        </w:rPr>
      </w:pPr>
    </w:p>
    <w:p>
      <w:pPr>
        <w:pStyle w:val="BodyText"/>
        <w:spacing w:line="249" w:lineRule="auto"/>
        <w:ind w:left="194" w:right="288"/>
      </w:pPr>
      <w:r>
        <w:rPr/>
        <w:t>There was a significant increase in the completion rates of mandatory training and </w:t>
      </w:r>
      <w:r>
        <w:rPr>
          <w:spacing w:val="-1"/>
          <w:w w:val="100"/>
        </w:rPr>
        <w:t>WHS</w:t>
      </w:r>
      <w:r>
        <w:rPr>
          <w:w w:val="100"/>
        </w:rPr>
        <w:t> </w:t>
      </w:r>
      <w:r>
        <w:rPr>
          <w:spacing w:val="-1"/>
          <w:w w:val="97"/>
        </w:rPr>
        <w:t>modules</w:t>
      </w:r>
      <w:r>
        <w:rPr>
          <w:w w:val="97"/>
        </w:rPr>
        <w:t> </w:t>
      </w:r>
      <w:r>
        <w:rPr>
          <w:spacing w:val="-2"/>
          <w:w w:val="97"/>
        </w:rPr>
        <w:t>during</w:t>
      </w:r>
      <w:r>
        <w:rPr>
          <w:w w:val="97"/>
        </w:rPr>
        <w:t> </w:t>
      </w:r>
      <w:r>
        <w:rPr>
          <w:spacing w:val="-1"/>
          <w:w w:val="84"/>
        </w:rPr>
        <w:t>2015.</w:t>
      </w:r>
      <w:r>
        <w:rPr>
          <w:w w:val="84"/>
        </w:rPr>
        <w:t> </w:t>
      </w:r>
      <w:r>
        <w:rPr>
          <w:spacing w:val="-2"/>
          <w:w w:val="94"/>
        </w:rPr>
        <w:t>This</w:t>
      </w:r>
      <w:r>
        <w:rPr>
          <w:w w:val="94"/>
        </w:rPr>
        <w:t> </w:t>
      </w:r>
      <w:r>
        <w:rPr>
          <w:spacing w:val="-1"/>
          <w:w w:val="97"/>
        </w:rPr>
        <w:t>suggests</w:t>
      </w:r>
      <w:r>
        <w:rPr>
          <w:w w:val="97"/>
        </w:rPr>
        <w:t> </w:t>
      </w:r>
      <w:r>
        <w:rPr>
          <w:spacing w:val="-2"/>
          <w:w w:val="97"/>
        </w:rPr>
        <w:t>there</w:t>
      </w:r>
      <w:r>
        <w:rPr>
          <w:w w:val="97"/>
        </w:rPr>
        <w:t> </w:t>
      </w:r>
      <w:r>
        <w:rPr/>
        <w:t>is</w:t>
      </w:r>
      <w:r>
        <w:rPr>
          <w:spacing w:val="-29"/>
        </w:rPr>
        <w:t> </w:t>
      </w:r>
      <w:r>
        <w:rPr>
          <w:spacing w:val="-3"/>
        </w:rPr>
        <w:t>greater</w:t>
      </w:r>
      <w:r>
        <w:rPr>
          <w:spacing w:val="-29"/>
        </w:rPr>
        <w:t> </w:t>
      </w:r>
      <w:r>
        <w:rPr/>
        <w:t>awareness</w:t>
      </w:r>
      <w:r>
        <w:rPr>
          <w:spacing w:val="-29"/>
        </w:rPr>
        <w:t> </w:t>
      </w:r>
      <w:r>
        <w:rPr/>
        <w:t>of</w:t>
      </w:r>
      <w:r>
        <w:rPr>
          <w:spacing w:val="-29"/>
        </w:rPr>
        <w:t> </w:t>
      </w:r>
      <w:r>
        <w:rPr/>
        <w:t>the</w:t>
      </w:r>
      <w:r>
        <w:rPr>
          <w:spacing w:val="-29"/>
        </w:rPr>
        <w:t> </w:t>
      </w:r>
      <w:r>
        <w:rPr/>
        <w:t>modules,</w:t>
      </w:r>
      <w:r>
        <w:rPr>
          <w:spacing w:val="-29"/>
        </w:rPr>
        <w:t> </w:t>
      </w:r>
      <w:r>
        <w:rPr/>
        <w:t>as</w:t>
      </w:r>
      <w:r>
        <w:rPr>
          <w:spacing w:val="-29"/>
        </w:rPr>
        <w:t> </w:t>
      </w:r>
      <w:r>
        <w:rPr>
          <w:spacing w:val="-3"/>
        </w:rPr>
        <w:t>well</w:t>
      </w:r>
      <w:r>
        <w:rPr>
          <w:spacing w:val="-29"/>
        </w:rPr>
        <w:t> </w:t>
      </w:r>
      <w:r>
        <w:rPr/>
        <w:t>as </w:t>
      </w:r>
      <w:r>
        <w:rPr>
          <w:spacing w:val="-3"/>
          <w:w w:val="95"/>
        </w:rPr>
        <w:t>greater</w:t>
      </w:r>
      <w:r>
        <w:rPr>
          <w:spacing w:val="-10"/>
          <w:w w:val="95"/>
        </w:rPr>
        <w:t> </w:t>
      </w:r>
      <w:r>
        <w:rPr>
          <w:w w:val="95"/>
        </w:rPr>
        <w:t>willingness</w:t>
      </w:r>
      <w:r>
        <w:rPr>
          <w:spacing w:val="-10"/>
          <w:w w:val="95"/>
        </w:rPr>
        <w:t> </w:t>
      </w:r>
      <w:r>
        <w:rPr>
          <w:spacing w:val="-3"/>
          <w:w w:val="95"/>
        </w:rPr>
        <w:t>to</w:t>
      </w:r>
      <w:r>
        <w:rPr>
          <w:spacing w:val="-10"/>
          <w:w w:val="95"/>
        </w:rPr>
        <w:t> </w:t>
      </w:r>
      <w:r>
        <w:rPr>
          <w:w w:val="95"/>
        </w:rPr>
        <w:t>increase</w:t>
      </w:r>
      <w:r>
        <w:rPr>
          <w:spacing w:val="-10"/>
          <w:w w:val="95"/>
        </w:rPr>
        <w:t> </w:t>
      </w:r>
      <w:r>
        <w:rPr>
          <w:w w:val="95"/>
        </w:rPr>
        <w:t>WHS</w:t>
      </w:r>
      <w:r>
        <w:rPr>
          <w:spacing w:val="-10"/>
          <w:w w:val="95"/>
        </w:rPr>
        <w:t> </w:t>
      </w:r>
      <w:r>
        <w:rPr>
          <w:w w:val="95"/>
        </w:rPr>
        <w:t>compliance.</w:t>
      </w:r>
    </w:p>
    <w:p>
      <w:pPr>
        <w:pStyle w:val="BodyText"/>
        <w:rPr>
          <w:sz w:val="14"/>
        </w:rPr>
      </w:pPr>
    </w:p>
    <w:p>
      <w:pPr>
        <w:pStyle w:val="BodyText"/>
        <w:spacing w:line="249" w:lineRule="auto"/>
        <w:ind w:left="194" w:right="589"/>
      </w:pPr>
      <w:r>
        <w:rPr/>
        <w:t>There has been continued effective management of high-risk areas such as laboratories and areas with biological and radiation safety risks.</w:t>
      </w:r>
    </w:p>
    <w:p>
      <w:pPr>
        <w:pStyle w:val="BodyText"/>
        <w:rPr>
          <w:sz w:val="14"/>
        </w:rPr>
      </w:pPr>
    </w:p>
    <w:p>
      <w:pPr>
        <w:pStyle w:val="BodyText"/>
        <w:spacing w:line="249" w:lineRule="auto"/>
        <w:ind w:left="194" w:right="262"/>
      </w:pPr>
      <w:r>
        <w:rPr/>
        <w:t>The injury management portfolio continued to demonstrate significant progress in terms of rehabilitation for injured employees, staff care arrangements and the cost of claims.</w:t>
      </w:r>
    </w:p>
    <w:p>
      <w:pPr>
        <w:spacing w:after="0" w:line="249" w:lineRule="auto"/>
        <w:sectPr>
          <w:type w:val="continuous"/>
          <w:pgSz w:w="11910" w:h="16840"/>
          <w:pgMar w:top="1580" w:bottom="280" w:left="580" w:right="580"/>
          <w:cols w:num="3" w:equalWidth="0">
            <w:col w:w="3503" w:space="40"/>
            <w:col w:w="3429" w:space="40"/>
            <w:col w:w="3738"/>
          </w:cols>
        </w:sectPr>
      </w:pPr>
    </w:p>
    <w:p>
      <w:pPr>
        <w:pStyle w:val="BodyText"/>
        <w:spacing w:before="10"/>
        <w:rPr>
          <w:sz w:val="28"/>
        </w:rPr>
      </w:pPr>
    </w:p>
    <w:p>
      <w:pPr>
        <w:pStyle w:val="Heading2"/>
        <w:ind w:right="7693"/>
        <w:rPr>
          <w:b w:val="0"/>
        </w:rPr>
      </w:pPr>
      <w:r>
        <w:rPr>
          <w:b w:val="0"/>
        </w:rPr>
        <w:t>Management and Resources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9" w:lineRule="auto"/>
        <w:ind w:left="107" w:right="29"/>
      </w:pPr>
      <w:r>
        <w:rPr/>
        <w:t>There</w:t>
      </w:r>
      <w:r>
        <w:rPr>
          <w:spacing w:val="-36"/>
        </w:rPr>
        <w:t> </w:t>
      </w:r>
      <w:r>
        <w:rPr>
          <w:spacing w:val="-3"/>
        </w:rPr>
        <w:t>were</w:t>
      </w:r>
      <w:r>
        <w:rPr>
          <w:spacing w:val="-36"/>
        </w:rPr>
        <w:t> </w:t>
      </w:r>
      <w:r>
        <w:rPr/>
        <w:t>no</w:t>
      </w:r>
      <w:r>
        <w:rPr>
          <w:spacing w:val="-36"/>
        </w:rPr>
        <w:t> </w:t>
      </w:r>
      <w:r>
        <w:rPr/>
        <w:t>prosecutions</w:t>
      </w:r>
      <w:r>
        <w:rPr>
          <w:spacing w:val="-36"/>
        </w:rPr>
        <w:t> </w:t>
      </w:r>
      <w:r>
        <w:rPr/>
        <w:t>of</w:t>
      </w:r>
      <w:r>
        <w:rPr>
          <w:spacing w:val="-36"/>
        </w:rPr>
        <w:t> </w:t>
      </w:r>
      <w:r>
        <w:rPr/>
        <w:t>the</w:t>
      </w:r>
      <w:r>
        <w:rPr>
          <w:spacing w:val="-36"/>
        </w:rPr>
        <w:t> </w:t>
      </w:r>
      <w:r>
        <w:rPr/>
        <w:t>University</w:t>
      </w:r>
      <w:r>
        <w:rPr>
          <w:spacing w:val="-36"/>
        </w:rPr>
        <w:t> </w:t>
      </w:r>
      <w:r>
        <w:rPr/>
        <w:t>for </w:t>
      </w:r>
      <w:r>
        <w:rPr>
          <w:spacing w:val="-2"/>
          <w:w w:val="97"/>
        </w:rPr>
        <w:t>breaches</w:t>
      </w:r>
      <w:r>
        <w:rPr>
          <w:spacing w:val="-13"/>
          <w:w w:val="97"/>
        </w:rPr>
        <w:t> </w:t>
      </w:r>
      <w:r>
        <w:rPr>
          <w:spacing w:val="-1"/>
          <w:w w:val="97"/>
        </w:rPr>
        <w:t>under</w:t>
      </w:r>
      <w:r>
        <w:rPr>
          <w:spacing w:val="-13"/>
          <w:w w:val="97"/>
        </w:rPr>
        <w:t> </w:t>
      </w:r>
      <w:r>
        <w:rPr>
          <w:spacing w:val="-1"/>
          <w:w w:val="100"/>
        </w:rPr>
        <w:t>WHS</w:t>
      </w:r>
      <w:r>
        <w:rPr>
          <w:spacing w:val="-14"/>
          <w:w w:val="100"/>
        </w:rPr>
        <w:t> </w:t>
      </w:r>
      <w:r>
        <w:rPr>
          <w:spacing w:val="-2"/>
          <w:w w:val="97"/>
        </w:rPr>
        <w:t>legislation</w:t>
      </w:r>
      <w:r>
        <w:rPr>
          <w:spacing w:val="-13"/>
          <w:w w:val="97"/>
        </w:rPr>
        <w:t> </w:t>
      </w:r>
      <w:r>
        <w:rPr>
          <w:spacing w:val="-2"/>
          <w:w w:val="97"/>
        </w:rPr>
        <w:t>during</w:t>
      </w:r>
      <w:r>
        <w:rPr>
          <w:spacing w:val="-13"/>
          <w:w w:val="97"/>
        </w:rPr>
        <w:t> </w:t>
      </w:r>
      <w:r>
        <w:rPr>
          <w:spacing w:val="-1"/>
          <w:w w:val="84"/>
        </w:rPr>
        <w:t>2015.</w:t>
      </w:r>
    </w:p>
    <w:p>
      <w:pPr>
        <w:pStyle w:val="BodyText"/>
      </w:pPr>
    </w:p>
    <w:p>
      <w:pPr>
        <w:pStyle w:val="Heading5"/>
        <w:spacing w:line="260" w:lineRule="exact" w:before="101"/>
        <w:ind w:right="-17"/>
      </w:pPr>
      <w:r>
        <w:rPr>
          <w:spacing w:val="-3"/>
          <w:w w:val="95"/>
        </w:rPr>
        <w:t>WORKPLACE </w:t>
      </w:r>
      <w:r>
        <w:rPr>
          <w:spacing w:val="-4"/>
          <w:w w:val="95"/>
        </w:rPr>
        <w:t>RELATIONS </w:t>
      </w:r>
      <w:r>
        <w:rPr>
          <w:w w:val="95"/>
        </w:rPr>
        <w:t>AND </w:t>
      </w:r>
      <w:r>
        <w:rPr>
          <w:spacing w:val="-4"/>
          <w:w w:val="95"/>
        </w:rPr>
        <w:t>ORGANISATIONAL </w:t>
      </w:r>
      <w:r>
        <w:rPr>
          <w:w w:val="95"/>
        </w:rPr>
        <w:t>DESIGN</w:t>
      </w:r>
    </w:p>
    <w:p>
      <w:pPr>
        <w:pStyle w:val="BodyText"/>
        <w:spacing w:line="249" w:lineRule="auto" w:before="214"/>
        <w:ind w:left="107" w:right="30"/>
      </w:pPr>
      <w:r>
        <w:rPr/>
        <w:t>The Workplace Relations and Organisational Design (WROD) Unit oversees industrial relations,</w:t>
      </w:r>
      <w:r>
        <w:rPr>
          <w:spacing w:val="-21"/>
        </w:rPr>
        <w:t> </w:t>
      </w:r>
      <w:r>
        <w:rPr/>
        <w:t>change</w:t>
      </w:r>
      <w:r>
        <w:rPr>
          <w:spacing w:val="-21"/>
        </w:rPr>
        <w:t> </w:t>
      </w:r>
      <w:r>
        <w:rPr/>
        <w:t>management</w:t>
      </w:r>
      <w:r>
        <w:rPr>
          <w:spacing w:val="-21"/>
        </w:rPr>
        <w:t> </w:t>
      </w:r>
      <w:r>
        <w:rPr/>
        <w:t>and</w:t>
      </w:r>
      <w:r>
        <w:rPr>
          <w:spacing w:val="-21"/>
        </w:rPr>
        <w:t> </w:t>
      </w:r>
      <w:r>
        <w:rPr/>
        <w:t>workforce planning.</w:t>
      </w:r>
    </w:p>
    <w:p>
      <w:pPr>
        <w:pStyle w:val="BodyText"/>
        <w:spacing w:before="7"/>
        <w:rPr>
          <w:sz w:val="21"/>
        </w:rPr>
      </w:pPr>
    </w:p>
    <w:p>
      <w:pPr>
        <w:pStyle w:val="Heading8"/>
        <w:ind w:right="-17"/>
      </w:pPr>
      <w:r>
        <w:rPr>
          <w:w w:val="95"/>
        </w:rPr>
        <w:t>WORKFORCE PLANNING</w:t>
      </w:r>
    </w:p>
    <w:p>
      <w:pPr>
        <w:pStyle w:val="BodyText"/>
        <w:spacing w:line="249" w:lineRule="auto" w:before="86"/>
        <w:ind w:left="107" w:right="76"/>
        <w:jc w:val="both"/>
      </w:pPr>
      <w:r>
        <w:rPr/>
        <w:t>The</w:t>
      </w:r>
      <w:r>
        <w:rPr>
          <w:spacing w:val="-14"/>
        </w:rPr>
        <w:t> </w:t>
      </w:r>
      <w:r>
        <w:rPr/>
        <w:t>WROD</w:t>
      </w:r>
      <w:r>
        <w:rPr>
          <w:spacing w:val="-14"/>
        </w:rPr>
        <w:t> </w:t>
      </w:r>
      <w:r>
        <w:rPr/>
        <w:t>Unit</w:t>
      </w:r>
      <w:r>
        <w:rPr>
          <w:spacing w:val="-14"/>
        </w:rPr>
        <w:t> </w:t>
      </w:r>
      <w:r>
        <w:rPr/>
        <w:t>coordinated</w:t>
      </w:r>
      <w:r>
        <w:rPr>
          <w:spacing w:val="-14"/>
        </w:rPr>
        <w:t> </w:t>
      </w:r>
      <w:r>
        <w:rPr/>
        <w:t>and</w:t>
      </w:r>
      <w:r>
        <w:rPr>
          <w:spacing w:val="-14"/>
        </w:rPr>
        <w:t> </w:t>
      </w:r>
      <w:r>
        <w:rPr/>
        <w:t>assisted</w:t>
      </w:r>
      <w:r>
        <w:rPr>
          <w:spacing w:val="-14"/>
        </w:rPr>
        <w:t> </w:t>
      </w:r>
      <w:r>
        <w:rPr/>
        <w:t>the Schools</w:t>
      </w:r>
      <w:r>
        <w:rPr>
          <w:spacing w:val="-18"/>
        </w:rPr>
        <w:t> </w:t>
      </w:r>
      <w:r>
        <w:rPr/>
        <w:t>and</w:t>
      </w:r>
      <w:r>
        <w:rPr>
          <w:spacing w:val="-18"/>
        </w:rPr>
        <w:t> </w:t>
      </w:r>
      <w:r>
        <w:rPr/>
        <w:t>Institutes</w:t>
      </w:r>
      <w:r>
        <w:rPr>
          <w:spacing w:val="-18"/>
        </w:rPr>
        <w:t> </w:t>
      </w:r>
      <w:r>
        <w:rPr/>
        <w:t>in</w:t>
      </w:r>
      <w:r>
        <w:rPr>
          <w:spacing w:val="-18"/>
        </w:rPr>
        <w:t> </w:t>
      </w:r>
      <w:r>
        <w:rPr/>
        <w:t>completing</w:t>
      </w:r>
      <w:r>
        <w:rPr>
          <w:spacing w:val="-18"/>
        </w:rPr>
        <w:t> </w:t>
      </w:r>
      <w:r>
        <w:rPr/>
        <w:t>an</w:t>
      </w:r>
      <w:r>
        <w:rPr>
          <w:spacing w:val="-18"/>
        </w:rPr>
        <w:t> </w:t>
      </w:r>
      <w:r>
        <w:rPr/>
        <w:t>initial workforce</w:t>
      </w:r>
      <w:r>
        <w:rPr>
          <w:spacing w:val="-19"/>
        </w:rPr>
        <w:t> </w:t>
      </w:r>
      <w:r>
        <w:rPr/>
        <w:t>plan</w:t>
      </w:r>
      <w:r>
        <w:rPr>
          <w:spacing w:val="-19"/>
        </w:rPr>
        <w:t> </w:t>
      </w:r>
      <w:r>
        <w:rPr/>
        <w:t>for</w:t>
      </w:r>
      <w:r>
        <w:rPr>
          <w:spacing w:val="-19"/>
        </w:rPr>
        <w:t> </w:t>
      </w:r>
      <w:r>
        <w:rPr/>
        <w:t>their</w:t>
      </w:r>
      <w:r>
        <w:rPr>
          <w:spacing w:val="-19"/>
        </w:rPr>
        <w:t> </w:t>
      </w:r>
      <w:r>
        <w:rPr/>
        <w:t>respective</w:t>
      </w:r>
      <w:r>
        <w:rPr>
          <w:spacing w:val="-19"/>
        </w:rPr>
        <w:t> </w:t>
      </w:r>
      <w:r>
        <w:rPr/>
        <w:t>areas.</w:t>
      </w:r>
    </w:p>
    <w:p>
      <w:pPr>
        <w:pStyle w:val="BodyText"/>
        <w:spacing w:before="7"/>
        <w:rPr>
          <w:sz w:val="21"/>
        </w:rPr>
      </w:pPr>
    </w:p>
    <w:p>
      <w:pPr>
        <w:pStyle w:val="Heading8"/>
        <w:ind w:right="-17"/>
      </w:pPr>
      <w:r>
        <w:rPr>
          <w:w w:val="95"/>
        </w:rPr>
        <w:t>CHANGE MANAGEMENT</w:t>
      </w:r>
    </w:p>
    <w:p>
      <w:pPr>
        <w:pStyle w:val="BodyText"/>
        <w:spacing w:line="249" w:lineRule="auto" w:before="86"/>
        <w:ind w:left="107" w:right="43"/>
      </w:pPr>
      <w:r>
        <w:rPr/>
        <w:t>The Unit provided specialist advice to assist the Divisional Assessment and Process (DSPA) Review that resulted in two change proposals for the University and additional change proposals for two University entities: Western Sydney University The College and Connect. Additionally, six change proposals were progressed outside the DSPA review.</w:t>
      </w:r>
    </w:p>
    <w:p>
      <w:pPr>
        <w:pStyle w:val="BodyText"/>
        <w:rPr>
          <w:sz w:val="14"/>
        </w:rPr>
      </w:pPr>
    </w:p>
    <w:p>
      <w:pPr>
        <w:pStyle w:val="BodyText"/>
        <w:spacing w:line="249" w:lineRule="auto"/>
        <w:ind w:left="107" w:right="-17"/>
      </w:pPr>
      <w:r>
        <w:rPr/>
        <w:t>The Unit also provided specialist advice to assist</w:t>
      </w:r>
      <w:r>
        <w:rPr>
          <w:spacing w:val="-18"/>
        </w:rPr>
        <w:t> </w:t>
      </w:r>
      <w:r>
        <w:rPr/>
        <w:t>in</w:t>
      </w:r>
      <w:r>
        <w:rPr>
          <w:spacing w:val="-18"/>
        </w:rPr>
        <w:t> </w:t>
      </w:r>
      <w:r>
        <w:rPr/>
        <w:t>the</w:t>
      </w:r>
      <w:r>
        <w:rPr>
          <w:spacing w:val="-18"/>
        </w:rPr>
        <w:t> </w:t>
      </w:r>
      <w:r>
        <w:rPr/>
        <w:t>transfer</w:t>
      </w:r>
      <w:r>
        <w:rPr>
          <w:spacing w:val="-18"/>
        </w:rPr>
        <w:t> </w:t>
      </w:r>
      <w:r>
        <w:rPr/>
        <w:t>of</w:t>
      </w:r>
      <w:r>
        <w:rPr>
          <w:spacing w:val="-18"/>
        </w:rPr>
        <w:t> </w:t>
      </w:r>
      <w:r>
        <w:rPr/>
        <w:t>business</w:t>
      </w:r>
      <w:r>
        <w:rPr>
          <w:spacing w:val="-18"/>
        </w:rPr>
        <w:t> </w:t>
      </w:r>
      <w:r>
        <w:rPr/>
        <w:t>of</w:t>
      </w:r>
      <w:r>
        <w:rPr>
          <w:spacing w:val="-18"/>
        </w:rPr>
        <w:t> </w:t>
      </w:r>
      <w:r>
        <w:rPr/>
        <w:t>some</w:t>
      </w:r>
      <w:r>
        <w:rPr>
          <w:spacing w:val="-18"/>
        </w:rPr>
        <w:t> </w:t>
      </w:r>
      <w:r>
        <w:rPr/>
        <w:t>The College</w:t>
      </w:r>
      <w:r>
        <w:rPr>
          <w:spacing w:val="-18"/>
        </w:rPr>
        <w:t> </w:t>
      </w:r>
      <w:r>
        <w:rPr/>
        <w:t>professional</w:t>
      </w:r>
      <w:r>
        <w:rPr>
          <w:spacing w:val="-18"/>
        </w:rPr>
        <w:t> </w:t>
      </w:r>
      <w:r>
        <w:rPr/>
        <w:t>staff</w:t>
      </w:r>
      <w:r>
        <w:rPr>
          <w:spacing w:val="-19"/>
        </w:rPr>
        <w:t> </w:t>
      </w:r>
      <w:r>
        <w:rPr/>
        <w:t>to</w:t>
      </w:r>
      <w:r>
        <w:rPr>
          <w:spacing w:val="-18"/>
        </w:rPr>
        <w:t> </w:t>
      </w:r>
      <w:r>
        <w:rPr/>
        <w:t>the</w:t>
      </w:r>
      <w:r>
        <w:rPr>
          <w:spacing w:val="-18"/>
        </w:rPr>
        <w:t> </w:t>
      </w:r>
      <w:r>
        <w:rPr/>
        <w:t>University.</w:t>
      </w:r>
    </w:p>
    <w:p>
      <w:pPr>
        <w:pStyle w:val="BodyText"/>
        <w:spacing w:before="7"/>
        <w:rPr>
          <w:sz w:val="21"/>
        </w:rPr>
      </w:pPr>
    </w:p>
    <w:p>
      <w:pPr>
        <w:pStyle w:val="Heading8"/>
        <w:ind w:right="-17"/>
      </w:pPr>
      <w:r>
        <w:rPr>
          <w:w w:val="95"/>
        </w:rPr>
        <w:t>ENTERPRISE BARGAINING</w:t>
      </w:r>
    </w:p>
    <w:p>
      <w:pPr>
        <w:pStyle w:val="BodyText"/>
        <w:spacing w:line="249" w:lineRule="auto" w:before="86"/>
        <w:ind w:left="107" w:right="-5"/>
      </w:pPr>
      <w:r>
        <w:rPr/>
        <w:t>The implementation of the approved staff Enterprise</w:t>
      </w:r>
      <w:r>
        <w:rPr>
          <w:spacing w:val="-16"/>
        </w:rPr>
        <w:t> </w:t>
      </w:r>
      <w:r>
        <w:rPr/>
        <w:t>Agreements</w:t>
      </w:r>
      <w:r>
        <w:rPr>
          <w:spacing w:val="-16"/>
        </w:rPr>
        <w:t> </w:t>
      </w:r>
      <w:r>
        <w:rPr/>
        <w:t>has</w:t>
      </w:r>
      <w:r>
        <w:rPr>
          <w:spacing w:val="-16"/>
        </w:rPr>
        <w:t> </w:t>
      </w:r>
      <w:r>
        <w:rPr/>
        <w:t>been</w:t>
      </w:r>
      <w:r>
        <w:rPr>
          <w:spacing w:val="-16"/>
        </w:rPr>
        <w:t> </w:t>
      </w:r>
      <w:r>
        <w:rPr/>
        <w:t>ongoing,</w:t>
      </w:r>
      <w:r>
        <w:rPr>
          <w:spacing w:val="-16"/>
        </w:rPr>
        <w:t> </w:t>
      </w:r>
      <w:r>
        <w:rPr/>
        <w:t>and has resulted in a number of academics being converted and placed in teaching-focused roles.</w:t>
      </w:r>
    </w:p>
    <w:p>
      <w:pPr>
        <w:pStyle w:val="BodyText"/>
        <w:spacing w:before="7"/>
        <w:rPr>
          <w:sz w:val="21"/>
        </w:rPr>
      </w:pPr>
    </w:p>
    <w:p>
      <w:pPr>
        <w:pStyle w:val="Heading8"/>
        <w:ind w:right="-17"/>
      </w:pPr>
      <w:r>
        <w:rPr>
          <w:w w:val="95"/>
        </w:rPr>
        <w:t>FAIR WORK COMMISSION MATTERS</w:t>
      </w:r>
    </w:p>
    <w:p>
      <w:pPr>
        <w:pStyle w:val="BodyText"/>
        <w:spacing w:line="249" w:lineRule="auto" w:before="86"/>
        <w:ind w:left="107" w:right="21"/>
      </w:pPr>
      <w:r>
        <w:rPr/>
        <w:t>A number of industrial matters were initiated before</w:t>
      </w:r>
      <w:r>
        <w:rPr>
          <w:spacing w:val="-18"/>
        </w:rPr>
        <w:t> </w:t>
      </w:r>
      <w:r>
        <w:rPr/>
        <w:t>the</w:t>
      </w:r>
      <w:r>
        <w:rPr>
          <w:spacing w:val="-18"/>
        </w:rPr>
        <w:t> </w:t>
      </w:r>
      <w:r>
        <w:rPr/>
        <w:t>Fair</w:t>
      </w:r>
      <w:r>
        <w:rPr>
          <w:spacing w:val="-18"/>
        </w:rPr>
        <w:t> </w:t>
      </w:r>
      <w:r>
        <w:rPr/>
        <w:t>Work</w:t>
      </w:r>
      <w:r>
        <w:rPr>
          <w:spacing w:val="-18"/>
        </w:rPr>
        <w:t> </w:t>
      </w:r>
      <w:r>
        <w:rPr/>
        <w:t>Commission,</w:t>
      </w:r>
      <w:r>
        <w:rPr>
          <w:spacing w:val="-18"/>
        </w:rPr>
        <w:t> </w:t>
      </w:r>
      <w:r>
        <w:rPr/>
        <w:t>which</w:t>
      </w:r>
      <w:r>
        <w:rPr>
          <w:spacing w:val="-18"/>
        </w:rPr>
        <w:t> </w:t>
      </w:r>
      <w:r>
        <w:rPr/>
        <w:t>were discontinued</w:t>
      </w:r>
      <w:r>
        <w:rPr>
          <w:spacing w:val="-15"/>
        </w:rPr>
        <w:t> </w:t>
      </w:r>
      <w:r>
        <w:rPr/>
        <w:t>or</w:t>
      </w:r>
      <w:r>
        <w:rPr>
          <w:spacing w:val="-15"/>
        </w:rPr>
        <w:t> </w:t>
      </w:r>
      <w:r>
        <w:rPr/>
        <w:t>found</w:t>
      </w:r>
      <w:r>
        <w:rPr>
          <w:spacing w:val="-15"/>
        </w:rPr>
        <w:t> </w:t>
      </w:r>
      <w:r>
        <w:rPr/>
        <w:t>to</w:t>
      </w:r>
      <w:r>
        <w:rPr>
          <w:spacing w:val="-15"/>
        </w:rPr>
        <w:t> </w:t>
      </w:r>
      <w:r>
        <w:rPr/>
        <w:t>be</w:t>
      </w:r>
      <w:r>
        <w:rPr>
          <w:spacing w:val="-15"/>
        </w:rPr>
        <w:t> </w:t>
      </w:r>
      <w:r>
        <w:rPr/>
        <w:t>in</w:t>
      </w:r>
      <w:r>
        <w:rPr>
          <w:spacing w:val="-15"/>
        </w:rPr>
        <w:t> </w:t>
      </w:r>
      <w:r>
        <w:rPr/>
        <w:t>the</w:t>
      </w:r>
      <w:r>
        <w:rPr>
          <w:spacing w:val="-15"/>
        </w:rPr>
        <w:t> </w:t>
      </w:r>
      <w:r>
        <w:rPr/>
        <w:t>University’s favour. No adverse findings were made against</w:t>
      </w:r>
      <w:r>
        <w:rPr>
          <w:spacing w:val="-28"/>
        </w:rPr>
        <w:t> </w:t>
      </w:r>
      <w:r>
        <w:rPr/>
        <w:t>the</w:t>
      </w:r>
      <w:r>
        <w:rPr>
          <w:spacing w:val="-28"/>
        </w:rPr>
        <w:t> </w:t>
      </w:r>
      <w:r>
        <w:rPr/>
        <w:t>University.</w:t>
      </w:r>
    </w:p>
    <w:p>
      <w:pPr>
        <w:pStyle w:val="BodyText"/>
        <w:spacing w:before="1"/>
        <w:rPr>
          <w:sz w:val="18"/>
        </w:rPr>
      </w:pPr>
      <w:r>
        <w:rPr/>
        <w:br w:type="column"/>
      </w:r>
      <w:r>
        <w:rPr>
          <w:sz w:val="18"/>
        </w:rPr>
      </w:r>
    </w:p>
    <w:p>
      <w:pPr>
        <w:pStyle w:val="Heading5"/>
        <w:spacing w:line="260" w:lineRule="exact" w:before="1"/>
        <w:ind w:right="95"/>
      </w:pPr>
      <w:r>
        <w:rPr>
          <w:w w:val="95"/>
        </w:rPr>
        <w:t>DIVISION OF FINANCE AND </w:t>
      </w:r>
      <w:r>
        <w:rPr/>
        <w:t>RESOURCES</w:t>
      </w:r>
    </w:p>
    <w:p>
      <w:pPr>
        <w:pStyle w:val="BodyText"/>
        <w:spacing w:line="249" w:lineRule="auto" w:before="214"/>
        <w:ind w:left="107" w:right="134"/>
        <w:jc w:val="both"/>
      </w:pPr>
      <w:r>
        <w:rPr/>
        <w:t>The</w:t>
      </w:r>
      <w:r>
        <w:rPr>
          <w:spacing w:val="-17"/>
        </w:rPr>
        <w:t> </w:t>
      </w:r>
      <w:r>
        <w:rPr/>
        <w:t>Division</w:t>
      </w:r>
      <w:r>
        <w:rPr>
          <w:spacing w:val="-17"/>
        </w:rPr>
        <w:t> </w:t>
      </w:r>
      <w:r>
        <w:rPr/>
        <w:t>of</w:t>
      </w:r>
      <w:r>
        <w:rPr>
          <w:spacing w:val="-17"/>
        </w:rPr>
        <w:t> </w:t>
      </w:r>
      <w:r>
        <w:rPr/>
        <w:t>Finance</w:t>
      </w:r>
      <w:r>
        <w:rPr>
          <w:spacing w:val="-17"/>
        </w:rPr>
        <w:t> </w:t>
      </w:r>
      <w:r>
        <w:rPr/>
        <w:t>and</w:t>
      </w:r>
      <w:r>
        <w:rPr>
          <w:spacing w:val="-17"/>
        </w:rPr>
        <w:t> </w:t>
      </w:r>
      <w:r>
        <w:rPr/>
        <w:t>Resources</w:t>
      </w:r>
      <w:r>
        <w:rPr>
          <w:spacing w:val="-17"/>
        </w:rPr>
        <w:t> </w:t>
      </w:r>
      <w:r>
        <w:rPr/>
        <w:t>came </w:t>
      </w:r>
      <w:r>
        <w:rPr>
          <w:spacing w:val="-1"/>
          <w:w w:val="98"/>
        </w:rPr>
        <w:t>into</w:t>
      </w:r>
      <w:r>
        <w:rPr>
          <w:w w:val="98"/>
        </w:rPr>
        <w:t> </w:t>
      </w:r>
      <w:r>
        <w:rPr>
          <w:w w:val="97"/>
        </w:rPr>
        <w:t>existence </w:t>
      </w:r>
      <w:r>
        <w:rPr>
          <w:w w:val="95"/>
        </w:rPr>
        <w:t>in </w:t>
      </w:r>
      <w:r>
        <w:rPr>
          <w:spacing w:val="2"/>
          <w:w w:val="98"/>
        </w:rPr>
        <w:t>January</w:t>
      </w:r>
      <w:r>
        <w:rPr>
          <w:w w:val="98"/>
        </w:rPr>
        <w:t> </w:t>
      </w:r>
      <w:r>
        <w:rPr>
          <w:spacing w:val="1"/>
          <w:w w:val="88"/>
        </w:rPr>
        <w:t>2015</w:t>
      </w:r>
      <w:r>
        <w:rPr>
          <w:w w:val="88"/>
        </w:rPr>
        <w:t> </w:t>
      </w:r>
      <w:r>
        <w:rPr>
          <w:spacing w:val="1"/>
          <w:w w:val="94"/>
        </w:rPr>
        <w:t>as</w:t>
      </w:r>
      <w:r>
        <w:rPr>
          <w:w w:val="94"/>
        </w:rPr>
        <w:t> </w:t>
      </w:r>
      <w:r>
        <w:rPr>
          <w:spacing w:val="2"/>
          <w:w w:val="98"/>
        </w:rPr>
        <w:t>part</w:t>
      </w:r>
      <w:r>
        <w:rPr>
          <w:w w:val="98"/>
        </w:rPr>
        <w:t> </w:t>
      </w:r>
      <w:r>
        <w:rPr>
          <w:w w:val="99"/>
        </w:rPr>
        <w:t>of </w:t>
      </w:r>
      <w:r>
        <w:rPr>
          <w:w w:val="97"/>
        </w:rPr>
        <w:t>the </w:t>
      </w:r>
      <w:r>
        <w:rPr/>
        <w:t>University’s</w:t>
      </w:r>
      <w:r>
        <w:rPr>
          <w:spacing w:val="-20"/>
        </w:rPr>
        <w:t> </w:t>
      </w:r>
      <w:r>
        <w:rPr/>
        <w:t>management</w:t>
      </w:r>
      <w:r>
        <w:rPr>
          <w:spacing w:val="-20"/>
        </w:rPr>
        <w:t> </w:t>
      </w:r>
      <w:r>
        <w:rPr/>
        <w:t>and</w:t>
      </w:r>
      <w:r>
        <w:rPr>
          <w:spacing w:val="-20"/>
        </w:rPr>
        <w:t> </w:t>
      </w:r>
      <w:r>
        <w:rPr/>
        <w:t>organisational restructure.</w:t>
      </w:r>
    </w:p>
    <w:p>
      <w:pPr>
        <w:pStyle w:val="BodyText"/>
        <w:rPr>
          <w:sz w:val="14"/>
        </w:rPr>
      </w:pPr>
    </w:p>
    <w:p>
      <w:pPr>
        <w:pStyle w:val="BodyText"/>
        <w:spacing w:line="249" w:lineRule="auto"/>
        <w:ind w:left="107" w:right="-2"/>
      </w:pPr>
      <w:r>
        <w:rPr/>
        <w:t>The position of Chief Financial Officer was expanded</w:t>
      </w:r>
      <w:r>
        <w:rPr>
          <w:spacing w:val="-14"/>
        </w:rPr>
        <w:t> </w:t>
      </w:r>
      <w:r>
        <w:rPr/>
        <w:t>and</w:t>
      </w:r>
      <w:r>
        <w:rPr>
          <w:spacing w:val="-14"/>
        </w:rPr>
        <w:t> </w:t>
      </w:r>
      <w:r>
        <w:rPr/>
        <w:t>retitled</w:t>
      </w:r>
      <w:r>
        <w:rPr>
          <w:spacing w:val="-14"/>
        </w:rPr>
        <w:t> </w:t>
      </w:r>
      <w:r>
        <w:rPr/>
        <w:t>Vice-President,</w:t>
      </w:r>
      <w:r>
        <w:rPr>
          <w:spacing w:val="-14"/>
        </w:rPr>
        <w:t> </w:t>
      </w:r>
      <w:r>
        <w:rPr/>
        <w:t>Finance and Resources (VPFR) and reports directly to the</w:t>
      </w:r>
      <w:r>
        <w:rPr>
          <w:spacing w:val="-25"/>
        </w:rPr>
        <w:t> </w:t>
      </w:r>
      <w:r>
        <w:rPr/>
        <w:t>Vice-Chancellor.</w:t>
      </w:r>
    </w:p>
    <w:p>
      <w:pPr>
        <w:pStyle w:val="BodyText"/>
        <w:rPr>
          <w:sz w:val="14"/>
        </w:rPr>
      </w:pPr>
    </w:p>
    <w:p>
      <w:pPr>
        <w:pStyle w:val="BodyText"/>
        <w:spacing w:line="249" w:lineRule="auto"/>
        <w:ind w:left="107" w:right="43"/>
      </w:pPr>
      <w:r>
        <w:rPr/>
        <w:t>The</w:t>
      </w:r>
      <w:r>
        <w:rPr>
          <w:spacing w:val="-18"/>
        </w:rPr>
        <w:t> </w:t>
      </w:r>
      <w:r>
        <w:rPr/>
        <w:t>Division</w:t>
      </w:r>
      <w:r>
        <w:rPr>
          <w:spacing w:val="-18"/>
        </w:rPr>
        <w:t> </w:t>
      </w:r>
      <w:r>
        <w:rPr/>
        <w:t>is</w:t>
      </w:r>
      <w:r>
        <w:rPr>
          <w:spacing w:val="-18"/>
        </w:rPr>
        <w:t> </w:t>
      </w:r>
      <w:r>
        <w:rPr/>
        <w:t>responsible</w:t>
      </w:r>
      <w:r>
        <w:rPr>
          <w:spacing w:val="-18"/>
        </w:rPr>
        <w:t> </w:t>
      </w:r>
      <w:r>
        <w:rPr/>
        <w:t>for</w:t>
      </w:r>
      <w:r>
        <w:rPr>
          <w:spacing w:val="-18"/>
        </w:rPr>
        <w:t> </w:t>
      </w:r>
      <w:r>
        <w:rPr/>
        <w:t>the</w:t>
      </w:r>
      <w:r>
        <w:rPr>
          <w:spacing w:val="-18"/>
        </w:rPr>
        <w:t> </w:t>
      </w:r>
      <w:r>
        <w:rPr/>
        <w:t>University’s overall planning, strategy, policy and accountability functions relating to Finance, Information</w:t>
      </w:r>
      <w:r>
        <w:rPr>
          <w:spacing w:val="-23"/>
        </w:rPr>
        <w:t> </w:t>
      </w:r>
      <w:r>
        <w:rPr/>
        <w:t>Technology</w:t>
      </w:r>
      <w:r>
        <w:rPr>
          <w:spacing w:val="-23"/>
        </w:rPr>
        <w:t> </w:t>
      </w:r>
      <w:r>
        <w:rPr/>
        <w:t>and</w:t>
      </w:r>
      <w:r>
        <w:rPr>
          <w:spacing w:val="-23"/>
        </w:rPr>
        <w:t> </w:t>
      </w:r>
      <w:r>
        <w:rPr/>
        <w:t>Digital</w:t>
      </w:r>
      <w:r>
        <w:rPr>
          <w:spacing w:val="-23"/>
        </w:rPr>
        <w:t> </w:t>
      </w:r>
      <w:r>
        <w:rPr>
          <w:spacing w:val="2"/>
        </w:rPr>
        <w:t>Services, </w:t>
      </w:r>
      <w:r>
        <w:rPr/>
        <w:t>Capital</w:t>
      </w:r>
      <w:r>
        <w:rPr>
          <w:spacing w:val="-15"/>
        </w:rPr>
        <w:t> </w:t>
      </w:r>
      <w:r>
        <w:rPr/>
        <w:t>Works</w:t>
      </w:r>
      <w:r>
        <w:rPr>
          <w:spacing w:val="-15"/>
        </w:rPr>
        <w:t> </w:t>
      </w:r>
      <w:r>
        <w:rPr/>
        <w:t>and</w:t>
      </w:r>
      <w:r>
        <w:rPr>
          <w:spacing w:val="-15"/>
        </w:rPr>
        <w:t> </w:t>
      </w:r>
      <w:r>
        <w:rPr/>
        <w:t>Facilities,</w:t>
      </w:r>
      <w:r>
        <w:rPr>
          <w:spacing w:val="-15"/>
        </w:rPr>
        <w:t> </w:t>
      </w:r>
      <w:r>
        <w:rPr/>
        <w:t>Commercial</w:t>
      </w:r>
      <w:r>
        <w:rPr>
          <w:spacing w:val="-15"/>
        </w:rPr>
        <w:t> </w:t>
      </w:r>
      <w:r>
        <w:rPr/>
        <w:t>and Estate Planning, Project Management and Procurement.</w:t>
      </w:r>
    </w:p>
    <w:p>
      <w:pPr>
        <w:pStyle w:val="BodyText"/>
        <w:rPr>
          <w:sz w:val="14"/>
        </w:rPr>
      </w:pPr>
    </w:p>
    <w:p>
      <w:pPr>
        <w:pStyle w:val="BodyText"/>
        <w:spacing w:line="249" w:lineRule="auto"/>
        <w:ind w:left="107" w:right="-2"/>
      </w:pPr>
      <w:r>
        <w:rPr/>
        <w:t>The Division works to optimise the financial and operational planning, strategy and performance of the University. It provides strategic direction and oversight of the University’s financial activities, including commercial arrangements and opportunities; investments and the use of the building and land assets; and improving efficiency and reducing costs across the University. The Division</w:t>
      </w:r>
      <w:r>
        <w:rPr>
          <w:spacing w:val="-13"/>
        </w:rPr>
        <w:t> </w:t>
      </w:r>
      <w:r>
        <w:rPr/>
        <w:t>sponsors</w:t>
      </w:r>
      <w:r>
        <w:rPr>
          <w:spacing w:val="-13"/>
        </w:rPr>
        <w:t> </w:t>
      </w:r>
      <w:r>
        <w:rPr/>
        <w:t>projects</w:t>
      </w:r>
      <w:r>
        <w:rPr>
          <w:spacing w:val="-13"/>
        </w:rPr>
        <w:t> </w:t>
      </w:r>
      <w:r>
        <w:rPr/>
        <w:t>across</w:t>
      </w:r>
      <w:r>
        <w:rPr>
          <w:spacing w:val="-13"/>
        </w:rPr>
        <w:t> </w:t>
      </w:r>
      <w:r>
        <w:rPr/>
        <w:t>the</w:t>
      </w:r>
      <w:r>
        <w:rPr>
          <w:spacing w:val="-13"/>
        </w:rPr>
        <w:t> </w:t>
      </w:r>
      <w:r>
        <w:rPr/>
        <w:t>portfolio that should help the University achieve optimal</w:t>
      </w:r>
      <w:r>
        <w:rPr>
          <w:spacing w:val="-29"/>
        </w:rPr>
        <w:t> </w:t>
      </w:r>
      <w:r>
        <w:rPr/>
        <w:t>financial</w:t>
      </w:r>
      <w:r>
        <w:rPr>
          <w:spacing w:val="-29"/>
        </w:rPr>
        <w:t> </w:t>
      </w:r>
      <w:r>
        <w:rPr/>
        <w:t>sustainability.</w:t>
      </w:r>
    </w:p>
    <w:p>
      <w:pPr>
        <w:pStyle w:val="BodyText"/>
        <w:rPr>
          <w:sz w:val="14"/>
        </w:rPr>
      </w:pPr>
    </w:p>
    <w:p>
      <w:pPr>
        <w:pStyle w:val="BodyText"/>
        <w:spacing w:line="249" w:lineRule="auto"/>
        <w:ind w:left="107" w:right="82"/>
      </w:pPr>
      <w:r>
        <w:rPr/>
        <w:t>The</w:t>
      </w:r>
      <w:r>
        <w:rPr>
          <w:spacing w:val="-20"/>
        </w:rPr>
        <w:t> </w:t>
      </w:r>
      <w:r>
        <w:rPr/>
        <w:t>Division</w:t>
      </w:r>
      <w:r>
        <w:rPr>
          <w:spacing w:val="-20"/>
        </w:rPr>
        <w:t> </w:t>
      </w:r>
      <w:r>
        <w:rPr/>
        <w:t>manages</w:t>
      </w:r>
      <w:r>
        <w:rPr>
          <w:spacing w:val="-20"/>
        </w:rPr>
        <w:t> </w:t>
      </w:r>
      <w:r>
        <w:rPr/>
        <w:t>the</w:t>
      </w:r>
      <w:r>
        <w:rPr>
          <w:spacing w:val="-20"/>
        </w:rPr>
        <w:t> </w:t>
      </w:r>
      <w:r>
        <w:rPr/>
        <w:t>University’s</w:t>
      </w:r>
      <w:r>
        <w:rPr>
          <w:spacing w:val="-20"/>
        </w:rPr>
        <w:t> </w:t>
      </w:r>
      <w:r>
        <w:rPr/>
        <w:t>annual budget process, including capital funding; developing</w:t>
      </w:r>
      <w:r>
        <w:rPr>
          <w:spacing w:val="-19"/>
        </w:rPr>
        <w:t> </w:t>
      </w:r>
      <w:r>
        <w:rPr/>
        <w:t>appropriate</w:t>
      </w:r>
      <w:r>
        <w:rPr>
          <w:spacing w:val="-19"/>
        </w:rPr>
        <w:t> </w:t>
      </w:r>
      <w:r>
        <w:rPr/>
        <w:t>financial</w:t>
      </w:r>
      <w:r>
        <w:rPr>
          <w:spacing w:val="-19"/>
        </w:rPr>
        <w:t> </w:t>
      </w:r>
      <w:r>
        <w:rPr/>
        <w:t>policies;</w:t>
      </w:r>
      <w:r>
        <w:rPr>
          <w:spacing w:val="-19"/>
        </w:rPr>
        <w:t> </w:t>
      </w:r>
      <w:r>
        <w:rPr/>
        <w:t>and monitoring, advising and reporting on the financial</w:t>
      </w:r>
      <w:r>
        <w:rPr>
          <w:spacing w:val="-19"/>
        </w:rPr>
        <w:t> </w:t>
      </w:r>
      <w:r>
        <w:rPr/>
        <w:t>health</w:t>
      </w:r>
      <w:r>
        <w:rPr>
          <w:spacing w:val="-19"/>
        </w:rPr>
        <w:t> </w:t>
      </w:r>
      <w:r>
        <w:rPr/>
        <w:t>of</w:t>
      </w:r>
      <w:r>
        <w:rPr>
          <w:spacing w:val="-19"/>
        </w:rPr>
        <w:t> </w:t>
      </w:r>
      <w:r>
        <w:rPr/>
        <w:t>the</w:t>
      </w:r>
      <w:r>
        <w:rPr>
          <w:spacing w:val="-19"/>
        </w:rPr>
        <w:t> </w:t>
      </w:r>
      <w:r>
        <w:rPr/>
        <w:t>University,</w:t>
      </w:r>
      <w:r>
        <w:rPr>
          <w:spacing w:val="-19"/>
        </w:rPr>
        <w:t> </w:t>
      </w:r>
      <w:r>
        <w:rPr/>
        <w:t>including</w:t>
      </w:r>
      <w:r>
        <w:rPr>
          <w:spacing w:val="-19"/>
        </w:rPr>
        <w:t> </w:t>
      </w:r>
      <w:r>
        <w:rPr/>
        <w:t>its controlled</w:t>
      </w:r>
      <w:r>
        <w:rPr>
          <w:spacing w:val="-21"/>
        </w:rPr>
        <w:t> </w:t>
      </w:r>
      <w:r>
        <w:rPr/>
        <w:t>and</w:t>
      </w:r>
      <w:r>
        <w:rPr>
          <w:spacing w:val="-21"/>
        </w:rPr>
        <w:t> </w:t>
      </w:r>
      <w:r>
        <w:rPr/>
        <w:t>associated</w:t>
      </w:r>
      <w:r>
        <w:rPr>
          <w:spacing w:val="-21"/>
        </w:rPr>
        <w:t> </w:t>
      </w:r>
      <w:r>
        <w:rPr/>
        <w:t>entities.</w:t>
      </w:r>
    </w:p>
    <w:p>
      <w:pPr>
        <w:pStyle w:val="BodyText"/>
        <w:rPr>
          <w:sz w:val="14"/>
        </w:rPr>
      </w:pPr>
    </w:p>
    <w:p>
      <w:pPr>
        <w:pStyle w:val="BodyText"/>
        <w:spacing w:line="249" w:lineRule="auto"/>
        <w:ind w:left="107" w:right="151"/>
      </w:pPr>
      <w:r>
        <w:rPr/>
        <w:t>The</w:t>
      </w:r>
      <w:r>
        <w:rPr>
          <w:spacing w:val="-21"/>
        </w:rPr>
        <w:t> </w:t>
      </w:r>
      <w:r>
        <w:rPr/>
        <w:t>Division</w:t>
      </w:r>
      <w:r>
        <w:rPr>
          <w:spacing w:val="-21"/>
        </w:rPr>
        <w:t> </w:t>
      </w:r>
      <w:r>
        <w:rPr/>
        <w:t>also</w:t>
      </w:r>
      <w:r>
        <w:rPr>
          <w:spacing w:val="-21"/>
        </w:rPr>
        <w:t> </w:t>
      </w:r>
      <w:r>
        <w:rPr/>
        <w:t>delivers</w:t>
      </w:r>
      <w:r>
        <w:rPr>
          <w:spacing w:val="-21"/>
        </w:rPr>
        <w:t> </w:t>
      </w:r>
      <w:r>
        <w:rPr/>
        <w:t>the</w:t>
      </w:r>
      <w:r>
        <w:rPr>
          <w:spacing w:val="-21"/>
        </w:rPr>
        <w:t> </w:t>
      </w:r>
      <w:r>
        <w:rPr/>
        <w:t>IT</w:t>
      </w:r>
      <w:r>
        <w:rPr>
          <w:spacing w:val="-21"/>
        </w:rPr>
        <w:t> </w:t>
      </w:r>
      <w:r>
        <w:rPr/>
        <w:t>systems</w:t>
      </w:r>
      <w:r>
        <w:rPr>
          <w:spacing w:val="-21"/>
        </w:rPr>
        <w:t> </w:t>
      </w:r>
      <w:r>
        <w:rPr/>
        <w:t>and technology infrastructure that enables our learning,</w:t>
      </w:r>
      <w:r>
        <w:rPr>
          <w:spacing w:val="-25"/>
        </w:rPr>
        <w:t> </w:t>
      </w:r>
      <w:r>
        <w:rPr/>
        <w:t>teaching</w:t>
      </w:r>
      <w:r>
        <w:rPr>
          <w:spacing w:val="-25"/>
        </w:rPr>
        <w:t> </w:t>
      </w:r>
      <w:r>
        <w:rPr/>
        <w:t>and</w:t>
      </w:r>
      <w:r>
        <w:rPr>
          <w:spacing w:val="-25"/>
        </w:rPr>
        <w:t> </w:t>
      </w:r>
      <w:r>
        <w:rPr/>
        <w:t>research</w:t>
      </w:r>
      <w:r>
        <w:rPr>
          <w:spacing w:val="-25"/>
        </w:rPr>
        <w:t> </w:t>
      </w:r>
      <w:r>
        <w:rPr/>
        <w:t>programs.</w:t>
      </w:r>
    </w:p>
    <w:p>
      <w:pPr>
        <w:pStyle w:val="BodyText"/>
        <w:rPr>
          <w:sz w:val="14"/>
        </w:rPr>
      </w:pPr>
    </w:p>
    <w:p>
      <w:pPr>
        <w:pStyle w:val="BodyText"/>
        <w:spacing w:line="249" w:lineRule="auto"/>
        <w:ind w:left="107" w:right="393"/>
      </w:pPr>
      <w:r>
        <w:rPr/>
        <w:t>Core</w:t>
      </w:r>
      <w:r>
        <w:rPr>
          <w:spacing w:val="-17"/>
        </w:rPr>
        <w:t> </w:t>
      </w:r>
      <w:r>
        <w:rPr/>
        <w:t>business</w:t>
      </w:r>
      <w:r>
        <w:rPr>
          <w:spacing w:val="-17"/>
        </w:rPr>
        <w:t> </w:t>
      </w:r>
      <w:r>
        <w:rPr/>
        <w:t>units</w:t>
      </w:r>
      <w:r>
        <w:rPr>
          <w:spacing w:val="-17"/>
        </w:rPr>
        <w:t> </w:t>
      </w:r>
      <w:r>
        <w:rPr/>
        <w:t>within</w:t>
      </w:r>
      <w:r>
        <w:rPr>
          <w:spacing w:val="-17"/>
        </w:rPr>
        <w:t> </w:t>
      </w:r>
      <w:r>
        <w:rPr/>
        <w:t>the</w:t>
      </w:r>
      <w:r>
        <w:rPr>
          <w:spacing w:val="-17"/>
        </w:rPr>
        <w:t> </w:t>
      </w:r>
      <w:r>
        <w:rPr/>
        <w:t>Division</w:t>
      </w:r>
      <w:r>
        <w:rPr>
          <w:spacing w:val="-17"/>
        </w:rPr>
        <w:t> </w:t>
      </w:r>
      <w:r>
        <w:rPr/>
        <w:t>of Finance</w:t>
      </w:r>
      <w:r>
        <w:rPr>
          <w:spacing w:val="-24"/>
        </w:rPr>
        <w:t> </w:t>
      </w:r>
      <w:r>
        <w:rPr/>
        <w:t>and</w:t>
      </w:r>
      <w:r>
        <w:rPr>
          <w:spacing w:val="-24"/>
        </w:rPr>
        <w:t> </w:t>
      </w:r>
      <w:r>
        <w:rPr/>
        <w:t>Resources</w:t>
      </w:r>
      <w:r>
        <w:rPr>
          <w:spacing w:val="-24"/>
        </w:rPr>
        <w:t> </w:t>
      </w:r>
      <w:r>
        <w:rPr/>
        <w:t>include:</w:t>
      </w:r>
    </w:p>
    <w:p>
      <w:pPr>
        <w:pStyle w:val="BodyText"/>
        <w:spacing w:before="11"/>
        <w:rPr>
          <w:sz w:val="13"/>
        </w:rPr>
      </w:pPr>
    </w:p>
    <w:p>
      <w:pPr>
        <w:pStyle w:val="BodyText"/>
        <w:ind w:left="107" w:right="-2"/>
      </w:pPr>
      <w:r>
        <w:rPr>
          <w:rFonts w:ascii="Century Gothic" w:hAnsi="Century Gothic"/>
          <w:b/>
        </w:rPr>
        <w:t>≥</w:t>
      </w:r>
      <w:r>
        <w:rPr>
          <w:rFonts w:ascii="Century Gothic" w:hAnsi="Century Gothic"/>
          <w:b/>
          <w:spacing w:val="31"/>
        </w:rPr>
        <w:t> </w:t>
      </w:r>
      <w:r>
        <w:rPr/>
        <w:t>Information</w:t>
      </w:r>
      <w:r>
        <w:rPr>
          <w:spacing w:val="-24"/>
        </w:rPr>
        <w:t> </w:t>
      </w:r>
      <w:r>
        <w:rPr/>
        <w:t>Technology</w:t>
      </w:r>
      <w:r>
        <w:rPr>
          <w:spacing w:val="-24"/>
        </w:rPr>
        <w:t> </w:t>
      </w:r>
      <w:r>
        <w:rPr/>
        <w:t>and</w:t>
      </w:r>
      <w:r>
        <w:rPr>
          <w:spacing w:val="-24"/>
        </w:rPr>
        <w:t> </w:t>
      </w:r>
      <w:r>
        <w:rPr/>
        <w:t>Digital</w:t>
      </w:r>
      <w:r>
        <w:rPr>
          <w:spacing w:val="-24"/>
        </w:rPr>
        <w:t> </w:t>
      </w:r>
      <w:r>
        <w:rPr/>
        <w:t>Services</w:t>
      </w:r>
    </w:p>
    <w:p>
      <w:pPr>
        <w:pStyle w:val="BodyText"/>
        <w:spacing w:before="60"/>
        <w:ind w:left="107" w:right="95"/>
      </w:pPr>
      <w:r>
        <w:rPr>
          <w:rFonts w:ascii="Century Gothic" w:hAnsi="Century Gothic"/>
          <w:b/>
          <w:w w:val="105"/>
        </w:rPr>
        <w:t>≥ </w:t>
      </w:r>
      <w:r>
        <w:rPr>
          <w:w w:val="105"/>
        </w:rPr>
        <w:t>Financial Operations</w:t>
      </w:r>
    </w:p>
    <w:p>
      <w:pPr>
        <w:pStyle w:val="BodyText"/>
        <w:spacing w:before="60"/>
        <w:ind w:left="107" w:right="43"/>
      </w:pPr>
      <w:r>
        <w:rPr>
          <w:rFonts w:ascii="Century Gothic" w:hAnsi="Century Gothic"/>
          <w:b/>
          <w:w w:val="115"/>
        </w:rPr>
        <w:t>≥</w:t>
      </w:r>
      <w:r>
        <w:rPr>
          <w:rFonts w:ascii="Century Gothic" w:hAnsi="Century Gothic"/>
          <w:b/>
          <w:spacing w:val="8"/>
          <w:w w:val="115"/>
        </w:rPr>
        <w:t> </w:t>
      </w:r>
      <w:r>
        <w:rPr>
          <w:w w:val="105"/>
        </w:rPr>
        <w:t>Office</w:t>
      </w:r>
      <w:r>
        <w:rPr>
          <w:spacing w:val="-30"/>
          <w:w w:val="105"/>
        </w:rPr>
        <w:t> </w:t>
      </w:r>
      <w:r>
        <w:rPr>
          <w:w w:val="105"/>
        </w:rPr>
        <w:t>of</w:t>
      </w:r>
      <w:r>
        <w:rPr>
          <w:spacing w:val="-30"/>
          <w:w w:val="105"/>
        </w:rPr>
        <w:t> </w:t>
      </w:r>
      <w:r>
        <w:rPr>
          <w:w w:val="105"/>
        </w:rPr>
        <w:t>Commercial</w:t>
      </w:r>
      <w:r>
        <w:rPr>
          <w:spacing w:val="-30"/>
          <w:w w:val="105"/>
        </w:rPr>
        <w:t> </w:t>
      </w:r>
      <w:r>
        <w:rPr>
          <w:w w:val="105"/>
        </w:rPr>
        <w:t>and</w:t>
      </w:r>
      <w:r>
        <w:rPr>
          <w:spacing w:val="-30"/>
          <w:w w:val="105"/>
        </w:rPr>
        <w:t> </w:t>
      </w:r>
      <w:r>
        <w:rPr>
          <w:w w:val="105"/>
        </w:rPr>
        <w:t>Estate</w:t>
      </w:r>
      <w:r>
        <w:rPr>
          <w:spacing w:val="-30"/>
          <w:w w:val="105"/>
        </w:rPr>
        <w:t> </w:t>
      </w:r>
      <w:r>
        <w:rPr>
          <w:w w:val="105"/>
        </w:rPr>
        <w:t>Planning</w:t>
      </w:r>
    </w:p>
    <w:p>
      <w:pPr>
        <w:pStyle w:val="BodyText"/>
        <w:spacing w:before="60"/>
        <w:ind w:left="107" w:right="95"/>
      </w:pPr>
      <w:r>
        <w:rPr>
          <w:rFonts w:ascii="Century Gothic" w:hAnsi="Century Gothic"/>
          <w:b/>
          <w:w w:val="115"/>
        </w:rPr>
        <w:t>≥ </w:t>
      </w:r>
      <w:r>
        <w:rPr>
          <w:w w:val="105"/>
        </w:rPr>
        <w:t>Capital Works and Facilities</w:t>
      </w:r>
    </w:p>
    <w:p>
      <w:pPr>
        <w:pStyle w:val="BodyText"/>
        <w:spacing w:before="60"/>
        <w:ind w:left="107" w:right="95"/>
      </w:pPr>
      <w:r>
        <w:rPr>
          <w:rFonts w:ascii="Century Gothic" w:hAnsi="Century Gothic"/>
          <w:b/>
          <w:w w:val="105"/>
        </w:rPr>
        <w:t>≥ </w:t>
      </w:r>
      <w:r>
        <w:rPr>
          <w:w w:val="105"/>
        </w:rPr>
        <w:t>Project Management Office.</w:t>
      </w:r>
    </w:p>
    <w:p>
      <w:pPr>
        <w:pStyle w:val="BodyText"/>
        <w:spacing w:before="9"/>
      </w:pPr>
      <w:r>
        <w:rPr/>
        <w:br w:type="column"/>
      </w:r>
      <w:r>
        <w:rPr/>
      </w:r>
    </w:p>
    <w:p>
      <w:pPr>
        <w:pStyle w:val="BodyText"/>
        <w:spacing w:line="249" w:lineRule="auto"/>
        <w:ind w:left="107" w:right="37"/>
      </w:pPr>
      <w:r>
        <w:rPr/>
        <w:t>The VPFR interacts with the Board of Trustees and a number of Board sub-committees</w:t>
      </w:r>
    </w:p>
    <w:p>
      <w:pPr>
        <w:pStyle w:val="BodyText"/>
        <w:spacing w:line="249" w:lineRule="auto"/>
        <w:ind w:left="107" w:right="186"/>
      </w:pPr>
      <w:r>
        <w:rPr/>
        <w:t>such as the Audit and Risk Management Committee, Finance and Investment Committee and the University Infrastructure Committee.</w:t>
      </w:r>
    </w:p>
    <w:p>
      <w:pPr>
        <w:pStyle w:val="BodyText"/>
        <w:rPr>
          <w:sz w:val="14"/>
        </w:rPr>
      </w:pPr>
    </w:p>
    <w:p>
      <w:pPr>
        <w:pStyle w:val="BodyText"/>
        <w:spacing w:line="249" w:lineRule="auto"/>
        <w:ind w:left="107" w:right="112"/>
      </w:pPr>
      <w:r>
        <w:rPr/>
        <w:t>Each</w:t>
      </w:r>
      <w:r>
        <w:rPr>
          <w:spacing w:val="-20"/>
        </w:rPr>
        <w:t> </w:t>
      </w:r>
      <w:r>
        <w:rPr/>
        <w:t>year,</w:t>
      </w:r>
      <w:r>
        <w:rPr>
          <w:spacing w:val="-20"/>
        </w:rPr>
        <w:t> </w:t>
      </w:r>
      <w:r>
        <w:rPr/>
        <w:t>the</w:t>
      </w:r>
      <w:r>
        <w:rPr>
          <w:spacing w:val="-20"/>
        </w:rPr>
        <w:t> </w:t>
      </w:r>
      <w:r>
        <w:rPr/>
        <w:t>Division</w:t>
      </w:r>
      <w:r>
        <w:rPr>
          <w:spacing w:val="-20"/>
        </w:rPr>
        <w:t> </w:t>
      </w:r>
      <w:r>
        <w:rPr/>
        <w:t>manages</w:t>
      </w:r>
      <w:r>
        <w:rPr>
          <w:spacing w:val="-20"/>
        </w:rPr>
        <w:t> </w:t>
      </w:r>
      <w:r>
        <w:rPr/>
        <w:t>projects</w:t>
      </w:r>
      <w:r>
        <w:rPr>
          <w:spacing w:val="-20"/>
        </w:rPr>
        <w:t> </w:t>
      </w:r>
      <w:r>
        <w:rPr/>
        <w:t>from the</w:t>
      </w:r>
      <w:r>
        <w:rPr>
          <w:spacing w:val="-16"/>
        </w:rPr>
        <w:t> </w:t>
      </w:r>
      <w:r>
        <w:rPr/>
        <w:t>planning</w:t>
      </w:r>
      <w:r>
        <w:rPr>
          <w:spacing w:val="-16"/>
        </w:rPr>
        <w:t> </w:t>
      </w:r>
      <w:r>
        <w:rPr/>
        <w:t>to</w:t>
      </w:r>
      <w:r>
        <w:rPr>
          <w:spacing w:val="-16"/>
        </w:rPr>
        <w:t> </w:t>
      </w:r>
      <w:r>
        <w:rPr/>
        <w:t>the</w:t>
      </w:r>
      <w:r>
        <w:rPr>
          <w:spacing w:val="-16"/>
        </w:rPr>
        <w:t> </w:t>
      </w:r>
      <w:r>
        <w:rPr/>
        <w:t>delivery</w:t>
      </w:r>
      <w:r>
        <w:rPr>
          <w:spacing w:val="-16"/>
        </w:rPr>
        <w:t> </w:t>
      </w:r>
      <w:r>
        <w:rPr/>
        <w:t>stages</w:t>
      </w:r>
      <w:r>
        <w:rPr>
          <w:spacing w:val="-16"/>
        </w:rPr>
        <w:t> </w:t>
      </w:r>
      <w:r>
        <w:rPr/>
        <w:t>in</w:t>
      </w:r>
      <w:r>
        <w:rPr>
          <w:spacing w:val="-16"/>
        </w:rPr>
        <w:t> </w:t>
      </w:r>
      <w:r>
        <w:rPr/>
        <w:t>finance, IT, commercial and estate planning, and campus development and capital works, and makes</w:t>
      </w:r>
      <w:r>
        <w:rPr>
          <w:spacing w:val="-18"/>
        </w:rPr>
        <w:t> </w:t>
      </w:r>
      <w:r>
        <w:rPr/>
        <w:t>sure</w:t>
      </w:r>
      <w:r>
        <w:rPr>
          <w:spacing w:val="-18"/>
        </w:rPr>
        <w:t> </w:t>
      </w:r>
      <w:r>
        <w:rPr/>
        <w:t>all</w:t>
      </w:r>
      <w:r>
        <w:rPr>
          <w:spacing w:val="-18"/>
        </w:rPr>
        <w:t> </w:t>
      </w:r>
      <w:r>
        <w:rPr/>
        <w:t>projects</w:t>
      </w:r>
      <w:r>
        <w:rPr>
          <w:spacing w:val="-18"/>
        </w:rPr>
        <w:t> </w:t>
      </w:r>
      <w:r>
        <w:rPr/>
        <w:t>align</w:t>
      </w:r>
      <w:r>
        <w:rPr>
          <w:spacing w:val="-18"/>
        </w:rPr>
        <w:t> </w:t>
      </w:r>
      <w:r>
        <w:rPr/>
        <w:t>with</w:t>
      </w:r>
      <w:r>
        <w:rPr>
          <w:spacing w:val="-18"/>
        </w:rPr>
        <w:t> </w:t>
      </w:r>
      <w:r>
        <w:rPr/>
        <w:t>the</w:t>
      </w:r>
      <w:r>
        <w:rPr>
          <w:spacing w:val="-18"/>
        </w:rPr>
        <w:t> </w:t>
      </w:r>
      <w:r>
        <w:rPr/>
        <w:t>strategic direction</w:t>
      </w:r>
      <w:r>
        <w:rPr>
          <w:spacing w:val="-18"/>
        </w:rPr>
        <w:t> </w:t>
      </w:r>
      <w:r>
        <w:rPr/>
        <w:t>and</w:t>
      </w:r>
      <w:r>
        <w:rPr>
          <w:spacing w:val="-18"/>
        </w:rPr>
        <w:t> </w:t>
      </w:r>
      <w:r>
        <w:rPr/>
        <w:t>objectives</w:t>
      </w:r>
      <w:r>
        <w:rPr>
          <w:spacing w:val="-18"/>
        </w:rPr>
        <w:t> </w:t>
      </w:r>
      <w:r>
        <w:rPr/>
        <w:t>of</w:t>
      </w:r>
      <w:r>
        <w:rPr>
          <w:spacing w:val="-18"/>
        </w:rPr>
        <w:t> </w:t>
      </w:r>
      <w:r>
        <w:rPr/>
        <w:t>the</w:t>
      </w:r>
      <w:r>
        <w:rPr>
          <w:spacing w:val="-18"/>
        </w:rPr>
        <w:t> </w:t>
      </w:r>
      <w:r>
        <w:rPr/>
        <w:t>University.</w:t>
      </w:r>
    </w:p>
    <w:p>
      <w:pPr>
        <w:pStyle w:val="BodyText"/>
        <w:rPr>
          <w:sz w:val="14"/>
        </w:rPr>
      </w:pPr>
    </w:p>
    <w:p>
      <w:pPr>
        <w:pStyle w:val="BodyText"/>
        <w:spacing w:line="249" w:lineRule="auto"/>
        <w:ind w:left="107" w:right="143"/>
      </w:pPr>
      <w:r>
        <w:rPr/>
        <w:t>The Division completed many key projects in </w:t>
      </w:r>
      <w:r>
        <w:rPr>
          <w:w w:val="84"/>
        </w:rPr>
        <w:t>2015, </w:t>
      </w:r>
      <w:r>
        <w:rPr>
          <w:w w:val="94"/>
        </w:rPr>
        <w:t>including:</w:t>
      </w:r>
    </w:p>
    <w:p>
      <w:pPr>
        <w:pStyle w:val="BodyText"/>
        <w:rPr>
          <w:sz w:val="14"/>
        </w:rPr>
      </w:pPr>
    </w:p>
    <w:p>
      <w:pPr>
        <w:pStyle w:val="BodyText"/>
        <w:spacing w:line="244" w:lineRule="auto"/>
        <w:ind w:left="107" w:right="63"/>
      </w:pPr>
      <w:r>
        <w:rPr>
          <w:rFonts w:ascii="Calibri"/>
        </w:rPr>
        <w:t>Unmodified financial statements </w:t>
      </w:r>
      <w:r>
        <w:rPr/>
        <w:t>- The University and its entities received unmodified </w:t>
      </w:r>
      <w:r>
        <w:rPr>
          <w:w w:val="98"/>
        </w:rPr>
        <w:t>audited </w:t>
      </w:r>
      <w:r>
        <w:rPr>
          <w:w w:val="96"/>
        </w:rPr>
        <w:t>financial </w:t>
      </w:r>
      <w:r>
        <w:rPr>
          <w:w w:val="97"/>
        </w:rPr>
        <w:t>statements </w:t>
      </w:r>
      <w:r>
        <w:rPr>
          <w:w w:val="98"/>
        </w:rPr>
        <w:t>for </w:t>
      </w:r>
      <w:r>
        <w:rPr>
          <w:w w:val="97"/>
        </w:rPr>
        <w:t>the </w:t>
      </w:r>
      <w:r>
        <w:rPr>
          <w:w w:val="90"/>
        </w:rPr>
        <w:t>2014 </w:t>
      </w:r>
      <w:r>
        <w:rPr>
          <w:w w:val="97"/>
        </w:rPr>
        <w:t>year </w:t>
      </w:r>
      <w:r>
        <w:rPr/>
        <w:t>because of prudent financial management, governance and compliance.</w:t>
      </w:r>
    </w:p>
    <w:p>
      <w:pPr>
        <w:pStyle w:val="BodyText"/>
        <w:spacing w:before="4"/>
        <w:rPr>
          <w:sz w:val="14"/>
        </w:rPr>
      </w:pPr>
    </w:p>
    <w:p>
      <w:pPr>
        <w:pStyle w:val="BodyText"/>
        <w:spacing w:line="244" w:lineRule="auto"/>
        <w:ind w:left="107" w:right="575"/>
      </w:pPr>
      <w:r>
        <w:rPr>
          <w:rFonts w:ascii="Calibri" w:hAnsi="Calibri"/>
        </w:rPr>
        <w:t>Improved key financial systems </w:t>
      </w:r>
      <w:r>
        <w:rPr/>
        <w:t>– The Division continued working on systems </w:t>
      </w:r>
      <w:r>
        <w:rPr>
          <w:w w:val="95"/>
        </w:rPr>
        <w:t>in </w:t>
      </w:r>
      <w:r>
        <w:rPr>
          <w:w w:val="84"/>
        </w:rPr>
        <w:t>2015, </w:t>
      </w:r>
      <w:r>
        <w:rPr>
          <w:w w:val="98"/>
        </w:rPr>
        <w:t>migrating </w:t>
      </w:r>
      <w:r>
        <w:rPr>
          <w:w w:val="96"/>
        </w:rPr>
        <w:t>financials </w:t>
      </w:r>
      <w:r>
        <w:rPr>
          <w:w w:val="98"/>
        </w:rPr>
        <w:t>on </w:t>
      </w:r>
      <w:r>
        <w:rPr>
          <w:w w:val="97"/>
        </w:rPr>
        <w:t>Oracle </w:t>
      </w:r>
      <w:r>
        <w:rPr/>
        <w:t>to an externally hosted environment;</w:t>
      </w:r>
    </w:p>
    <w:p>
      <w:pPr>
        <w:pStyle w:val="BodyText"/>
        <w:spacing w:line="249" w:lineRule="auto" w:before="3"/>
        <w:ind w:left="107" w:right="230"/>
      </w:pPr>
      <w:r>
        <w:rPr/>
        <w:t>integrating student load modelling in TM1; and introducing an online end-to-end travel and expense management system. These have all helped strengthen the University’s</w:t>
      </w:r>
    </w:p>
    <w:p>
      <w:pPr>
        <w:pStyle w:val="BodyText"/>
        <w:spacing w:line="249" w:lineRule="auto"/>
        <w:ind w:left="107" w:right="26"/>
      </w:pPr>
      <w:r>
        <w:rPr/>
        <w:t>financial capabilities, improving administrative efficiencies and user experiences.</w:t>
      </w:r>
    </w:p>
    <w:p>
      <w:pPr>
        <w:pStyle w:val="BodyText"/>
        <w:rPr>
          <w:sz w:val="14"/>
        </w:rPr>
      </w:pPr>
    </w:p>
    <w:p>
      <w:pPr>
        <w:pStyle w:val="BodyText"/>
        <w:spacing w:line="247" w:lineRule="auto"/>
        <w:ind w:left="107" w:right="112"/>
      </w:pPr>
      <w:r>
        <w:rPr>
          <w:rFonts w:ascii="Calibri" w:hAnsi="Calibri"/>
        </w:rPr>
        <w:t>Centralised functions </w:t>
      </w:r>
      <w:r>
        <w:rPr/>
        <w:t>– A ‘hub and spoke’ model has been implemented, in which Central Office employs staff members to provide a client service to other Offices, Schools or Institutes. This model will be adopted across the University to:</w:t>
      </w:r>
    </w:p>
    <w:p>
      <w:pPr>
        <w:pStyle w:val="BodyText"/>
        <w:spacing w:before="1"/>
        <w:rPr>
          <w:sz w:val="14"/>
        </w:rPr>
      </w:pPr>
    </w:p>
    <w:p>
      <w:pPr>
        <w:pStyle w:val="BodyText"/>
        <w:spacing w:line="244" w:lineRule="auto"/>
        <w:ind w:left="333" w:right="489" w:hanging="227"/>
      </w:pPr>
      <w:r>
        <w:rPr>
          <w:rFonts w:ascii="Century Gothic" w:hAnsi="Century Gothic"/>
          <w:b/>
          <w:w w:val="115"/>
        </w:rPr>
        <w:t>≥</w:t>
      </w:r>
      <w:r>
        <w:rPr>
          <w:rFonts w:ascii="Century Gothic" w:hAnsi="Century Gothic"/>
          <w:b/>
          <w:spacing w:val="10"/>
          <w:w w:val="115"/>
        </w:rPr>
        <w:t> </w:t>
      </w:r>
      <w:r>
        <w:rPr>
          <w:w w:val="105"/>
        </w:rPr>
        <w:t>improve</w:t>
      </w:r>
      <w:r>
        <w:rPr>
          <w:spacing w:val="-29"/>
          <w:w w:val="105"/>
        </w:rPr>
        <w:t> </w:t>
      </w:r>
      <w:r>
        <w:rPr>
          <w:w w:val="105"/>
        </w:rPr>
        <w:t>efficiency</w:t>
      </w:r>
      <w:r>
        <w:rPr>
          <w:spacing w:val="-29"/>
          <w:w w:val="105"/>
        </w:rPr>
        <w:t> </w:t>
      </w:r>
      <w:r>
        <w:rPr>
          <w:w w:val="105"/>
        </w:rPr>
        <w:t>and</w:t>
      </w:r>
      <w:r>
        <w:rPr>
          <w:spacing w:val="-29"/>
          <w:w w:val="105"/>
        </w:rPr>
        <w:t> </w:t>
      </w:r>
      <w:r>
        <w:rPr>
          <w:w w:val="105"/>
        </w:rPr>
        <w:t>consistency</w:t>
      </w:r>
      <w:r>
        <w:rPr>
          <w:spacing w:val="-29"/>
          <w:w w:val="105"/>
        </w:rPr>
        <w:t> </w:t>
      </w:r>
      <w:r>
        <w:rPr>
          <w:w w:val="105"/>
        </w:rPr>
        <w:t>of </w:t>
      </w:r>
      <w:r>
        <w:rPr/>
        <w:t>service</w:t>
      </w:r>
      <w:r>
        <w:rPr>
          <w:spacing w:val="-15"/>
        </w:rPr>
        <w:t> </w:t>
      </w:r>
      <w:r>
        <w:rPr/>
        <w:t>delivery</w:t>
      </w:r>
      <w:r>
        <w:rPr>
          <w:spacing w:val="-15"/>
        </w:rPr>
        <w:t> </w:t>
      </w:r>
      <w:r>
        <w:rPr/>
        <w:t>across</w:t>
      </w:r>
      <w:r>
        <w:rPr>
          <w:spacing w:val="-15"/>
        </w:rPr>
        <w:t> </w:t>
      </w:r>
      <w:r>
        <w:rPr/>
        <w:t>the</w:t>
      </w:r>
      <w:r>
        <w:rPr>
          <w:spacing w:val="-15"/>
        </w:rPr>
        <w:t> </w:t>
      </w:r>
      <w:r>
        <w:rPr/>
        <w:t>University</w:t>
      </w:r>
    </w:p>
    <w:p>
      <w:pPr>
        <w:pStyle w:val="BodyText"/>
        <w:spacing w:line="247" w:lineRule="auto" w:before="58"/>
        <w:ind w:left="333" w:right="112" w:hanging="227"/>
      </w:pPr>
      <w:r>
        <w:rPr>
          <w:rFonts w:ascii="Century Gothic" w:hAnsi="Century Gothic"/>
          <w:b/>
          <w:w w:val="115"/>
        </w:rPr>
        <w:t>≥ </w:t>
      </w:r>
      <w:r>
        <w:rPr/>
        <w:t>create ‘centres of excellence’ by grouping staff</w:t>
      </w:r>
      <w:r>
        <w:rPr>
          <w:spacing w:val="-19"/>
        </w:rPr>
        <w:t> </w:t>
      </w:r>
      <w:r>
        <w:rPr/>
        <w:t>with</w:t>
      </w:r>
      <w:r>
        <w:rPr>
          <w:spacing w:val="-19"/>
        </w:rPr>
        <w:t> </w:t>
      </w:r>
      <w:r>
        <w:rPr/>
        <w:t>similar</w:t>
      </w:r>
      <w:r>
        <w:rPr>
          <w:spacing w:val="-19"/>
        </w:rPr>
        <w:t> </w:t>
      </w:r>
      <w:r>
        <w:rPr/>
        <w:t>knowledge</w:t>
      </w:r>
      <w:r>
        <w:rPr>
          <w:spacing w:val="-19"/>
        </w:rPr>
        <w:t> </w:t>
      </w:r>
      <w:r>
        <w:rPr/>
        <w:t>and</w:t>
      </w:r>
      <w:r>
        <w:rPr>
          <w:spacing w:val="-19"/>
        </w:rPr>
        <w:t> </w:t>
      </w:r>
      <w:r>
        <w:rPr/>
        <w:t>skills,</w:t>
      </w:r>
      <w:r>
        <w:rPr>
          <w:spacing w:val="-19"/>
        </w:rPr>
        <w:t> </w:t>
      </w:r>
      <w:r>
        <w:rPr/>
        <w:t>and supporting best practice approaches to service</w:t>
      </w:r>
      <w:r>
        <w:rPr>
          <w:spacing w:val="-11"/>
        </w:rPr>
        <w:t> </w:t>
      </w:r>
      <w:r>
        <w:rPr/>
        <w:t>delivery</w:t>
      </w:r>
    </w:p>
    <w:p>
      <w:pPr>
        <w:pStyle w:val="BodyText"/>
        <w:spacing w:line="247" w:lineRule="auto" w:before="57"/>
        <w:ind w:left="333" w:right="26" w:hanging="227"/>
      </w:pPr>
      <w:r>
        <w:rPr>
          <w:rFonts w:ascii="Century Gothic" w:hAnsi="Century Gothic"/>
          <w:b/>
          <w:w w:val="115"/>
        </w:rPr>
        <w:t>≥ </w:t>
      </w:r>
      <w:r>
        <w:rPr>
          <w:w w:val="105"/>
        </w:rPr>
        <w:t>provide more professional development </w:t>
      </w:r>
      <w:r>
        <w:rPr/>
        <w:t>and career enhancement opportunities for staff members</w:t>
      </w:r>
    </w:p>
    <w:p>
      <w:pPr>
        <w:pStyle w:val="BodyText"/>
        <w:spacing w:line="247" w:lineRule="auto" w:before="57"/>
        <w:ind w:left="333" w:right="123" w:hanging="227"/>
      </w:pPr>
      <w:r>
        <w:rPr>
          <w:rFonts w:ascii="Century Gothic" w:hAnsi="Century Gothic"/>
          <w:b/>
          <w:w w:val="115"/>
        </w:rPr>
        <w:t>≥ </w:t>
      </w:r>
      <w:r>
        <w:rPr/>
        <w:t>allow for more effective and efficient governance and risk management, and provide more flexibility for managing staff members’ workload and absences.</w:t>
      </w:r>
    </w:p>
    <w:p>
      <w:pPr>
        <w:spacing w:after="0" w:line="247" w:lineRule="auto"/>
        <w:sectPr>
          <w:type w:val="continuous"/>
          <w:pgSz w:w="11910" w:h="16840"/>
          <w:pgMar w:top="1580" w:bottom="280" w:left="800" w:right="800"/>
          <w:cols w:num="3" w:equalWidth="0">
            <w:col w:w="3315" w:space="124"/>
            <w:col w:w="3319" w:space="121"/>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7" w:lineRule="auto"/>
        <w:ind w:left="107" w:right="225"/>
      </w:pPr>
      <w:r>
        <w:rPr>
          <w:rFonts w:ascii="Calibri" w:hAnsi="Calibri"/>
          <w:spacing w:val="2"/>
        </w:rPr>
        <w:t>Campbelltown </w:t>
      </w:r>
      <w:r>
        <w:rPr>
          <w:rFonts w:ascii="Calibri" w:hAnsi="Calibri"/>
        </w:rPr>
        <w:t>residential development </w:t>
      </w:r>
      <w:r>
        <w:rPr/>
        <w:t>– The Division, in partnership with UrbanGrowth, is developing a </w:t>
      </w:r>
      <w:r>
        <w:rPr>
          <w:spacing w:val="2"/>
        </w:rPr>
        <w:t>950-lot </w:t>
      </w:r>
      <w:r>
        <w:rPr/>
        <w:t>subdivision</w:t>
      </w:r>
      <w:r>
        <w:rPr>
          <w:spacing w:val="-23"/>
        </w:rPr>
        <w:t> </w:t>
      </w:r>
      <w:r>
        <w:rPr/>
        <w:t>over</w:t>
      </w:r>
      <w:r>
        <w:rPr>
          <w:spacing w:val="-23"/>
        </w:rPr>
        <w:t> </w:t>
      </w:r>
      <w:r>
        <w:rPr>
          <w:spacing w:val="2"/>
        </w:rPr>
        <w:t>122</w:t>
      </w:r>
      <w:r>
        <w:rPr>
          <w:spacing w:val="-23"/>
        </w:rPr>
        <w:t> </w:t>
      </w:r>
      <w:r>
        <w:rPr/>
        <w:t>hectares</w:t>
      </w:r>
      <w:r>
        <w:rPr>
          <w:spacing w:val="-23"/>
        </w:rPr>
        <w:t> </w:t>
      </w:r>
      <w:r>
        <w:rPr/>
        <w:t>on</w:t>
      </w:r>
      <w:r>
        <w:rPr>
          <w:spacing w:val="-23"/>
        </w:rPr>
        <w:t> </w:t>
      </w:r>
      <w:r>
        <w:rPr/>
        <w:t>the</w:t>
      </w:r>
      <w:r>
        <w:rPr>
          <w:spacing w:val="-23"/>
        </w:rPr>
        <w:t> </w:t>
      </w:r>
      <w:r>
        <w:rPr/>
        <w:t>south- west</w:t>
      </w:r>
      <w:r>
        <w:rPr>
          <w:spacing w:val="-15"/>
        </w:rPr>
        <w:t> </w:t>
      </w:r>
      <w:r>
        <w:rPr/>
        <w:t>portion</w:t>
      </w:r>
      <w:r>
        <w:rPr>
          <w:spacing w:val="-15"/>
        </w:rPr>
        <w:t> </w:t>
      </w:r>
      <w:r>
        <w:rPr/>
        <w:t>of</w:t>
      </w:r>
      <w:r>
        <w:rPr>
          <w:spacing w:val="-15"/>
        </w:rPr>
        <w:t> </w:t>
      </w:r>
      <w:r>
        <w:rPr/>
        <w:t>the</w:t>
      </w:r>
      <w:r>
        <w:rPr>
          <w:spacing w:val="-15"/>
        </w:rPr>
        <w:t> </w:t>
      </w:r>
      <w:r>
        <w:rPr/>
        <w:t>Campbelltown</w:t>
      </w:r>
      <w:r>
        <w:rPr>
          <w:spacing w:val="-15"/>
        </w:rPr>
        <w:t> </w:t>
      </w:r>
      <w:r>
        <w:rPr>
          <w:spacing w:val="2"/>
        </w:rPr>
        <w:t>campus. </w:t>
      </w:r>
      <w:r>
        <w:rPr/>
        <w:t>The project will be delivered in five stages </w:t>
      </w:r>
      <w:r>
        <w:rPr>
          <w:w w:val="98"/>
        </w:rPr>
        <w:t>through</w:t>
      </w:r>
      <w:r>
        <w:rPr>
          <w:spacing w:val="-9"/>
          <w:w w:val="98"/>
        </w:rPr>
        <w:t> </w:t>
      </w:r>
      <w:r>
        <w:rPr>
          <w:spacing w:val="-1"/>
          <w:w w:val="101"/>
        </w:rPr>
        <w:t>to</w:t>
      </w:r>
      <w:r>
        <w:rPr>
          <w:spacing w:val="-10"/>
          <w:w w:val="101"/>
        </w:rPr>
        <w:t> </w:t>
      </w:r>
      <w:r>
        <w:rPr>
          <w:w w:val="97"/>
        </w:rPr>
        <w:t>the</w:t>
      </w:r>
      <w:r>
        <w:rPr>
          <w:spacing w:val="-8"/>
          <w:w w:val="97"/>
        </w:rPr>
        <w:t> </w:t>
      </w:r>
      <w:r>
        <w:rPr>
          <w:spacing w:val="1"/>
          <w:w w:val="97"/>
        </w:rPr>
        <w:t>end</w:t>
      </w:r>
      <w:r>
        <w:rPr>
          <w:spacing w:val="-8"/>
          <w:w w:val="97"/>
        </w:rPr>
        <w:t> </w:t>
      </w:r>
      <w:r>
        <w:rPr>
          <w:w w:val="99"/>
        </w:rPr>
        <w:t>of</w:t>
      </w:r>
      <w:r>
        <w:rPr>
          <w:spacing w:val="-9"/>
          <w:w w:val="99"/>
        </w:rPr>
        <w:t> </w:t>
      </w:r>
      <w:r>
        <w:rPr>
          <w:spacing w:val="2"/>
          <w:w w:val="85"/>
        </w:rPr>
        <w:t>2016.</w:t>
      </w:r>
    </w:p>
    <w:p>
      <w:pPr>
        <w:pStyle w:val="BodyText"/>
        <w:spacing w:before="2"/>
        <w:rPr>
          <w:sz w:val="14"/>
        </w:rPr>
      </w:pPr>
    </w:p>
    <w:p>
      <w:pPr>
        <w:pStyle w:val="BodyText"/>
        <w:spacing w:line="244" w:lineRule="auto"/>
        <w:ind w:left="107" w:right="44"/>
      </w:pPr>
      <w:r>
        <w:rPr>
          <w:rFonts w:ascii="Calibri" w:hAnsi="Calibri"/>
        </w:rPr>
        <w:t>Westmead </w:t>
      </w:r>
      <w:r>
        <w:rPr>
          <w:rFonts w:ascii="Calibri" w:hAnsi="Calibri"/>
          <w:spacing w:val="2"/>
        </w:rPr>
        <w:t>campus </w:t>
      </w:r>
      <w:r>
        <w:rPr>
          <w:rFonts w:ascii="Calibri" w:hAnsi="Calibri"/>
        </w:rPr>
        <w:t>redevelopment </w:t>
      </w:r>
      <w:r>
        <w:rPr/>
        <w:t>– The campus has been identified as a strategic land</w:t>
      </w:r>
      <w:r>
        <w:rPr>
          <w:spacing w:val="-14"/>
        </w:rPr>
        <w:t> </w:t>
      </w:r>
      <w:r>
        <w:rPr/>
        <w:t>asset</w:t>
      </w:r>
      <w:r>
        <w:rPr>
          <w:spacing w:val="-14"/>
        </w:rPr>
        <w:t> </w:t>
      </w:r>
      <w:r>
        <w:rPr/>
        <w:t>for</w:t>
      </w:r>
      <w:r>
        <w:rPr>
          <w:spacing w:val="-14"/>
        </w:rPr>
        <w:t> </w:t>
      </w:r>
      <w:r>
        <w:rPr/>
        <w:t>development</w:t>
      </w:r>
      <w:r>
        <w:rPr>
          <w:spacing w:val="-14"/>
        </w:rPr>
        <w:t> </w:t>
      </w:r>
      <w:r>
        <w:rPr/>
        <w:t>due</w:t>
      </w:r>
      <w:r>
        <w:rPr>
          <w:spacing w:val="-14"/>
        </w:rPr>
        <w:t> </w:t>
      </w:r>
      <w:r>
        <w:rPr/>
        <w:t>to</w:t>
      </w:r>
      <w:r>
        <w:rPr>
          <w:spacing w:val="-14"/>
        </w:rPr>
        <w:t> </w:t>
      </w:r>
      <w:r>
        <w:rPr/>
        <w:t>its</w:t>
      </w:r>
      <w:r>
        <w:rPr>
          <w:spacing w:val="-14"/>
        </w:rPr>
        <w:t> </w:t>
      </w:r>
      <w:r>
        <w:rPr/>
        <w:t>location within the specialised health, education and research</w:t>
      </w:r>
      <w:r>
        <w:rPr>
          <w:spacing w:val="-20"/>
        </w:rPr>
        <w:t> </w:t>
      </w:r>
      <w:r>
        <w:rPr/>
        <w:t>precinct</w:t>
      </w:r>
      <w:r>
        <w:rPr>
          <w:spacing w:val="-20"/>
        </w:rPr>
        <w:t> </w:t>
      </w:r>
      <w:r>
        <w:rPr/>
        <w:t>of</w:t>
      </w:r>
      <w:r>
        <w:rPr>
          <w:spacing w:val="-20"/>
        </w:rPr>
        <w:t> </w:t>
      </w:r>
      <w:r>
        <w:rPr/>
        <w:t>Westmead.</w:t>
      </w:r>
      <w:r>
        <w:rPr>
          <w:spacing w:val="-20"/>
        </w:rPr>
        <w:t> </w:t>
      </w:r>
      <w:r>
        <w:rPr/>
        <w:t>The</w:t>
      </w:r>
      <w:r>
        <w:rPr>
          <w:spacing w:val="-20"/>
        </w:rPr>
        <w:t> </w:t>
      </w:r>
      <w:r>
        <w:rPr/>
        <w:t>site</w:t>
      </w:r>
      <w:r>
        <w:rPr>
          <w:spacing w:val="-20"/>
        </w:rPr>
        <w:t> </w:t>
      </w:r>
      <w:r>
        <w:rPr/>
        <w:t>has</w:t>
      </w:r>
    </w:p>
    <w:p>
      <w:pPr>
        <w:pStyle w:val="BodyText"/>
        <w:spacing w:line="249" w:lineRule="auto" w:before="3"/>
        <w:ind w:left="107"/>
      </w:pPr>
      <w:r>
        <w:rPr>
          <w:spacing w:val="1"/>
          <w:w w:val="97"/>
        </w:rPr>
        <w:t>been</w:t>
      </w:r>
      <w:r>
        <w:rPr>
          <w:spacing w:val="-8"/>
          <w:w w:val="97"/>
        </w:rPr>
        <w:t> </w:t>
      </w:r>
      <w:r>
        <w:rPr>
          <w:w w:val="98"/>
        </w:rPr>
        <w:t>rezoned</w:t>
      </w:r>
      <w:r>
        <w:rPr>
          <w:spacing w:val="-8"/>
          <w:w w:val="98"/>
        </w:rPr>
        <w:t> </w:t>
      </w:r>
      <w:r>
        <w:rPr>
          <w:spacing w:val="-1"/>
          <w:w w:val="101"/>
        </w:rPr>
        <w:t>to</w:t>
      </w:r>
      <w:r>
        <w:rPr>
          <w:spacing w:val="-10"/>
          <w:w w:val="101"/>
        </w:rPr>
        <w:t> </w:t>
      </w:r>
      <w:r>
        <w:rPr>
          <w:w w:val="99"/>
        </w:rPr>
        <w:t>provide</w:t>
      </w:r>
      <w:r>
        <w:rPr>
          <w:spacing w:val="-8"/>
          <w:w w:val="99"/>
        </w:rPr>
        <w:t> </w:t>
      </w:r>
      <w:r>
        <w:rPr>
          <w:w w:val="98"/>
        </w:rPr>
        <w:t>up</w:t>
      </w:r>
      <w:r>
        <w:rPr>
          <w:spacing w:val="-8"/>
          <w:w w:val="98"/>
        </w:rPr>
        <w:t> </w:t>
      </w:r>
      <w:r>
        <w:rPr>
          <w:spacing w:val="-1"/>
          <w:w w:val="101"/>
        </w:rPr>
        <w:t>to</w:t>
      </w:r>
      <w:r>
        <w:rPr>
          <w:spacing w:val="-10"/>
          <w:w w:val="101"/>
        </w:rPr>
        <w:t> </w:t>
      </w:r>
      <w:r>
        <w:rPr>
          <w:spacing w:val="2"/>
          <w:w w:val="94"/>
        </w:rPr>
        <w:t>120,000</w:t>
      </w:r>
      <w:r>
        <w:rPr>
          <w:spacing w:val="-6"/>
          <w:w w:val="94"/>
        </w:rPr>
        <w:t> </w:t>
      </w:r>
      <w:r>
        <w:rPr>
          <w:spacing w:val="1"/>
          <w:w w:val="96"/>
        </w:rPr>
        <w:t>square</w:t>
      </w:r>
      <w:r>
        <w:rPr>
          <w:w w:val="96"/>
        </w:rPr>
        <w:t> </w:t>
      </w:r>
      <w:r>
        <w:rPr/>
        <w:t>metres of mixed-use development including residential,</w:t>
      </w:r>
      <w:r>
        <w:rPr>
          <w:spacing w:val="-33"/>
        </w:rPr>
        <w:t> </w:t>
      </w:r>
      <w:r>
        <w:rPr/>
        <w:t>education,</w:t>
      </w:r>
      <w:r>
        <w:rPr>
          <w:spacing w:val="-33"/>
        </w:rPr>
        <w:t> </w:t>
      </w:r>
      <w:r>
        <w:rPr/>
        <w:t>commercial,</w:t>
      </w:r>
      <w:r>
        <w:rPr>
          <w:spacing w:val="-33"/>
        </w:rPr>
        <w:t> </w:t>
      </w:r>
      <w:r>
        <w:rPr/>
        <w:t>retail</w:t>
      </w:r>
    </w:p>
    <w:p>
      <w:pPr>
        <w:pStyle w:val="BodyText"/>
        <w:spacing w:line="249" w:lineRule="auto"/>
        <w:ind w:left="107"/>
      </w:pPr>
      <w:r>
        <w:rPr/>
        <w:t>and community spaces – and is intended to achieve the optimal value for the University. An Expression of Interest (EOI) and Request for Tender </w:t>
      </w:r>
      <w:r>
        <w:rPr>
          <w:spacing w:val="3"/>
        </w:rPr>
        <w:t>(RFT) </w:t>
      </w:r>
      <w:r>
        <w:rPr/>
        <w:t>process was run in the </w:t>
      </w:r>
      <w:r>
        <w:rPr>
          <w:spacing w:val="1"/>
          <w:w w:val="98"/>
        </w:rPr>
        <w:t>second</w:t>
      </w:r>
      <w:r>
        <w:rPr>
          <w:spacing w:val="-10"/>
          <w:w w:val="98"/>
        </w:rPr>
        <w:t> </w:t>
      </w:r>
      <w:r>
        <w:rPr>
          <w:spacing w:val="1"/>
          <w:w w:val="96"/>
        </w:rPr>
        <w:t>half</w:t>
      </w:r>
      <w:r>
        <w:rPr>
          <w:spacing w:val="-9"/>
          <w:w w:val="96"/>
        </w:rPr>
        <w:t> </w:t>
      </w:r>
      <w:r>
        <w:rPr>
          <w:w w:val="99"/>
        </w:rPr>
        <w:t>of</w:t>
      </w:r>
      <w:r>
        <w:rPr>
          <w:spacing w:val="-10"/>
          <w:w w:val="99"/>
        </w:rPr>
        <w:t> </w:t>
      </w:r>
      <w:r>
        <w:rPr>
          <w:spacing w:val="1"/>
          <w:w w:val="88"/>
        </w:rPr>
        <w:t>2015</w:t>
      </w:r>
      <w:r>
        <w:rPr>
          <w:spacing w:val="-5"/>
          <w:w w:val="88"/>
        </w:rPr>
        <w:t> </w:t>
      </w:r>
      <w:r>
        <w:rPr>
          <w:w w:val="98"/>
        </w:rPr>
        <w:t>with</w:t>
      </w:r>
      <w:r>
        <w:rPr>
          <w:spacing w:val="-10"/>
          <w:w w:val="98"/>
        </w:rPr>
        <w:t> </w:t>
      </w:r>
      <w:r>
        <w:rPr>
          <w:spacing w:val="1"/>
          <w:w w:val="95"/>
        </w:rPr>
        <w:t>sale</w:t>
      </w:r>
      <w:r>
        <w:rPr>
          <w:spacing w:val="-8"/>
          <w:w w:val="95"/>
        </w:rPr>
        <w:t> </w:t>
      </w:r>
      <w:r>
        <w:rPr>
          <w:spacing w:val="1"/>
          <w:w w:val="99"/>
        </w:rPr>
        <w:t>contracts</w:t>
      </w:r>
      <w:r>
        <w:rPr>
          <w:spacing w:val="-10"/>
          <w:w w:val="99"/>
        </w:rPr>
        <w:t> </w:t>
      </w:r>
      <w:r>
        <w:rPr>
          <w:w w:val="98"/>
        </w:rPr>
        <w:t>for</w:t>
      </w:r>
      <w:r>
        <w:rPr>
          <w:spacing w:val="-10"/>
          <w:w w:val="98"/>
        </w:rPr>
        <w:t> </w:t>
      </w:r>
      <w:r>
        <w:rPr>
          <w:w w:val="101"/>
        </w:rPr>
        <w:t>two </w:t>
      </w:r>
      <w:r>
        <w:rPr/>
        <w:t>lots</w:t>
      </w:r>
      <w:r>
        <w:rPr>
          <w:spacing w:val="-22"/>
        </w:rPr>
        <w:t> </w:t>
      </w:r>
      <w:r>
        <w:rPr/>
        <w:t>exchanged</w:t>
      </w:r>
      <w:r>
        <w:rPr>
          <w:spacing w:val="-22"/>
        </w:rPr>
        <w:t> </w:t>
      </w:r>
      <w:r>
        <w:rPr/>
        <w:t>in</w:t>
      </w:r>
      <w:r>
        <w:rPr>
          <w:spacing w:val="-22"/>
        </w:rPr>
        <w:t> </w:t>
      </w:r>
      <w:r>
        <w:rPr/>
        <w:t>December.</w:t>
      </w:r>
    </w:p>
    <w:p>
      <w:pPr>
        <w:pStyle w:val="BodyText"/>
        <w:rPr>
          <w:sz w:val="14"/>
        </w:rPr>
      </w:pPr>
    </w:p>
    <w:p>
      <w:pPr>
        <w:pStyle w:val="BodyText"/>
        <w:spacing w:line="247" w:lineRule="auto"/>
        <w:ind w:left="107" w:right="197"/>
      </w:pPr>
      <w:r>
        <w:rPr>
          <w:rFonts w:ascii="Calibri" w:hAnsi="Calibri"/>
        </w:rPr>
        <w:t>Westmead </w:t>
      </w:r>
      <w:r>
        <w:rPr>
          <w:rFonts w:ascii="Calibri" w:hAnsi="Calibri"/>
          <w:spacing w:val="2"/>
        </w:rPr>
        <w:t>campus </w:t>
      </w:r>
      <w:r>
        <w:rPr>
          <w:rFonts w:ascii="Calibri" w:hAnsi="Calibri"/>
        </w:rPr>
        <w:t>estate major works  </w:t>
      </w:r>
      <w:r>
        <w:rPr/>
        <w:t>– These</w:t>
      </w:r>
      <w:r>
        <w:rPr>
          <w:spacing w:val="-15"/>
        </w:rPr>
        <w:t> </w:t>
      </w:r>
      <w:r>
        <w:rPr/>
        <w:t>works</w:t>
      </w:r>
      <w:r>
        <w:rPr>
          <w:spacing w:val="-15"/>
        </w:rPr>
        <w:t> </w:t>
      </w:r>
      <w:r>
        <w:rPr/>
        <w:t>for</w:t>
      </w:r>
      <w:r>
        <w:rPr>
          <w:spacing w:val="-15"/>
        </w:rPr>
        <w:t> </w:t>
      </w:r>
      <w:r>
        <w:rPr/>
        <w:t>the</w:t>
      </w:r>
      <w:r>
        <w:rPr>
          <w:spacing w:val="-15"/>
        </w:rPr>
        <w:t> </w:t>
      </w:r>
      <w:r>
        <w:rPr/>
        <w:t>Westmead</w:t>
      </w:r>
      <w:r>
        <w:rPr>
          <w:spacing w:val="-15"/>
        </w:rPr>
        <w:t> </w:t>
      </w:r>
      <w:r>
        <w:rPr/>
        <w:t>subdivision development</w:t>
      </w:r>
      <w:r>
        <w:rPr>
          <w:spacing w:val="-14"/>
        </w:rPr>
        <w:t> </w:t>
      </w:r>
      <w:r>
        <w:rPr/>
        <w:t>include</w:t>
      </w:r>
      <w:r>
        <w:rPr>
          <w:spacing w:val="-14"/>
        </w:rPr>
        <w:t> </w:t>
      </w:r>
      <w:r>
        <w:rPr/>
        <w:t>demolishing</w:t>
      </w:r>
      <w:r>
        <w:rPr>
          <w:spacing w:val="-14"/>
        </w:rPr>
        <w:t> </w:t>
      </w:r>
      <w:r>
        <w:rPr/>
        <w:t>buildings </w:t>
      </w:r>
      <w:r>
        <w:rPr>
          <w:spacing w:val="3"/>
        </w:rPr>
        <w:t>K,</w:t>
      </w:r>
      <w:r>
        <w:rPr>
          <w:spacing w:val="-18"/>
        </w:rPr>
        <w:t> </w:t>
      </w:r>
      <w:r>
        <w:rPr>
          <w:spacing w:val="2"/>
        </w:rPr>
        <w:t>N,</w:t>
      </w:r>
      <w:r>
        <w:rPr>
          <w:spacing w:val="-18"/>
        </w:rPr>
        <w:t> </w:t>
      </w:r>
      <w:r>
        <w:rPr>
          <w:spacing w:val="2"/>
        </w:rPr>
        <w:t>M,</w:t>
      </w:r>
      <w:r>
        <w:rPr>
          <w:spacing w:val="-18"/>
        </w:rPr>
        <w:t> </w:t>
      </w:r>
      <w:r>
        <w:rPr/>
        <w:t>L</w:t>
      </w:r>
      <w:r>
        <w:rPr>
          <w:spacing w:val="-18"/>
        </w:rPr>
        <w:t> </w:t>
      </w:r>
      <w:r>
        <w:rPr/>
        <w:t>and</w:t>
      </w:r>
      <w:r>
        <w:rPr>
          <w:spacing w:val="-18"/>
        </w:rPr>
        <w:t> </w:t>
      </w:r>
      <w:r>
        <w:rPr>
          <w:spacing w:val="-7"/>
        </w:rPr>
        <w:t>P.</w:t>
      </w:r>
      <w:r>
        <w:rPr>
          <w:spacing w:val="-18"/>
        </w:rPr>
        <w:t> </w:t>
      </w:r>
      <w:r>
        <w:rPr/>
        <w:t>The</w:t>
      </w:r>
      <w:r>
        <w:rPr>
          <w:spacing w:val="-18"/>
        </w:rPr>
        <w:t> </w:t>
      </w:r>
      <w:r>
        <w:rPr/>
        <w:t>detailed</w:t>
      </w:r>
      <w:r>
        <w:rPr>
          <w:spacing w:val="-18"/>
        </w:rPr>
        <w:t> </w:t>
      </w:r>
      <w:r>
        <w:rPr/>
        <w:t>design</w:t>
      </w:r>
      <w:r>
        <w:rPr>
          <w:spacing w:val="-18"/>
        </w:rPr>
        <w:t> </w:t>
      </w:r>
      <w:r>
        <w:rPr/>
        <w:t>phase for</w:t>
      </w:r>
      <w:r>
        <w:rPr>
          <w:spacing w:val="-14"/>
        </w:rPr>
        <w:t> </w:t>
      </w:r>
      <w:r>
        <w:rPr/>
        <w:t>a</w:t>
      </w:r>
      <w:r>
        <w:rPr>
          <w:spacing w:val="-14"/>
        </w:rPr>
        <w:t> </w:t>
      </w:r>
      <w:r>
        <w:rPr/>
        <w:t>new</w:t>
      </w:r>
      <w:r>
        <w:rPr>
          <w:spacing w:val="-14"/>
        </w:rPr>
        <w:t> </w:t>
      </w:r>
      <w:r>
        <w:rPr/>
        <w:t>road</w:t>
      </w:r>
      <w:r>
        <w:rPr>
          <w:spacing w:val="-14"/>
        </w:rPr>
        <w:t> </w:t>
      </w:r>
      <w:r>
        <w:rPr/>
        <w:t>and</w:t>
      </w:r>
      <w:r>
        <w:rPr>
          <w:spacing w:val="-14"/>
        </w:rPr>
        <w:t> </w:t>
      </w:r>
      <w:r>
        <w:rPr/>
        <w:t>loop</w:t>
      </w:r>
      <w:r>
        <w:rPr>
          <w:spacing w:val="-14"/>
        </w:rPr>
        <w:t> </w:t>
      </w:r>
      <w:r>
        <w:rPr/>
        <w:t>around</w:t>
      </w:r>
      <w:r>
        <w:rPr>
          <w:spacing w:val="-14"/>
        </w:rPr>
        <w:t> </w:t>
      </w:r>
      <w:r>
        <w:rPr/>
        <w:t>parkland</w:t>
      </w:r>
      <w:r>
        <w:rPr>
          <w:spacing w:val="-14"/>
        </w:rPr>
        <w:t> </w:t>
      </w:r>
      <w:r>
        <w:rPr/>
        <w:t>to connect</w:t>
      </w:r>
      <w:r>
        <w:rPr>
          <w:spacing w:val="-14"/>
        </w:rPr>
        <w:t> </w:t>
      </w:r>
      <w:r>
        <w:rPr/>
        <w:t>with</w:t>
      </w:r>
      <w:r>
        <w:rPr>
          <w:spacing w:val="-14"/>
        </w:rPr>
        <w:t> </w:t>
      </w:r>
      <w:r>
        <w:rPr/>
        <w:t>Darcy</w:t>
      </w:r>
      <w:r>
        <w:rPr>
          <w:spacing w:val="-14"/>
        </w:rPr>
        <w:t> </w:t>
      </w:r>
      <w:r>
        <w:rPr/>
        <w:t>Road</w:t>
      </w:r>
      <w:r>
        <w:rPr>
          <w:spacing w:val="-14"/>
        </w:rPr>
        <w:t> </w:t>
      </w:r>
      <w:r>
        <w:rPr/>
        <w:t>has</w:t>
      </w:r>
      <w:r>
        <w:rPr>
          <w:spacing w:val="-14"/>
        </w:rPr>
        <w:t> </w:t>
      </w:r>
      <w:r>
        <w:rPr/>
        <w:t>been</w:t>
      </w:r>
      <w:r>
        <w:rPr>
          <w:spacing w:val="-14"/>
        </w:rPr>
        <w:t> </w:t>
      </w:r>
      <w:r>
        <w:rPr/>
        <w:t>finalised</w:t>
      </w:r>
    </w:p>
    <w:p>
      <w:pPr>
        <w:pStyle w:val="BodyText"/>
        <w:spacing w:line="249" w:lineRule="auto" w:before="1"/>
        <w:ind w:left="107" w:right="-4"/>
      </w:pPr>
      <w:r>
        <w:rPr/>
        <w:t>and</w:t>
      </w:r>
      <w:r>
        <w:rPr>
          <w:spacing w:val="-16"/>
        </w:rPr>
        <w:t> </w:t>
      </w:r>
      <w:r>
        <w:rPr/>
        <w:t>the</w:t>
      </w:r>
      <w:r>
        <w:rPr>
          <w:spacing w:val="-16"/>
        </w:rPr>
        <w:t> </w:t>
      </w:r>
      <w:r>
        <w:rPr/>
        <w:t>civil</w:t>
      </w:r>
      <w:r>
        <w:rPr>
          <w:spacing w:val="-16"/>
        </w:rPr>
        <w:t> </w:t>
      </w:r>
      <w:r>
        <w:rPr/>
        <w:t>works</w:t>
      </w:r>
      <w:r>
        <w:rPr>
          <w:spacing w:val="-16"/>
        </w:rPr>
        <w:t> </w:t>
      </w:r>
      <w:r>
        <w:rPr/>
        <w:t>contractor</w:t>
      </w:r>
      <w:r>
        <w:rPr>
          <w:spacing w:val="-16"/>
        </w:rPr>
        <w:t> </w:t>
      </w:r>
      <w:r>
        <w:rPr/>
        <w:t>has</w:t>
      </w:r>
      <w:r>
        <w:rPr>
          <w:spacing w:val="-16"/>
        </w:rPr>
        <w:t> </w:t>
      </w:r>
      <w:r>
        <w:rPr/>
        <w:t>begun</w:t>
      </w:r>
      <w:r>
        <w:rPr>
          <w:spacing w:val="-16"/>
        </w:rPr>
        <w:t> </w:t>
      </w:r>
      <w:r>
        <w:rPr/>
        <w:t>work, with construction due for completion in early </w:t>
      </w:r>
      <w:r>
        <w:rPr>
          <w:spacing w:val="2"/>
          <w:w w:val="85"/>
        </w:rPr>
        <w:t>2016.</w:t>
      </w:r>
      <w:r>
        <w:rPr>
          <w:w w:val="85"/>
        </w:rPr>
        <w:t> </w:t>
      </w:r>
      <w:r>
        <w:rPr>
          <w:spacing w:val="1"/>
          <w:w w:val="94"/>
        </w:rPr>
        <w:t>This</w:t>
      </w:r>
      <w:r>
        <w:rPr>
          <w:w w:val="94"/>
        </w:rPr>
        <w:t> </w:t>
      </w:r>
      <w:r>
        <w:rPr>
          <w:spacing w:val="1"/>
          <w:w w:val="96"/>
        </w:rPr>
        <w:t>project</w:t>
      </w:r>
      <w:r>
        <w:rPr>
          <w:w w:val="96"/>
        </w:rPr>
        <w:t> </w:t>
      </w:r>
      <w:r>
        <w:rPr>
          <w:w w:val="95"/>
        </w:rPr>
        <w:t>is </w:t>
      </w:r>
      <w:r>
        <w:rPr>
          <w:spacing w:val="1"/>
          <w:w w:val="98"/>
        </w:rPr>
        <w:t>critical</w:t>
      </w:r>
      <w:r>
        <w:rPr>
          <w:w w:val="98"/>
        </w:rPr>
        <w:t> </w:t>
      </w:r>
      <w:r>
        <w:rPr>
          <w:spacing w:val="-1"/>
          <w:w w:val="101"/>
        </w:rPr>
        <w:t>to</w:t>
      </w:r>
      <w:r>
        <w:rPr>
          <w:w w:val="101"/>
        </w:rPr>
        <w:t> </w:t>
      </w:r>
      <w:r>
        <w:rPr>
          <w:spacing w:val="1"/>
          <w:w w:val="97"/>
        </w:rPr>
        <w:t>maximising</w:t>
      </w:r>
      <w:r>
        <w:rPr>
          <w:w w:val="97"/>
        </w:rPr>
        <w:t> </w:t>
      </w:r>
      <w:r>
        <w:rPr>
          <w:w w:val="97"/>
        </w:rPr>
        <w:t>the </w:t>
      </w:r>
      <w:r>
        <w:rPr/>
        <w:t>return</w:t>
      </w:r>
      <w:r>
        <w:rPr>
          <w:spacing w:val="-23"/>
        </w:rPr>
        <w:t> </w:t>
      </w:r>
      <w:r>
        <w:rPr/>
        <w:t>on</w:t>
      </w:r>
      <w:r>
        <w:rPr>
          <w:spacing w:val="-23"/>
        </w:rPr>
        <w:t> </w:t>
      </w:r>
      <w:r>
        <w:rPr/>
        <w:t>redeveloping</w:t>
      </w:r>
      <w:r>
        <w:rPr>
          <w:spacing w:val="-23"/>
        </w:rPr>
        <w:t> </w:t>
      </w:r>
      <w:r>
        <w:rPr/>
        <w:t>the</w:t>
      </w:r>
      <w:r>
        <w:rPr>
          <w:spacing w:val="-23"/>
        </w:rPr>
        <w:t> </w:t>
      </w:r>
      <w:r>
        <w:rPr/>
        <w:t>site.</w:t>
      </w:r>
    </w:p>
    <w:p>
      <w:pPr>
        <w:pStyle w:val="BodyText"/>
        <w:rPr>
          <w:sz w:val="14"/>
        </w:rPr>
      </w:pPr>
    </w:p>
    <w:p>
      <w:pPr>
        <w:pStyle w:val="BodyText"/>
        <w:spacing w:line="244" w:lineRule="auto"/>
        <w:ind w:left="107" w:right="238"/>
      </w:pPr>
      <w:r>
        <w:rPr>
          <w:rFonts w:ascii="Calibri" w:hAnsi="Calibri"/>
        </w:rPr>
        <w:t>Werrington  Park  Corporate  Centre  </w:t>
      </w:r>
      <w:r>
        <w:rPr/>
        <w:t>– A new three-storey, five-star, Green Star- rated</w:t>
      </w:r>
      <w:r>
        <w:rPr>
          <w:spacing w:val="-23"/>
        </w:rPr>
        <w:t> </w:t>
      </w:r>
      <w:r>
        <w:rPr/>
        <w:t>building</w:t>
      </w:r>
      <w:r>
        <w:rPr>
          <w:spacing w:val="-23"/>
        </w:rPr>
        <w:t> </w:t>
      </w:r>
      <w:r>
        <w:rPr/>
        <w:t>has</w:t>
      </w:r>
      <w:r>
        <w:rPr>
          <w:spacing w:val="-23"/>
        </w:rPr>
        <w:t> </w:t>
      </w:r>
      <w:r>
        <w:rPr/>
        <w:t>been</w:t>
      </w:r>
      <w:r>
        <w:rPr>
          <w:spacing w:val="-23"/>
        </w:rPr>
        <w:t> </w:t>
      </w:r>
      <w:r>
        <w:rPr/>
        <w:t>built</w:t>
      </w:r>
      <w:r>
        <w:rPr>
          <w:spacing w:val="-23"/>
        </w:rPr>
        <w:t> </w:t>
      </w:r>
      <w:r>
        <w:rPr/>
        <w:t>on</w:t>
      </w:r>
      <w:r>
        <w:rPr>
          <w:spacing w:val="-23"/>
        </w:rPr>
        <w:t> </w:t>
      </w:r>
      <w:r>
        <w:rPr/>
        <w:t>the</w:t>
      </w:r>
      <w:r>
        <w:rPr>
          <w:spacing w:val="-23"/>
        </w:rPr>
        <w:t> </w:t>
      </w:r>
      <w:r>
        <w:rPr/>
        <w:t>Penrith (Werrington</w:t>
      </w:r>
      <w:r>
        <w:rPr>
          <w:spacing w:val="-28"/>
        </w:rPr>
        <w:t> </w:t>
      </w:r>
      <w:r>
        <w:rPr/>
        <w:t>south)</w:t>
      </w:r>
      <w:r>
        <w:rPr>
          <w:spacing w:val="-28"/>
        </w:rPr>
        <w:t> </w:t>
      </w:r>
      <w:r>
        <w:rPr/>
        <w:t>campus,</w:t>
      </w:r>
      <w:r>
        <w:rPr>
          <w:spacing w:val="-28"/>
        </w:rPr>
        <w:t> </w:t>
      </w:r>
      <w:r>
        <w:rPr/>
        <w:t>as</w:t>
      </w:r>
      <w:r>
        <w:rPr>
          <w:spacing w:val="-28"/>
        </w:rPr>
        <w:t> </w:t>
      </w:r>
      <w:r>
        <w:rPr/>
        <w:t>stage</w:t>
      </w:r>
      <w:r>
        <w:rPr>
          <w:spacing w:val="-28"/>
        </w:rPr>
        <w:t> </w:t>
      </w:r>
      <w:r>
        <w:rPr/>
        <w:t>one</w:t>
      </w:r>
      <w:r>
        <w:rPr>
          <w:spacing w:val="-28"/>
        </w:rPr>
        <w:t> </w:t>
      </w:r>
      <w:r>
        <w:rPr/>
        <w:t>of the</w:t>
      </w:r>
      <w:r>
        <w:rPr>
          <w:spacing w:val="-32"/>
        </w:rPr>
        <w:t> </w:t>
      </w:r>
      <w:r>
        <w:rPr/>
        <w:t>Werrington</w:t>
      </w:r>
      <w:r>
        <w:rPr>
          <w:spacing w:val="-32"/>
        </w:rPr>
        <w:t> </w:t>
      </w:r>
      <w:r>
        <w:rPr/>
        <w:t>Park</w:t>
      </w:r>
      <w:r>
        <w:rPr>
          <w:spacing w:val="-32"/>
        </w:rPr>
        <w:t> </w:t>
      </w:r>
      <w:r>
        <w:rPr/>
        <w:t>Corporate</w:t>
      </w:r>
      <w:r>
        <w:rPr>
          <w:spacing w:val="-32"/>
        </w:rPr>
        <w:t> </w:t>
      </w:r>
      <w:r>
        <w:rPr/>
        <w:t>Centre.</w:t>
      </w:r>
      <w:r>
        <w:rPr>
          <w:spacing w:val="-32"/>
        </w:rPr>
        <w:t> </w:t>
      </w:r>
      <w:r>
        <w:rPr/>
        <w:t>The</w:t>
      </w:r>
    </w:p>
    <w:p>
      <w:pPr>
        <w:pStyle w:val="BodyText"/>
        <w:spacing w:line="249" w:lineRule="auto" w:before="3"/>
        <w:ind w:left="107" w:right="62"/>
      </w:pPr>
      <w:r>
        <w:rPr/>
        <w:t>building</w:t>
      </w:r>
      <w:r>
        <w:rPr>
          <w:spacing w:val="-25"/>
        </w:rPr>
        <w:t> </w:t>
      </w:r>
      <w:r>
        <w:rPr/>
        <w:t>is</w:t>
      </w:r>
      <w:r>
        <w:rPr>
          <w:spacing w:val="-25"/>
        </w:rPr>
        <w:t> </w:t>
      </w:r>
      <w:r>
        <w:rPr/>
        <w:t>located</w:t>
      </w:r>
      <w:r>
        <w:rPr>
          <w:spacing w:val="-25"/>
        </w:rPr>
        <w:t> </w:t>
      </w:r>
      <w:r>
        <w:rPr/>
        <w:t>on</w:t>
      </w:r>
      <w:r>
        <w:rPr>
          <w:spacing w:val="-25"/>
        </w:rPr>
        <w:t> </w:t>
      </w:r>
      <w:r>
        <w:rPr/>
        <w:t>the</w:t>
      </w:r>
      <w:r>
        <w:rPr>
          <w:spacing w:val="-25"/>
        </w:rPr>
        <w:t> </w:t>
      </w:r>
      <w:r>
        <w:rPr/>
        <w:t>north-eastern</w:t>
      </w:r>
      <w:r>
        <w:rPr>
          <w:spacing w:val="-25"/>
        </w:rPr>
        <w:t> </w:t>
      </w:r>
      <w:r>
        <w:rPr/>
        <w:t>corner of the campus, fronting the Great Western Highway. It offers commercial and research spaces</w:t>
      </w:r>
      <w:r>
        <w:rPr>
          <w:spacing w:val="-29"/>
        </w:rPr>
        <w:t> </w:t>
      </w:r>
      <w:r>
        <w:rPr/>
        <w:t>with</w:t>
      </w:r>
      <w:r>
        <w:rPr>
          <w:spacing w:val="-29"/>
        </w:rPr>
        <w:t> </w:t>
      </w:r>
      <w:r>
        <w:rPr/>
        <w:t>associated</w:t>
      </w:r>
      <w:r>
        <w:rPr>
          <w:spacing w:val="-29"/>
        </w:rPr>
        <w:t> </w:t>
      </w:r>
      <w:r>
        <w:rPr/>
        <w:t>amenities</w:t>
      </w:r>
      <w:r>
        <w:rPr>
          <w:spacing w:val="-29"/>
        </w:rPr>
        <w:t> </w:t>
      </w:r>
      <w:r>
        <w:rPr/>
        <w:t>and</w:t>
      </w:r>
      <w:r>
        <w:rPr>
          <w:spacing w:val="-29"/>
        </w:rPr>
        <w:t> </w:t>
      </w:r>
      <w:r>
        <w:rPr/>
        <w:t>on-</w:t>
      </w:r>
    </w:p>
    <w:p>
      <w:pPr>
        <w:pStyle w:val="BodyText"/>
        <w:spacing w:line="249" w:lineRule="auto"/>
        <w:ind w:left="107" w:right="113"/>
      </w:pPr>
      <w:r>
        <w:rPr/>
        <w:t>site</w:t>
      </w:r>
      <w:r>
        <w:rPr>
          <w:spacing w:val="-25"/>
        </w:rPr>
        <w:t> </w:t>
      </w:r>
      <w:r>
        <w:rPr/>
        <w:t>parking.</w:t>
      </w:r>
      <w:r>
        <w:rPr>
          <w:spacing w:val="-25"/>
        </w:rPr>
        <w:t> </w:t>
      </w:r>
      <w:r>
        <w:rPr/>
        <w:t>The</w:t>
      </w:r>
      <w:r>
        <w:rPr>
          <w:spacing w:val="-25"/>
        </w:rPr>
        <w:t> </w:t>
      </w:r>
      <w:r>
        <w:rPr/>
        <w:t>project</w:t>
      </w:r>
      <w:r>
        <w:rPr>
          <w:spacing w:val="-25"/>
        </w:rPr>
        <w:t> </w:t>
      </w:r>
      <w:r>
        <w:rPr/>
        <w:t>will</w:t>
      </w:r>
      <w:r>
        <w:rPr>
          <w:spacing w:val="-25"/>
        </w:rPr>
        <w:t> </w:t>
      </w:r>
      <w:r>
        <w:rPr/>
        <w:t>strengthen</w:t>
      </w:r>
      <w:r>
        <w:rPr>
          <w:spacing w:val="-25"/>
        </w:rPr>
        <w:t> </w:t>
      </w:r>
      <w:r>
        <w:rPr/>
        <w:t>ties between</w:t>
      </w:r>
      <w:r>
        <w:rPr>
          <w:spacing w:val="-24"/>
        </w:rPr>
        <w:t> </w:t>
      </w:r>
      <w:r>
        <w:rPr/>
        <w:t>the</w:t>
      </w:r>
      <w:r>
        <w:rPr>
          <w:spacing w:val="-24"/>
        </w:rPr>
        <w:t> </w:t>
      </w:r>
      <w:r>
        <w:rPr/>
        <w:t>University</w:t>
      </w:r>
      <w:r>
        <w:rPr>
          <w:spacing w:val="-24"/>
        </w:rPr>
        <w:t> </w:t>
      </w:r>
      <w:r>
        <w:rPr/>
        <w:t>and</w:t>
      </w:r>
      <w:r>
        <w:rPr>
          <w:spacing w:val="-24"/>
        </w:rPr>
        <w:t> </w:t>
      </w:r>
      <w:r>
        <w:rPr/>
        <w:t>industry,</w:t>
      </w:r>
      <w:r>
        <w:rPr>
          <w:spacing w:val="-24"/>
        </w:rPr>
        <w:t> </w:t>
      </w:r>
      <w:r>
        <w:rPr/>
        <w:t>attract new industries to the area and facilitate the establishment</w:t>
      </w:r>
      <w:r>
        <w:rPr>
          <w:spacing w:val="-31"/>
        </w:rPr>
        <w:t> </w:t>
      </w:r>
      <w:r>
        <w:rPr/>
        <w:t>and</w:t>
      </w:r>
      <w:r>
        <w:rPr>
          <w:spacing w:val="-31"/>
        </w:rPr>
        <w:t> </w:t>
      </w:r>
      <w:r>
        <w:rPr/>
        <w:t>growth</w:t>
      </w:r>
      <w:r>
        <w:rPr>
          <w:spacing w:val="-31"/>
        </w:rPr>
        <w:t> </w:t>
      </w:r>
      <w:r>
        <w:rPr/>
        <w:t>of</w:t>
      </w:r>
      <w:r>
        <w:rPr>
          <w:spacing w:val="-31"/>
        </w:rPr>
        <w:t> </w:t>
      </w:r>
      <w:r>
        <w:rPr/>
        <w:t>those</w:t>
      </w:r>
      <w:r>
        <w:rPr>
          <w:spacing w:val="-31"/>
        </w:rPr>
        <w:t> </w:t>
      </w:r>
      <w:r>
        <w:rPr/>
        <w:t>industries. A</w:t>
      </w:r>
      <w:r>
        <w:rPr>
          <w:spacing w:val="-22"/>
        </w:rPr>
        <w:t> </w:t>
      </w:r>
      <w:r>
        <w:rPr/>
        <w:t>new</w:t>
      </w:r>
      <w:r>
        <w:rPr>
          <w:spacing w:val="-22"/>
        </w:rPr>
        <w:t> </w:t>
      </w:r>
      <w:r>
        <w:rPr/>
        <w:t>industry</w:t>
      </w:r>
      <w:r>
        <w:rPr>
          <w:spacing w:val="-22"/>
        </w:rPr>
        <w:t> </w:t>
      </w:r>
      <w:r>
        <w:rPr/>
        <w:t>incubator</w:t>
      </w:r>
      <w:r>
        <w:rPr>
          <w:spacing w:val="-22"/>
        </w:rPr>
        <w:t> </w:t>
      </w:r>
      <w:r>
        <w:rPr/>
        <w:t>space</w:t>
      </w:r>
      <w:r>
        <w:rPr>
          <w:spacing w:val="-22"/>
        </w:rPr>
        <w:t> </w:t>
      </w:r>
      <w:r>
        <w:rPr/>
        <w:t>(Launch</w:t>
      </w:r>
      <w:r>
        <w:rPr>
          <w:spacing w:val="-22"/>
        </w:rPr>
        <w:t> </w:t>
      </w:r>
      <w:r>
        <w:rPr/>
        <w:t>Pad) run by Research and Innovation has been </w:t>
      </w:r>
      <w:r>
        <w:rPr>
          <w:spacing w:val="-1"/>
          <w:w w:val="98"/>
        </w:rPr>
        <w:t>operating</w:t>
      </w:r>
      <w:r>
        <w:rPr>
          <w:w w:val="98"/>
        </w:rPr>
        <w:t> </w:t>
      </w:r>
      <w:r>
        <w:rPr>
          <w:spacing w:val="-1"/>
          <w:w w:val="97"/>
        </w:rPr>
        <w:t>since</w:t>
      </w:r>
      <w:r>
        <w:rPr>
          <w:w w:val="97"/>
        </w:rPr>
        <w:t> </w:t>
      </w:r>
      <w:r>
        <w:rPr>
          <w:spacing w:val="-1"/>
          <w:w w:val="97"/>
        </w:rPr>
        <w:t>March</w:t>
      </w:r>
      <w:r>
        <w:rPr>
          <w:spacing w:val="-23"/>
          <w:w w:val="97"/>
        </w:rPr>
        <w:t> </w:t>
      </w:r>
      <w:r>
        <w:rPr>
          <w:w w:val="84"/>
        </w:rPr>
        <w:t>2015.</w:t>
      </w:r>
    </w:p>
    <w:p>
      <w:pPr>
        <w:pStyle w:val="BodyText"/>
        <w:rPr>
          <w:sz w:val="14"/>
        </w:rPr>
      </w:pPr>
    </w:p>
    <w:p>
      <w:pPr>
        <w:pStyle w:val="BodyText"/>
        <w:spacing w:line="244" w:lineRule="auto"/>
        <w:ind w:left="107" w:right="139"/>
      </w:pPr>
      <w:r>
        <w:rPr>
          <w:rFonts w:ascii="Calibri" w:hAnsi="Calibri"/>
        </w:rPr>
        <w:t>vF2F and Zoom </w:t>
      </w:r>
      <w:r>
        <w:rPr/>
        <w:t>– The first phase of the Virtual Face to Face (vF2F) project has established the Zoom video collaboration </w:t>
      </w:r>
      <w:r>
        <w:rPr>
          <w:w w:val="93"/>
        </w:rPr>
        <w:t>service. </w:t>
      </w:r>
      <w:r>
        <w:rPr>
          <w:w w:val="80"/>
        </w:rPr>
        <w:t>In </w:t>
      </w:r>
      <w:r>
        <w:rPr>
          <w:w w:val="84"/>
        </w:rPr>
        <w:t>2015, </w:t>
      </w:r>
      <w:r>
        <w:rPr>
          <w:w w:val="97"/>
        </w:rPr>
        <w:t>this </w:t>
      </w:r>
      <w:r>
        <w:rPr>
          <w:w w:val="96"/>
        </w:rPr>
        <w:t>was </w:t>
      </w:r>
      <w:r>
        <w:rPr>
          <w:w w:val="97"/>
        </w:rPr>
        <w:t>the </w:t>
      </w:r>
      <w:r>
        <w:rPr>
          <w:w w:val="97"/>
        </w:rPr>
        <w:t>fastest </w:t>
      </w:r>
      <w:r>
        <w:rPr>
          <w:w w:val="99"/>
        </w:rPr>
        <w:t>growing</w:t>
      </w:r>
    </w:p>
    <w:p>
      <w:pPr>
        <w:pStyle w:val="BodyText"/>
        <w:spacing w:before="2"/>
        <w:rPr>
          <w:sz w:val="20"/>
        </w:rPr>
      </w:pPr>
      <w:r>
        <w:rPr/>
        <w:br w:type="column"/>
      </w:r>
      <w:r>
        <w:rPr>
          <w:sz w:val="20"/>
        </w:rPr>
      </w:r>
    </w:p>
    <w:p>
      <w:pPr>
        <w:pStyle w:val="BodyText"/>
        <w:spacing w:line="249" w:lineRule="auto"/>
        <w:ind w:left="107" w:right="8"/>
      </w:pPr>
      <w:r>
        <w:rPr/>
        <w:t>IT service in the University, which is now the largest university user of Zoom in Australia. The</w:t>
      </w:r>
      <w:r>
        <w:rPr>
          <w:spacing w:val="-13"/>
        </w:rPr>
        <w:t> </w:t>
      </w:r>
      <w:r>
        <w:rPr/>
        <w:t>first</w:t>
      </w:r>
      <w:r>
        <w:rPr>
          <w:spacing w:val="-13"/>
        </w:rPr>
        <w:t> </w:t>
      </w:r>
      <w:r>
        <w:rPr/>
        <w:t>phase</w:t>
      </w:r>
      <w:r>
        <w:rPr>
          <w:spacing w:val="-13"/>
        </w:rPr>
        <w:t> </w:t>
      </w:r>
      <w:r>
        <w:rPr/>
        <w:t>focused</w:t>
      </w:r>
      <w:r>
        <w:rPr>
          <w:spacing w:val="-13"/>
        </w:rPr>
        <w:t> </w:t>
      </w:r>
      <w:r>
        <w:rPr/>
        <w:t>on</w:t>
      </w:r>
      <w:r>
        <w:rPr>
          <w:spacing w:val="-13"/>
        </w:rPr>
        <w:t> </w:t>
      </w:r>
      <w:r>
        <w:rPr/>
        <w:t>desktop</w:t>
      </w:r>
      <w:r>
        <w:rPr>
          <w:spacing w:val="-13"/>
        </w:rPr>
        <w:t> </w:t>
      </w:r>
      <w:r>
        <w:rPr/>
        <w:t>and</w:t>
      </w:r>
      <w:r>
        <w:rPr>
          <w:spacing w:val="-13"/>
        </w:rPr>
        <w:t> </w:t>
      </w:r>
      <w:r>
        <w:rPr/>
        <w:t>room- based video conferencing, with the second phase using this technology for teaching, enabling students to interact with their teaching</w:t>
      </w:r>
      <w:r>
        <w:rPr>
          <w:spacing w:val="-17"/>
        </w:rPr>
        <w:t> </w:t>
      </w:r>
      <w:r>
        <w:rPr/>
        <w:t>sessions</w:t>
      </w:r>
      <w:r>
        <w:rPr>
          <w:spacing w:val="-17"/>
        </w:rPr>
        <w:t> </w:t>
      </w:r>
      <w:r>
        <w:rPr/>
        <w:t>from</w:t>
      </w:r>
      <w:r>
        <w:rPr>
          <w:spacing w:val="-17"/>
        </w:rPr>
        <w:t> </w:t>
      </w:r>
      <w:r>
        <w:rPr/>
        <w:t>anywhere</w:t>
      </w:r>
      <w:r>
        <w:rPr>
          <w:spacing w:val="-17"/>
        </w:rPr>
        <w:t> </w:t>
      </w:r>
      <w:r>
        <w:rPr/>
        <w:t>and</w:t>
      </w:r>
      <w:r>
        <w:rPr>
          <w:spacing w:val="-17"/>
        </w:rPr>
        <w:t> </w:t>
      </w:r>
      <w:r>
        <w:rPr/>
        <w:t>on</w:t>
      </w:r>
      <w:r>
        <w:rPr>
          <w:spacing w:val="-17"/>
        </w:rPr>
        <w:t> </w:t>
      </w:r>
      <w:r>
        <w:rPr/>
        <w:t>any device.</w:t>
      </w:r>
    </w:p>
    <w:p>
      <w:pPr>
        <w:pStyle w:val="BodyText"/>
        <w:rPr>
          <w:sz w:val="14"/>
        </w:rPr>
      </w:pPr>
    </w:p>
    <w:p>
      <w:pPr>
        <w:pStyle w:val="BodyText"/>
        <w:spacing w:line="247" w:lineRule="auto"/>
        <w:ind w:left="107" w:right="65"/>
      </w:pPr>
      <w:r>
        <w:rPr>
          <w:rFonts w:ascii="Calibri" w:hAnsi="Calibri"/>
          <w:spacing w:val="2"/>
        </w:rPr>
        <w:t>1PSQ </w:t>
      </w:r>
      <w:r>
        <w:rPr/>
        <w:t>– Planning and construction continues for</w:t>
      </w:r>
      <w:r>
        <w:rPr>
          <w:spacing w:val="-19"/>
        </w:rPr>
        <w:t> </w:t>
      </w:r>
      <w:r>
        <w:rPr/>
        <w:t>the</w:t>
      </w:r>
      <w:r>
        <w:rPr>
          <w:spacing w:val="-19"/>
        </w:rPr>
        <w:t> </w:t>
      </w:r>
      <w:r>
        <w:rPr/>
        <w:t>new</w:t>
      </w:r>
      <w:r>
        <w:rPr>
          <w:spacing w:val="-19"/>
        </w:rPr>
        <w:t> </w:t>
      </w:r>
      <w:r>
        <w:rPr/>
        <w:t>Parramatta</w:t>
      </w:r>
      <w:r>
        <w:rPr>
          <w:spacing w:val="-19"/>
        </w:rPr>
        <w:t> </w:t>
      </w:r>
      <w:r>
        <w:rPr/>
        <w:t>City</w:t>
      </w:r>
      <w:r>
        <w:rPr>
          <w:spacing w:val="-19"/>
        </w:rPr>
        <w:t> </w:t>
      </w:r>
      <w:r>
        <w:rPr/>
        <w:t>campus</w:t>
      </w:r>
      <w:r>
        <w:rPr>
          <w:spacing w:val="-19"/>
        </w:rPr>
        <w:t> </w:t>
      </w:r>
      <w:r>
        <w:rPr/>
        <w:t>at</w:t>
      </w:r>
      <w:r>
        <w:rPr>
          <w:spacing w:val="-19"/>
        </w:rPr>
        <w:t> </w:t>
      </w:r>
      <w:r>
        <w:rPr>
          <w:spacing w:val="2"/>
        </w:rPr>
        <w:t>1PSQ. </w:t>
      </w:r>
      <w:r>
        <w:rPr/>
        <w:t>The vision is to create an iconic vertical campus in the </w:t>
      </w:r>
      <w:r>
        <w:rPr>
          <w:spacing w:val="2"/>
        </w:rPr>
        <w:t>heart </w:t>
      </w:r>
      <w:r>
        <w:rPr/>
        <w:t>of the Parramatta </w:t>
      </w:r>
      <w:r>
        <w:rPr>
          <w:spacing w:val="2"/>
        </w:rPr>
        <w:t>CBD </w:t>
      </w:r>
      <w:r>
        <w:rPr/>
        <w:t>that </w:t>
      </w:r>
      <w:r>
        <w:rPr>
          <w:spacing w:val="2"/>
        </w:rPr>
        <w:t>connects </w:t>
      </w:r>
      <w:r>
        <w:rPr/>
        <w:t>to business and community. </w:t>
      </w:r>
      <w:r>
        <w:rPr>
          <w:spacing w:val="1"/>
          <w:w w:val="94"/>
        </w:rPr>
        <w:t>The</w:t>
      </w:r>
      <w:r>
        <w:rPr>
          <w:w w:val="94"/>
        </w:rPr>
        <w:t> </w:t>
      </w:r>
      <w:r>
        <w:rPr>
          <w:w w:val="97"/>
        </w:rPr>
        <w:t>new </w:t>
      </w:r>
      <w:r>
        <w:rPr>
          <w:spacing w:val="2"/>
          <w:w w:val="93"/>
        </w:rPr>
        <w:t>campus,</w:t>
      </w:r>
      <w:r>
        <w:rPr>
          <w:w w:val="93"/>
        </w:rPr>
        <w:t> </w:t>
      </w:r>
      <w:r>
        <w:rPr>
          <w:spacing w:val="-1"/>
          <w:w w:val="101"/>
        </w:rPr>
        <w:t>to</w:t>
      </w:r>
      <w:r>
        <w:rPr>
          <w:w w:val="101"/>
        </w:rPr>
        <w:t> </w:t>
      </w:r>
      <w:r>
        <w:rPr>
          <w:spacing w:val="1"/>
          <w:w w:val="99"/>
        </w:rPr>
        <w:t>be</w:t>
      </w:r>
      <w:r>
        <w:rPr>
          <w:w w:val="99"/>
        </w:rPr>
        <w:t> </w:t>
      </w:r>
      <w:r>
        <w:rPr>
          <w:spacing w:val="1"/>
          <w:w w:val="96"/>
        </w:rPr>
        <w:t>finished</w:t>
      </w:r>
      <w:r>
        <w:rPr>
          <w:w w:val="96"/>
        </w:rPr>
        <w:t> </w:t>
      </w:r>
      <w:r>
        <w:rPr>
          <w:w w:val="95"/>
        </w:rPr>
        <w:t>in </w:t>
      </w:r>
      <w:r>
        <w:rPr>
          <w:spacing w:val="-2"/>
          <w:w w:val="83"/>
        </w:rPr>
        <w:t>2017,</w:t>
      </w:r>
      <w:r>
        <w:rPr>
          <w:w w:val="83"/>
        </w:rPr>
        <w:t> </w:t>
      </w:r>
      <w:r>
        <w:rPr>
          <w:w w:val="97"/>
        </w:rPr>
        <w:t>will </w:t>
      </w:r>
      <w:r>
        <w:rPr/>
        <w:t>be</w:t>
      </w:r>
      <w:r>
        <w:rPr>
          <w:spacing w:val="-13"/>
        </w:rPr>
        <w:t> </w:t>
      </w:r>
      <w:r>
        <w:rPr/>
        <w:t>a</w:t>
      </w:r>
      <w:r>
        <w:rPr>
          <w:spacing w:val="-13"/>
        </w:rPr>
        <w:t> </w:t>
      </w:r>
      <w:r>
        <w:rPr/>
        <w:t>showpiece</w:t>
      </w:r>
      <w:r>
        <w:rPr>
          <w:spacing w:val="-13"/>
        </w:rPr>
        <w:t> </w:t>
      </w:r>
      <w:r>
        <w:rPr/>
        <w:t>for</w:t>
      </w:r>
      <w:r>
        <w:rPr>
          <w:spacing w:val="-13"/>
        </w:rPr>
        <w:t> </w:t>
      </w:r>
      <w:r>
        <w:rPr/>
        <w:t>collaborative</w:t>
      </w:r>
      <w:r>
        <w:rPr>
          <w:spacing w:val="-13"/>
        </w:rPr>
        <w:t> </w:t>
      </w:r>
      <w:r>
        <w:rPr/>
        <w:t>and</w:t>
      </w:r>
      <w:r>
        <w:rPr>
          <w:spacing w:val="-13"/>
        </w:rPr>
        <w:t> </w:t>
      </w:r>
      <w:r>
        <w:rPr/>
        <w:t>blended learning pedagogy in a focused, diverse and student-centric environment. The building will</w:t>
      </w:r>
      <w:r>
        <w:rPr>
          <w:spacing w:val="-17"/>
        </w:rPr>
        <w:t> </w:t>
      </w:r>
      <w:r>
        <w:rPr/>
        <w:t>consist</w:t>
      </w:r>
      <w:r>
        <w:rPr>
          <w:spacing w:val="-17"/>
        </w:rPr>
        <w:t> </w:t>
      </w:r>
      <w:r>
        <w:rPr/>
        <w:t>of</w:t>
      </w:r>
      <w:r>
        <w:rPr>
          <w:spacing w:val="-17"/>
        </w:rPr>
        <w:t> </w:t>
      </w:r>
      <w:r>
        <w:rPr/>
        <w:t>14</w:t>
      </w:r>
      <w:r>
        <w:rPr>
          <w:spacing w:val="-17"/>
        </w:rPr>
        <w:t> </w:t>
      </w:r>
      <w:r>
        <w:rPr/>
        <w:t>levels</w:t>
      </w:r>
      <w:r>
        <w:rPr>
          <w:spacing w:val="-17"/>
        </w:rPr>
        <w:t> </w:t>
      </w:r>
      <w:r>
        <w:rPr/>
        <w:t>of</w:t>
      </w:r>
      <w:r>
        <w:rPr>
          <w:spacing w:val="-17"/>
        </w:rPr>
        <w:t> </w:t>
      </w:r>
      <w:r>
        <w:rPr/>
        <w:t>A-grade</w:t>
      </w:r>
      <w:r>
        <w:rPr>
          <w:spacing w:val="-17"/>
        </w:rPr>
        <w:t> </w:t>
      </w:r>
      <w:r>
        <w:rPr/>
        <w:t>space</w:t>
      </w:r>
      <w:r>
        <w:rPr>
          <w:spacing w:val="-17"/>
        </w:rPr>
        <w:t> </w:t>
      </w:r>
      <w:r>
        <w:rPr/>
        <w:t>over approximately </w:t>
      </w:r>
      <w:r>
        <w:rPr>
          <w:spacing w:val="3"/>
        </w:rPr>
        <w:t>26,500 </w:t>
      </w:r>
      <w:r>
        <w:rPr/>
        <w:t>square metres, and the University has committed to lease the entire building for 15 years, with options to extend. Architectural firm Architectus won an international competition to design the building,</w:t>
      </w:r>
      <w:r>
        <w:rPr>
          <w:spacing w:val="-15"/>
        </w:rPr>
        <w:t> </w:t>
      </w:r>
      <w:r>
        <w:rPr/>
        <w:t>which</w:t>
      </w:r>
      <w:r>
        <w:rPr>
          <w:spacing w:val="-15"/>
        </w:rPr>
        <w:t> </w:t>
      </w:r>
      <w:r>
        <w:rPr/>
        <w:t>will</w:t>
      </w:r>
      <w:r>
        <w:rPr>
          <w:spacing w:val="-15"/>
        </w:rPr>
        <w:t> </w:t>
      </w:r>
      <w:r>
        <w:rPr/>
        <w:t>be</w:t>
      </w:r>
      <w:r>
        <w:rPr>
          <w:spacing w:val="-15"/>
        </w:rPr>
        <w:t> </w:t>
      </w:r>
      <w:r>
        <w:rPr/>
        <w:t>highly</w:t>
      </w:r>
      <w:r>
        <w:rPr>
          <w:spacing w:val="-15"/>
        </w:rPr>
        <w:t> </w:t>
      </w:r>
      <w:r>
        <w:rPr/>
        <w:t>integrated</w:t>
      </w:r>
      <w:r>
        <w:rPr>
          <w:spacing w:val="-15"/>
        </w:rPr>
        <w:t> </w:t>
      </w:r>
      <w:r>
        <w:rPr/>
        <w:t>with inter-floor connectivity within and on-site amenities including a vibrant ground-floor </w:t>
      </w:r>
      <w:r>
        <w:rPr>
          <w:w w:val="95"/>
        </w:rPr>
        <w:t>retail</w:t>
      </w:r>
      <w:r>
        <w:rPr>
          <w:spacing w:val="-8"/>
          <w:w w:val="95"/>
        </w:rPr>
        <w:t> </w:t>
      </w:r>
      <w:r>
        <w:rPr>
          <w:w w:val="95"/>
        </w:rPr>
        <w:t>area.</w:t>
      </w:r>
    </w:p>
    <w:p>
      <w:pPr>
        <w:pStyle w:val="BodyText"/>
        <w:spacing w:before="2"/>
        <w:rPr>
          <w:sz w:val="14"/>
        </w:rPr>
      </w:pPr>
    </w:p>
    <w:p>
      <w:pPr>
        <w:pStyle w:val="BodyText"/>
        <w:spacing w:line="244" w:lineRule="auto"/>
        <w:ind w:left="107" w:right="48"/>
      </w:pPr>
      <w:r>
        <w:rPr>
          <w:rFonts w:ascii="Calibri" w:hAnsi="Calibri"/>
          <w:spacing w:val="2"/>
        </w:rPr>
        <w:t>1PSQ </w:t>
      </w:r>
      <w:r>
        <w:rPr>
          <w:rFonts w:ascii="Calibri" w:hAnsi="Calibri"/>
        </w:rPr>
        <w:t>technology master plan </w:t>
      </w:r>
      <w:r>
        <w:rPr/>
        <w:t>– A dedicated Information Technology and Digital Services (ITDS)</w:t>
      </w:r>
      <w:r>
        <w:rPr>
          <w:spacing w:val="-26"/>
        </w:rPr>
        <w:t> </w:t>
      </w:r>
      <w:r>
        <w:rPr/>
        <w:t>team</w:t>
      </w:r>
      <w:r>
        <w:rPr>
          <w:spacing w:val="-26"/>
        </w:rPr>
        <w:t> </w:t>
      </w:r>
      <w:r>
        <w:rPr/>
        <w:t>has</w:t>
      </w:r>
      <w:r>
        <w:rPr>
          <w:spacing w:val="-26"/>
        </w:rPr>
        <w:t> </w:t>
      </w:r>
      <w:r>
        <w:rPr/>
        <w:t>been</w:t>
      </w:r>
      <w:r>
        <w:rPr>
          <w:spacing w:val="-26"/>
        </w:rPr>
        <w:t> </w:t>
      </w:r>
      <w:r>
        <w:rPr/>
        <w:t>implementing</w:t>
      </w:r>
      <w:r>
        <w:rPr>
          <w:spacing w:val="-26"/>
        </w:rPr>
        <w:t> </w:t>
      </w:r>
      <w:r>
        <w:rPr/>
        <w:t>the</w:t>
      </w:r>
      <w:r>
        <w:rPr>
          <w:spacing w:val="-26"/>
        </w:rPr>
        <w:t> </w:t>
      </w:r>
      <w:r>
        <w:rPr>
          <w:spacing w:val="2"/>
        </w:rPr>
        <w:t>1PSQ </w:t>
      </w:r>
      <w:r>
        <w:rPr/>
        <w:t>Technology</w:t>
      </w:r>
      <w:r>
        <w:rPr>
          <w:spacing w:val="-23"/>
        </w:rPr>
        <w:t> </w:t>
      </w:r>
      <w:r>
        <w:rPr/>
        <w:t>Master</w:t>
      </w:r>
      <w:r>
        <w:rPr>
          <w:spacing w:val="-23"/>
        </w:rPr>
        <w:t> </w:t>
      </w:r>
      <w:r>
        <w:rPr/>
        <w:t>Plan.</w:t>
      </w:r>
      <w:r>
        <w:rPr>
          <w:spacing w:val="-23"/>
        </w:rPr>
        <w:t> </w:t>
      </w:r>
      <w:r>
        <w:rPr/>
        <w:t>The</w:t>
      </w:r>
      <w:r>
        <w:rPr>
          <w:spacing w:val="-23"/>
        </w:rPr>
        <w:t> </w:t>
      </w:r>
      <w:r>
        <w:rPr/>
        <w:t>Division’s</w:t>
      </w:r>
      <w:r>
        <w:rPr>
          <w:spacing w:val="-23"/>
        </w:rPr>
        <w:t> </w:t>
      </w:r>
      <w:r>
        <w:rPr/>
        <w:t>goal</w:t>
      </w:r>
    </w:p>
    <w:p>
      <w:pPr>
        <w:pStyle w:val="BodyText"/>
        <w:spacing w:line="249" w:lineRule="auto" w:before="3"/>
        <w:ind w:left="107" w:right="78"/>
      </w:pPr>
      <w:r>
        <w:rPr/>
        <w:t>is</w:t>
      </w:r>
      <w:r>
        <w:rPr>
          <w:spacing w:val="-16"/>
        </w:rPr>
        <w:t> </w:t>
      </w:r>
      <w:r>
        <w:rPr/>
        <w:t>to</w:t>
      </w:r>
      <w:r>
        <w:rPr>
          <w:spacing w:val="-16"/>
        </w:rPr>
        <w:t> </w:t>
      </w:r>
      <w:r>
        <w:rPr/>
        <w:t>promote</w:t>
      </w:r>
      <w:r>
        <w:rPr>
          <w:spacing w:val="-16"/>
        </w:rPr>
        <w:t> </w:t>
      </w:r>
      <w:r>
        <w:rPr/>
        <w:t>the</w:t>
      </w:r>
      <w:r>
        <w:rPr>
          <w:spacing w:val="-16"/>
        </w:rPr>
        <w:t> </w:t>
      </w:r>
      <w:r>
        <w:rPr/>
        <w:t>University</w:t>
      </w:r>
      <w:r>
        <w:rPr>
          <w:spacing w:val="-16"/>
        </w:rPr>
        <w:t> </w:t>
      </w:r>
      <w:r>
        <w:rPr/>
        <w:t>as</w:t>
      </w:r>
      <w:r>
        <w:rPr>
          <w:spacing w:val="-16"/>
        </w:rPr>
        <w:t> </w:t>
      </w:r>
      <w:r>
        <w:rPr/>
        <w:t>an</w:t>
      </w:r>
      <w:r>
        <w:rPr>
          <w:spacing w:val="-16"/>
        </w:rPr>
        <w:t> </w:t>
      </w:r>
      <w:r>
        <w:rPr/>
        <w:t>innovator by using the latest technologies for every area</w:t>
      </w:r>
      <w:r>
        <w:rPr>
          <w:spacing w:val="-17"/>
        </w:rPr>
        <w:t> </w:t>
      </w:r>
      <w:r>
        <w:rPr/>
        <w:t>of</w:t>
      </w:r>
      <w:r>
        <w:rPr>
          <w:spacing w:val="-17"/>
        </w:rPr>
        <w:t> </w:t>
      </w:r>
      <w:r>
        <w:rPr/>
        <w:t>the</w:t>
      </w:r>
      <w:r>
        <w:rPr>
          <w:spacing w:val="-17"/>
        </w:rPr>
        <w:t> </w:t>
      </w:r>
      <w:r>
        <w:rPr/>
        <w:t>building,</w:t>
      </w:r>
      <w:r>
        <w:rPr>
          <w:spacing w:val="-17"/>
        </w:rPr>
        <w:t> </w:t>
      </w:r>
      <w:r>
        <w:rPr/>
        <w:t>focusing</w:t>
      </w:r>
      <w:r>
        <w:rPr>
          <w:spacing w:val="-17"/>
        </w:rPr>
        <w:t> </w:t>
      </w:r>
      <w:r>
        <w:rPr/>
        <w:t>on</w:t>
      </w:r>
      <w:r>
        <w:rPr>
          <w:spacing w:val="-17"/>
        </w:rPr>
        <w:t> </w:t>
      </w:r>
      <w:r>
        <w:rPr/>
        <w:t>the</w:t>
      </w:r>
      <w:r>
        <w:rPr>
          <w:spacing w:val="-17"/>
        </w:rPr>
        <w:t> </w:t>
      </w:r>
      <w:r>
        <w:rPr/>
        <w:t>student experience.</w:t>
      </w:r>
    </w:p>
    <w:p>
      <w:pPr>
        <w:pStyle w:val="BodyText"/>
        <w:rPr>
          <w:sz w:val="14"/>
        </w:rPr>
      </w:pPr>
    </w:p>
    <w:p>
      <w:pPr>
        <w:pStyle w:val="BodyText"/>
        <w:spacing w:line="247" w:lineRule="auto"/>
        <w:ind w:left="107"/>
      </w:pPr>
      <w:r>
        <w:rPr>
          <w:rFonts w:ascii="Calibri" w:hAnsi="Calibri"/>
          <w:spacing w:val="2"/>
        </w:rPr>
        <w:t>Parramatta </w:t>
      </w:r>
      <w:r>
        <w:rPr>
          <w:rFonts w:ascii="Calibri" w:hAnsi="Calibri"/>
        </w:rPr>
        <w:t>Integrated Transport Plan </w:t>
      </w:r>
      <w:r>
        <w:rPr/>
        <w:t>– The Office of Commercial and Estate Planning (OCEP)</w:t>
      </w:r>
      <w:r>
        <w:rPr>
          <w:spacing w:val="-14"/>
        </w:rPr>
        <w:t> </w:t>
      </w:r>
      <w:r>
        <w:rPr/>
        <w:t>has</w:t>
      </w:r>
      <w:r>
        <w:rPr>
          <w:spacing w:val="-14"/>
        </w:rPr>
        <w:t> </w:t>
      </w:r>
      <w:r>
        <w:rPr/>
        <w:t>been</w:t>
      </w:r>
      <w:r>
        <w:rPr>
          <w:spacing w:val="-14"/>
        </w:rPr>
        <w:t> </w:t>
      </w:r>
      <w:r>
        <w:rPr/>
        <w:t>leading</w:t>
      </w:r>
      <w:r>
        <w:rPr>
          <w:spacing w:val="-14"/>
        </w:rPr>
        <w:t> </w:t>
      </w:r>
      <w:r>
        <w:rPr/>
        <w:t>a</w:t>
      </w:r>
      <w:r>
        <w:rPr>
          <w:spacing w:val="-14"/>
        </w:rPr>
        <w:t> </w:t>
      </w:r>
      <w:r>
        <w:rPr/>
        <w:t>project</w:t>
      </w:r>
      <w:r>
        <w:rPr>
          <w:spacing w:val="-14"/>
        </w:rPr>
        <w:t> </w:t>
      </w:r>
      <w:r>
        <w:rPr/>
        <w:t>to</w:t>
      </w:r>
      <w:r>
        <w:rPr>
          <w:spacing w:val="-14"/>
        </w:rPr>
        <w:t> </w:t>
      </w:r>
      <w:r>
        <w:rPr/>
        <w:t>develop an integrated transport plan for travelling between</w:t>
      </w:r>
      <w:r>
        <w:rPr>
          <w:spacing w:val="-17"/>
        </w:rPr>
        <w:t> </w:t>
      </w:r>
      <w:r>
        <w:rPr/>
        <w:t>the</w:t>
      </w:r>
      <w:r>
        <w:rPr>
          <w:spacing w:val="-17"/>
        </w:rPr>
        <w:t> </w:t>
      </w:r>
      <w:r>
        <w:rPr/>
        <w:t>University’s</w:t>
      </w:r>
      <w:r>
        <w:rPr>
          <w:spacing w:val="-17"/>
        </w:rPr>
        <w:t> </w:t>
      </w:r>
      <w:r>
        <w:rPr/>
        <w:t>Rydalmere,</w:t>
      </w:r>
      <w:r>
        <w:rPr>
          <w:spacing w:val="-17"/>
        </w:rPr>
        <w:t> </w:t>
      </w:r>
      <w:r>
        <w:rPr>
          <w:spacing w:val="2"/>
        </w:rPr>
        <w:t>CBD</w:t>
      </w:r>
      <w:r>
        <w:rPr>
          <w:spacing w:val="-17"/>
        </w:rPr>
        <w:t> </w:t>
      </w:r>
      <w:r>
        <w:rPr/>
        <w:t>and Westmead </w:t>
      </w:r>
      <w:r>
        <w:rPr>
          <w:spacing w:val="2"/>
        </w:rPr>
        <w:t>campuses. </w:t>
      </w:r>
      <w:r>
        <w:rPr/>
        <w:t>The aim is to address short-term</w:t>
      </w:r>
      <w:r>
        <w:rPr>
          <w:spacing w:val="-16"/>
        </w:rPr>
        <w:t> </w:t>
      </w:r>
      <w:r>
        <w:rPr/>
        <w:t>challenges</w:t>
      </w:r>
      <w:r>
        <w:rPr>
          <w:spacing w:val="-16"/>
        </w:rPr>
        <w:t> </w:t>
      </w:r>
      <w:r>
        <w:rPr/>
        <w:t>and</w:t>
      </w:r>
      <w:r>
        <w:rPr>
          <w:spacing w:val="-16"/>
        </w:rPr>
        <w:t> </w:t>
      </w:r>
      <w:r>
        <w:rPr/>
        <w:t>medium-</w:t>
      </w:r>
      <w:r>
        <w:rPr>
          <w:spacing w:val="-16"/>
        </w:rPr>
        <w:t> </w:t>
      </w:r>
      <w:r>
        <w:rPr/>
        <w:t>to</w:t>
      </w:r>
      <w:r>
        <w:rPr>
          <w:spacing w:val="-16"/>
        </w:rPr>
        <w:t> </w:t>
      </w:r>
      <w:r>
        <w:rPr/>
        <w:t>longer- term</w:t>
      </w:r>
      <w:r>
        <w:rPr>
          <w:spacing w:val="-17"/>
        </w:rPr>
        <w:t> </w:t>
      </w:r>
      <w:r>
        <w:rPr/>
        <w:t>opportunities.</w:t>
      </w:r>
      <w:r>
        <w:rPr>
          <w:spacing w:val="-17"/>
        </w:rPr>
        <w:t> </w:t>
      </w:r>
      <w:r>
        <w:rPr/>
        <w:t>This</w:t>
      </w:r>
      <w:r>
        <w:rPr>
          <w:spacing w:val="-17"/>
        </w:rPr>
        <w:t> </w:t>
      </w:r>
      <w:r>
        <w:rPr/>
        <w:t>cooperative</w:t>
      </w:r>
      <w:r>
        <w:rPr>
          <w:spacing w:val="-17"/>
        </w:rPr>
        <w:t> </w:t>
      </w:r>
      <w:r>
        <w:rPr/>
        <w:t>project</w:t>
      </w:r>
      <w:r>
        <w:rPr>
          <w:spacing w:val="-17"/>
        </w:rPr>
        <w:t> </w:t>
      </w:r>
      <w:r>
        <w:rPr/>
        <w:t>is being</w:t>
      </w:r>
      <w:r>
        <w:rPr>
          <w:spacing w:val="-16"/>
        </w:rPr>
        <w:t> </w:t>
      </w:r>
      <w:r>
        <w:rPr/>
        <w:t>undertaken</w:t>
      </w:r>
      <w:r>
        <w:rPr>
          <w:spacing w:val="-16"/>
        </w:rPr>
        <w:t> </w:t>
      </w:r>
      <w:r>
        <w:rPr/>
        <w:t>with</w:t>
      </w:r>
      <w:r>
        <w:rPr>
          <w:spacing w:val="-16"/>
        </w:rPr>
        <w:t> </w:t>
      </w:r>
      <w:r>
        <w:rPr/>
        <w:t>the</w:t>
      </w:r>
      <w:r>
        <w:rPr>
          <w:spacing w:val="-16"/>
        </w:rPr>
        <w:t> </w:t>
      </w:r>
      <w:r>
        <w:rPr/>
        <w:t>assistance</w:t>
      </w:r>
      <w:r>
        <w:rPr>
          <w:spacing w:val="-16"/>
        </w:rPr>
        <w:t> </w:t>
      </w:r>
      <w:r>
        <w:rPr/>
        <w:t>of</w:t>
      </w:r>
      <w:r>
        <w:rPr>
          <w:spacing w:val="-16"/>
        </w:rPr>
        <w:t> </w:t>
      </w:r>
      <w:r>
        <w:rPr/>
        <w:t>other University</w:t>
      </w:r>
      <w:r>
        <w:rPr>
          <w:spacing w:val="-18"/>
        </w:rPr>
        <w:t> </w:t>
      </w:r>
      <w:r>
        <w:rPr/>
        <w:t>divisions</w:t>
      </w:r>
      <w:r>
        <w:rPr>
          <w:spacing w:val="-18"/>
        </w:rPr>
        <w:t> </w:t>
      </w:r>
      <w:r>
        <w:rPr/>
        <w:t>and</w:t>
      </w:r>
      <w:r>
        <w:rPr>
          <w:spacing w:val="-18"/>
        </w:rPr>
        <w:t> </w:t>
      </w:r>
      <w:r>
        <w:rPr/>
        <w:t>student</w:t>
      </w:r>
      <w:r>
        <w:rPr>
          <w:spacing w:val="-18"/>
        </w:rPr>
        <w:t> </w:t>
      </w:r>
      <w:r>
        <w:rPr/>
        <w:t>input.</w:t>
      </w:r>
    </w:p>
    <w:p>
      <w:pPr>
        <w:pStyle w:val="BodyText"/>
        <w:spacing w:before="2"/>
        <w:rPr>
          <w:sz w:val="14"/>
        </w:rPr>
      </w:pPr>
    </w:p>
    <w:p>
      <w:pPr>
        <w:pStyle w:val="BodyText"/>
        <w:spacing w:line="247" w:lineRule="auto"/>
        <w:ind w:left="107" w:right="169"/>
      </w:pPr>
      <w:r>
        <w:rPr>
          <w:rFonts w:ascii="Calibri" w:hAnsi="Calibri"/>
        </w:rPr>
        <w:t>Core IT system </w:t>
      </w:r>
      <w:r>
        <w:rPr>
          <w:rFonts w:ascii="Calibri" w:hAnsi="Calibri"/>
          <w:spacing w:val="2"/>
        </w:rPr>
        <w:t>upgrades </w:t>
      </w:r>
      <w:r>
        <w:rPr/>
        <w:t>– From a core systems perspective, the University implemented</w:t>
      </w:r>
      <w:r>
        <w:rPr>
          <w:spacing w:val="-19"/>
        </w:rPr>
        <w:t> </w:t>
      </w:r>
      <w:r>
        <w:rPr/>
        <w:t>the</w:t>
      </w:r>
      <w:r>
        <w:rPr>
          <w:spacing w:val="-19"/>
        </w:rPr>
        <w:t> </w:t>
      </w:r>
      <w:r>
        <w:rPr/>
        <w:t>InPlace</w:t>
      </w:r>
      <w:r>
        <w:rPr>
          <w:spacing w:val="-19"/>
        </w:rPr>
        <w:t> </w:t>
      </w:r>
      <w:r>
        <w:rPr/>
        <w:t>system</w:t>
      </w:r>
      <w:r>
        <w:rPr>
          <w:spacing w:val="-19"/>
        </w:rPr>
        <w:t> </w:t>
      </w:r>
      <w:r>
        <w:rPr/>
        <w:t>to</w:t>
      </w:r>
      <w:r>
        <w:rPr>
          <w:spacing w:val="-19"/>
        </w:rPr>
        <w:t> </w:t>
      </w:r>
      <w:r>
        <w:rPr/>
        <w:t>manage student placements. A staged rollout has begun,</w:t>
      </w:r>
      <w:r>
        <w:rPr>
          <w:spacing w:val="-16"/>
        </w:rPr>
        <w:t> </w:t>
      </w:r>
      <w:r>
        <w:rPr/>
        <w:t>with</w:t>
      </w:r>
      <w:r>
        <w:rPr>
          <w:spacing w:val="-16"/>
        </w:rPr>
        <w:t> </w:t>
      </w:r>
      <w:r>
        <w:rPr/>
        <w:t>four</w:t>
      </w:r>
      <w:r>
        <w:rPr>
          <w:spacing w:val="-16"/>
        </w:rPr>
        <w:t> </w:t>
      </w:r>
      <w:r>
        <w:rPr/>
        <w:t>Schools</w:t>
      </w:r>
      <w:r>
        <w:rPr>
          <w:spacing w:val="-16"/>
        </w:rPr>
        <w:t> </w:t>
      </w:r>
      <w:r>
        <w:rPr/>
        <w:t>already</w:t>
      </w:r>
      <w:r>
        <w:rPr>
          <w:spacing w:val="-16"/>
        </w:rPr>
        <w:t> </w:t>
      </w:r>
      <w:r>
        <w:rPr/>
        <w:t>on</w:t>
      </w:r>
      <w:r>
        <w:rPr>
          <w:spacing w:val="-16"/>
        </w:rPr>
        <w:t> </w:t>
      </w:r>
      <w:r>
        <w:rPr/>
        <w:t>board. </w:t>
      </w:r>
      <w:r>
        <w:rPr>
          <w:spacing w:val="1"/>
          <w:w w:val="80"/>
        </w:rPr>
        <w:t>In </w:t>
      </w:r>
      <w:r>
        <w:rPr>
          <w:w w:val="97"/>
        </w:rPr>
        <w:t>the</w:t>
      </w:r>
      <w:r>
        <w:rPr>
          <w:spacing w:val="-8"/>
          <w:w w:val="97"/>
        </w:rPr>
        <w:t> </w:t>
      </w:r>
      <w:r>
        <w:rPr>
          <w:spacing w:val="1"/>
          <w:w w:val="96"/>
        </w:rPr>
        <w:t>final</w:t>
      </w:r>
      <w:r>
        <w:rPr>
          <w:spacing w:val="-7"/>
          <w:w w:val="96"/>
        </w:rPr>
        <w:t> </w:t>
      </w:r>
      <w:r>
        <w:rPr>
          <w:spacing w:val="1"/>
          <w:w w:val="97"/>
        </w:rPr>
        <w:t>quarter</w:t>
      </w:r>
      <w:r>
        <w:rPr>
          <w:spacing w:val="-8"/>
          <w:w w:val="97"/>
        </w:rPr>
        <w:t> </w:t>
      </w:r>
      <w:r>
        <w:rPr>
          <w:w w:val="99"/>
        </w:rPr>
        <w:t>of</w:t>
      </w:r>
      <w:r>
        <w:rPr>
          <w:spacing w:val="-9"/>
          <w:w w:val="99"/>
        </w:rPr>
        <w:t> </w:t>
      </w:r>
      <w:r>
        <w:rPr>
          <w:spacing w:val="1"/>
          <w:w w:val="84"/>
        </w:rPr>
        <w:t>2015,</w:t>
      </w:r>
      <w:r>
        <w:rPr>
          <w:spacing w:val="-1"/>
          <w:w w:val="84"/>
        </w:rPr>
        <w:t> </w:t>
      </w:r>
      <w:r>
        <w:rPr>
          <w:w w:val="97"/>
        </w:rPr>
        <w:t>the</w:t>
      </w:r>
      <w:r>
        <w:rPr>
          <w:spacing w:val="-8"/>
          <w:w w:val="97"/>
        </w:rPr>
        <w:t> </w:t>
      </w:r>
      <w:r>
        <w:rPr>
          <w:spacing w:val="1"/>
          <w:w w:val="98"/>
        </w:rPr>
        <w:t>Concur</w:t>
      </w:r>
    </w:p>
    <w:p>
      <w:pPr>
        <w:pStyle w:val="BodyText"/>
        <w:spacing w:before="2"/>
        <w:rPr>
          <w:sz w:val="20"/>
        </w:rPr>
      </w:pPr>
      <w:r>
        <w:rPr/>
        <w:br w:type="column"/>
      </w:r>
      <w:r>
        <w:rPr>
          <w:sz w:val="20"/>
        </w:rPr>
      </w:r>
    </w:p>
    <w:p>
      <w:pPr>
        <w:pStyle w:val="BodyText"/>
        <w:spacing w:line="249" w:lineRule="auto"/>
        <w:ind w:left="107" w:right="287"/>
      </w:pPr>
      <w:r>
        <w:rPr/>
        <w:t>Travel and Expense Management System was</w:t>
      </w:r>
      <w:r>
        <w:rPr>
          <w:spacing w:val="-16"/>
        </w:rPr>
        <w:t> </w:t>
      </w:r>
      <w:r>
        <w:rPr/>
        <w:t>introduced</w:t>
      </w:r>
      <w:r>
        <w:rPr>
          <w:spacing w:val="-16"/>
        </w:rPr>
        <w:t> </w:t>
      </w:r>
      <w:r>
        <w:rPr/>
        <w:t>to</w:t>
      </w:r>
      <w:r>
        <w:rPr>
          <w:spacing w:val="-16"/>
        </w:rPr>
        <w:t> </w:t>
      </w:r>
      <w:r>
        <w:rPr/>
        <w:t>reduce</w:t>
      </w:r>
      <w:r>
        <w:rPr>
          <w:spacing w:val="-16"/>
        </w:rPr>
        <w:t> </w:t>
      </w:r>
      <w:r>
        <w:rPr/>
        <w:t>red</w:t>
      </w:r>
      <w:r>
        <w:rPr>
          <w:spacing w:val="-16"/>
        </w:rPr>
        <w:t> </w:t>
      </w:r>
      <w:r>
        <w:rPr/>
        <w:t>tape.</w:t>
      </w:r>
      <w:r>
        <w:rPr>
          <w:spacing w:val="-16"/>
        </w:rPr>
        <w:t> </w:t>
      </w:r>
      <w:r>
        <w:rPr/>
        <w:t>We</w:t>
      </w:r>
      <w:r>
        <w:rPr>
          <w:spacing w:val="-16"/>
        </w:rPr>
        <w:t> </w:t>
      </w:r>
      <w:r>
        <w:rPr/>
        <w:t>also completed</w:t>
      </w:r>
      <w:r>
        <w:rPr>
          <w:spacing w:val="-16"/>
        </w:rPr>
        <w:t> </w:t>
      </w:r>
      <w:r>
        <w:rPr/>
        <w:t>a</w:t>
      </w:r>
      <w:r>
        <w:rPr>
          <w:spacing w:val="-16"/>
        </w:rPr>
        <w:t> </w:t>
      </w:r>
      <w:r>
        <w:rPr/>
        <w:t>market</w:t>
      </w:r>
      <w:r>
        <w:rPr>
          <w:spacing w:val="-16"/>
        </w:rPr>
        <w:t> </w:t>
      </w:r>
      <w:r>
        <w:rPr/>
        <w:t>scan</w:t>
      </w:r>
      <w:r>
        <w:rPr>
          <w:spacing w:val="-16"/>
        </w:rPr>
        <w:t> </w:t>
      </w:r>
      <w:r>
        <w:rPr/>
        <w:t>in</w:t>
      </w:r>
      <w:r>
        <w:rPr>
          <w:spacing w:val="-16"/>
        </w:rPr>
        <w:t> </w:t>
      </w:r>
      <w:r>
        <w:rPr/>
        <w:t>preparation</w:t>
      </w:r>
    </w:p>
    <w:p>
      <w:pPr>
        <w:pStyle w:val="BodyText"/>
        <w:spacing w:line="249" w:lineRule="auto"/>
        <w:ind w:left="107" w:right="161"/>
      </w:pPr>
      <w:r>
        <w:rPr/>
        <w:t>for seeking tenders to replace our Student Management System, which will probably be our most significant IT undertaking.</w:t>
      </w:r>
    </w:p>
    <w:p>
      <w:pPr>
        <w:pStyle w:val="BodyText"/>
      </w:pPr>
    </w:p>
    <w:p>
      <w:pPr>
        <w:pStyle w:val="Heading5"/>
        <w:spacing w:line="260" w:lineRule="exact" w:before="101"/>
        <w:ind w:right="121"/>
      </w:pPr>
      <w:r>
        <w:rPr>
          <w:w w:val="95"/>
        </w:rPr>
        <w:t>FINANCIAL RESOURCES AND BUDGET OUTCOMES</w:t>
      </w:r>
    </w:p>
    <w:p>
      <w:pPr>
        <w:pStyle w:val="BodyText"/>
        <w:spacing w:line="249" w:lineRule="auto" w:before="214"/>
        <w:ind w:left="107" w:right="213"/>
      </w:pPr>
      <w:r>
        <w:rPr>
          <w:spacing w:val="1"/>
          <w:w w:val="94"/>
        </w:rPr>
        <w:t>The</w:t>
      </w:r>
      <w:r>
        <w:rPr>
          <w:w w:val="94"/>
        </w:rPr>
        <w:t> </w:t>
      </w:r>
      <w:r>
        <w:rPr>
          <w:spacing w:val="1"/>
          <w:w w:val="97"/>
        </w:rPr>
        <w:t>University</w:t>
      </w:r>
      <w:r>
        <w:rPr>
          <w:w w:val="97"/>
        </w:rPr>
        <w:t> </w:t>
      </w:r>
      <w:r>
        <w:rPr>
          <w:spacing w:val="1"/>
          <w:w w:val="98"/>
        </w:rPr>
        <w:t>ended</w:t>
      </w:r>
      <w:r>
        <w:rPr>
          <w:w w:val="98"/>
        </w:rPr>
        <w:t> </w:t>
      </w:r>
      <w:r>
        <w:rPr>
          <w:w w:val="97"/>
        </w:rPr>
        <w:t>the </w:t>
      </w:r>
      <w:r>
        <w:rPr>
          <w:spacing w:val="1"/>
          <w:w w:val="88"/>
        </w:rPr>
        <w:t>2015</w:t>
      </w:r>
      <w:r>
        <w:rPr>
          <w:w w:val="88"/>
        </w:rPr>
        <w:t> </w:t>
      </w:r>
      <w:r>
        <w:rPr>
          <w:spacing w:val="1"/>
          <w:w w:val="96"/>
        </w:rPr>
        <w:t>financial</w:t>
      </w:r>
      <w:r>
        <w:rPr>
          <w:w w:val="96"/>
        </w:rPr>
        <w:t> </w:t>
      </w:r>
      <w:r>
        <w:rPr>
          <w:w w:val="97"/>
        </w:rPr>
        <w:t>year </w:t>
      </w:r>
      <w:r>
        <w:rPr/>
        <w:t>with</w:t>
      </w:r>
      <w:r>
        <w:rPr>
          <w:spacing w:val="-22"/>
        </w:rPr>
        <w:t> </w:t>
      </w:r>
      <w:r>
        <w:rPr/>
        <w:t>a</w:t>
      </w:r>
      <w:r>
        <w:rPr>
          <w:spacing w:val="-22"/>
        </w:rPr>
        <w:t> </w:t>
      </w:r>
      <w:r>
        <w:rPr/>
        <w:t>consolidated</w:t>
      </w:r>
      <w:r>
        <w:rPr>
          <w:spacing w:val="-22"/>
        </w:rPr>
        <w:t> </w:t>
      </w:r>
      <w:r>
        <w:rPr/>
        <w:t>reported</w:t>
      </w:r>
      <w:r>
        <w:rPr>
          <w:spacing w:val="-22"/>
        </w:rPr>
        <w:t> </w:t>
      </w:r>
      <w:r>
        <w:rPr/>
        <w:t>surplus</w:t>
      </w:r>
      <w:r>
        <w:rPr>
          <w:spacing w:val="-22"/>
        </w:rPr>
        <w:t> </w:t>
      </w:r>
      <w:r>
        <w:rPr/>
        <w:t>of</w:t>
      </w:r>
      <w:r>
        <w:rPr>
          <w:spacing w:val="-22"/>
        </w:rPr>
        <w:t> </w:t>
      </w:r>
      <w:r>
        <w:rPr>
          <w:spacing w:val="2"/>
        </w:rPr>
        <w:t>$41.3 </w:t>
      </w:r>
      <w:r>
        <w:rPr>
          <w:spacing w:val="1"/>
          <w:w w:val="93"/>
        </w:rPr>
        <w:t>million,</w:t>
      </w:r>
      <w:r>
        <w:rPr>
          <w:w w:val="93"/>
        </w:rPr>
        <w:t> </w:t>
      </w:r>
      <w:r>
        <w:rPr>
          <w:spacing w:val="1"/>
          <w:w w:val="99"/>
        </w:rPr>
        <w:t>compared</w:t>
      </w:r>
      <w:r>
        <w:rPr>
          <w:w w:val="99"/>
        </w:rPr>
        <w:t> </w:t>
      </w:r>
      <w:r>
        <w:rPr>
          <w:spacing w:val="-1"/>
          <w:w w:val="101"/>
        </w:rPr>
        <w:t>to</w:t>
      </w:r>
      <w:r>
        <w:rPr>
          <w:w w:val="101"/>
        </w:rPr>
        <w:t> </w:t>
      </w:r>
      <w:r>
        <w:rPr>
          <w:spacing w:val="3"/>
          <w:w w:val="92"/>
        </w:rPr>
        <w:t>$66.2</w:t>
      </w:r>
      <w:r>
        <w:rPr>
          <w:w w:val="92"/>
        </w:rPr>
        <w:t> </w:t>
      </w:r>
      <w:r>
        <w:rPr>
          <w:w w:val="96"/>
        </w:rPr>
        <w:t>million </w:t>
      </w:r>
      <w:r>
        <w:rPr>
          <w:w w:val="95"/>
        </w:rPr>
        <w:t>in </w:t>
      </w:r>
      <w:r>
        <w:rPr>
          <w:spacing w:val="1"/>
          <w:w w:val="90"/>
        </w:rPr>
        <w:t>2014</w:t>
      </w:r>
      <w:r>
        <w:rPr>
          <w:w w:val="90"/>
        </w:rPr>
        <w:t> </w:t>
      </w:r>
      <w:r>
        <w:rPr>
          <w:spacing w:val="1"/>
          <w:w w:val="97"/>
        </w:rPr>
        <w:t>and</w:t>
      </w:r>
      <w:r>
        <w:rPr>
          <w:w w:val="97"/>
        </w:rPr>
        <w:t> </w:t>
      </w:r>
      <w:r>
        <w:rPr>
          <w:w w:val="94"/>
        </w:rPr>
        <w:t>a </w:t>
      </w:r>
      <w:r>
        <w:rPr>
          <w:spacing w:val="1"/>
          <w:w w:val="100"/>
        </w:rPr>
        <w:t>budget</w:t>
      </w:r>
      <w:r>
        <w:rPr>
          <w:w w:val="100"/>
        </w:rPr>
        <w:t> </w:t>
      </w:r>
      <w:r>
        <w:rPr>
          <w:w w:val="98"/>
        </w:rPr>
        <w:t>for </w:t>
      </w:r>
      <w:r>
        <w:rPr>
          <w:spacing w:val="1"/>
          <w:w w:val="88"/>
        </w:rPr>
        <w:t>2015</w:t>
      </w:r>
      <w:r>
        <w:rPr>
          <w:w w:val="88"/>
        </w:rPr>
        <w:t> </w:t>
      </w:r>
      <w:r>
        <w:rPr>
          <w:w w:val="99"/>
        </w:rPr>
        <w:t>of </w:t>
      </w:r>
      <w:r>
        <w:rPr>
          <w:spacing w:val="2"/>
          <w:w w:val="93"/>
        </w:rPr>
        <w:t>$43.9</w:t>
      </w:r>
      <w:r>
        <w:rPr>
          <w:w w:val="93"/>
        </w:rPr>
        <w:t> </w:t>
      </w:r>
      <w:r>
        <w:rPr>
          <w:spacing w:val="1"/>
          <w:w w:val="93"/>
        </w:rPr>
        <w:t>million.</w:t>
      </w:r>
      <w:r>
        <w:rPr>
          <w:w w:val="93"/>
        </w:rPr>
        <w:t> </w:t>
      </w:r>
      <w:r>
        <w:rPr>
          <w:spacing w:val="1"/>
          <w:w w:val="94"/>
        </w:rPr>
        <w:t>The</w:t>
      </w:r>
      <w:r>
        <w:rPr>
          <w:w w:val="94"/>
        </w:rPr>
        <w:t> </w:t>
      </w:r>
      <w:r>
        <w:rPr/>
        <w:t>resultant surplus of $2.6 million was under budget predominantly due to increased expenditure</w:t>
      </w:r>
      <w:r>
        <w:rPr>
          <w:spacing w:val="-26"/>
        </w:rPr>
        <w:t> </w:t>
      </w:r>
      <w:r>
        <w:rPr/>
        <w:t>on</w:t>
      </w:r>
      <w:r>
        <w:rPr>
          <w:spacing w:val="-26"/>
        </w:rPr>
        <w:t> </w:t>
      </w:r>
      <w:r>
        <w:rPr/>
        <w:t>minor</w:t>
      </w:r>
      <w:r>
        <w:rPr>
          <w:spacing w:val="-26"/>
        </w:rPr>
        <w:t> </w:t>
      </w:r>
      <w:r>
        <w:rPr/>
        <w:t>infrastructure</w:t>
      </w:r>
      <w:r>
        <w:rPr>
          <w:spacing w:val="-26"/>
        </w:rPr>
        <w:t> </w:t>
      </w:r>
      <w:r>
        <w:rPr>
          <w:spacing w:val="2"/>
        </w:rPr>
        <w:t>assets.</w:t>
      </w:r>
    </w:p>
    <w:p>
      <w:pPr>
        <w:pStyle w:val="BodyText"/>
        <w:spacing w:line="249" w:lineRule="auto"/>
        <w:ind w:left="107" w:right="380"/>
      </w:pPr>
      <w:r>
        <w:rPr/>
        <w:t>Overall, the surplus reflects control of staff numbers, centralisation of functions (particularly in the divisional areas), strict fiscal discipline on overhead expenditure and better than anticipated returns on commercial activities. The outcome is in line with the previously discussed plan to</w:t>
      </w:r>
    </w:p>
    <w:p>
      <w:pPr>
        <w:pStyle w:val="BodyText"/>
        <w:spacing w:line="249" w:lineRule="auto"/>
        <w:ind w:left="107" w:right="186"/>
      </w:pPr>
      <w:r>
        <w:rPr>
          <w:w w:val="97"/>
        </w:rPr>
        <w:t>create </w:t>
      </w:r>
      <w:r>
        <w:rPr>
          <w:w w:val="94"/>
        </w:rPr>
        <w:t>a </w:t>
      </w:r>
      <w:r>
        <w:rPr>
          <w:spacing w:val="1"/>
          <w:w w:val="97"/>
        </w:rPr>
        <w:t>buffer</w:t>
      </w:r>
      <w:r>
        <w:rPr>
          <w:w w:val="97"/>
        </w:rPr>
        <w:t> </w:t>
      </w:r>
      <w:r>
        <w:rPr>
          <w:w w:val="95"/>
        </w:rPr>
        <w:t>in </w:t>
      </w:r>
      <w:r>
        <w:rPr>
          <w:spacing w:val="1"/>
          <w:w w:val="88"/>
        </w:rPr>
        <w:t>2015</w:t>
      </w:r>
      <w:r>
        <w:rPr>
          <w:w w:val="88"/>
        </w:rPr>
        <w:t> </w:t>
      </w:r>
      <w:r>
        <w:rPr>
          <w:spacing w:val="1"/>
          <w:w w:val="97"/>
        </w:rPr>
        <w:t>and</w:t>
      </w:r>
      <w:r>
        <w:rPr>
          <w:w w:val="97"/>
        </w:rPr>
        <w:t> </w:t>
      </w:r>
      <w:r>
        <w:rPr>
          <w:spacing w:val="1"/>
          <w:w w:val="90"/>
        </w:rPr>
        <w:t>2016</w:t>
      </w:r>
      <w:r>
        <w:rPr>
          <w:w w:val="90"/>
        </w:rPr>
        <w:t> </w:t>
      </w:r>
      <w:r>
        <w:rPr>
          <w:spacing w:val="-1"/>
          <w:w w:val="101"/>
        </w:rPr>
        <w:t>to</w:t>
      </w:r>
      <w:r>
        <w:rPr>
          <w:w w:val="101"/>
        </w:rPr>
        <w:t> </w:t>
      </w:r>
      <w:r>
        <w:rPr>
          <w:w w:val="98"/>
        </w:rPr>
        <w:t>counter </w:t>
      </w:r>
      <w:r>
        <w:rPr/>
        <w:t>any dramatic </w:t>
      </w:r>
      <w:r>
        <w:rPr>
          <w:spacing w:val="2"/>
        </w:rPr>
        <w:t>impacts </w:t>
      </w:r>
      <w:r>
        <w:rPr/>
        <w:t>that may arise from proposed regulatory changes. The proposed </w:t>
      </w:r>
      <w:r>
        <w:rPr>
          <w:spacing w:val="1"/>
          <w:w w:val="97"/>
        </w:rPr>
        <w:t>changes</w:t>
      </w:r>
      <w:r>
        <w:rPr>
          <w:w w:val="97"/>
        </w:rPr>
        <w:t> </w:t>
      </w:r>
      <w:r>
        <w:rPr>
          <w:w w:val="97"/>
        </w:rPr>
        <w:t>were </w:t>
      </w:r>
      <w:r>
        <w:rPr>
          <w:w w:val="99"/>
        </w:rPr>
        <w:t>not </w:t>
      </w:r>
      <w:r>
        <w:rPr>
          <w:spacing w:val="1"/>
          <w:w w:val="98"/>
        </w:rPr>
        <w:t>enacted</w:t>
      </w:r>
      <w:r>
        <w:rPr>
          <w:w w:val="98"/>
        </w:rPr>
        <w:t> </w:t>
      </w:r>
      <w:r>
        <w:rPr>
          <w:spacing w:val="1"/>
          <w:w w:val="97"/>
        </w:rPr>
        <w:t>during</w:t>
      </w:r>
      <w:r>
        <w:rPr>
          <w:w w:val="97"/>
        </w:rPr>
        <w:t> </w:t>
      </w:r>
      <w:r>
        <w:rPr>
          <w:spacing w:val="1"/>
          <w:w w:val="84"/>
        </w:rPr>
        <w:t>2015,</w:t>
      </w:r>
      <w:r>
        <w:rPr>
          <w:w w:val="84"/>
        </w:rPr>
        <w:t> </w:t>
      </w:r>
      <w:r>
        <w:rPr>
          <w:spacing w:val="1"/>
          <w:w w:val="97"/>
        </w:rPr>
        <w:t>and</w:t>
      </w:r>
      <w:r>
        <w:rPr>
          <w:w w:val="97"/>
        </w:rPr>
        <w:t> </w:t>
      </w:r>
      <w:r>
        <w:rPr/>
        <w:t>the Australian Government has announced that</w:t>
      </w:r>
      <w:r>
        <w:rPr>
          <w:spacing w:val="-16"/>
        </w:rPr>
        <w:t> </w:t>
      </w:r>
      <w:r>
        <w:rPr/>
        <w:t>there</w:t>
      </w:r>
      <w:r>
        <w:rPr>
          <w:spacing w:val="-16"/>
        </w:rPr>
        <w:t> </w:t>
      </w:r>
      <w:r>
        <w:rPr/>
        <w:t>will</w:t>
      </w:r>
      <w:r>
        <w:rPr>
          <w:spacing w:val="-16"/>
        </w:rPr>
        <w:t> </w:t>
      </w:r>
      <w:r>
        <w:rPr/>
        <w:t>be</w:t>
      </w:r>
      <w:r>
        <w:rPr>
          <w:spacing w:val="-16"/>
        </w:rPr>
        <w:t> </w:t>
      </w:r>
      <w:r>
        <w:rPr/>
        <w:t>no</w:t>
      </w:r>
      <w:r>
        <w:rPr>
          <w:spacing w:val="-16"/>
        </w:rPr>
        <w:t> </w:t>
      </w:r>
      <w:r>
        <w:rPr/>
        <w:t>changes</w:t>
      </w:r>
      <w:r>
        <w:rPr>
          <w:spacing w:val="-16"/>
        </w:rPr>
        <w:t> </w:t>
      </w:r>
      <w:r>
        <w:rPr/>
        <w:t>while</w:t>
      </w:r>
      <w:r>
        <w:rPr>
          <w:spacing w:val="-16"/>
        </w:rPr>
        <w:t> </w:t>
      </w:r>
      <w:r>
        <w:rPr/>
        <w:t>it</w:t>
      </w:r>
      <w:r>
        <w:rPr>
          <w:spacing w:val="-16"/>
        </w:rPr>
        <w:t> </w:t>
      </w:r>
      <w:r>
        <w:rPr/>
        <w:t>consults further</w:t>
      </w:r>
      <w:r>
        <w:rPr>
          <w:spacing w:val="-24"/>
        </w:rPr>
        <w:t> </w:t>
      </w:r>
      <w:r>
        <w:rPr/>
        <w:t>on</w:t>
      </w:r>
      <w:r>
        <w:rPr>
          <w:spacing w:val="-24"/>
        </w:rPr>
        <w:t> </w:t>
      </w:r>
      <w:r>
        <w:rPr/>
        <w:t>the</w:t>
      </w:r>
      <w:r>
        <w:rPr>
          <w:spacing w:val="-24"/>
        </w:rPr>
        <w:t> </w:t>
      </w:r>
      <w:r>
        <w:rPr/>
        <w:t>matter.</w:t>
      </w:r>
    </w:p>
    <w:p>
      <w:pPr>
        <w:pStyle w:val="BodyText"/>
        <w:rPr>
          <w:sz w:val="14"/>
        </w:rPr>
      </w:pPr>
    </w:p>
    <w:p>
      <w:pPr>
        <w:pStyle w:val="BodyText"/>
        <w:spacing w:line="249" w:lineRule="auto"/>
        <w:ind w:left="107" w:right="394"/>
      </w:pPr>
      <w:r>
        <w:rPr/>
        <w:t>Total revenue from continuing operations </w:t>
      </w:r>
      <w:r>
        <w:rPr>
          <w:w w:val="97"/>
        </w:rPr>
        <w:t>increased </w:t>
      </w:r>
      <w:r>
        <w:rPr>
          <w:w w:val="101"/>
        </w:rPr>
        <w:t>to </w:t>
      </w:r>
      <w:r>
        <w:rPr>
          <w:w w:val="91"/>
        </w:rPr>
        <w:t>$755.6 </w:t>
      </w:r>
      <w:r>
        <w:rPr>
          <w:w w:val="96"/>
        </w:rPr>
        <w:t>million </w:t>
      </w:r>
      <w:r>
        <w:rPr>
          <w:w w:val="95"/>
        </w:rPr>
        <w:t>in </w:t>
      </w:r>
      <w:r>
        <w:rPr>
          <w:w w:val="84"/>
        </w:rPr>
        <w:t>2015, </w:t>
      </w:r>
      <w:r>
        <w:rPr>
          <w:w w:val="98"/>
        </w:rPr>
        <w:t>which </w:t>
      </w:r>
      <w:r>
        <w:rPr/>
        <w:t>was $25.9 million (3.5 per cent) higher </w:t>
      </w:r>
      <w:r>
        <w:rPr>
          <w:w w:val="97"/>
        </w:rPr>
        <w:t>than </w:t>
      </w:r>
      <w:r>
        <w:rPr>
          <w:w w:val="95"/>
        </w:rPr>
        <w:t>in </w:t>
      </w:r>
      <w:r>
        <w:rPr>
          <w:w w:val="86"/>
        </w:rPr>
        <w:t>2014. </w:t>
      </w:r>
      <w:r>
        <w:rPr>
          <w:w w:val="94"/>
        </w:rPr>
        <w:t>This </w:t>
      </w:r>
      <w:r>
        <w:rPr>
          <w:w w:val="96"/>
        </w:rPr>
        <w:t>increase </w:t>
      </w:r>
      <w:r>
        <w:rPr>
          <w:w w:val="98"/>
        </w:rPr>
        <w:t>incorporates </w:t>
      </w:r>
      <w:r>
        <w:rPr/>
        <w:t>the University’s move towards uncapped</w:t>
      </w:r>
    </w:p>
    <w:p>
      <w:pPr>
        <w:pStyle w:val="BodyText"/>
        <w:spacing w:line="249" w:lineRule="auto"/>
        <w:ind w:left="107" w:right="121"/>
      </w:pPr>
      <w:r>
        <w:rPr/>
        <w:t>demand-driven</w:t>
      </w:r>
      <w:r>
        <w:rPr>
          <w:spacing w:val="-16"/>
        </w:rPr>
        <w:t> </w:t>
      </w:r>
      <w:r>
        <w:rPr/>
        <w:t>student</w:t>
      </w:r>
      <w:r>
        <w:rPr>
          <w:spacing w:val="-16"/>
        </w:rPr>
        <w:t> </w:t>
      </w:r>
      <w:r>
        <w:rPr/>
        <w:t>funding,</w:t>
      </w:r>
      <w:r>
        <w:rPr>
          <w:spacing w:val="-16"/>
        </w:rPr>
        <w:t> </w:t>
      </w:r>
      <w:r>
        <w:rPr/>
        <w:t>and</w:t>
      </w:r>
      <w:r>
        <w:rPr>
          <w:spacing w:val="-16"/>
        </w:rPr>
        <w:t> </w:t>
      </w:r>
      <w:r>
        <w:rPr/>
        <w:t>includes Australian Government financial assistance, which</w:t>
      </w:r>
      <w:r>
        <w:rPr>
          <w:spacing w:val="-26"/>
        </w:rPr>
        <w:t> </w:t>
      </w:r>
      <w:r>
        <w:rPr/>
        <w:t>increased</w:t>
      </w:r>
      <w:r>
        <w:rPr>
          <w:spacing w:val="-26"/>
        </w:rPr>
        <w:t> </w:t>
      </w:r>
      <w:r>
        <w:rPr/>
        <w:t>by</w:t>
      </w:r>
      <w:r>
        <w:rPr>
          <w:spacing w:val="-26"/>
        </w:rPr>
        <w:t> </w:t>
      </w:r>
      <w:r>
        <w:rPr>
          <w:spacing w:val="3"/>
        </w:rPr>
        <w:t>$13.2</w:t>
      </w:r>
      <w:r>
        <w:rPr>
          <w:spacing w:val="-26"/>
        </w:rPr>
        <w:t> </w:t>
      </w:r>
      <w:r>
        <w:rPr/>
        <w:t>million</w:t>
      </w:r>
      <w:r>
        <w:rPr>
          <w:spacing w:val="-26"/>
        </w:rPr>
        <w:t> </w:t>
      </w:r>
      <w:r>
        <w:rPr/>
        <w:t>(2.4</w:t>
      </w:r>
      <w:r>
        <w:rPr>
          <w:spacing w:val="-26"/>
        </w:rPr>
        <w:t> </w:t>
      </w:r>
      <w:r>
        <w:rPr/>
        <w:t>per</w:t>
      </w:r>
      <w:r>
        <w:rPr>
          <w:spacing w:val="-26"/>
        </w:rPr>
        <w:t> </w:t>
      </w:r>
      <w:r>
        <w:rPr/>
        <w:t>cent) to</w:t>
      </w:r>
      <w:r>
        <w:rPr>
          <w:spacing w:val="-21"/>
        </w:rPr>
        <w:t> </w:t>
      </w:r>
      <w:r>
        <w:rPr>
          <w:spacing w:val="2"/>
        </w:rPr>
        <w:t>$563.4</w:t>
      </w:r>
      <w:r>
        <w:rPr>
          <w:spacing w:val="-21"/>
        </w:rPr>
        <w:t> </w:t>
      </w:r>
      <w:r>
        <w:rPr/>
        <w:t>million.</w:t>
      </w:r>
      <w:r>
        <w:rPr>
          <w:spacing w:val="-21"/>
        </w:rPr>
        <w:t> </w:t>
      </w:r>
      <w:r>
        <w:rPr/>
        <w:t>Revenue</w:t>
      </w:r>
      <w:r>
        <w:rPr>
          <w:spacing w:val="-21"/>
        </w:rPr>
        <w:t> </w:t>
      </w:r>
      <w:r>
        <w:rPr/>
        <w:t>from</w:t>
      </w:r>
      <w:r>
        <w:rPr>
          <w:spacing w:val="-21"/>
        </w:rPr>
        <w:t> </w:t>
      </w:r>
      <w:r>
        <w:rPr/>
        <w:t>international student</w:t>
      </w:r>
      <w:r>
        <w:rPr>
          <w:spacing w:val="-23"/>
        </w:rPr>
        <w:t> </w:t>
      </w:r>
      <w:r>
        <w:rPr/>
        <w:t>fees</w:t>
      </w:r>
      <w:r>
        <w:rPr>
          <w:spacing w:val="-23"/>
        </w:rPr>
        <w:t> </w:t>
      </w:r>
      <w:r>
        <w:rPr/>
        <w:t>increased</w:t>
      </w:r>
      <w:r>
        <w:rPr>
          <w:spacing w:val="-23"/>
        </w:rPr>
        <w:t> </w:t>
      </w:r>
      <w:r>
        <w:rPr/>
        <w:t>by</w:t>
      </w:r>
      <w:r>
        <w:rPr>
          <w:spacing w:val="-23"/>
        </w:rPr>
        <w:t> </w:t>
      </w:r>
      <w:r>
        <w:rPr>
          <w:spacing w:val="3"/>
        </w:rPr>
        <w:t>$1.8</w:t>
      </w:r>
      <w:r>
        <w:rPr>
          <w:spacing w:val="-23"/>
        </w:rPr>
        <w:t> </w:t>
      </w:r>
      <w:r>
        <w:rPr/>
        <w:t>million</w:t>
      </w:r>
      <w:r>
        <w:rPr>
          <w:spacing w:val="-23"/>
        </w:rPr>
        <w:t> </w:t>
      </w:r>
      <w:r>
        <w:rPr/>
        <w:t>(2.4</w:t>
      </w:r>
      <w:r>
        <w:rPr>
          <w:spacing w:val="-23"/>
        </w:rPr>
        <w:t> </w:t>
      </w:r>
      <w:r>
        <w:rPr/>
        <w:t>per cent)</w:t>
      </w:r>
      <w:r>
        <w:rPr>
          <w:spacing w:val="-21"/>
        </w:rPr>
        <w:t> </w:t>
      </w:r>
      <w:r>
        <w:rPr/>
        <w:t>to</w:t>
      </w:r>
      <w:r>
        <w:rPr>
          <w:spacing w:val="-21"/>
        </w:rPr>
        <w:t> </w:t>
      </w:r>
      <w:r>
        <w:rPr/>
        <w:t>$76.3</w:t>
      </w:r>
      <w:r>
        <w:rPr>
          <w:spacing w:val="-21"/>
        </w:rPr>
        <w:t> </w:t>
      </w:r>
      <w:r>
        <w:rPr/>
        <w:t>million,</w:t>
      </w:r>
      <w:r>
        <w:rPr>
          <w:spacing w:val="-21"/>
        </w:rPr>
        <w:t> </w:t>
      </w:r>
      <w:r>
        <w:rPr/>
        <w:t>and</w:t>
      </w:r>
      <w:r>
        <w:rPr>
          <w:spacing w:val="-21"/>
        </w:rPr>
        <w:t> </w:t>
      </w:r>
      <w:r>
        <w:rPr/>
        <w:t>revenue</w:t>
      </w:r>
      <w:r>
        <w:rPr>
          <w:spacing w:val="-21"/>
        </w:rPr>
        <w:t> </w:t>
      </w:r>
      <w:r>
        <w:rPr/>
        <w:t>from</w:t>
      </w:r>
      <w:r>
        <w:rPr>
          <w:spacing w:val="-21"/>
        </w:rPr>
        <w:t> </w:t>
      </w:r>
      <w:r>
        <w:rPr/>
        <w:t>other course fees decreased by $3.7 million (30.9 per</w:t>
      </w:r>
      <w:r>
        <w:rPr>
          <w:spacing w:val="-24"/>
        </w:rPr>
        <w:t> </w:t>
      </w:r>
      <w:r>
        <w:rPr/>
        <w:t>cent)</w:t>
      </w:r>
      <w:r>
        <w:rPr>
          <w:spacing w:val="-24"/>
        </w:rPr>
        <w:t> </w:t>
      </w:r>
      <w:r>
        <w:rPr/>
        <w:t>to</w:t>
      </w:r>
      <w:r>
        <w:rPr>
          <w:spacing w:val="-24"/>
        </w:rPr>
        <w:t> </w:t>
      </w:r>
      <w:r>
        <w:rPr>
          <w:spacing w:val="3"/>
        </w:rPr>
        <w:t>$8.3</w:t>
      </w:r>
      <w:r>
        <w:rPr>
          <w:spacing w:val="-24"/>
        </w:rPr>
        <w:t> </w:t>
      </w:r>
      <w:r>
        <w:rPr/>
        <w:t>million.</w:t>
      </w:r>
    </w:p>
    <w:p>
      <w:pPr>
        <w:pStyle w:val="BodyText"/>
        <w:rPr>
          <w:sz w:val="14"/>
        </w:rPr>
      </w:pPr>
    </w:p>
    <w:p>
      <w:pPr>
        <w:pStyle w:val="BodyText"/>
        <w:ind w:left="107" w:right="34"/>
      </w:pPr>
      <w:r>
        <w:rPr/>
        <w:t>Expenses from continuing operations rose by</w:t>
      </w:r>
    </w:p>
    <w:p>
      <w:pPr>
        <w:pStyle w:val="BodyText"/>
        <w:spacing w:line="249" w:lineRule="auto" w:before="7"/>
        <w:ind w:left="107" w:right="93"/>
      </w:pPr>
      <w:r>
        <w:rPr/>
        <w:t>$50.9 million (7.8 per cent) to $714.3 million, and employee-related expenses increased by</w:t>
      </w:r>
    </w:p>
    <w:p>
      <w:pPr>
        <w:pStyle w:val="BodyText"/>
        <w:spacing w:line="192" w:lineRule="exact"/>
        <w:ind w:left="107" w:right="34"/>
      </w:pPr>
      <w:r>
        <w:rPr/>
        <w:t>$29.8 million (7.2 per cent) to $442.4 million.</w:t>
      </w:r>
    </w:p>
    <w:p>
      <w:pPr>
        <w:pStyle w:val="BodyText"/>
        <w:spacing w:before="7"/>
        <w:rPr>
          <w:sz w:val="14"/>
        </w:rPr>
      </w:pPr>
    </w:p>
    <w:p>
      <w:pPr>
        <w:pStyle w:val="BodyText"/>
        <w:spacing w:line="249" w:lineRule="auto" w:before="1"/>
        <w:ind w:left="107" w:right="251"/>
      </w:pPr>
      <w:r>
        <w:rPr/>
        <w:t>The University’s overall net worth has </w:t>
      </w:r>
      <w:r>
        <w:rPr>
          <w:w w:val="97"/>
        </w:rPr>
        <w:t>increased </w:t>
      </w:r>
      <w:r>
        <w:rPr>
          <w:w w:val="102"/>
        </w:rPr>
        <w:t>by </w:t>
      </w:r>
      <w:r>
        <w:rPr>
          <w:w w:val="85"/>
        </w:rPr>
        <w:t>$152.4 </w:t>
      </w:r>
      <w:r>
        <w:rPr>
          <w:w w:val="96"/>
        </w:rPr>
        <w:t>million </w:t>
      </w:r>
      <w:r>
        <w:rPr>
          <w:w w:val="85"/>
        </w:rPr>
        <w:t>(10.5 </w:t>
      </w:r>
      <w:r>
        <w:rPr>
          <w:w w:val="97"/>
        </w:rPr>
        <w:t>per </w:t>
      </w:r>
      <w:r>
        <w:rPr>
          <w:w w:val="98"/>
        </w:rPr>
        <w:t>cent) </w:t>
      </w:r>
      <w:r>
        <w:rPr>
          <w:w w:val="101"/>
        </w:rPr>
        <w:t>to</w:t>
      </w:r>
    </w:p>
    <w:p>
      <w:pPr>
        <w:pStyle w:val="BodyText"/>
        <w:spacing w:line="192" w:lineRule="exact"/>
        <w:ind w:left="107" w:right="121"/>
      </w:pPr>
      <w:r>
        <w:rPr>
          <w:spacing w:val="4"/>
          <w:w w:val="99"/>
        </w:rPr>
        <w:t>$</w:t>
      </w:r>
      <w:r>
        <w:rPr>
          <w:spacing w:val="4"/>
          <w:w w:val="54"/>
        </w:rPr>
        <w:t>1</w:t>
      </w:r>
      <w:r>
        <w:rPr>
          <w:spacing w:val="3"/>
          <w:w w:val="68"/>
        </w:rPr>
        <w:t>,</w:t>
      </w:r>
      <w:r>
        <w:rPr>
          <w:spacing w:val="3"/>
          <w:w w:val="101"/>
        </w:rPr>
        <w:t>6</w:t>
      </w:r>
      <w:r>
        <w:rPr>
          <w:spacing w:val="-3"/>
          <w:w w:val="111"/>
        </w:rPr>
        <w:t>0</w:t>
      </w:r>
      <w:r>
        <w:rPr>
          <w:spacing w:val="-10"/>
          <w:w w:val="91"/>
        </w:rPr>
        <w:t>7</w:t>
      </w:r>
      <w:r>
        <w:rPr>
          <w:spacing w:val="2"/>
          <w:w w:val="68"/>
        </w:rPr>
        <w:t>.</w:t>
      </w:r>
      <w:r>
        <w:rPr>
          <w:w w:val="103"/>
        </w:rPr>
        <w:t>4</w:t>
      </w:r>
      <w:r>
        <w:rPr>
          <w:spacing w:val="-12"/>
        </w:rPr>
        <w:t> </w:t>
      </w:r>
      <w:r>
        <w:rPr>
          <w:spacing w:val="1"/>
          <w:w w:val="98"/>
        </w:rPr>
        <w:t>m</w:t>
      </w:r>
      <w:r>
        <w:rPr>
          <w:w w:val="95"/>
        </w:rPr>
        <w:t>ill</w:t>
      </w:r>
      <w:r>
        <w:rPr>
          <w:spacing w:val="1"/>
          <w:w w:val="95"/>
        </w:rPr>
        <w:t>i</w:t>
      </w:r>
      <w:r>
        <w:rPr>
          <w:spacing w:val="2"/>
          <w:w w:val="100"/>
        </w:rPr>
        <w:t>o</w:t>
      </w:r>
      <w:r>
        <w:rPr>
          <w:spacing w:val="4"/>
          <w:w w:val="95"/>
        </w:rPr>
        <w:t>n</w:t>
      </w:r>
      <w:r>
        <w:rPr>
          <w:w w:val="68"/>
        </w:rPr>
        <w:t>.</w:t>
      </w:r>
      <w:r>
        <w:rPr>
          <w:spacing w:val="-12"/>
        </w:rPr>
        <w:t> </w:t>
      </w:r>
      <w:r>
        <w:rPr>
          <w:spacing w:val="2"/>
          <w:w w:val="92"/>
        </w:rPr>
        <w:t>T</w:t>
      </w:r>
      <w:r>
        <w:rPr>
          <w:spacing w:val="1"/>
          <w:w w:val="95"/>
        </w:rPr>
        <w:t>h</w:t>
      </w:r>
      <w:r>
        <w:rPr>
          <w:spacing w:val="1"/>
          <w:w w:val="95"/>
        </w:rPr>
        <w:t>i</w:t>
      </w:r>
      <w:r>
        <w:rPr>
          <w:w w:val="95"/>
        </w:rPr>
        <w:t>s</w:t>
      </w:r>
      <w:r>
        <w:rPr>
          <w:spacing w:val="-12"/>
        </w:rPr>
        <w:t> </w:t>
      </w:r>
      <w:r>
        <w:rPr>
          <w:spacing w:val="1"/>
          <w:w w:val="95"/>
        </w:rPr>
        <w:t>i</w:t>
      </w:r>
      <w:r>
        <w:rPr>
          <w:spacing w:val="2"/>
          <w:w w:val="95"/>
        </w:rPr>
        <w:t>n</w:t>
      </w:r>
      <w:r>
        <w:rPr>
          <w:spacing w:val="1"/>
          <w:w w:val="102"/>
        </w:rPr>
        <w:t>c</w:t>
      </w:r>
      <w:r>
        <w:rPr>
          <w:spacing w:val="1"/>
          <w:w w:val="95"/>
        </w:rPr>
        <w:t>l</w:t>
      </w:r>
      <w:r>
        <w:rPr>
          <w:spacing w:val="2"/>
          <w:w w:val="95"/>
        </w:rPr>
        <w:t>u</w:t>
      </w:r>
      <w:r>
        <w:rPr>
          <w:spacing w:val="2"/>
          <w:w w:val="102"/>
        </w:rPr>
        <w:t>d</w:t>
      </w:r>
      <w:r>
        <w:rPr>
          <w:spacing w:val="3"/>
          <w:w w:val="95"/>
        </w:rPr>
        <w:t>e</w:t>
      </w:r>
      <w:r>
        <w:rPr>
          <w:w w:val="95"/>
        </w:rPr>
        <w:t>s</w:t>
      </w:r>
      <w:r>
        <w:rPr>
          <w:spacing w:val="-12"/>
        </w:rPr>
        <w:t> </w:t>
      </w:r>
      <w:r>
        <w:rPr>
          <w:w w:val="102"/>
        </w:rPr>
        <w:t>t</w:t>
      </w:r>
      <w:r>
        <w:rPr>
          <w:spacing w:val="2"/>
          <w:w w:val="95"/>
        </w:rPr>
        <w:t>h</w:t>
      </w:r>
      <w:r>
        <w:rPr>
          <w:w w:val="95"/>
        </w:rPr>
        <w:t>e</w:t>
      </w:r>
      <w:r>
        <w:rPr>
          <w:spacing w:val="-12"/>
        </w:rPr>
        <w:t> </w:t>
      </w:r>
      <w:r>
        <w:rPr>
          <w:spacing w:val="3"/>
          <w:w w:val="99"/>
        </w:rPr>
        <w:t>U</w:t>
      </w:r>
      <w:r>
        <w:rPr>
          <w:spacing w:val="1"/>
          <w:w w:val="95"/>
        </w:rPr>
        <w:t>n</w:t>
      </w:r>
      <w:r>
        <w:rPr>
          <w:w w:val="95"/>
        </w:rPr>
        <w:t>i</w:t>
      </w:r>
      <w:r>
        <w:rPr>
          <w:spacing w:val="-1"/>
          <w:w w:val="101"/>
        </w:rPr>
        <w:t>v</w:t>
      </w:r>
      <w:r>
        <w:rPr>
          <w:spacing w:val="2"/>
          <w:w w:val="95"/>
        </w:rPr>
        <w:t>e</w:t>
      </w:r>
      <w:r>
        <w:rPr>
          <w:spacing w:val="2"/>
          <w:w w:val="95"/>
        </w:rPr>
        <w:t>r</w:t>
      </w:r>
      <w:r>
        <w:rPr>
          <w:w w:val="95"/>
        </w:rPr>
        <w:t>s</w:t>
      </w:r>
      <w:r>
        <w:rPr>
          <w:w w:val="95"/>
        </w:rPr>
        <w:t>i</w:t>
      </w:r>
      <w:r>
        <w:rPr>
          <w:spacing w:val="4"/>
          <w:w w:val="102"/>
        </w:rPr>
        <w:t>t</w:t>
      </w:r>
      <w:r>
        <w:rPr>
          <w:spacing w:val="4"/>
          <w:w w:val="101"/>
        </w:rPr>
        <w:t>y</w:t>
      </w:r>
      <w:r>
        <w:rPr>
          <w:spacing w:val="-4"/>
          <w:w w:val="97"/>
        </w:rPr>
        <w:t>’</w:t>
      </w:r>
      <w:r>
        <w:rPr>
          <w:w w:val="95"/>
        </w:rPr>
        <w:t>s</w:t>
      </w:r>
    </w:p>
    <w:p>
      <w:pPr>
        <w:spacing w:after="0" w:line="192" w:lineRule="exact"/>
        <w:sectPr>
          <w:type w:val="continuous"/>
          <w:pgSz w:w="11910" w:h="16840"/>
          <w:pgMar w:top="1580" w:bottom="280" w:left="800" w:right="800"/>
          <w:cols w:num="3" w:equalWidth="0">
            <w:col w:w="3320" w:space="119"/>
            <w:col w:w="3308" w:space="131"/>
            <w:col w:w="3432"/>
          </w:cols>
        </w:sectPr>
      </w:pPr>
    </w:p>
    <w:p>
      <w:pPr>
        <w:pStyle w:val="BodyText"/>
        <w:spacing w:before="10"/>
        <w:rPr>
          <w:sz w:val="28"/>
        </w:rPr>
      </w:pPr>
    </w:p>
    <w:p>
      <w:pPr>
        <w:pStyle w:val="Heading2"/>
        <w:ind w:right="7693"/>
        <w:rPr>
          <w:b w:val="0"/>
        </w:rPr>
      </w:pPr>
      <w:r>
        <w:rPr>
          <w:b w:val="0"/>
        </w:rPr>
        <w:t>Management and Resources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11"/>
        <w:rPr>
          <w:rFonts w:ascii="Chronicle Text G1"/>
          <w:b w:val="0"/>
        </w:rPr>
      </w:pPr>
    </w:p>
    <w:p>
      <w:pPr>
        <w:pStyle w:val="BodyText"/>
        <w:spacing w:line="249" w:lineRule="auto"/>
        <w:ind w:left="107" w:right="395"/>
        <w:jc w:val="both"/>
      </w:pPr>
      <w:r>
        <w:rPr>
          <w:w w:val="95"/>
        </w:rPr>
        <w:t>operating result of a $41.3 million surplus and the subsequent increase in cash and </w:t>
      </w:r>
      <w:r>
        <w:rPr>
          <w:w w:val="90"/>
        </w:rPr>
        <w:t>investments of $111.1 million.</w:t>
      </w:r>
    </w:p>
    <w:p>
      <w:pPr>
        <w:pStyle w:val="BodyText"/>
        <w:rPr>
          <w:sz w:val="14"/>
        </w:rPr>
      </w:pPr>
    </w:p>
    <w:p>
      <w:pPr>
        <w:pStyle w:val="BodyText"/>
        <w:spacing w:line="249" w:lineRule="auto"/>
        <w:ind w:left="107" w:right="22"/>
      </w:pPr>
      <w:r>
        <w:rPr>
          <w:spacing w:val="2"/>
          <w:w w:val="97"/>
        </w:rPr>
        <w:t>During</w:t>
      </w:r>
      <w:r>
        <w:rPr>
          <w:w w:val="97"/>
        </w:rPr>
        <w:t> </w:t>
      </w:r>
      <w:r>
        <w:rPr>
          <w:spacing w:val="3"/>
          <w:w w:val="84"/>
        </w:rPr>
        <w:t>2015,</w:t>
      </w:r>
      <w:r>
        <w:rPr>
          <w:w w:val="84"/>
        </w:rPr>
        <w:t> </w:t>
      </w:r>
      <w:r>
        <w:rPr>
          <w:spacing w:val="2"/>
          <w:w w:val="96"/>
        </w:rPr>
        <w:t>higher</w:t>
      </w:r>
      <w:r>
        <w:rPr>
          <w:w w:val="96"/>
        </w:rPr>
        <w:t> </w:t>
      </w:r>
      <w:r>
        <w:rPr>
          <w:spacing w:val="2"/>
          <w:w w:val="98"/>
        </w:rPr>
        <w:t>education</w:t>
      </w:r>
      <w:r>
        <w:rPr>
          <w:w w:val="98"/>
        </w:rPr>
        <w:t> </w:t>
      </w:r>
      <w:r>
        <w:rPr>
          <w:spacing w:val="2"/>
          <w:w w:val="97"/>
        </w:rPr>
        <w:t>funding</w:t>
      </w:r>
      <w:r>
        <w:rPr>
          <w:w w:val="97"/>
        </w:rPr>
        <w:t> </w:t>
      </w:r>
      <w:r>
        <w:rPr>
          <w:spacing w:val="2"/>
        </w:rPr>
        <w:t>continued </w:t>
      </w:r>
      <w:r>
        <w:rPr/>
        <w:t>to be </w:t>
      </w:r>
      <w:r>
        <w:rPr>
          <w:spacing w:val="2"/>
        </w:rPr>
        <w:t>somewhat </w:t>
      </w:r>
      <w:r>
        <w:rPr>
          <w:spacing w:val="3"/>
        </w:rPr>
        <w:t>unpredictable, </w:t>
      </w:r>
      <w:r>
        <w:rPr>
          <w:spacing w:val="2"/>
        </w:rPr>
        <w:t>and </w:t>
      </w:r>
      <w:r>
        <w:rPr/>
        <w:t>all </w:t>
      </w:r>
      <w:r>
        <w:rPr>
          <w:spacing w:val="2"/>
        </w:rPr>
        <w:t>universities </w:t>
      </w:r>
      <w:r>
        <w:rPr>
          <w:spacing w:val="3"/>
        </w:rPr>
        <w:t>needed </w:t>
      </w:r>
      <w:r>
        <w:rPr/>
        <w:t>to </w:t>
      </w:r>
      <w:r>
        <w:rPr>
          <w:spacing w:val="2"/>
        </w:rPr>
        <w:t>ensure </w:t>
      </w:r>
      <w:r>
        <w:rPr/>
        <w:t>they were</w:t>
      </w:r>
      <w:r>
        <w:rPr>
          <w:spacing w:val="-14"/>
        </w:rPr>
        <w:t> </w:t>
      </w:r>
      <w:r>
        <w:rPr/>
        <w:t>in</w:t>
      </w:r>
      <w:r>
        <w:rPr>
          <w:spacing w:val="-14"/>
        </w:rPr>
        <w:t> </w:t>
      </w:r>
      <w:r>
        <w:rPr/>
        <w:t>a</w:t>
      </w:r>
      <w:r>
        <w:rPr>
          <w:spacing w:val="-14"/>
        </w:rPr>
        <w:t> </w:t>
      </w:r>
      <w:r>
        <w:rPr>
          <w:spacing w:val="2"/>
        </w:rPr>
        <w:t>position</w:t>
      </w:r>
      <w:r>
        <w:rPr>
          <w:spacing w:val="-14"/>
        </w:rPr>
        <w:t> </w:t>
      </w:r>
      <w:r>
        <w:rPr/>
        <w:t>to</w:t>
      </w:r>
      <w:r>
        <w:rPr>
          <w:spacing w:val="-14"/>
        </w:rPr>
        <w:t> </w:t>
      </w:r>
      <w:r>
        <w:rPr>
          <w:spacing w:val="2"/>
        </w:rPr>
        <w:t>generate</w:t>
      </w:r>
      <w:r>
        <w:rPr>
          <w:spacing w:val="-14"/>
        </w:rPr>
        <w:t> </w:t>
      </w:r>
      <w:r>
        <w:rPr/>
        <w:t>new</w:t>
      </w:r>
      <w:r>
        <w:rPr>
          <w:spacing w:val="-14"/>
        </w:rPr>
        <w:t> </w:t>
      </w:r>
      <w:r>
        <w:rPr>
          <w:spacing w:val="2"/>
        </w:rPr>
        <w:t>sources</w:t>
      </w:r>
      <w:r>
        <w:rPr>
          <w:spacing w:val="-14"/>
        </w:rPr>
        <w:t> </w:t>
      </w:r>
      <w:r>
        <w:rPr/>
        <w:t>of revenue</w:t>
      </w:r>
      <w:r>
        <w:rPr>
          <w:spacing w:val="-16"/>
        </w:rPr>
        <w:t> </w:t>
      </w:r>
      <w:r>
        <w:rPr/>
        <w:t>while</w:t>
      </w:r>
      <w:r>
        <w:rPr>
          <w:spacing w:val="-16"/>
        </w:rPr>
        <w:t> </w:t>
      </w:r>
      <w:r>
        <w:rPr/>
        <w:t>using</w:t>
      </w:r>
      <w:r>
        <w:rPr>
          <w:spacing w:val="-16"/>
        </w:rPr>
        <w:t> </w:t>
      </w:r>
      <w:r>
        <w:rPr>
          <w:spacing w:val="2"/>
        </w:rPr>
        <w:t>their</w:t>
      </w:r>
      <w:r>
        <w:rPr>
          <w:spacing w:val="-16"/>
        </w:rPr>
        <w:t> </w:t>
      </w:r>
      <w:r>
        <w:rPr>
          <w:spacing w:val="2"/>
        </w:rPr>
        <w:t>financial</w:t>
      </w:r>
      <w:r>
        <w:rPr>
          <w:spacing w:val="-16"/>
        </w:rPr>
        <w:t> </w:t>
      </w:r>
      <w:r>
        <w:rPr>
          <w:spacing w:val="2"/>
        </w:rPr>
        <w:t>resources </w:t>
      </w:r>
      <w:r>
        <w:rPr/>
        <w:t>as</w:t>
      </w:r>
      <w:r>
        <w:rPr>
          <w:spacing w:val="-15"/>
        </w:rPr>
        <w:t> </w:t>
      </w:r>
      <w:r>
        <w:rPr/>
        <w:t>efficiently</w:t>
      </w:r>
      <w:r>
        <w:rPr>
          <w:spacing w:val="-15"/>
        </w:rPr>
        <w:t> </w:t>
      </w:r>
      <w:r>
        <w:rPr>
          <w:spacing w:val="2"/>
        </w:rPr>
        <w:t>and</w:t>
      </w:r>
      <w:r>
        <w:rPr>
          <w:spacing w:val="-15"/>
        </w:rPr>
        <w:t> </w:t>
      </w:r>
      <w:r>
        <w:rPr>
          <w:spacing w:val="2"/>
        </w:rPr>
        <w:t>effectively</w:t>
      </w:r>
      <w:r>
        <w:rPr>
          <w:spacing w:val="-15"/>
        </w:rPr>
        <w:t> </w:t>
      </w:r>
      <w:r>
        <w:rPr/>
        <w:t>as</w:t>
      </w:r>
      <w:r>
        <w:rPr>
          <w:spacing w:val="-15"/>
        </w:rPr>
        <w:t> </w:t>
      </w:r>
      <w:r>
        <w:rPr>
          <w:spacing w:val="2"/>
        </w:rPr>
        <w:t>possible.</w:t>
      </w:r>
    </w:p>
    <w:p>
      <w:pPr>
        <w:pStyle w:val="BodyText"/>
        <w:spacing w:line="249" w:lineRule="auto"/>
        <w:ind w:left="107" w:right="-9"/>
      </w:pPr>
      <w:r>
        <w:rPr/>
        <w:t>To this end, the University is committed to pursuing opportunities to use its assets in ways that provide alternative and sustainable </w:t>
      </w:r>
      <w:r>
        <w:rPr>
          <w:w w:val="95"/>
        </w:rPr>
        <w:t>income streams.</w:t>
      </w:r>
    </w:p>
    <w:p>
      <w:pPr>
        <w:pStyle w:val="BodyText"/>
      </w:pPr>
    </w:p>
    <w:p>
      <w:pPr>
        <w:pStyle w:val="Heading5"/>
        <w:spacing w:line="260" w:lineRule="exact" w:before="101"/>
        <w:ind w:right="61"/>
      </w:pPr>
      <w:r>
        <w:rPr>
          <w:w w:val="95"/>
        </w:rPr>
        <w:t>INFORMATION TECHNOLOGY AND DIGITAL SERVICES</w:t>
      </w:r>
    </w:p>
    <w:p>
      <w:pPr>
        <w:pStyle w:val="BodyText"/>
        <w:spacing w:line="247" w:lineRule="auto" w:before="214"/>
        <w:ind w:left="107" w:right="-4"/>
      </w:pPr>
      <w:r>
        <w:rPr/>
        <w:t>Our students, staff members and community partners use technologies to communicate, collaborate, research, </w:t>
      </w:r>
      <w:r>
        <w:rPr>
          <w:spacing w:val="2"/>
        </w:rPr>
        <w:t>learn, </w:t>
      </w:r>
      <w:r>
        <w:rPr/>
        <w:t>teach and conduct business. Increasingly, users expect these</w:t>
      </w:r>
      <w:r>
        <w:rPr>
          <w:spacing w:val="-16"/>
        </w:rPr>
        <w:t> </w:t>
      </w:r>
      <w:r>
        <w:rPr/>
        <w:t>services</w:t>
      </w:r>
      <w:r>
        <w:rPr>
          <w:spacing w:val="-16"/>
        </w:rPr>
        <w:t> </w:t>
      </w:r>
      <w:r>
        <w:rPr/>
        <w:t>to</w:t>
      </w:r>
      <w:r>
        <w:rPr>
          <w:spacing w:val="-16"/>
        </w:rPr>
        <w:t> </w:t>
      </w:r>
      <w:r>
        <w:rPr/>
        <w:t>be</w:t>
      </w:r>
      <w:r>
        <w:rPr>
          <w:spacing w:val="-16"/>
        </w:rPr>
        <w:t> </w:t>
      </w:r>
      <w:r>
        <w:rPr/>
        <w:t>available</w:t>
      </w:r>
      <w:r>
        <w:rPr>
          <w:spacing w:val="-16"/>
        </w:rPr>
        <w:t> </w:t>
      </w:r>
      <w:r>
        <w:rPr/>
        <w:t>at</w:t>
      </w:r>
      <w:r>
        <w:rPr>
          <w:spacing w:val="-16"/>
        </w:rPr>
        <w:t> </w:t>
      </w:r>
      <w:r>
        <w:rPr/>
        <w:t>any</w:t>
      </w:r>
      <w:r>
        <w:rPr>
          <w:spacing w:val="-16"/>
        </w:rPr>
        <w:t> </w:t>
      </w:r>
      <w:r>
        <w:rPr/>
        <w:t>time</w:t>
      </w:r>
      <w:r>
        <w:rPr>
          <w:spacing w:val="-16"/>
        </w:rPr>
        <w:t> </w:t>
      </w:r>
      <w:r>
        <w:rPr/>
        <w:t>and place, creating challenges with balancing privacy</w:t>
      </w:r>
      <w:r>
        <w:rPr>
          <w:spacing w:val="-15"/>
        </w:rPr>
        <w:t> </w:t>
      </w:r>
      <w:r>
        <w:rPr/>
        <w:t>and</w:t>
      </w:r>
      <w:r>
        <w:rPr>
          <w:spacing w:val="-15"/>
        </w:rPr>
        <w:t> </w:t>
      </w:r>
      <w:r>
        <w:rPr/>
        <w:t>security</w:t>
      </w:r>
      <w:r>
        <w:rPr>
          <w:spacing w:val="-15"/>
        </w:rPr>
        <w:t> </w:t>
      </w:r>
      <w:r>
        <w:rPr/>
        <w:t>with</w:t>
      </w:r>
      <w:r>
        <w:rPr>
          <w:spacing w:val="-15"/>
        </w:rPr>
        <w:t> </w:t>
      </w:r>
      <w:r>
        <w:rPr/>
        <w:t>flexibility</w:t>
      </w:r>
      <w:r>
        <w:rPr>
          <w:spacing w:val="-15"/>
        </w:rPr>
        <w:t> </w:t>
      </w:r>
      <w:r>
        <w:rPr/>
        <w:t>and</w:t>
      </w:r>
      <w:r>
        <w:rPr>
          <w:spacing w:val="-15"/>
        </w:rPr>
        <w:t> </w:t>
      </w:r>
      <w:r>
        <w:rPr/>
        <w:t>agility. In</w:t>
      </w:r>
      <w:r>
        <w:rPr>
          <w:spacing w:val="-18"/>
        </w:rPr>
        <w:t> </w:t>
      </w:r>
      <w:r>
        <w:rPr/>
        <w:t>response</w:t>
      </w:r>
      <w:r>
        <w:rPr>
          <w:spacing w:val="-18"/>
        </w:rPr>
        <w:t> </w:t>
      </w:r>
      <w:r>
        <w:rPr/>
        <w:t>to</w:t>
      </w:r>
      <w:r>
        <w:rPr>
          <w:spacing w:val="-18"/>
        </w:rPr>
        <w:t> </w:t>
      </w:r>
      <w:r>
        <w:rPr/>
        <w:t>this,</w:t>
      </w:r>
      <w:r>
        <w:rPr>
          <w:spacing w:val="-18"/>
        </w:rPr>
        <w:t> </w:t>
      </w:r>
      <w:r>
        <w:rPr/>
        <w:t>we</w:t>
      </w:r>
      <w:r>
        <w:rPr>
          <w:spacing w:val="-18"/>
        </w:rPr>
        <w:t> </w:t>
      </w:r>
      <w:r>
        <w:rPr/>
        <w:t>published</w:t>
      </w:r>
      <w:r>
        <w:rPr>
          <w:spacing w:val="-18"/>
        </w:rPr>
        <w:t> </w:t>
      </w:r>
      <w:r>
        <w:rPr/>
        <w:t>an</w:t>
      </w:r>
      <w:r>
        <w:rPr>
          <w:spacing w:val="-18"/>
        </w:rPr>
        <w:t> </w:t>
      </w:r>
      <w:r>
        <w:rPr/>
        <w:t>updated Information Technology and Digital Services </w:t>
      </w:r>
      <w:r>
        <w:rPr>
          <w:w w:val="95"/>
        </w:rPr>
        <w:t>(ITDS)</w:t>
      </w:r>
      <w:r>
        <w:rPr>
          <w:spacing w:val="-22"/>
          <w:w w:val="95"/>
        </w:rPr>
        <w:t> </w:t>
      </w:r>
      <w:r>
        <w:rPr>
          <w:w w:val="95"/>
        </w:rPr>
        <w:t>strategy,</w:t>
      </w:r>
      <w:r>
        <w:rPr>
          <w:spacing w:val="-22"/>
          <w:w w:val="95"/>
        </w:rPr>
        <w:t> </w:t>
      </w:r>
      <w:r>
        <w:rPr>
          <w:rFonts w:ascii="Century Gothic" w:hAnsi="Century Gothic"/>
          <w:i/>
          <w:w w:val="95"/>
        </w:rPr>
        <w:t>Future</w:t>
      </w:r>
      <w:r>
        <w:rPr>
          <w:rFonts w:ascii="Century Gothic" w:hAnsi="Century Gothic"/>
          <w:i/>
          <w:spacing w:val="-17"/>
          <w:w w:val="95"/>
        </w:rPr>
        <w:t> </w:t>
      </w:r>
      <w:r>
        <w:rPr>
          <w:rFonts w:ascii="Century Gothic" w:hAnsi="Century Gothic"/>
          <w:i/>
          <w:w w:val="95"/>
        </w:rPr>
        <w:t>Now</w:t>
      </w:r>
      <w:r>
        <w:rPr>
          <w:rFonts w:ascii="Century Gothic" w:hAnsi="Century Gothic"/>
          <w:i/>
          <w:spacing w:val="-17"/>
          <w:w w:val="95"/>
        </w:rPr>
        <w:t> </w:t>
      </w:r>
      <w:r>
        <w:rPr>
          <w:rFonts w:ascii="Century Gothic" w:hAnsi="Century Gothic"/>
          <w:i/>
          <w:w w:val="95"/>
        </w:rPr>
        <w:t>–</w:t>
      </w:r>
      <w:r>
        <w:rPr>
          <w:rFonts w:ascii="Century Gothic" w:hAnsi="Century Gothic"/>
          <w:i/>
          <w:spacing w:val="-17"/>
          <w:w w:val="95"/>
        </w:rPr>
        <w:t> </w:t>
      </w:r>
      <w:r>
        <w:rPr>
          <w:rFonts w:ascii="Century Gothic" w:hAnsi="Century Gothic"/>
          <w:i/>
          <w:w w:val="95"/>
        </w:rPr>
        <w:t>Securing</w:t>
      </w:r>
      <w:r>
        <w:rPr>
          <w:rFonts w:ascii="Century Gothic" w:hAnsi="Century Gothic"/>
          <w:i/>
          <w:spacing w:val="-17"/>
          <w:w w:val="95"/>
        </w:rPr>
        <w:t> </w:t>
      </w:r>
      <w:r>
        <w:rPr>
          <w:rFonts w:ascii="Century Gothic" w:hAnsi="Century Gothic"/>
          <w:i/>
          <w:w w:val="95"/>
        </w:rPr>
        <w:t>Digital </w:t>
      </w:r>
      <w:r>
        <w:rPr>
          <w:rFonts w:ascii="Century Gothic" w:hAnsi="Century Gothic"/>
          <w:i/>
          <w:w w:val="88"/>
        </w:rPr>
        <w:t>Success</w:t>
      </w:r>
      <w:r>
        <w:rPr>
          <w:w w:val="88"/>
        </w:rPr>
        <w:t>, </w:t>
      </w:r>
      <w:r>
        <w:rPr>
          <w:w w:val="95"/>
        </w:rPr>
        <w:t>in </w:t>
      </w:r>
      <w:r>
        <w:rPr>
          <w:spacing w:val="-1"/>
          <w:w w:val="97"/>
        </w:rPr>
        <w:t>late</w:t>
      </w:r>
      <w:r>
        <w:rPr>
          <w:spacing w:val="-18"/>
          <w:w w:val="97"/>
        </w:rPr>
        <w:t> </w:t>
      </w:r>
      <w:r>
        <w:rPr>
          <w:spacing w:val="1"/>
          <w:w w:val="84"/>
        </w:rPr>
        <w:t>2015.</w:t>
      </w:r>
    </w:p>
    <w:p>
      <w:pPr>
        <w:pStyle w:val="BodyText"/>
        <w:spacing w:before="12"/>
        <w:rPr>
          <w:sz w:val="13"/>
        </w:rPr>
      </w:pPr>
    </w:p>
    <w:p>
      <w:pPr>
        <w:pStyle w:val="BodyText"/>
        <w:spacing w:line="249" w:lineRule="auto"/>
        <w:ind w:left="107" w:right="84"/>
      </w:pPr>
      <w:r>
        <w:rPr/>
        <w:t>The</w:t>
      </w:r>
      <w:r>
        <w:rPr>
          <w:spacing w:val="-33"/>
        </w:rPr>
        <w:t> </w:t>
      </w:r>
      <w:r>
        <w:rPr/>
        <w:t>strategy</w:t>
      </w:r>
      <w:r>
        <w:rPr>
          <w:spacing w:val="-33"/>
        </w:rPr>
        <w:t> </w:t>
      </w:r>
      <w:r>
        <w:rPr/>
        <w:t>sets</w:t>
      </w:r>
      <w:r>
        <w:rPr>
          <w:spacing w:val="-33"/>
        </w:rPr>
        <w:t> </w:t>
      </w:r>
      <w:r>
        <w:rPr/>
        <w:t>out</w:t>
      </w:r>
      <w:r>
        <w:rPr>
          <w:spacing w:val="-33"/>
        </w:rPr>
        <w:t> </w:t>
      </w:r>
      <w:r>
        <w:rPr/>
        <w:t>five</w:t>
      </w:r>
      <w:r>
        <w:rPr>
          <w:spacing w:val="-33"/>
        </w:rPr>
        <w:t> </w:t>
      </w:r>
      <w:r>
        <w:rPr/>
        <w:t>core</w:t>
      </w:r>
      <w:r>
        <w:rPr>
          <w:spacing w:val="-33"/>
        </w:rPr>
        <w:t> </w:t>
      </w:r>
      <w:r>
        <w:rPr/>
        <w:t>objectives,</w:t>
      </w:r>
      <w:r>
        <w:rPr>
          <w:spacing w:val="-33"/>
        </w:rPr>
        <w:t> </w:t>
      </w:r>
      <w:r>
        <w:rPr/>
        <w:t>each guided by seven strategic digital principles that</w:t>
      </w:r>
      <w:r>
        <w:rPr>
          <w:spacing w:val="-29"/>
        </w:rPr>
        <w:t> </w:t>
      </w:r>
      <w:r>
        <w:rPr/>
        <w:t>will</w:t>
      </w:r>
      <w:r>
        <w:rPr>
          <w:spacing w:val="-29"/>
        </w:rPr>
        <w:t> </w:t>
      </w:r>
      <w:r>
        <w:rPr/>
        <w:t>guide</w:t>
      </w:r>
      <w:r>
        <w:rPr>
          <w:spacing w:val="-29"/>
        </w:rPr>
        <w:t> </w:t>
      </w:r>
      <w:r>
        <w:rPr/>
        <w:t>our</w:t>
      </w:r>
      <w:r>
        <w:rPr>
          <w:spacing w:val="-29"/>
        </w:rPr>
        <w:t> </w:t>
      </w:r>
      <w:r>
        <w:rPr/>
        <w:t>IT</w:t>
      </w:r>
      <w:r>
        <w:rPr>
          <w:spacing w:val="-29"/>
        </w:rPr>
        <w:t> </w:t>
      </w:r>
      <w:r>
        <w:rPr/>
        <w:t>decision</w:t>
      </w:r>
      <w:r>
        <w:rPr>
          <w:spacing w:val="-29"/>
        </w:rPr>
        <w:t> </w:t>
      </w:r>
      <w:r>
        <w:rPr/>
        <w:t>making</w:t>
      </w:r>
      <w:r>
        <w:rPr>
          <w:spacing w:val="-29"/>
        </w:rPr>
        <w:t> </w:t>
      </w:r>
      <w:r>
        <w:rPr/>
        <w:t>over</w:t>
      </w:r>
      <w:r>
        <w:rPr>
          <w:spacing w:val="-29"/>
        </w:rPr>
        <w:t> </w:t>
      </w:r>
      <w:r>
        <w:rPr/>
        <w:t>the next</w:t>
      </w:r>
      <w:r>
        <w:rPr>
          <w:spacing w:val="-26"/>
        </w:rPr>
        <w:t> </w:t>
      </w:r>
      <w:r>
        <w:rPr/>
        <w:t>five</w:t>
      </w:r>
      <w:r>
        <w:rPr>
          <w:spacing w:val="-26"/>
        </w:rPr>
        <w:t> </w:t>
      </w:r>
      <w:r>
        <w:rPr/>
        <w:t>years.</w:t>
      </w:r>
      <w:r>
        <w:rPr>
          <w:spacing w:val="-26"/>
        </w:rPr>
        <w:t> </w:t>
      </w:r>
      <w:r>
        <w:rPr/>
        <w:t>Our</w:t>
      </w:r>
      <w:r>
        <w:rPr>
          <w:spacing w:val="-26"/>
        </w:rPr>
        <w:t> </w:t>
      </w:r>
      <w:r>
        <w:rPr/>
        <w:t>mission</w:t>
      </w:r>
      <w:r>
        <w:rPr>
          <w:spacing w:val="-26"/>
        </w:rPr>
        <w:t> </w:t>
      </w:r>
      <w:r>
        <w:rPr/>
        <w:t>is</w:t>
      </w:r>
      <w:r>
        <w:rPr>
          <w:spacing w:val="-26"/>
        </w:rPr>
        <w:t> </w:t>
      </w:r>
      <w:r>
        <w:rPr/>
        <w:t>to</w:t>
      </w:r>
      <w:r>
        <w:rPr>
          <w:spacing w:val="-26"/>
        </w:rPr>
        <w:t> </w:t>
      </w:r>
      <w:r>
        <w:rPr/>
        <w:t>ensure</w:t>
      </w:r>
      <w:r>
        <w:rPr>
          <w:spacing w:val="-26"/>
        </w:rPr>
        <w:t> </w:t>
      </w:r>
      <w:r>
        <w:rPr/>
        <w:t>that Western </w:t>
      </w:r>
      <w:r>
        <w:rPr>
          <w:spacing w:val="-3"/>
        </w:rPr>
        <w:t>Sydney </w:t>
      </w:r>
      <w:r>
        <w:rPr/>
        <w:t>University is ‘consistently contemporary’. </w:t>
      </w:r>
      <w:r>
        <w:rPr>
          <w:spacing w:val="-3"/>
        </w:rPr>
        <w:t>We </w:t>
      </w:r>
      <w:r>
        <w:rPr/>
        <w:t>will achieve this by simplifying</w:t>
      </w:r>
      <w:r>
        <w:rPr>
          <w:spacing w:val="-32"/>
        </w:rPr>
        <w:t> </w:t>
      </w:r>
      <w:r>
        <w:rPr/>
        <w:t>our</w:t>
      </w:r>
      <w:r>
        <w:rPr>
          <w:spacing w:val="-32"/>
        </w:rPr>
        <w:t> </w:t>
      </w:r>
      <w:r>
        <w:rPr/>
        <w:t>approach</w:t>
      </w:r>
      <w:r>
        <w:rPr>
          <w:spacing w:val="-32"/>
        </w:rPr>
        <w:t> </w:t>
      </w:r>
      <w:r>
        <w:rPr/>
        <w:t>to</w:t>
      </w:r>
      <w:r>
        <w:rPr>
          <w:spacing w:val="-32"/>
        </w:rPr>
        <w:t> </w:t>
      </w:r>
      <w:r>
        <w:rPr/>
        <w:t>core</w:t>
      </w:r>
      <w:r>
        <w:rPr>
          <w:spacing w:val="-32"/>
        </w:rPr>
        <w:t> </w:t>
      </w:r>
      <w:r>
        <w:rPr/>
        <w:t>services</w:t>
      </w:r>
    </w:p>
    <w:p>
      <w:pPr>
        <w:pStyle w:val="BodyText"/>
        <w:spacing w:line="249" w:lineRule="auto"/>
        <w:ind w:left="107" w:right="64"/>
      </w:pPr>
      <w:r>
        <w:rPr/>
        <w:t>and allowing for more focused innovation to differentiate</w:t>
      </w:r>
      <w:r>
        <w:rPr>
          <w:spacing w:val="-35"/>
        </w:rPr>
        <w:t> </w:t>
      </w:r>
      <w:r>
        <w:rPr/>
        <w:t>ourselves</w:t>
      </w:r>
      <w:r>
        <w:rPr>
          <w:spacing w:val="-35"/>
        </w:rPr>
        <w:t> </w:t>
      </w:r>
      <w:r>
        <w:rPr/>
        <w:t>from</w:t>
      </w:r>
      <w:r>
        <w:rPr>
          <w:spacing w:val="-35"/>
        </w:rPr>
        <w:t> </w:t>
      </w:r>
      <w:r>
        <w:rPr/>
        <w:t>other</w:t>
      </w:r>
      <w:r>
        <w:rPr>
          <w:spacing w:val="-35"/>
        </w:rPr>
        <w:t> </w:t>
      </w:r>
      <w:r>
        <w:rPr/>
        <w:t>institutions. ITDS</w:t>
      </w:r>
      <w:r>
        <w:rPr>
          <w:spacing w:val="-38"/>
        </w:rPr>
        <w:t> </w:t>
      </w:r>
      <w:r>
        <w:rPr/>
        <w:t>will</w:t>
      </w:r>
      <w:r>
        <w:rPr>
          <w:spacing w:val="-38"/>
        </w:rPr>
        <w:t> </w:t>
      </w:r>
      <w:r>
        <w:rPr/>
        <w:t>deliver</w:t>
      </w:r>
      <w:r>
        <w:rPr>
          <w:spacing w:val="-38"/>
        </w:rPr>
        <w:t> </w:t>
      </w:r>
      <w:r>
        <w:rPr/>
        <w:t>this</w:t>
      </w:r>
      <w:r>
        <w:rPr>
          <w:spacing w:val="-38"/>
        </w:rPr>
        <w:t> </w:t>
      </w:r>
      <w:r>
        <w:rPr/>
        <w:t>in</w:t>
      </w:r>
      <w:r>
        <w:rPr>
          <w:spacing w:val="-38"/>
        </w:rPr>
        <w:t> </w:t>
      </w:r>
      <w:r>
        <w:rPr/>
        <w:t>conjunction</w:t>
      </w:r>
      <w:r>
        <w:rPr>
          <w:spacing w:val="-38"/>
        </w:rPr>
        <w:t> </w:t>
      </w:r>
      <w:r>
        <w:rPr/>
        <w:t>with</w:t>
      </w:r>
      <w:r>
        <w:rPr>
          <w:spacing w:val="-38"/>
        </w:rPr>
        <w:t> </w:t>
      </w:r>
      <w:r>
        <w:rPr/>
        <w:t>quality, </w:t>
      </w:r>
      <w:r>
        <w:rPr>
          <w:w w:val="95"/>
        </w:rPr>
        <w:t>industry-standard processes,</w:t>
      </w:r>
      <w:r>
        <w:rPr>
          <w:spacing w:val="25"/>
          <w:w w:val="95"/>
        </w:rPr>
        <w:t> </w:t>
      </w:r>
      <w:r>
        <w:rPr>
          <w:w w:val="95"/>
        </w:rPr>
        <w:t>combined</w:t>
      </w:r>
    </w:p>
    <w:p>
      <w:pPr>
        <w:pStyle w:val="BodyText"/>
        <w:spacing w:line="249" w:lineRule="auto"/>
        <w:ind w:left="107" w:right="-2"/>
      </w:pPr>
      <w:r>
        <w:rPr/>
        <w:t>with measured risk taking through iterative </w:t>
      </w:r>
      <w:r>
        <w:rPr>
          <w:w w:val="95"/>
        </w:rPr>
        <w:t>experimentation, prototyping and collaboration.</w:t>
      </w:r>
    </w:p>
    <w:p>
      <w:pPr>
        <w:pStyle w:val="BodyText"/>
        <w:rPr>
          <w:sz w:val="14"/>
        </w:rPr>
      </w:pPr>
    </w:p>
    <w:p>
      <w:pPr>
        <w:pStyle w:val="BodyText"/>
        <w:spacing w:line="249" w:lineRule="auto"/>
        <w:ind w:left="107" w:right="397"/>
      </w:pPr>
      <w:r>
        <w:rPr/>
        <w:t>This</w:t>
      </w:r>
      <w:r>
        <w:rPr>
          <w:spacing w:val="-20"/>
        </w:rPr>
        <w:t> </w:t>
      </w:r>
      <w:r>
        <w:rPr/>
        <w:t>year</w:t>
      </w:r>
      <w:r>
        <w:rPr>
          <w:spacing w:val="-20"/>
        </w:rPr>
        <w:t> </w:t>
      </w:r>
      <w:r>
        <w:rPr/>
        <w:t>saw</w:t>
      </w:r>
      <w:r>
        <w:rPr>
          <w:spacing w:val="-20"/>
        </w:rPr>
        <w:t> </w:t>
      </w:r>
      <w:r>
        <w:rPr/>
        <w:t>the</w:t>
      </w:r>
      <w:r>
        <w:rPr>
          <w:spacing w:val="-20"/>
        </w:rPr>
        <w:t> </w:t>
      </w:r>
      <w:r>
        <w:rPr/>
        <w:t>completion</w:t>
      </w:r>
      <w:r>
        <w:rPr>
          <w:spacing w:val="-20"/>
        </w:rPr>
        <w:t> </w:t>
      </w:r>
      <w:r>
        <w:rPr/>
        <w:t>of</w:t>
      </w:r>
      <w:r>
        <w:rPr>
          <w:spacing w:val="-20"/>
        </w:rPr>
        <w:t> </w:t>
      </w:r>
      <w:r>
        <w:rPr/>
        <w:t>the</w:t>
      </w:r>
      <w:r>
        <w:rPr>
          <w:spacing w:val="-20"/>
        </w:rPr>
        <w:t> </w:t>
      </w:r>
      <w:r>
        <w:rPr/>
        <w:t>ITDS restructure,</w:t>
      </w:r>
      <w:r>
        <w:rPr>
          <w:spacing w:val="-27"/>
        </w:rPr>
        <w:t> </w:t>
      </w:r>
      <w:r>
        <w:rPr/>
        <w:t>creating</w:t>
      </w:r>
      <w:r>
        <w:rPr>
          <w:spacing w:val="-27"/>
        </w:rPr>
        <w:t> </w:t>
      </w:r>
      <w:r>
        <w:rPr/>
        <w:t>six</w:t>
      </w:r>
      <w:r>
        <w:rPr>
          <w:spacing w:val="-27"/>
        </w:rPr>
        <w:t> </w:t>
      </w:r>
      <w:r>
        <w:rPr/>
        <w:t>focused</w:t>
      </w:r>
      <w:r>
        <w:rPr>
          <w:spacing w:val="-27"/>
        </w:rPr>
        <w:t> </w:t>
      </w:r>
      <w:r>
        <w:rPr/>
        <w:t>teams:</w:t>
      </w:r>
    </w:p>
    <w:p>
      <w:pPr>
        <w:pStyle w:val="BodyText"/>
        <w:spacing w:before="11"/>
        <w:rPr>
          <w:sz w:val="13"/>
        </w:rPr>
      </w:pPr>
    </w:p>
    <w:p>
      <w:pPr>
        <w:pStyle w:val="BodyText"/>
        <w:ind w:left="107" w:right="78"/>
      </w:pPr>
      <w:r>
        <w:rPr>
          <w:rFonts w:ascii="Century Gothic" w:hAnsi="Century Gothic"/>
          <w:b/>
          <w:w w:val="115"/>
        </w:rPr>
        <w:t>≥ </w:t>
      </w:r>
      <w:r>
        <w:rPr>
          <w:w w:val="105"/>
        </w:rPr>
        <w:t>Digital Strategy and Innovation</w:t>
      </w:r>
    </w:p>
    <w:p>
      <w:pPr>
        <w:pStyle w:val="BodyText"/>
        <w:spacing w:before="60"/>
        <w:ind w:left="107" w:right="78"/>
      </w:pPr>
      <w:r>
        <w:rPr>
          <w:rFonts w:ascii="Century Gothic" w:hAnsi="Century Gothic"/>
          <w:b/>
          <w:w w:val="115"/>
        </w:rPr>
        <w:t>≥ </w:t>
      </w:r>
      <w:r>
        <w:rPr>
          <w:w w:val="105"/>
        </w:rPr>
        <w:t>IT Operations</w:t>
      </w:r>
    </w:p>
    <w:p>
      <w:pPr>
        <w:pStyle w:val="BodyText"/>
        <w:spacing w:before="60"/>
        <w:ind w:left="107" w:right="78"/>
      </w:pPr>
      <w:r>
        <w:rPr>
          <w:rFonts w:ascii="Century Gothic" w:hAnsi="Century Gothic"/>
          <w:b/>
          <w:w w:val="115"/>
        </w:rPr>
        <w:t>≥ </w:t>
      </w:r>
      <w:r>
        <w:rPr>
          <w:w w:val="105"/>
        </w:rPr>
        <w:t>Academic and Campus Experience</w:t>
      </w:r>
    </w:p>
    <w:p>
      <w:pPr>
        <w:pStyle w:val="BodyText"/>
        <w:spacing w:before="60"/>
        <w:ind w:left="107" w:right="78"/>
      </w:pPr>
      <w:r>
        <w:rPr>
          <w:rFonts w:ascii="Century Gothic" w:hAnsi="Century Gothic"/>
          <w:b/>
          <w:w w:val="115"/>
        </w:rPr>
        <w:t>≥ </w:t>
      </w:r>
      <w:r>
        <w:rPr>
          <w:w w:val="105"/>
        </w:rPr>
        <w:t>Solutions and Project Services</w:t>
      </w:r>
    </w:p>
    <w:p>
      <w:pPr>
        <w:pStyle w:val="BodyText"/>
        <w:spacing w:before="60"/>
        <w:ind w:left="107" w:right="78"/>
      </w:pPr>
      <w:r>
        <w:rPr>
          <w:rFonts w:ascii="Century Gothic" w:hAnsi="Century Gothic"/>
          <w:b/>
          <w:w w:val="115"/>
        </w:rPr>
        <w:t>≥ </w:t>
      </w:r>
      <w:r>
        <w:rPr>
          <w:w w:val="105"/>
        </w:rPr>
        <w:t>Digital Security and Risk</w:t>
      </w:r>
    </w:p>
    <w:p>
      <w:pPr>
        <w:pStyle w:val="BodyText"/>
        <w:spacing w:before="9"/>
      </w:pPr>
      <w:r>
        <w:rPr/>
        <w:br w:type="column"/>
      </w:r>
      <w:r>
        <w:rPr/>
      </w:r>
    </w:p>
    <w:p>
      <w:pPr>
        <w:pStyle w:val="BodyText"/>
        <w:ind w:left="107"/>
      </w:pPr>
      <w:r>
        <w:rPr>
          <w:rFonts w:ascii="Century Gothic" w:hAnsi="Century Gothic"/>
          <w:b/>
          <w:w w:val="115"/>
        </w:rPr>
        <w:t>≥ </w:t>
      </w:r>
      <w:r>
        <w:rPr/>
        <w:t>University Procurement and IT Planning.</w:t>
      </w:r>
    </w:p>
    <w:p>
      <w:pPr>
        <w:pStyle w:val="BodyText"/>
        <w:spacing w:before="5"/>
        <w:rPr>
          <w:sz w:val="14"/>
        </w:rPr>
      </w:pPr>
    </w:p>
    <w:p>
      <w:pPr>
        <w:pStyle w:val="BodyText"/>
        <w:spacing w:line="249" w:lineRule="auto"/>
        <w:ind w:left="107" w:right="147"/>
      </w:pPr>
      <w:r>
        <w:rPr/>
        <w:t>At the same time, ITDS continued working on its portfolio of projects and day-to-day activities, achieving a number of significant outcomes including:</w:t>
      </w:r>
    </w:p>
    <w:p>
      <w:pPr>
        <w:pStyle w:val="BodyText"/>
        <w:rPr>
          <w:sz w:val="14"/>
        </w:rPr>
      </w:pPr>
    </w:p>
    <w:p>
      <w:pPr>
        <w:pStyle w:val="BodyText"/>
        <w:spacing w:line="247" w:lineRule="auto"/>
        <w:ind w:left="107" w:right="44"/>
      </w:pPr>
      <w:r>
        <w:rPr>
          <w:rFonts w:ascii="Calibri" w:hAnsi="Calibri"/>
          <w:spacing w:val="2"/>
        </w:rPr>
        <w:t>Parramatta Square </w:t>
      </w:r>
      <w:r>
        <w:rPr/>
        <w:t>– The technology master plan for </w:t>
      </w:r>
      <w:r>
        <w:rPr>
          <w:spacing w:val="2"/>
        </w:rPr>
        <w:t>1PSQ </w:t>
      </w:r>
      <w:r>
        <w:rPr/>
        <w:t>has been well received and </w:t>
      </w:r>
      <w:r>
        <w:rPr>
          <w:spacing w:val="1"/>
          <w:w w:val="98"/>
        </w:rPr>
        <w:t>formed</w:t>
      </w:r>
      <w:r>
        <w:rPr>
          <w:w w:val="98"/>
        </w:rPr>
        <w:t> </w:t>
      </w:r>
      <w:r>
        <w:rPr>
          <w:w w:val="97"/>
        </w:rPr>
        <w:t>the </w:t>
      </w:r>
      <w:r>
        <w:rPr>
          <w:spacing w:val="1"/>
          <w:w w:val="96"/>
        </w:rPr>
        <w:t>basis</w:t>
      </w:r>
      <w:r>
        <w:rPr>
          <w:w w:val="96"/>
        </w:rPr>
        <w:t> </w:t>
      </w:r>
      <w:r>
        <w:rPr>
          <w:w w:val="99"/>
        </w:rPr>
        <w:t>of </w:t>
      </w:r>
      <w:r>
        <w:rPr>
          <w:spacing w:val="1"/>
          <w:w w:val="97"/>
        </w:rPr>
        <w:t>our</w:t>
      </w:r>
      <w:r>
        <w:rPr>
          <w:w w:val="97"/>
        </w:rPr>
        <w:t> </w:t>
      </w:r>
      <w:r>
        <w:rPr>
          <w:w w:val="98"/>
        </w:rPr>
        <w:t>work </w:t>
      </w:r>
      <w:r>
        <w:rPr>
          <w:w w:val="95"/>
        </w:rPr>
        <w:t>in </w:t>
      </w:r>
      <w:r>
        <w:rPr>
          <w:spacing w:val="1"/>
          <w:w w:val="84"/>
        </w:rPr>
        <w:t>2015.</w:t>
      </w:r>
      <w:r>
        <w:rPr>
          <w:w w:val="84"/>
        </w:rPr>
        <w:t> </w:t>
      </w:r>
      <w:r>
        <w:rPr>
          <w:spacing w:val="1"/>
          <w:w w:val="94"/>
        </w:rPr>
        <w:t>The</w:t>
      </w:r>
      <w:r>
        <w:rPr>
          <w:w w:val="94"/>
        </w:rPr>
        <w:t> </w:t>
      </w:r>
      <w:r>
        <w:rPr/>
        <w:t>most</w:t>
      </w:r>
      <w:r>
        <w:rPr>
          <w:spacing w:val="-15"/>
        </w:rPr>
        <w:t> </w:t>
      </w:r>
      <w:r>
        <w:rPr/>
        <w:t>significant</w:t>
      </w:r>
      <w:r>
        <w:rPr>
          <w:spacing w:val="-15"/>
        </w:rPr>
        <w:t> </w:t>
      </w:r>
      <w:r>
        <w:rPr/>
        <w:t>outcome</w:t>
      </w:r>
      <w:r>
        <w:rPr>
          <w:spacing w:val="-15"/>
        </w:rPr>
        <w:t> </w:t>
      </w:r>
      <w:r>
        <w:rPr/>
        <w:t>was</w:t>
      </w:r>
      <w:r>
        <w:rPr>
          <w:spacing w:val="-15"/>
        </w:rPr>
        <w:t> </w:t>
      </w:r>
      <w:r>
        <w:rPr/>
        <w:t>integrating</w:t>
      </w:r>
      <w:r>
        <w:rPr>
          <w:spacing w:val="-15"/>
        </w:rPr>
        <w:t> </w:t>
      </w:r>
      <w:r>
        <w:rPr/>
        <w:t>the technology in the prototype teaching space at Kingswood. In conjunction with Capital Works and Facilities and the Deputy Vice- Chancellor (DVC) (Academic) portfolio, ITDS has</w:t>
      </w:r>
      <w:r>
        <w:rPr>
          <w:spacing w:val="-14"/>
        </w:rPr>
        <w:t> </w:t>
      </w:r>
      <w:r>
        <w:rPr/>
        <w:t>delivered</w:t>
      </w:r>
      <w:r>
        <w:rPr>
          <w:spacing w:val="-14"/>
        </w:rPr>
        <w:t> </w:t>
      </w:r>
      <w:r>
        <w:rPr/>
        <w:t>a</w:t>
      </w:r>
      <w:r>
        <w:rPr>
          <w:spacing w:val="-14"/>
        </w:rPr>
        <w:t> </w:t>
      </w:r>
      <w:r>
        <w:rPr/>
        <w:t>capability</w:t>
      </w:r>
      <w:r>
        <w:rPr>
          <w:spacing w:val="-14"/>
        </w:rPr>
        <w:t> </w:t>
      </w:r>
      <w:r>
        <w:rPr/>
        <w:t>that</w:t>
      </w:r>
      <w:r>
        <w:rPr>
          <w:spacing w:val="-14"/>
        </w:rPr>
        <w:t> </w:t>
      </w:r>
      <w:r>
        <w:rPr/>
        <w:t>is</w:t>
      </w:r>
      <w:r>
        <w:rPr>
          <w:spacing w:val="-14"/>
        </w:rPr>
        <w:t> </w:t>
      </w:r>
      <w:r>
        <w:rPr/>
        <w:t>the</w:t>
      </w:r>
      <w:r>
        <w:rPr>
          <w:spacing w:val="-14"/>
        </w:rPr>
        <w:t> </w:t>
      </w:r>
      <w:r>
        <w:rPr/>
        <w:t>very</w:t>
      </w:r>
      <w:r>
        <w:rPr>
          <w:spacing w:val="-14"/>
        </w:rPr>
        <w:t> </w:t>
      </w:r>
      <w:r>
        <w:rPr/>
        <w:t>best that</w:t>
      </w:r>
      <w:r>
        <w:rPr>
          <w:spacing w:val="-20"/>
        </w:rPr>
        <w:t> </w:t>
      </w:r>
      <w:r>
        <w:rPr/>
        <w:t>can</w:t>
      </w:r>
      <w:r>
        <w:rPr>
          <w:spacing w:val="-20"/>
        </w:rPr>
        <w:t> </w:t>
      </w:r>
      <w:r>
        <w:rPr/>
        <w:t>be</w:t>
      </w:r>
      <w:r>
        <w:rPr>
          <w:spacing w:val="-20"/>
        </w:rPr>
        <w:t> </w:t>
      </w:r>
      <w:r>
        <w:rPr/>
        <w:t>found</w:t>
      </w:r>
      <w:r>
        <w:rPr>
          <w:spacing w:val="-20"/>
        </w:rPr>
        <w:t> </w:t>
      </w:r>
      <w:r>
        <w:rPr/>
        <w:t>anywhere.</w:t>
      </w:r>
    </w:p>
    <w:p>
      <w:pPr>
        <w:pStyle w:val="BodyText"/>
        <w:spacing w:before="2"/>
        <w:rPr>
          <w:sz w:val="14"/>
        </w:rPr>
      </w:pPr>
    </w:p>
    <w:p>
      <w:pPr>
        <w:pStyle w:val="BodyText"/>
        <w:spacing w:line="247" w:lineRule="auto"/>
        <w:ind w:left="107" w:right="122"/>
      </w:pPr>
      <w:r>
        <w:rPr>
          <w:rFonts w:ascii="Calibri" w:hAnsi="Calibri"/>
        </w:rPr>
        <w:t>Student </w:t>
      </w:r>
      <w:r>
        <w:rPr>
          <w:rFonts w:ascii="Calibri" w:hAnsi="Calibri"/>
          <w:spacing w:val="2"/>
        </w:rPr>
        <w:t>placement </w:t>
      </w:r>
      <w:r>
        <w:rPr>
          <w:rFonts w:ascii="Calibri" w:hAnsi="Calibri"/>
        </w:rPr>
        <w:t>system </w:t>
      </w:r>
      <w:r>
        <w:rPr/>
        <w:t>– While a few </w:t>
      </w:r>
      <w:r>
        <w:rPr>
          <w:spacing w:val="1"/>
          <w:w w:val="98"/>
        </w:rPr>
        <w:t>Schools</w:t>
      </w:r>
      <w:r>
        <w:rPr>
          <w:w w:val="98"/>
        </w:rPr>
        <w:t> </w:t>
      </w:r>
      <w:r>
        <w:rPr>
          <w:w w:val="97"/>
        </w:rPr>
        <w:t>await </w:t>
      </w:r>
      <w:r>
        <w:rPr>
          <w:spacing w:val="1"/>
          <w:w w:val="99"/>
        </w:rPr>
        <w:t>deployment</w:t>
      </w:r>
      <w:r>
        <w:rPr>
          <w:w w:val="99"/>
        </w:rPr>
        <w:t> </w:t>
      </w:r>
      <w:r>
        <w:rPr>
          <w:w w:val="95"/>
        </w:rPr>
        <w:t>in </w:t>
      </w:r>
      <w:r>
        <w:rPr>
          <w:spacing w:val="2"/>
          <w:w w:val="85"/>
        </w:rPr>
        <w:t>2016,</w:t>
      </w:r>
      <w:r>
        <w:rPr>
          <w:w w:val="85"/>
        </w:rPr>
        <w:t> </w:t>
      </w:r>
      <w:r>
        <w:rPr>
          <w:w w:val="97"/>
        </w:rPr>
        <w:t>the </w:t>
      </w:r>
      <w:r>
        <w:rPr/>
        <w:t>system</w:t>
      </w:r>
      <w:r>
        <w:rPr>
          <w:spacing w:val="-17"/>
        </w:rPr>
        <w:t> </w:t>
      </w:r>
      <w:r>
        <w:rPr/>
        <w:t>is</w:t>
      </w:r>
      <w:r>
        <w:rPr>
          <w:spacing w:val="-17"/>
        </w:rPr>
        <w:t> </w:t>
      </w:r>
      <w:r>
        <w:rPr/>
        <w:t>operating</w:t>
      </w:r>
      <w:r>
        <w:rPr>
          <w:spacing w:val="-17"/>
        </w:rPr>
        <w:t> </w:t>
      </w:r>
      <w:r>
        <w:rPr/>
        <w:t>well</w:t>
      </w:r>
      <w:r>
        <w:rPr>
          <w:spacing w:val="-17"/>
        </w:rPr>
        <w:t> </w:t>
      </w:r>
      <w:r>
        <w:rPr/>
        <w:t>in</w:t>
      </w:r>
      <w:r>
        <w:rPr>
          <w:spacing w:val="-17"/>
        </w:rPr>
        <w:t> </w:t>
      </w:r>
      <w:r>
        <w:rPr/>
        <w:t>many</w:t>
      </w:r>
      <w:r>
        <w:rPr>
          <w:spacing w:val="-17"/>
        </w:rPr>
        <w:t> </w:t>
      </w:r>
      <w:r>
        <w:rPr/>
        <w:t>areas</w:t>
      </w:r>
      <w:r>
        <w:rPr>
          <w:spacing w:val="-17"/>
        </w:rPr>
        <w:t> </w:t>
      </w:r>
      <w:r>
        <w:rPr/>
        <w:t>of</w:t>
      </w:r>
      <w:r>
        <w:rPr>
          <w:spacing w:val="-17"/>
        </w:rPr>
        <w:t> </w:t>
      </w:r>
      <w:r>
        <w:rPr/>
        <w:t>the University.</w:t>
      </w:r>
      <w:r>
        <w:rPr>
          <w:spacing w:val="-17"/>
        </w:rPr>
        <w:t> </w:t>
      </w:r>
      <w:r>
        <w:rPr/>
        <w:t>Both</w:t>
      </w:r>
      <w:r>
        <w:rPr>
          <w:spacing w:val="-17"/>
        </w:rPr>
        <w:t> </w:t>
      </w:r>
      <w:r>
        <w:rPr/>
        <w:t>staff</w:t>
      </w:r>
      <w:r>
        <w:rPr>
          <w:spacing w:val="-17"/>
        </w:rPr>
        <w:t> </w:t>
      </w:r>
      <w:r>
        <w:rPr/>
        <w:t>members</w:t>
      </w:r>
      <w:r>
        <w:rPr>
          <w:spacing w:val="-17"/>
        </w:rPr>
        <w:t> </w:t>
      </w:r>
      <w:r>
        <w:rPr/>
        <w:t>and</w:t>
      </w:r>
      <w:r>
        <w:rPr>
          <w:spacing w:val="-17"/>
        </w:rPr>
        <w:t> </w:t>
      </w:r>
      <w:r>
        <w:rPr/>
        <w:t>students are accessing the platform to manage placements, including in the major areas of Nursing,</w:t>
      </w:r>
      <w:r>
        <w:rPr>
          <w:spacing w:val="-20"/>
        </w:rPr>
        <w:t> </w:t>
      </w:r>
      <w:r>
        <w:rPr/>
        <w:t>Midwifery</w:t>
      </w:r>
      <w:r>
        <w:rPr>
          <w:spacing w:val="-20"/>
        </w:rPr>
        <w:t> </w:t>
      </w:r>
      <w:r>
        <w:rPr/>
        <w:t>and</w:t>
      </w:r>
      <w:r>
        <w:rPr>
          <w:spacing w:val="-20"/>
        </w:rPr>
        <w:t> </w:t>
      </w:r>
      <w:r>
        <w:rPr/>
        <w:t>Education.</w:t>
      </w:r>
    </w:p>
    <w:p>
      <w:pPr>
        <w:pStyle w:val="BodyText"/>
        <w:spacing w:before="2"/>
        <w:rPr>
          <w:sz w:val="14"/>
        </w:rPr>
      </w:pPr>
    </w:p>
    <w:p>
      <w:pPr>
        <w:pStyle w:val="BodyText"/>
        <w:spacing w:line="244" w:lineRule="auto"/>
        <w:ind w:left="107" w:right="47"/>
      </w:pPr>
      <w:r>
        <w:rPr>
          <w:rFonts w:ascii="Calibri" w:hAnsi="Calibri"/>
        </w:rPr>
        <w:t>Core  network  upgrade  </w:t>
      </w:r>
      <w:r>
        <w:rPr/>
        <w:t>– Every network switch</w:t>
      </w:r>
      <w:r>
        <w:rPr>
          <w:spacing w:val="-27"/>
        </w:rPr>
        <w:t> </w:t>
      </w:r>
      <w:r>
        <w:rPr/>
        <w:t>across</w:t>
      </w:r>
      <w:r>
        <w:rPr>
          <w:spacing w:val="-27"/>
        </w:rPr>
        <w:t> </w:t>
      </w:r>
      <w:r>
        <w:rPr/>
        <w:t>our</w:t>
      </w:r>
      <w:r>
        <w:rPr>
          <w:spacing w:val="-27"/>
        </w:rPr>
        <w:t> </w:t>
      </w:r>
      <w:r>
        <w:rPr/>
        <w:t>campuses</w:t>
      </w:r>
      <w:r>
        <w:rPr>
          <w:spacing w:val="-27"/>
        </w:rPr>
        <w:t> </w:t>
      </w:r>
      <w:r>
        <w:rPr/>
        <w:t>has</w:t>
      </w:r>
      <w:r>
        <w:rPr>
          <w:spacing w:val="-27"/>
        </w:rPr>
        <w:t> </w:t>
      </w:r>
      <w:r>
        <w:rPr/>
        <w:t>been</w:t>
      </w:r>
      <w:r>
        <w:rPr>
          <w:spacing w:val="-27"/>
        </w:rPr>
        <w:t> </w:t>
      </w:r>
      <w:r>
        <w:rPr/>
        <w:t>replaced and</w:t>
      </w:r>
      <w:r>
        <w:rPr>
          <w:spacing w:val="-22"/>
        </w:rPr>
        <w:t> </w:t>
      </w:r>
      <w:r>
        <w:rPr/>
        <w:t>the</w:t>
      </w:r>
      <w:r>
        <w:rPr>
          <w:spacing w:val="-22"/>
        </w:rPr>
        <w:t> </w:t>
      </w:r>
      <w:r>
        <w:rPr/>
        <w:t>overall</w:t>
      </w:r>
      <w:r>
        <w:rPr>
          <w:spacing w:val="-22"/>
        </w:rPr>
        <w:t> </w:t>
      </w:r>
      <w:r>
        <w:rPr/>
        <w:t>number</w:t>
      </w:r>
      <w:r>
        <w:rPr>
          <w:spacing w:val="-22"/>
        </w:rPr>
        <w:t> </w:t>
      </w:r>
      <w:r>
        <w:rPr/>
        <w:t>of</w:t>
      </w:r>
      <w:r>
        <w:rPr>
          <w:spacing w:val="-22"/>
        </w:rPr>
        <w:t> </w:t>
      </w:r>
      <w:r>
        <w:rPr/>
        <w:t>switches</w:t>
      </w:r>
      <w:r>
        <w:rPr>
          <w:spacing w:val="-22"/>
        </w:rPr>
        <w:t> </w:t>
      </w:r>
      <w:r>
        <w:rPr/>
        <w:t>has</w:t>
      </w:r>
      <w:r>
        <w:rPr>
          <w:spacing w:val="-22"/>
        </w:rPr>
        <w:t> </w:t>
      </w:r>
      <w:r>
        <w:rPr/>
        <w:t>been reduced.</w:t>
      </w:r>
      <w:r>
        <w:rPr>
          <w:spacing w:val="-27"/>
        </w:rPr>
        <w:t> </w:t>
      </w:r>
      <w:r>
        <w:rPr/>
        <w:t>This</w:t>
      </w:r>
      <w:r>
        <w:rPr>
          <w:spacing w:val="-27"/>
        </w:rPr>
        <w:t> </w:t>
      </w:r>
      <w:r>
        <w:rPr/>
        <w:t>is</w:t>
      </w:r>
      <w:r>
        <w:rPr>
          <w:spacing w:val="-27"/>
        </w:rPr>
        <w:t> </w:t>
      </w:r>
      <w:r>
        <w:rPr/>
        <w:t>due</w:t>
      </w:r>
      <w:r>
        <w:rPr>
          <w:spacing w:val="-27"/>
        </w:rPr>
        <w:t> </w:t>
      </w:r>
      <w:r>
        <w:rPr/>
        <w:t>to</w:t>
      </w:r>
      <w:r>
        <w:rPr>
          <w:spacing w:val="-27"/>
        </w:rPr>
        <w:t> </w:t>
      </w:r>
      <w:r>
        <w:rPr/>
        <w:t>the</w:t>
      </w:r>
      <w:r>
        <w:rPr>
          <w:spacing w:val="-27"/>
        </w:rPr>
        <w:t> </w:t>
      </w:r>
      <w:r>
        <w:rPr/>
        <w:t>greater</w:t>
      </w:r>
      <w:r>
        <w:rPr>
          <w:spacing w:val="-27"/>
        </w:rPr>
        <w:t> </w:t>
      </w:r>
      <w:r>
        <w:rPr/>
        <w:t>capacity</w:t>
      </w:r>
    </w:p>
    <w:p>
      <w:pPr>
        <w:pStyle w:val="BodyText"/>
        <w:spacing w:line="249" w:lineRule="auto" w:before="3"/>
        <w:ind w:left="107" w:right="295"/>
      </w:pPr>
      <w:r>
        <w:rPr/>
        <w:t>of the new equipment and design that gives</w:t>
      </w:r>
      <w:r>
        <w:rPr>
          <w:spacing w:val="-27"/>
        </w:rPr>
        <w:t> </w:t>
      </w:r>
      <w:r>
        <w:rPr/>
        <w:t>us</w:t>
      </w:r>
      <w:r>
        <w:rPr>
          <w:spacing w:val="-27"/>
        </w:rPr>
        <w:t> </w:t>
      </w:r>
      <w:r>
        <w:rPr/>
        <w:t>a</w:t>
      </w:r>
      <w:r>
        <w:rPr>
          <w:spacing w:val="-27"/>
        </w:rPr>
        <w:t> </w:t>
      </w:r>
      <w:r>
        <w:rPr/>
        <w:t>tenfold</w:t>
      </w:r>
      <w:r>
        <w:rPr>
          <w:spacing w:val="-27"/>
        </w:rPr>
        <w:t> </w:t>
      </w:r>
      <w:r>
        <w:rPr/>
        <w:t>increase</w:t>
      </w:r>
      <w:r>
        <w:rPr>
          <w:spacing w:val="-27"/>
        </w:rPr>
        <w:t> </w:t>
      </w:r>
      <w:r>
        <w:rPr/>
        <w:t>in</w:t>
      </w:r>
      <w:r>
        <w:rPr>
          <w:spacing w:val="-27"/>
        </w:rPr>
        <w:t> </w:t>
      </w:r>
      <w:r>
        <w:rPr/>
        <w:t>throughput</w:t>
      </w:r>
      <w:r>
        <w:rPr>
          <w:spacing w:val="-27"/>
        </w:rPr>
        <w:t> </w:t>
      </w:r>
      <w:r>
        <w:rPr/>
        <w:t>to</w:t>
      </w:r>
    </w:p>
    <w:p>
      <w:pPr>
        <w:pStyle w:val="BodyText"/>
        <w:spacing w:line="192" w:lineRule="exact"/>
        <w:ind w:left="107"/>
      </w:pPr>
      <w:r>
        <w:rPr/>
        <w:t>accommodate</w:t>
      </w:r>
      <w:r>
        <w:rPr>
          <w:spacing w:val="-33"/>
        </w:rPr>
        <w:t> </w:t>
      </w:r>
      <w:r>
        <w:rPr/>
        <w:t>the</w:t>
      </w:r>
      <w:r>
        <w:rPr>
          <w:spacing w:val="-33"/>
        </w:rPr>
        <w:t> </w:t>
      </w:r>
      <w:r>
        <w:rPr/>
        <w:t>unrelenting</w:t>
      </w:r>
      <w:r>
        <w:rPr>
          <w:spacing w:val="-33"/>
        </w:rPr>
        <w:t> </w:t>
      </w:r>
      <w:r>
        <w:rPr/>
        <w:t>growth</w:t>
      </w:r>
      <w:r>
        <w:rPr>
          <w:spacing w:val="-33"/>
        </w:rPr>
        <w:t> </w:t>
      </w:r>
      <w:r>
        <w:rPr/>
        <w:t>in</w:t>
      </w:r>
      <w:r>
        <w:rPr>
          <w:spacing w:val="-33"/>
        </w:rPr>
        <w:t> </w:t>
      </w:r>
      <w:r>
        <w:rPr/>
        <w:t>traffic.</w:t>
      </w:r>
    </w:p>
    <w:p>
      <w:pPr>
        <w:pStyle w:val="BodyText"/>
        <w:spacing w:before="7"/>
        <w:rPr>
          <w:sz w:val="14"/>
        </w:rPr>
      </w:pPr>
    </w:p>
    <w:p>
      <w:pPr>
        <w:pStyle w:val="BodyText"/>
        <w:spacing w:line="247" w:lineRule="auto" w:before="1"/>
        <w:ind w:left="107"/>
      </w:pPr>
      <w:r>
        <w:rPr>
          <w:rFonts w:ascii="Calibri" w:hAnsi="Calibri"/>
        </w:rPr>
        <w:t>Travel and expense </w:t>
      </w:r>
      <w:r>
        <w:rPr>
          <w:rFonts w:ascii="Calibri" w:hAnsi="Calibri"/>
          <w:spacing w:val="2"/>
        </w:rPr>
        <w:t>management </w:t>
      </w:r>
      <w:r>
        <w:rPr/>
        <w:t>– A new system</w:t>
      </w:r>
      <w:r>
        <w:rPr>
          <w:spacing w:val="-14"/>
        </w:rPr>
        <w:t> </w:t>
      </w:r>
      <w:r>
        <w:rPr/>
        <w:t>to</w:t>
      </w:r>
      <w:r>
        <w:rPr>
          <w:spacing w:val="-14"/>
        </w:rPr>
        <w:t> </w:t>
      </w:r>
      <w:r>
        <w:rPr/>
        <w:t>support</w:t>
      </w:r>
      <w:r>
        <w:rPr>
          <w:spacing w:val="-14"/>
        </w:rPr>
        <w:t> </w:t>
      </w:r>
      <w:r>
        <w:rPr/>
        <w:t>these</w:t>
      </w:r>
      <w:r>
        <w:rPr>
          <w:spacing w:val="-14"/>
        </w:rPr>
        <w:t> </w:t>
      </w:r>
      <w:r>
        <w:rPr/>
        <w:t>two</w:t>
      </w:r>
      <w:r>
        <w:rPr>
          <w:spacing w:val="-14"/>
        </w:rPr>
        <w:t> </w:t>
      </w:r>
      <w:r>
        <w:rPr/>
        <w:t>key</w:t>
      </w:r>
      <w:r>
        <w:rPr>
          <w:spacing w:val="-14"/>
        </w:rPr>
        <w:t> </w:t>
      </w:r>
      <w:r>
        <w:rPr/>
        <w:t>activities</w:t>
      </w:r>
      <w:r>
        <w:rPr>
          <w:spacing w:val="-14"/>
        </w:rPr>
        <w:t> </w:t>
      </w:r>
      <w:r>
        <w:rPr/>
        <w:t>was deployed during the first week of November. Ongoing training, practise change and systems configurations were </w:t>
      </w:r>
      <w:r>
        <w:rPr>
          <w:spacing w:val="2"/>
        </w:rPr>
        <w:t>needed </w:t>
      </w:r>
      <w:r>
        <w:rPr/>
        <w:t>to fine tune the service, but adoption has increased and a solid foundation has been established </w:t>
      </w:r>
      <w:r>
        <w:rPr>
          <w:w w:val="98"/>
        </w:rPr>
        <w:t>for</w:t>
      </w:r>
      <w:r>
        <w:rPr>
          <w:spacing w:val="-1"/>
          <w:w w:val="98"/>
        </w:rPr>
        <w:t> </w:t>
      </w:r>
      <w:r>
        <w:rPr>
          <w:spacing w:val="2"/>
          <w:w w:val="85"/>
        </w:rPr>
        <w:t>2016.</w:t>
      </w:r>
    </w:p>
    <w:p>
      <w:pPr>
        <w:pStyle w:val="BodyText"/>
        <w:spacing w:before="2"/>
        <w:rPr>
          <w:sz w:val="14"/>
        </w:rPr>
      </w:pPr>
    </w:p>
    <w:p>
      <w:pPr>
        <w:pStyle w:val="BodyText"/>
        <w:spacing w:line="247" w:lineRule="auto"/>
        <w:ind w:left="107"/>
      </w:pPr>
      <w:r>
        <w:rPr>
          <w:rFonts w:ascii="Calibri" w:hAnsi="Calibri"/>
        </w:rPr>
        <w:t>Oracle  financials  </w:t>
      </w:r>
      <w:r>
        <w:rPr>
          <w:rFonts w:ascii="Calibri" w:hAnsi="Calibri"/>
          <w:spacing w:val="2"/>
        </w:rPr>
        <w:t>managed  </w:t>
      </w:r>
      <w:r>
        <w:rPr>
          <w:rFonts w:ascii="Calibri" w:hAnsi="Calibri"/>
        </w:rPr>
        <w:t>cloud  services  </w:t>
      </w:r>
      <w:r>
        <w:rPr/>
        <w:t>– The management of the University’s finance and procurement systems was outsourced following the finalisation of a market tender and subsequent transition activities. The Division</w:t>
      </w:r>
      <w:r>
        <w:rPr>
          <w:spacing w:val="-15"/>
        </w:rPr>
        <w:t> </w:t>
      </w:r>
      <w:r>
        <w:rPr/>
        <w:t>is</w:t>
      </w:r>
      <w:r>
        <w:rPr>
          <w:spacing w:val="-15"/>
        </w:rPr>
        <w:t> </w:t>
      </w:r>
      <w:r>
        <w:rPr/>
        <w:t>now</w:t>
      </w:r>
      <w:r>
        <w:rPr>
          <w:spacing w:val="-15"/>
        </w:rPr>
        <w:t> </w:t>
      </w:r>
      <w:r>
        <w:rPr/>
        <w:t>confident</w:t>
      </w:r>
      <w:r>
        <w:rPr>
          <w:spacing w:val="-15"/>
        </w:rPr>
        <w:t> </w:t>
      </w:r>
      <w:r>
        <w:rPr/>
        <w:t>that</w:t>
      </w:r>
      <w:r>
        <w:rPr>
          <w:spacing w:val="-15"/>
        </w:rPr>
        <w:t> </w:t>
      </w:r>
      <w:r>
        <w:rPr/>
        <w:t>the</w:t>
      </w:r>
      <w:r>
        <w:rPr>
          <w:spacing w:val="-15"/>
        </w:rPr>
        <w:t> </w:t>
      </w:r>
      <w:r>
        <w:rPr/>
        <w:t>platform</w:t>
      </w:r>
      <w:r>
        <w:rPr>
          <w:spacing w:val="-15"/>
        </w:rPr>
        <w:t> </w:t>
      </w:r>
      <w:r>
        <w:rPr/>
        <w:t>will have long-term</w:t>
      </w:r>
      <w:r>
        <w:rPr>
          <w:spacing w:val="-38"/>
        </w:rPr>
        <w:t> </w:t>
      </w:r>
      <w:r>
        <w:rPr/>
        <w:t>support.</w:t>
      </w:r>
    </w:p>
    <w:p>
      <w:pPr>
        <w:pStyle w:val="BodyText"/>
        <w:spacing w:before="2"/>
        <w:rPr>
          <w:sz w:val="14"/>
        </w:rPr>
      </w:pPr>
    </w:p>
    <w:p>
      <w:pPr>
        <w:pStyle w:val="BodyText"/>
        <w:spacing w:line="244" w:lineRule="auto"/>
        <w:ind w:left="107" w:right="30"/>
      </w:pPr>
      <w:r>
        <w:rPr>
          <w:rFonts w:ascii="Calibri" w:hAnsi="Calibri"/>
        </w:rPr>
        <w:t>Student  </w:t>
      </w:r>
      <w:r>
        <w:rPr>
          <w:rFonts w:ascii="Calibri" w:hAnsi="Calibri"/>
          <w:spacing w:val="2"/>
        </w:rPr>
        <w:t>management  </w:t>
      </w:r>
      <w:r>
        <w:rPr>
          <w:rFonts w:ascii="Calibri" w:hAnsi="Calibri"/>
        </w:rPr>
        <w:t>system  </w:t>
      </w:r>
      <w:r>
        <w:rPr/>
        <w:t>– After assessing</w:t>
      </w:r>
      <w:r>
        <w:rPr>
          <w:spacing w:val="-19"/>
        </w:rPr>
        <w:t> </w:t>
      </w:r>
      <w:r>
        <w:rPr/>
        <w:t>systems,</w:t>
      </w:r>
      <w:r>
        <w:rPr>
          <w:spacing w:val="-19"/>
        </w:rPr>
        <w:t> </w:t>
      </w:r>
      <w:r>
        <w:rPr/>
        <w:t>we</w:t>
      </w:r>
      <w:r>
        <w:rPr>
          <w:spacing w:val="-19"/>
        </w:rPr>
        <w:t> </w:t>
      </w:r>
      <w:r>
        <w:rPr/>
        <w:t>have</w:t>
      </w:r>
      <w:r>
        <w:rPr>
          <w:spacing w:val="-19"/>
        </w:rPr>
        <w:t> </w:t>
      </w:r>
      <w:r>
        <w:rPr/>
        <w:t>a</w:t>
      </w:r>
      <w:r>
        <w:rPr>
          <w:spacing w:val="-19"/>
        </w:rPr>
        <w:t> </w:t>
      </w:r>
      <w:r>
        <w:rPr/>
        <w:t>clear</w:t>
      </w:r>
      <w:r>
        <w:rPr>
          <w:spacing w:val="-19"/>
        </w:rPr>
        <w:t> </w:t>
      </w:r>
      <w:r>
        <w:rPr/>
        <w:t>idea</w:t>
      </w:r>
      <w:r>
        <w:rPr>
          <w:spacing w:val="-19"/>
        </w:rPr>
        <w:t> </w:t>
      </w:r>
      <w:r>
        <w:rPr/>
        <w:t>of</w:t>
      </w:r>
      <w:r>
        <w:rPr>
          <w:spacing w:val="-19"/>
        </w:rPr>
        <w:t> </w:t>
      </w:r>
      <w:r>
        <w:rPr/>
        <w:t>our options and have adopted a budget proposal to</w:t>
      </w:r>
      <w:r>
        <w:rPr>
          <w:spacing w:val="-16"/>
        </w:rPr>
        <w:t> </w:t>
      </w:r>
      <w:r>
        <w:rPr/>
        <w:t>replace</w:t>
      </w:r>
      <w:r>
        <w:rPr>
          <w:spacing w:val="-16"/>
        </w:rPr>
        <w:t> </w:t>
      </w:r>
      <w:r>
        <w:rPr/>
        <w:t>Callista,</w:t>
      </w:r>
      <w:r>
        <w:rPr>
          <w:spacing w:val="-16"/>
        </w:rPr>
        <w:t> </w:t>
      </w:r>
      <w:r>
        <w:rPr/>
        <w:t>probably</w:t>
      </w:r>
      <w:r>
        <w:rPr>
          <w:spacing w:val="-16"/>
        </w:rPr>
        <w:t> </w:t>
      </w:r>
      <w:r>
        <w:rPr/>
        <w:t>making</w:t>
      </w:r>
      <w:r>
        <w:rPr>
          <w:spacing w:val="-16"/>
        </w:rPr>
        <w:t> </w:t>
      </w:r>
      <w:r>
        <w:rPr/>
        <w:t>the</w:t>
      </w:r>
    </w:p>
    <w:p>
      <w:pPr>
        <w:pStyle w:val="BodyText"/>
        <w:spacing w:before="9"/>
      </w:pPr>
      <w:r>
        <w:rPr/>
        <w:br w:type="column"/>
      </w:r>
      <w:r>
        <w:rPr/>
      </w:r>
    </w:p>
    <w:p>
      <w:pPr>
        <w:pStyle w:val="BodyText"/>
        <w:spacing w:line="249" w:lineRule="auto" w:before="1"/>
        <w:ind w:left="107" w:right="282"/>
      </w:pPr>
      <w:r>
        <w:rPr/>
        <w:t>University one of the first Callista clients to seek a replacement.</w:t>
      </w:r>
    </w:p>
    <w:p>
      <w:pPr>
        <w:pStyle w:val="BodyText"/>
        <w:rPr>
          <w:sz w:val="14"/>
        </w:rPr>
      </w:pPr>
    </w:p>
    <w:p>
      <w:pPr>
        <w:pStyle w:val="BodyText"/>
        <w:spacing w:line="242" w:lineRule="auto"/>
        <w:ind w:left="107" w:right="121"/>
      </w:pPr>
      <w:r>
        <w:rPr>
          <w:rFonts w:ascii="Calibri" w:hAnsi="Calibri"/>
        </w:rPr>
        <w:t>Upgrades and improvements </w:t>
      </w:r>
      <w:r>
        <w:rPr/>
        <w:t>– We upgraded Callista, Alesco and the Blackboard Learning </w:t>
      </w:r>
      <w:r>
        <w:rPr>
          <w:w w:val="97"/>
        </w:rPr>
        <w:t>Management </w:t>
      </w:r>
      <w:r>
        <w:rPr>
          <w:w w:val="98"/>
        </w:rPr>
        <w:t>System </w:t>
      </w:r>
      <w:r>
        <w:rPr>
          <w:w w:val="99"/>
        </w:rPr>
        <w:t>(vUWS) </w:t>
      </w:r>
      <w:r>
        <w:rPr>
          <w:w w:val="95"/>
        </w:rPr>
        <w:t>in </w:t>
      </w:r>
      <w:r>
        <w:rPr>
          <w:w w:val="84"/>
        </w:rPr>
        <w:t>2015. </w:t>
      </w:r>
      <w:r>
        <w:rPr>
          <w:w w:val="100"/>
        </w:rPr>
        <w:t>We</w:t>
      </w:r>
    </w:p>
    <w:p>
      <w:pPr>
        <w:pStyle w:val="BodyText"/>
        <w:spacing w:line="249" w:lineRule="auto" w:before="5"/>
        <w:ind w:left="107" w:right="122"/>
      </w:pPr>
      <w:r>
        <w:rPr/>
        <w:t>also established Internet Explorer </w:t>
      </w:r>
      <w:r>
        <w:rPr>
          <w:w w:val="95"/>
        </w:rPr>
        <w:t>11 </w:t>
      </w:r>
      <w:r>
        <w:rPr/>
        <w:t>as the standard desktop browser, allowing staff and students more seamless access to websites. In addition, we moved our disaster recovery datacentre from an on-campus location to</w:t>
      </w:r>
    </w:p>
    <w:p>
      <w:pPr>
        <w:pStyle w:val="BodyText"/>
        <w:spacing w:line="249" w:lineRule="auto"/>
        <w:ind w:left="107" w:right="306"/>
      </w:pPr>
      <w:r>
        <w:rPr/>
        <w:t>a commercial provider, consistent with the </w:t>
      </w:r>
      <w:r>
        <w:rPr>
          <w:w w:val="99"/>
        </w:rPr>
        <w:t>production </w:t>
      </w:r>
      <w:r>
        <w:rPr>
          <w:w w:val="98"/>
        </w:rPr>
        <w:t>centre </w:t>
      </w:r>
      <w:r>
        <w:rPr>
          <w:w w:val="98"/>
        </w:rPr>
        <w:t>relocation </w:t>
      </w:r>
      <w:r>
        <w:rPr>
          <w:w w:val="95"/>
        </w:rPr>
        <w:t>in </w:t>
      </w:r>
      <w:r>
        <w:rPr>
          <w:w w:val="84"/>
        </w:rPr>
        <w:t>2013.</w:t>
      </w:r>
    </w:p>
    <w:p>
      <w:pPr>
        <w:pStyle w:val="BodyText"/>
        <w:rPr>
          <w:sz w:val="14"/>
        </w:rPr>
      </w:pPr>
    </w:p>
    <w:p>
      <w:pPr>
        <w:pStyle w:val="BodyText"/>
        <w:spacing w:line="244" w:lineRule="auto"/>
        <w:ind w:left="107" w:right="195"/>
      </w:pPr>
      <w:r>
        <w:rPr>
          <w:rFonts w:ascii="Calibri" w:hAnsi="Calibri"/>
        </w:rPr>
        <w:t>Western Central </w:t>
      </w:r>
      <w:r>
        <w:rPr/>
        <w:t>– The default student </w:t>
      </w:r>
      <w:r>
        <w:rPr>
          <w:spacing w:val="2"/>
        </w:rPr>
        <w:t>portal </w:t>
      </w:r>
      <w:r>
        <w:rPr/>
        <w:t>was transitioned to the platform previously known</w:t>
      </w:r>
      <w:r>
        <w:rPr>
          <w:spacing w:val="-12"/>
        </w:rPr>
        <w:t> </w:t>
      </w:r>
      <w:r>
        <w:rPr/>
        <w:t>as</w:t>
      </w:r>
      <w:r>
        <w:rPr>
          <w:spacing w:val="-12"/>
        </w:rPr>
        <w:t> </w:t>
      </w:r>
      <w:r>
        <w:rPr/>
        <w:t>Cube</w:t>
      </w:r>
      <w:r>
        <w:rPr>
          <w:spacing w:val="-12"/>
        </w:rPr>
        <w:t> </w:t>
      </w:r>
      <w:r>
        <w:rPr/>
        <w:t>or</w:t>
      </w:r>
      <w:r>
        <w:rPr>
          <w:spacing w:val="-12"/>
        </w:rPr>
        <w:t> </w:t>
      </w:r>
      <w:r>
        <w:rPr>
          <w:spacing w:val="2"/>
        </w:rPr>
        <w:t>MyC</w:t>
      </w:r>
      <w:r>
        <w:rPr>
          <w:spacing w:val="2"/>
          <w:position w:val="5"/>
          <w:sz w:val="9"/>
        </w:rPr>
        <w:t>3</w:t>
      </w:r>
      <w:r>
        <w:rPr>
          <w:spacing w:val="2"/>
        </w:rPr>
        <w:t>.</w:t>
      </w:r>
      <w:r>
        <w:rPr>
          <w:spacing w:val="-12"/>
        </w:rPr>
        <w:t> </w:t>
      </w:r>
      <w:r>
        <w:rPr/>
        <w:t>Students</w:t>
      </w:r>
      <w:r>
        <w:rPr>
          <w:spacing w:val="-12"/>
        </w:rPr>
        <w:t> </w:t>
      </w:r>
      <w:r>
        <w:rPr/>
        <w:t>now</w:t>
      </w:r>
      <w:r>
        <w:rPr>
          <w:spacing w:val="-12"/>
        </w:rPr>
        <w:t> </w:t>
      </w:r>
      <w:r>
        <w:rPr/>
        <w:t>have a</w:t>
      </w:r>
      <w:r>
        <w:rPr>
          <w:spacing w:val="-13"/>
        </w:rPr>
        <w:t> </w:t>
      </w:r>
      <w:r>
        <w:rPr/>
        <w:t>more</w:t>
      </w:r>
      <w:r>
        <w:rPr>
          <w:spacing w:val="-13"/>
        </w:rPr>
        <w:t> </w:t>
      </w:r>
      <w:r>
        <w:rPr/>
        <w:t>contemporary</w:t>
      </w:r>
      <w:r>
        <w:rPr>
          <w:spacing w:val="-13"/>
        </w:rPr>
        <w:t> </w:t>
      </w:r>
      <w:r>
        <w:rPr/>
        <w:t>service</w:t>
      </w:r>
      <w:r>
        <w:rPr>
          <w:spacing w:val="-13"/>
        </w:rPr>
        <w:t> </w:t>
      </w:r>
      <w:r>
        <w:rPr/>
        <w:t>from</w:t>
      </w:r>
      <w:r>
        <w:rPr>
          <w:spacing w:val="-13"/>
        </w:rPr>
        <w:t> </w:t>
      </w:r>
      <w:r>
        <w:rPr/>
        <w:t>which</w:t>
      </w:r>
      <w:r>
        <w:rPr>
          <w:spacing w:val="-13"/>
        </w:rPr>
        <w:t> </w:t>
      </w:r>
      <w:r>
        <w:rPr/>
        <w:t>to</w:t>
      </w:r>
    </w:p>
    <w:p>
      <w:pPr>
        <w:pStyle w:val="BodyText"/>
        <w:spacing w:line="249" w:lineRule="auto" w:before="3"/>
        <w:ind w:left="107" w:right="122"/>
      </w:pPr>
      <w:r>
        <w:rPr/>
        <w:t>access</w:t>
      </w:r>
      <w:r>
        <w:rPr>
          <w:spacing w:val="-22"/>
        </w:rPr>
        <w:t> </w:t>
      </w:r>
      <w:r>
        <w:rPr/>
        <w:t>their</w:t>
      </w:r>
      <w:r>
        <w:rPr>
          <w:spacing w:val="-22"/>
        </w:rPr>
        <w:t> </w:t>
      </w:r>
      <w:r>
        <w:rPr/>
        <w:t>core</w:t>
      </w:r>
      <w:r>
        <w:rPr>
          <w:spacing w:val="-22"/>
        </w:rPr>
        <w:t> </w:t>
      </w:r>
      <w:r>
        <w:rPr>
          <w:spacing w:val="2"/>
        </w:rPr>
        <w:t>services,</w:t>
      </w:r>
      <w:r>
        <w:rPr>
          <w:spacing w:val="-22"/>
        </w:rPr>
        <w:t> </w:t>
      </w:r>
      <w:r>
        <w:rPr/>
        <w:t>create</w:t>
      </w:r>
      <w:r>
        <w:rPr>
          <w:spacing w:val="-22"/>
        </w:rPr>
        <w:t> </w:t>
      </w:r>
      <w:r>
        <w:rPr/>
        <w:t>and</w:t>
      </w:r>
      <w:r>
        <w:rPr>
          <w:spacing w:val="-22"/>
        </w:rPr>
        <w:t> </w:t>
      </w:r>
      <w:r>
        <w:rPr/>
        <w:t>maintain digital workbooks and keep up to date with notifications, news and events from around </w:t>
      </w:r>
      <w:r>
        <w:rPr>
          <w:w w:val="95"/>
        </w:rPr>
        <w:t>the</w:t>
      </w:r>
      <w:r>
        <w:rPr>
          <w:spacing w:val="12"/>
          <w:w w:val="95"/>
        </w:rPr>
        <w:t> </w:t>
      </w:r>
      <w:r>
        <w:rPr>
          <w:w w:val="95"/>
        </w:rPr>
        <w:t>University.</w:t>
      </w:r>
    </w:p>
    <w:p>
      <w:pPr>
        <w:pStyle w:val="BodyText"/>
        <w:rPr>
          <w:sz w:val="14"/>
        </w:rPr>
      </w:pPr>
    </w:p>
    <w:p>
      <w:pPr>
        <w:pStyle w:val="BodyText"/>
        <w:spacing w:line="244" w:lineRule="auto"/>
        <w:ind w:left="107" w:right="299"/>
        <w:jc w:val="both"/>
      </w:pPr>
      <w:r>
        <w:rPr>
          <w:rFonts w:ascii="Calibri" w:hAnsi="Calibri"/>
          <w:spacing w:val="2"/>
        </w:rPr>
        <w:t>Rebranding </w:t>
      </w:r>
      <w:r>
        <w:rPr/>
        <w:t>– This campaign affects almost every</w:t>
      </w:r>
      <w:r>
        <w:rPr>
          <w:spacing w:val="-18"/>
        </w:rPr>
        <w:t> </w:t>
      </w:r>
      <w:r>
        <w:rPr/>
        <w:t>digital</w:t>
      </w:r>
      <w:r>
        <w:rPr>
          <w:spacing w:val="-18"/>
        </w:rPr>
        <w:t> </w:t>
      </w:r>
      <w:r>
        <w:rPr/>
        <w:t>asset</w:t>
      </w:r>
      <w:r>
        <w:rPr>
          <w:spacing w:val="-18"/>
        </w:rPr>
        <w:t> </w:t>
      </w:r>
      <w:r>
        <w:rPr/>
        <w:t>in</w:t>
      </w:r>
      <w:r>
        <w:rPr>
          <w:spacing w:val="-18"/>
        </w:rPr>
        <w:t> </w:t>
      </w:r>
      <w:r>
        <w:rPr/>
        <w:t>the</w:t>
      </w:r>
      <w:r>
        <w:rPr>
          <w:spacing w:val="-18"/>
        </w:rPr>
        <w:t> </w:t>
      </w:r>
      <w:r>
        <w:rPr/>
        <w:t>portfolio.</w:t>
      </w:r>
      <w:r>
        <w:rPr>
          <w:spacing w:val="-18"/>
        </w:rPr>
        <w:t> </w:t>
      </w:r>
      <w:r>
        <w:rPr/>
        <w:t>Initially</w:t>
      </w:r>
      <w:r>
        <w:rPr>
          <w:spacing w:val="-18"/>
        </w:rPr>
        <w:t> </w:t>
      </w:r>
      <w:r>
        <w:rPr/>
        <w:t>it focused</w:t>
      </w:r>
      <w:r>
        <w:rPr>
          <w:spacing w:val="-16"/>
        </w:rPr>
        <w:t> </w:t>
      </w:r>
      <w:r>
        <w:rPr/>
        <w:t>on</w:t>
      </w:r>
      <w:r>
        <w:rPr>
          <w:spacing w:val="-16"/>
        </w:rPr>
        <w:t> </w:t>
      </w:r>
      <w:r>
        <w:rPr/>
        <w:t>public-facing</w:t>
      </w:r>
      <w:r>
        <w:rPr>
          <w:spacing w:val="-16"/>
        </w:rPr>
        <w:t> </w:t>
      </w:r>
      <w:r>
        <w:rPr>
          <w:spacing w:val="2"/>
        </w:rPr>
        <w:t>services,</w:t>
      </w:r>
      <w:r>
        <w:rPr>
          <w:spacing w:val="-16"/>
        </w:rPr>
        <w:t> </w:t>
      </w:r>
      <w:r>
        <w:rPr/>
        <w:t>followed by</w:t>
      </w:r>
      <w:r>
        <w:rPr>
          <w:spacing w:val="-16"/>
        </w:rPr>
        <w:t> </w:t>
      </w:r>
      <w:r>
        <w:rPr/>
        <w:t>those</w:t>
      </w:r>
      <w:r>
        <w:rPr>
          <w:spacing w:val="-16"/>
        </w:rPr>
        <w:t> </w:t>
      </w:r>
      <w:r>
        <w:rPr/>
        <w:t>used</w:t>
      </w:r>
      <w:r>
        <w:rPr>
          <w:spacing w:val="-16"/>
        </w:rPr>
        <w:t> </w:t>
      </w:r>
      <w:r>
        <w:rPr/>
        <w:t>by</w:t>
      </w:r>
      <w:r>
        <w:rPr>
          <w:spacing w:val="-16"/>
        </w:rPr>
        <w:t> </w:t>
      </w:r>
      <w:r>
        <w:rPr/>
        <w:t>students.</w:t>
      </w:r>
      <w:r>
        <w:rPr>
          <w:spacing w:val="-16"/>
        </w:rPr>
        <w:t> </w:t>
      </w:r>
      <w:r>
        <w:rPr/>
        <w:t>The</w:t>
      </w:r>
      <w:r>
        <w:rPr>
          <w:spacing w:val="-16"/>
        </w:rPr>
        <w:t> </w:t>
      </w:r>
      <w:r>
        <w:rPr/>
        <w:t>updating</w:t>
      </w:r>
    </w:p>
    <w:p>
      <w:pPr>
        <w:pStyle w:val="BodyText"/>
        <w:spacing w:line="249" w:lineRule="auto" w:before="3"/>
        <w:ind w:left="107" w:right="432"/>
      </w:pPr>
      <w:r>
        <w:rPr/>
        <w:t>of</w:t>
      </w:r>
      <w:r>
        <w:rPr>
          <w:spacing w:val="-16"/>
        </w:rPr>
        <w:t> </w:t>
      </w:r>
      <w:r>
        <w:rPr/>
        <w:t>assets</w:t>
      </w:r>
      <w:r>
        <w:rPr>
          <w:spacing w:val="-16"/>
        </w:rPr>
        <w:t> </w:t>
      </w:r>
      <w:r>
        <w:rPr/>
        <w:t>used</w:t>
      </w:r>
      <w:r>
        <w:rPr>
          <w:spacing w:val="-16"/>
        </w:rPr>
        <w:t> </w:t>
      </w:r>
      <w:r>
        <w:rPr/>
        <w:t>by</w:t>
      </w:r>
      <w:r>
        <w:rPr>
          <w:spacing w:val="-16"/>
        </w:rPr>
        <w:t> </w:t>
      </w:r>
      <w:r>
        <w:rPr/>
        <w:t>staff</w:t>
      </w:r>
      <w:r>
        <w:rPr>
          <w:spacing w:val="-16"/>
        </w:rPr>
        <w:t> </w:t>
      </w:r>
      <w:r>
        <w:rPr/>
        <w:t>has</w:t>
      </w:r>
      <w:r>
        <w:rPr>
          <w:spacing w:val="-16"/>
        </w:rPr>
        <w:t> </w:t>
      </w:r>
      <w:r>
        <w:rPr/>
        <w:t>begun,</w:t>
      </w:r>
      <w:r>
        <w:rPr>
          <w:spacing w:val="-16"/>
        </w:rPr>
        <w:t> </w:t>
      </w:r>
      <w:r>
        <w:rPr/>
        <w:t>but</w:t>
      </w:r>
      <w:r>
        <w:rPr>
          <w:spacing w:val="-16"/>
        </w:rPr>
        <w:t> </w:t>
      </w:r>
      <w:r>
        <w:rPr/>
        <w:t>this </w:t>
      </w:r>
      <w:r>
        <w:rPr>
          <w:spacing w:val="1"/>
          <w:w w:val="96"/>
        </w:rPr>
        <w:t>project</w:t>
      </w:r>
      <w:r>
        <w:rPr>
          <w:w w:val="96"/>
        </w:rPr>
        <w:t> </w:t>
      </w:r>
      <w:r>
        <w:rPr>
          <w:w w:val="97"/>
        </w:rPr>
        <w:t>will </w:t>
      </w:r>
      <w:r>
        <w:rPr>
          <w:w w:val="98"/>
        </w:rPr>
        <w:t>continue </w:t>
      </w:r>
      <w:r>
        <w:rPr>
          <w:spacing w:val="-1"/>
          <w:w w:val="98"/>
        </w:rPr>
        <w:t>into</w:t>
      </w:r>
      <w:r>
        <w:rPr>
          <w:spacing w:val="-15"/>
          <w:w w:val="98"/>
        </w:rPr>
        <w:t> </w:t>
      </w:r>
      <w:r>
        <w:rPr>
          <w:spacing w:val="2"/>
          <w:w w:val="85"/>
        </w:rPr>
        <w:t>2016.</w:t>
      </w:r>
    </w:p>
    <w:p>
      <w:pPr>
        <w:pStyle w:val="BodyText"/>
        <w:rPr>
          <w:sz w:val="14"/>
        </w:rPr>
      </w:pPr>
    </w:p>
    <w:p>
      <w:pPr>
        <w:pStyle w:val="BodyText"/>
        <w:spacing w:line="247" w:lineRule="auto"/>
        <w:ind w:left="107" w:right="121"/>
      </w:pPr>
      <w:r>
        <w:rPr>
          <w:rFonts w:ascii="Calibri" w:hAnsi="Calibri"/>
        </w:rPr>
        <w:t>Service and culture </w:t>
      </w:r>
      <w:r>
        <w:rPr/>
        <w:t>– The ongoing focus on improving our services and establishing the right proactive culture has continued. The fourth</w:t>
      </w:r>
      <w:r>
        <w:rPr>
          <w:spacing w:val="-14"/>
        </w:rPr>
        <w:t> </w:t>
      </w:r>
      <w:r>
        <w:rPr/>
        <w:t>year</w:t>
      </w:r>
      <w:r>
        <w:rPr>
          <w:spacing w:val="-14"/>
        </w:rPr>
        <w:t> </w:t>
      </w:r>
      <w:r>
        <w:rPr/>
        <w:t>of</w:t>
      </w:r>
      <w:r>
        <w:rPr>
          <w:spacing w:val="-14"/>
        </w:rPr>
        <w:t> </w:t>
      </w:r>
      <w:r>
        <w:rPr/>
        <w:t>our</w:t>
      </w:r>
      <w:r>
        <w:rPr>
          <w:spacing w:val="-14"/>
        </w:rPr>
        <w:t> </w:t>
      </w:r>
      <w:r>
        <w:rPr/>
        <w:t>sector-wide</w:t>
      </w:r>
      <w:r>
        <w:rPr>
          <w:spacing w:val="-14"/>
        </w:rPr>
        <w:t> </w:t>
      </w:r>
      <w:r>
        <w:rPr/>
        <w:t>benchmarking survey</w:t>
      </w:r>
      <w:r>
        <w:rPr>
          <w:spacing w:val="-19"/>
        </w:rPr>
        <w:t> </w:t>
      </w:r>
      <w:r>
        <w:rPr/>
        <w:t>has</w:t>
      </w:r>
      <w:r>
        <w:rPr>
          <w:spacing w:val="-19"/>
        </w:rPr>
        <w:t> </w:t>
      </w:r>
      <w:r>
        <w:rPr/>
        <w:t>shown</w:t>
      </w:r>
      <w:r>
        <w:rPr>
          <w:spacing w:val="-19"/>
        </w:rPr>
        <w:t> </w:t>
      </w:r>
      <w:r>
        <w:rPr/>
        <w:t>another</w:t>
      </w:r>
      <w:r>
        <w:rPr>
          <w:spacing w:val="-19"/>
        </w:rPr>
        <w:t> </w:t>
      </w:r>
      <w:r>
        <w:rPr/>
        <w:t>increase</w:t>
      </w:r>
      <w:r>
        <w:rPr>
          <w:spacing w:val="-19"/>
        </w:rPr>
        <w:t> </w:t>
      </w:r>
      <w:r>
        <w:rPr/>
        <w:t>in</w:t>
      </w:r>
      <w:r>
        <w:rPr>
          <w:spacing w:val="-19"/>
        </w:rPr>
        <w:t> </w:t>
      </w:r>
      <w:r>
        <w:rPr/>
        <w:t>overall student</w:t>
      </w:r>
      <w:r>
        <w:rPr>
          <w:spacing w:val="-23"/>
        </w:rPr>
        <w:t> </w:t>
      </w:r>
      <w:r>
        <w:rPr/>
        <w:t>satisfaction</w:t>
      </w:r>
      <w:r>
        <w:rPr>
          <w:spacing w:val="-23"/>
        </w:rPr>
        <w:t> </w:t>
      </w:r>
      <w:r>
        <w:rPr/>
        <w:t>with</w:t>
      </w:r>
      <w:r>
        <w:rPr>
          <w:spacing w:val="-23"/>
        </w:rPr>
        <w:t> </w:t>
      </w:r>
      <w:r>
        <w:rPr/>
        <w:t>our</w:t>
      </w:r>
      <w:r>
        <w:rPr>
          <w:spacing w:val="-23"/>
        </w:rPr>
        <w:t> </w:t>
      </w:r>
      <w:r>
        <w:rPr/>
        <w:t>IT</w:t>
      </w:r>
      <w:r>
        <w:rPr>
          <w:spacing w:val="-23"/>
        </w:rPr>
        <w:t> </w:t>
      </w:r>
      <w:r>
        <w:rPr>
          <w:spacing w:val="2"/>
        </w:rPr>
        <w:t>services.</w:t>
      </w:r>
      <w:r>
        <w:rPr>
          <w:spacing w:val="-23"/>
        </w:rPr>
        <w:t> </w:t>
      </w:r>
      <w:r>
        <w:rPr/>
        <w:t>Staff satisfaction</w:t>
      </w:r>
      <w:r>
        <w:rPr>
          <w:spacing w:val="-16"/>
        </w:rPr>
        <w:t> </w:t>
      </w:r>
      <w:r>
        <w:rPr/>
        <w:t>is</w:t>
      </w:r>
      <w:r>
        <w:rPr>
          <w:spacing w:val="-16"/>
        </w:rPr>
        <w:t> </w:t>
      </w:r>
      <w:r>
        <w:rPr/>
        <w:t>also</w:t>
      </w:r>
      <w:r>
        <w:rPr>
          <w:spacing w:val="-16"/>
        </w:rPr>
        <w:t> </w:t>
      </w:r>
      <w:r>
        <w:rPr/>
        <w:t>high,</w:t>
      </w:r>
      <w:r>
        <w:rPr>
          <w:spacing w:val="-16"/>
        </w:rPr>
        <w:t> </w:t>
      </w:r>
      <w:r>
        <w:rPr/>
        <w:t>however</w:t>
      </w:r>
      <w:r>
        <w:rPr>
          <w:spacing w:val="-16"/>
        </w:rPr>
        <w:t> </w:t>
      </w:r>
      <w:r>
        <w:rPr/>
        <w:t>we</w:t>
      </w:r>
      <w:r>
        <w:rPr>
          <w:spacing w:val="-16"/>
        </w:rPr>
        <w:t> </w:t>
      </w:r>
      <w:r>
        <w:rPr/>
        <w:t>need</w:t>
      </w:r>
      <w:r>
        <w:rPr>
          <w:spacing w:val="-16"/>
        </w:rPr>
        <w:t> </w:t>
      </w:r>
      <w:r>
        <w:rPr/>
        <w:t>to increase</w:t>
      </w:r>
      <w:r>
        <w:rPr>
          <w:spacing w:val="-22"/>
        </w:rPr>
        <w:t> </w:t>
      </w:r>
      <w:r>
        <w:rPr/>
        <w:t>our</w:t>
      </w:r>
      <w:r>
        <w:rPr>
          <w:spacing w:val="-22"/>
        </w:rPr>
        <w:t> </w:t>
      </w:r>
      <w:r>
        <w:rPr/>
        <w:t>focus</w:t>
      </w:r>
      <w:r>
        <w:rPr>
          <w:spacing w:val="-22"/>
        </w:rPr>
        <w:t> </w:t>
      </w:r>
      <w:r>
        <w:rPr/>
        <w:t>in</w:t>
      </w:r>
      <w:r>
        <w:rPr>
          <w:spacing w:val="-22"/>
        </w:rPr>
        <w:t> </w:t>
      </w:r>
      <w:r>
        <w:rPr/>
        <w:t>this</w:t>
      </w:r>
      <w:r>
        <w:rPr>
          <w:spacing w:val="-22"/>
        </w:rPr>
        <w:t> </w:t>
      </w:r>
      <w:r>
        <w:rPr/>
        <w:t>area.</w:t>
      </w:r>
    </w:p>
    <w:p>
      <w:pPr>
        <w:pStyle w:val="BodyText"/>
        <w:spacing w:before="2"/>
        <w:rPr>
          <w:sz w:val="14"/>
        </w:rPr>
      </w:pPr>
    </w:p>
    <w:p>
      <w:pPr>
        <w:pStyle w:val="BodyText"/>
        <w:spacing w:line="249" w:lineRule="auto"/>
        <w:ind w:left="107" w:right="34"/>
      </w:pPr>
      <w:r>
        <w:rPr/>
        <w:t>The ITDS project pipeline contains more than </w:t>
      </w:r>
      <w:r>
        <w:rPr>
          <w:w w:val="106"/>
        </w:rPr>
        <w:t>90 </w:t>
      </w:r>
      <w:r>
        <w:rPr>
          <w:w w:val="97"/>
        </w:rPr>
        <w:t>initiatives </w:t>
      </w:r>
      <w:r>
        <w:rPr>
          <w:w w:val="98"/>
        </w:rPr>
        <w:t>that </w:t>
      </w:r>
      <w:r>
        <w:rPr>
          <w:w w:val="97"/>
        </w:rPr>
        <w:t>will </w:t>
      </w:r>
      <w:r>
        <w:rPr>
          <w:w w:val="96"/>
        </w:rPr>
        <w:t>either </w:t>
      </w:r>
      <w:r>
        <w:rPr>
          <w:w w:val="99"/>
        </w:rPr>
        <w:t>be </w:t>
      </w:r>
      <w:r>
        <w:rPr>
          <w:w w:val="98"/>
        </w:rPr>
        <w:t>started </w:t>
      </w:r>
      <w:r>
        <w:rPr>
          <w:w w:val="95"/>
        </w:rPr>
        <w:t>in </w:t>
      </w:r>
      <w:r>
        <w:rPr>
          <w:w w:val="90"/>
        </w:rPr>
        <w:t>2016 </w:t>
      </w:r>
      <w:r>
        <w:rPr/>
        <w:t>or await further funding and prioritisation.</w:t>
      </w:r>
    </w:p>
    <w:p>
      <w:pPr>
        <w:pStyle w:val="BodyText"/>
        <w:spacing w:line="249" w:lineRule="auto"/>
        <w:ind w:left="107" w:right="196"/>
      </w:pPr>
      <w:r>
        <w:rPr/>
        <w:t>In conjunction with the day-to-day activities that form such a fundamental part of our operations, ITDS has achieved significant </w:t>
      </w:r>
      <w:r>
        <w:rPr>
          <w:w w:val="98"/>
        </w:rPr>
        <w:t>outcomes </w:t>
      </w:r>
      <w:r>
        <w:rPr>
          <w:w w:val="95"/>
        </w:rPr>
        <w:t>in </w:t>
      </w:r>
      <w:r>
        <w:rPr>
          <w:w w:val="88"/>
        </w:rPr>
        <w:t>2015 </w:t>
      </w:r>
      <w:r>
        <w:rPr>
          <w:w w:val="97"/>
        </w:rPr>
        <w:t>and </w:t>
      </w:r>
      <w:r>
        <w:rPr>
          <w:w w:val="97"/>
        </w:rPr>
        <w:t>hopes </w:t>
      </w:r>
      <w:r>
        <w:rPr>
          <w:w w:val="101"/>
        </w:rPr>
        <w:t>to </w:t>
      </w:r>
      <w:r>
        <w:rPr>
          <w:w w:val="98"/>
        </w:rPr>
        <w:t>build </w:t>
      </w:r>
      <w:r>
        <w:rPr>
          <w:w w:val="98"/>
        </w:rPr>
        <w:t>on </w:t>
      </w:r>
      <w:r>
        <w:rPr>
          <w:w w:val="97"/>
        </w:rPr>
        <w:t>this </w:t>
      </w:r>
      <w:r>
        <w:rPr/>
        <w:t>momentum in the future.</w:t>
      </w:r>
    </w:p>
    <w:p>
      <w:pPr>
        <w:pStyle w:val="BodyText"/>
        <w:spacing w:before="6"/>
        <w:rPr>
          <w:sz w:val="22"/>
        </w:rPr>
      </w:pPr>
    </w:p>
    <w:p>
      <w:pPr>
        <w:pStyle w:val="Heading5"/>
        <w:ind w:left="158" w:right="287"/>
      </w:pPr>
      <w:r>
        <w:rPr>
          <w:w w:val="95"/>
        </w:rPr>
        <w:t>OFFICE OF FINANCE</w:t>
      </w:r>
    </w:p>
    <w:p>
      <w:pPr>
        <w:pStyle w:val="BodyText"/>
        <w:spacing w:line="249" w:lineRule="auto" w:before="209"/>
        <w:ind w:left="107" w:right="165"/>
      </w:pPr>
      <w:r>
        <w:rPr/>
        <w:t>The Office of Finance oversees the University’s financial performance and ongoing financial sustainability. It does this by aligning the University’s financial systems</w:t>
      </w:r>
    </w:p>
    <w:p>
      <w:pPr>
        <w:spacing w:after="0" w:line="249" w:lineRule="auto"/>
        <w:sectPr>
          <w:type w:val="continuous"/>
          <w:pgSz w:w="11910" w:h="16840"/>
          <w:pgMar w:top="1580" w:bottom="280" w:left="800" w:right="800"/>
          <w:cols w:num="3" w:equalWidth="0">
            <w:col w:w="3318" w:space="121"/>
            <w:col w:w="3320" w:space="119"/>
            <w:col w:w="3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1"/>
        <w:rPr>
          <w:sz w:val="20"/>
        </w:rPr>
      </w:pPr>
    </w:p>
    <w:p>
      <w:pPr>
        <w:pStyle w:val="BodyText"/>
        <w:spacing w:line="247" w:lineRule="auto" w:before="1"/>
        <w:ind w:left="107" w:right="22"/>
      </w:pPr>
      <w:r>
        <w:rPr/>
        <w:t>and frameworks to the </w:t>
      </w:r>
      <w:r>
        <w:rPr>
          <w:rFonts w:ascii="Century Gothic"/>
          <w:i/>
        </w:rPr>
        <w:t>Securing Success </w:t>
      </w:r>
      <w:r>
        <w:rPr/>
        <w:t>strategic plan to build a competitive, efficient and financially sustainable organisation. Key drivers and functions include developing quarterly forecasts and annual budgets; monitoring finances monthly and reporting on performance; providing audited annual financial statements; managing Treasury, taxation, insurance, assets and travel; and providing daily financial transactions and advice supporting the Schools, Divisions and entity operations.</w:t>
      </w:r>
    </w:p>
    <w:p>
      <w:pPr>
        <w:pStyle w:val="BodyText"/>
        <w:spacing w:before="2"/>
        <w:rPr>
          <w:sz w:val="14"/>
        </w:rPr>
      </w:pPr>
    </w:p>
    <w:p>
      <w:pPr>
        <w:pStyle w:val="BodyText"/>
        <w:spacing w:line="249" w:lineRule="auto"/>
        <w:ind w:left="107" w:right="90"/>
      </w:pPr>
      <w:r>
        <w:rPr>
          <w:w w:val="100"/>
        </w:rPr>
        <w:t>Key </w:t>
      </w:r>
      <w:r>
        <w:rPr>
          <w:w w:val="97"/>
        </w:rPr>
        <w:t>achievements </w:t>
      </w:r>
      <w:r>
        <w:rPr>
          <w:w w:val="95"/>
        </w:rPr>
        <w:t>in </w:t>
      </w:r>
      <w:r>
        <w:rPr>
          <w:w w:val="88"/>
        </w:rPr>
        <w:t>2015 </w:t>
      </w:r>
      <w:r>
        <w:rPr>
          <w:w w:val="98"/>
        </w:rPr>
        <w:t>included </w:t>
      </w:r>
      <w:r>
        <w:rPr>
          <w:w w:val="98"/>
        </w:rPr>
        <w:t>migrating </w:t>
      </w:r>
      <w:r>
        <w:rPr/>
        <w:t>the core financial system (Oracle) to an externally hosted environment; improving performance and reducing operational risk; realigning and consolidating the Office of Finance into core functional areas as part</w:t>
      </w:r>
    </w:p>
    <w:p>
      <w:pPr>
        <w:pStyle w:val="BodyText"/>
        <w:spacing w:line="249" w:lineRule="auto"/>
        <w:ind w:left="107" w:right="32"/>
      </w:pPr>
      <w:r>
        <w:rPr/>
        <w:t>of the Divisional Services and Processes Assessment (DSPA); performing a successful </w:t>
      </w:r>
      <w:r>
        <w:rPr>
          <w:w w:val="90"/>
        </w:rPr>
        <w:t>2014 </w:t>
      </w:r>
      <w:r>
        <w:rPr>
          <w:w w:val="97"/>
        </w:rPr>
        <w:t>year-end </w:t>
      </w:r>
      <w:r>
        <w:rPr>
          <w:w w:val="98"/>
        </w:rPr>
        <w:t>audit </w:t>
      </w:r>
      <w:r>
        <w:rPr>
          <w:w w:val="97"/>
        </w:rPr>
        <w:t>including </w:t>
      </w:r>
      <w:r>
        <w:rPr>
          <w:w w:val="95"/>
        </w:rPr>
        <w:t>an </w:t>
      </w:r>
      <w:r>
        <w:rPr>
          <w:w w:val="98"/>
        </w:rPr>
        <w:t>unmodified </w:t>
      </w:r>
      <w:r>
        <w:rPr/>
        <w:t>audit opinion; introducing online financial dashboard reporting; and commissioning a more efficient vehicle booking system.</w:t>
      </w:r>
    </w:p>
    <w:p>
      <w:pPr>
        <w:pStyle w:val="BodyText"/>
      </w:pPr>
    </w:p>
    <w:p>
      <w:pPr>
        <w:pStyle w:val="Heading5"/>
        <w:spacing w:line="260" w:lineRule="exact" w:before="101"/>
        <w:ind w:right="29"/>
      </w:pPr>
      <w:r>
        <w:rPr>
          <w:spacing w:val="-3"/>
          <w:w w:val="95"/>
        </w:rPr>
        <w:t>OFFICE </w:t>
      </w:r>
      <w:r>
        <w:rPr>
          <w:w w:val="95"/>
        </w:rPr>
        <w:t>OF </w:t>
      </w:r>
      <w:r>
        <w:rPr>
          <w:spacing w:val="-3"/>
          <w:w w:val="95"/>
        </w:rPr>
        <w:t>COMMERCIAL </w:t>
      </w:r>
      <w:r>
        <w:rPr>
          <w:w w:val="95"/>
        </w:rPr>
        <w:t>AND </w:t>
      </w:r>
      <w:r>
        <w:rPr>
          <w:spacing w:val="-8"/>
          <w:w w:val="95"/>
        </w:rPr>
        <w:t>ESTATE </w:t>
      </w:r>
      <w:r>
        <w:rPr>
          <w:w w:val="95"/>
        </w:rPr>
        <w:t>PLANNING</w:t>
      </w:r>
    </w:p>
    <w:p>
      <w:pPr>
        <w:pStyle w:val="BodyText"/>
        <w:spacing w:line="249" w:lineRule="auto" w:before="214"/>
        <w:ind w:left="107" w:right="42"/>
      </w:pPr>
      <w:r>
        <w:rPr/>
        <w:t>The</w:t>
      </w:r>
      <w:r>
        <w:rPr>
          <w:spacing w:val="-15"/>
        </w:rPr>
        <w:t> </w:t>
      </w:r>
      <w:r>
        <w:rPr/>
        <w:t>Office</w:t>
      </w:r>
      <w:r>
        <w:rPr>
          <w:spacing w:val="-15"/>
        </w:rPr>
        <w:t> </w:t>
      </w:r>
      <w:r>
        <w:rPr/>
        <w:t>of</w:t>
      </w:r>
      <w:r>
        <w:rPr>
          <w:spacing w:val="-15"/>
        </w:rPr>
        <w:t> </w:t>
      </w:r>
      <w:r>
        <w:rPr/>
        <w:t>Commercial</w:t>
      </w:r>
      <w:r>
        <w:rPr>
          <w:spacing w:val="-15"/>
        </w:rPr>
        <w:t> </w:t>
      </w:r>
      <w:r>
        <w:rPr/>
        <w:t>and</w:t>
      </w:r>
      <w:r>
        <w:rPr>
          <w:spacing w:val="-15"/>
        </w:rPr>
        <w:t> </w:t>
      </w:r>
      <w:r>
        <w:rPr/>
        <w:t>Estate</w:t>
      </w:r>
      <w:r>
        <w:rPr>
          <w:spacing w:val="-15"/>
        </w:rPr>
        <w:t> </w:t>
      </w:r>
      <w:r>
        <w:rPr/>
        <w:t>Planning (OCEP) </w:t>
      </w:r>
      <w:r>
        <w:rPr>
          <w:spacing w:val="2"/>
        </w:rPr>
        <w:t>supports </w:t>
      </w:r>
      <w:r>
        <w:rPr/>
        <w:t>strategic planning and development of the University’s network of campuses and </w:t>
      </w:r>
      <w:r>
        <w:rPr>
          <w:spacing w:val="2"/>
        </w:rPr>
        <w:t>assets. </w:t>
      </w:r>
      <w:r>
        <w:rPr/>
        <w:t>OCEP identifies and </w:t>
      </w:r>
      <w:r>
        <w:rPr>
          <w:spacing w:val="2"/>
        </w:rPr>
        <w:t>assesses</w:t>
      </w:r>
      <w:r>
        <w:rPr>
          <w:spacing w:val="-24"/>
        </w:rPr>
        <w:t> </w:t>
      </w:r>
      <w:r>
        <w:rPr/>
        <w:t>development</w:t>
      </w:r>
      <w:r>
        <w:rPr>
          <w:spacing w:val="-24"/>
        </w:rPr>
        <w:t> </w:t>
      </w:r>
      <w:r>
        <w:rPr/>
        <w:t>opportunities</w:t>
      </w:r>
      <w:r>
        <w:rPr>
          <w:spacing w:val="-24"/>
        </w:rPr>
        <w:t> </w:t>
      </w:r>
      <w:r>
        <w:rPr/>
        <w:t>and,</w:t>
      </w:r>
    </w:p>
    <w:p>
      <w:pPr>
        <w:pStyle w:val="BodyText"/>
        <w:spacing w:line="249" w:lineRule="auto"/>
        <w:ind w:left="107" w:right="78"/>
      </w:pPr>
      <w:r>
        <w:rPr/>
        <w:t>if</w:t>
      </w:r>
      <w:r>
        <w:rPr>
          <w:spacing w:val="-16"/>
        </w:rPr>
        <w:t> </w:t>
      </w:r>
      <w:r>
        <w:rPr/>
        <w:t>approved,</w:t>
      </w:r>
      <w:r>
        <w:rPr>
          <w:spacing w:val="-16"/>
        </w:rPr>
        <w:t> </w:t>
      </w:r>
      <w:r>
        <w:rPr/>
        <w:t>manages</w:t>
      </w:r>
      <w:r>
        <w:rPr>
          <w:spacing w:val="-16"/>
        </w:rPr>
        <w:t> </w:t>
      </w:r>
      <w:r>
        <w:rPr/>
        <w:t>the</w:t>
      </w:r>
      <w:r>
        <w:rPr>
          <w:spacing w:val="-16"/>
        </w:rPr>
        <w:t> </w:t>
      </w:r>
      <w:r>
        <w:rPr/>
        <w:t>developments</w:t>
      </w:r>
      <w:r>
        <w:rPr>
          <w:spacing w:val="-16"/>
        </w:rPr>
        <w:t> </w:t>
      </w:r>
      <w:r>
        <w:rPr/>
        <w:t>to create</w:t>
      </w:r>
      <w:r>
        <w:rPr>
          <w:spacing w:val="-18"/>
        </w:rPr>
        <w:t> </w:t>
      </w:r>
      <w:r>
        <w:rPr/>
        <w:t>an</w:t>
      </w:r>
      <w:r>
        <w:rPr>
          <w:spacing w:val="-18"/>
        </w:rPr>
        <w:t> </w:t>
      </w:r>
      <w:r>
        <w:rPr/>
        <w:t>endowment</w:t>
      </w:r>
      <w:r>
        <w:rPr>
          <w:spacing w:val="-18"/>
        </w:rPr>
        <w:t> </w:t>
      </w:r>
      <w:r>
        <w:rPr/>
        <w:t>that</w:t>
      </w:r>
      <w:r>
        <w:rPr>
          <w:spacing w:val="-18"/>
        </w:rPr>
        <w:t> </w:t>
      </w:r>
      <w:r>
        <w:rPr/>
        <w:t>will</w:t>
      </w:r>
      <w:r>
        <w:rPr>
          <w:spacing w:val="-18"/>
        </w:rPr>
        <w:t> </w:t>
      </w:r>
      <w:r>
        <w:rPr/>
        <w:t>underpin</w:t>
      </w:r>
      <w:r>
        <w:rPr>
          <w:spacing w:val="-18"/>
        </w:rPr>
        <w:t> </w:t>
      </w:r>
      <w:r>
        <w:rPr/>
        <w:t>the University’s</w:t>
      </w:r>
      <w:r>
        <w:rPr>
          <w:spacing w:val="-33"/>
        </w:rPr>
        <w:t> </w:t>
      </w:r>
      <w:r>
        <w:rPr/>
        <w:t>financial</w:t>
      </w:r>
      <w:r>
        <w:rPr>
          <w:spacing w:val="-33"/>
        </w:rPr>
        <w:t> </w:t>
      </w:r>
      <w:r>
        <w:rPr/>
        <w:t>sustainability.</w:t>
      </w:r>
    </w:p>
    <w:p>
      <w:pPr>
        <w:pStyle w:val="BodyText"/>
        <w:rPr>
          <w:sz w:val="14"/>
        </w:rPr>
      </w:pPr>
    </w:p>
    <w:p>
      <w:pPr>
        <w:pStyle w:val="BodyText"/>
        <w:spacing w:line="249" w:lineRule="auto"/>
        <w:ind w:left="107" w:right="-4"/>
      </w:pPr>
      <w:r>
        <w:rPr/>
        <w:t>A</w:t>
      </w:r>
      <w:r>
        <w:rPr>
          <w:spacing w:val="-15"/>
        </w:rPr>
        <w:t> </w:t>
      </w:r>
      <w:r>
        <w:rPr/>
        <w:t>number</w:t>
      </w:r>
      <w:r>
        <w:rPr>
          <w:spacing w:val="-15"/>
        </w:rPr>
        <w:t> </w:t>
      </w:r>
      <w:r>
        <w:rPr/>
        <w:t>of</w:t>
      </w:r>
      <w:r>
        <w:rPr>
          <w:spacing w:val="-15"/>
        </w:rPr>
        <w:t> </w:t>
      </w:r>
      <w:r>
        <w:rPr/>
        <w:t>project</w:t>
      </w:r>
      <w:r>
        <w:rPr>
          <w:spacing w:val="-15"/>
        </w:rPr>
        <w:t> </w:t>
      </w:r>
      <w:r>
        <w:rPr/>
        <w:t>milestones</w:t>
      </w:r>
      <w:r>
        <w:rPr>
          <w:spacing w:val="-15"/>
        </w:rPr>
        <w:t> </w:t>
      </w:r>
      <w:r>
        <w:rPr/>
        <w:t>were</w:t>
      </w:r>
      <w:r>
        <w:rPr>
          <w:spacing w:val="-15"/>
        </w:rPr>
        <w:t> </w:t>
      </w:r>
      <w:r>
        <w:rPr/>
        <w:t>achieved </w:t>
      </w:r>
      <w:r>
        <w:rPr>
          <w:w w:val="95"/>
        </w:rPr>
        <w:t>in</w:t>
      </w:r>
      <w:r>
        <w:rPr>
          <w:spacing w:val="1"/>
          <w:w w:val="95"/>
        </w:rPr>
        <w:t> </w:t>
      </w:r>
      <w:r>
        <w:rPr>
          <w:spacing w:val="1"/>
          <w:w w:val="84"/>
        </w:rPr>
        <w:t>2015.</w:t>
      </w:r>
    </w:p>
    <w:p>
      <w:pPr>
        <w:pStyle w:val="BodyText"/>
        <w:spacing w:before="7"/>
        <w:rPr>
          <w:sz w:val="21"/>
        </w:rPr>
      </w:pPr>
    </w:p>
    <w:p>
      <w:pPr>
        <w:pStyle w:val="Heading8"/>
        <w:ind w:right="78"/>
      </w:pPr>
      <w:r>
        <w:rPr>
          <w:w w:val="95"/>
        </w:rPr>
        <w:t>STRATEGIC AND ESTATE PLANNING</w:t>
      </w:r>
    </w:p>
    <w:p>
      <w:pPr>
        <w:pStyle w:val="BodyText"/>
        <w:spacing w:line="249" w:lineRule="auto" w:before="86"/>
        <w:ind w:left="107" w:right="-4"/>
      </w:pPr>
      <w:r>
        <w:rPr/>
        <w:t>OCEP</w:t>
      </w:r>
      <w:r>
        <w:rPr>
          <w:spacing w:val="-12"/>
        </w:rPr>
        <w:t> </w:t>
      </w:r>
      <w:r>
        <w:rPr/>
        <w:t>contributed</w:t>
      </w:r>
      <w:r>
        <w:rPr>
          <w:spacing w:val="-12"/>
        </w:rPr>
        <w:t> </w:t>
      </w:r>
      <w:r>
        <w:rPr/>
        <w:t>to</w:t>
      </w:r>
      <w:r>
        <w:rPr>
          <w:spacing w:val="-12"/>
        </w:rPr>
        <w:t> </w:t>
      </w:r>
      <w:r>
        <w:rPr/>
        <w:t>strategic</w:t>
      </w:r>
      <w:r>
        <w:rPr>
          <w:spacing w:val="-12"/>
        </w:rPr>
        <w:t> </w:t>
      </w:r>
      <w:r>
        <w:rPr/>
        <w:t>planning</w:t>
      </w:r>
      <w:r>
        <w:rPr>
          <w:spacing w:val="-12"/>
        </w:rPr>
        <w:t> </w:t>
      </w:r>
      <w:r>
        <w:rPr/>
        <w:t>for</w:t>
      </w:r>
      <w:r>
        <w:rPr>
          <w:spacing w:val="-12"/>
        </w:rPr>
        <w:t> </w:t>
      </w:r>
      <w:r>
        <w:rPr/>
        <w:t>the campus network and the estate through the following</w:t>
      </w:r>
      <w:r>
        <w:rPr>
          <w:spacing w:val="-33"/>
        </w:rPr>
        <w:t> </w:t>
      </w:r>
      <w:r>
        <w:rPr/>
        <w:t>projects:</w:t>
      </w:r>
    </w:p>
    <w:p>
      <w:pPr>
        <w:pStyle w:val="BodyText"/>
        <w:rPr>
          <w:sz w:val="14"/>
        </w:rPr>
      </w:pPr>
    </w:p>
    <w:p>
      <w:pPr>
        <w:pStyle w:val="BodyText"/>
        <w:spacing w:line="242" w:lineRule="auto"/>
        <w:ind w:left="107" w:right="-4"/>
      </w:pPr>
      <w:r>
        <w:rPr>
          <w:rFonts w:ascii="Calibri" w:hAnsi="Calibri"/>
        </w:rPr>
        <w:t>Reshaping Western Sydney University </w:t>
      </w:r>
      <w:r>
        <w:rPr/>
        <w:t>– The Division began initial planning to redistribute activities across the campus network.</w:t>
      </w:r>
    </w:p>
    <w:p>
      <w:pPr>
        <w:pStyle w:val="BodyText"/>
        <w:spacing w:before="6"/>
        <w:rPr>
          <w:sz w:val="14"/>
        </w:rPr>
      </w:pPr>
    </w:p>
    <w:p>
      <w:pPr>
        <w:pStyle w:val="ListParagraph"/>
        <w:numPr>
          <w:ilvl w:val="0"/>
          <w:numId w:val="2"/>
        </w:numPr>
        <w:tabs>
          <w:tab w:pos="336" w:val="left" w:leader="none"/>
        </w:tabs>
        <w:spacing w:line="242" w:lineRule="auto" w:before="0" w:after="0"/>
        <w:ind w:left="107" w:right="223" w:firstLine="0"/>
        <w:jc w:val="both"/>
        <w:rPr>
          <w:sz w:val="16"/>
        </w:rPr>
      </w:pPr>
      <w:r>
        <w:rPr>
          <w:rFonts w:ascii="Calibri" w:hAnsi="Calibri"/>
          <w:sz w:val="16"/>
        </w:rPr>
        <w:t>Year commercial and estate plan </w:t>
      </w:r>
      <w:r>
        <w:rPr>
          <w:sz w:val="16"/>
        </w:rPr>
        <w:t>– This plan</w:t>
      </w:r>
      <w:r>
        <w:rPr>
          <w:spacing w:val="-19"/>
          <w:sz w:val="16"/>
        </w:rPr>
        <w:t> </w:t>
      </w:r>
      <w:r>
        <w:rPr>
          <w:sz w:val="16"/>
        </w:rPr>
        <w:t>enables</w:t>
      </w:r>
      <w:r>
        <w:rPr>
          <w:spacing w:val="-19"/>
          <w:sz w:val="16"/>
        </w:rPr>
        <w:t> </w:t>
      </w:r>
      <w:r>
        <w:rPr>
          <w:sz w:val="16"/>
        </w:rPr>
        <w:t>the</w:t>
      </w:r>
      <w:r>
        <w:rPr>
          <w:spacing w:val="-19"/>
          <w:sz w:val="16"/>
        </w:rPr>
        <w:t> </w:t>
      </w:r>
      <w:r>
        <w:rPr>
          <w:sz w:val="16"/>
        </w:rPr>
        <w:t>University’s</w:t>
      </w:r>
      <w:r>
        <w:rPr>
          <w:spacing w:val="-19"/>
          <w:sz w:val="16"/>
        </w:rPr>
        <w:t> </w:t>
      </w:r>
      <w:r>
        <w:rPr>
          <w:sz w:val="16"/>
        </w:rPr>
        <w:t>strategic</w:t>
      </w:r>
      <w:r>
        <w:rPr>
          <w:spacing w:val="-19"/>
          <w:sz w:val="16"/>
        </w:rPr>
        <w:t> </w:t>
      </w:r>
      <w:r>
        <w:rPr>
          <w:sz w:val="16"/>
        </w:rPr>
        <w:t>plan. Endorsed</w:t>
      </w:r>
      <w:r>
        <w:rPr>
          <w:spacing w:val="-13"/>
          <w:sz w:val="16"/>
        </w:rPr>
        <w:t> </w:t>
      </w:r>
      <w:r>
        <w:rPr>
          <w:sz w:val="16"/>
        </w:rPr>
        <w:t>by</w:t>
      </w:r>
      <w:r>
        <w:rPr>
          <w:spacing w:val="-13"/>
          <w:sz w:val="16"/>
        </w:rPr>
        <w:t> </w:t>
      </w:r>
      <w:r>
        <w:rPr>
          <w:sz w:val="16"/>
        </w:rPr>
        <w:t>the</w:t>
      </w:r>
      <w:r>
        <w:rPr>
          <w:spacing w:val="-13"/>
          <w:sz w:val="16"/>
        </w:rPr>
        <w:t> </w:t>
      </w:r>
      <w:r>
        <w:rPr>
          <w:sz w:val="16"/>
        </w:rPr>
        <w:t>Board</w:t>
      </w:r>
      <w:r>
        <w:rPr>
          <w:spacing w:val="-13"/>
          <w:sz w:val="16"/>
        </w:rPr>
        <w:t> </w:t>
      </w:r>
      <w:r>
        <w:rPr>
          <w:sz w:val="16"/>
        </w:rPr>
        <w:t>of</w:t>
      </w:r>
      <w:r>
        <w:rPr>
          <w:spacing w:val="-13"/>
          <w:sz w:val="16"/>
        </w:rPr>
        <w:t> </w:t>
      </w:r>
      <w:r>
        <w:rPr>
          <w:sz w:val="16"/>
        </w:rPr>
        <w:t>Trustees</w:t>
      </w:r>
      <w:r>
        <w:rPr>
          <w:spacing w:val="-13"/>
          <w:sz w:val="16"/>
        </w:rPr>
        <w:t> </w:t>
      </w:r>
      <w:r>
        <w:rPr>
          <w:sz w:val="16"/>
        </w:rPr>
        <w:t>in</w:t>
      </w:r>
      <w:r>
        <w:rPr>
          <w:spacing w:val="-13"/>
          <w:sz w:val="16"/>
        </w:rPr>
        <w:t> </w:t>
      </w:r>
      <w:r>
        <w:rPr>
          <w:sz w:val="16"/>
        </w:rPr>
        <w:t>April</w:t>
      </w:r>
    </w:p>
    <w:p>
      <w:pPr>
        <w:pStyle w:val="BodyText"/>
        <w:spacing w:before="2"/>
        <w:rPr>
          <w:sz w:val="20"/>
        </w:rPr>
      </w:pPr>
      <w:r>
        <w:rPr/>
        <w:br w:type="column"/>
      </w:r>
      <w:r>
        <w:rPr>
          <w:sz w:val="20"/>
        </w:rPr>
      </w:r>
    </w:p>
    <w:p>
      <w:pPr>
        <w:pStyle w:val="BodyText"/>
        <w:spacing w:line="249" w:lineRule="auto"/>
        <w:ind w:left="107"/>
      </w:pPr>
      <w:r>
        <w:rPr>
          <w:spacing w:val="1"/>
          <w:w w:val="86"/>
        </w:rPr>
        <w:t>2014,</w:t>
      </w:r>
      <w:r>
        <w:rPr>
          <w:w w:val="86"/>
        </w:rPr>
        <w:t> </w:t>
      </w:r>
      <w:r>
        <w:rPr>
          <w:w w:val="97"/>
        </w:rPr>
        <w:t>the </w:t>
      </w:r>
      <w:r>
        <w:rPr>
          <w:spacing w:val="1"/>
          <w:w w:val="97"/>
        </w:rPr>
        <w:t>plan</w:t>
      </w:r>
      <w:r>
        <w:rPr>
          <w:w w:val="97"/>
        </w:rPr>
        <w:t> </w:t>
      </w:r>
      <w:r>
        <w:rPr>
          <w:spacing w:val="1"/>
          <w:w w:val="96"/>
        </w:rPr>
        <w:t>establishes</w:t>
      </w:r>
      <w:r>
        <w:rPr>
          <w:w w:val="96"/>
        </w:rPr>
        <w:t> </w:t>
      </w:r>
      <w:r>
        <w:rPr>
          <w:spacing w:val="1"/>
          <w:w w:val="97"/>
        </w:rPr>
        <w:t>principles</w:t>
      </w:r>
      <w:r>
        <w:rPr>
          <w:w w:val="97"/>
        </w:rPr>
        <w:t> </w:t>
      </w:r>
      <w:r>
        <w:rPr>
          <w:w w:val="98"/>
        </w:rPr>
        <w:t>for </w:t>
      </w:r>
      <w:r>
        <w:rPr/>
        <w:t>development,</w:t>
      </w:r>
      <w:r>
        <w:rPr>
          <w:spacing w:val="-16"/>
        </w:rPr>
        <w:t> </w:t>
      </w:r>
      <w:r>
        <w:rPr/>
        <w:t>and</w:t>
      </w:r>
      <w:r>
        <w:rPr>
          <w:spacing w:val="-16"/>
        </w:rPr>
        <w:t> </w:t>
      </w:r>
      <w:r>
        <w:rPr/>
        <w:t>identifies</w:t>
      </w:r>
      <w:r>
        <w:rPr>
          <w:spacing w:val="-16"/>
        </w:rPr>
        <w:t> </w:t>
      </w:r>
      <w:r>
        <w:rPr/>
        <w:t>short</w:t>
      </w:r>
      <w:r>
        <w:rPr>
          <w:spacing w:val="-16"/>
        </w:rPr>
        <w:t> </w:t>
      </w:r>
      <w:r>
        <w:rPr/>
        <w:t>to</w:t>
      </w:r>
      <w:r>
        <w:rPr>
          <w:spacing w:val="-16"/>
        </w:rPr>
        <w:t> </w:t>
      </w:r>
      <w:r>
        <w:rPr/>
        <w:t>medium- term</w:t>
      </w:r>
      <w:r>
        <w:rPr>
          <w:spacing w:val="-16"/>
        </w:rPr>
        <w:t> </w:t>
      </w:r>
      <w:r>
        <w:rPr/>
        <w:t>activities</w:t>
      </w:r>
      <w:r>
        <w:rPr>
          <w:spacing w:val="-16"/>
        </w:rPr>
        <w:t> </w:t>
      </w:r>
      <w:r>
        <w:rPr/>
        <w:t>and</w:t>
      </w:r>
      <w:r>
        <w:rPr>
          <w:spacing w:val="-16"/>
        </w:rPr>
        <w:t> </w:t>
      </w:r>
      <w:r>
        <w:rPr/>
        <w:t>longer-term</w:t>
      </w:r>
      <w:r>
        <w:rPr>
          <w:spacing w:val="-16"/>
        </w:rPr>
        <w:t> </w:t>
      </w:r>
      <w:r>
        <w:rPr/>
        <w:t>opportunities. </w:t>
      </w:r>
      <w:r>
        <w:rPr>
          <w:w w:val="112"/>
        </w:rPr>
        <w:t>A</w:t>
      </w:r>
      <w:r>
        <w:rPr>
          <w:spacing w:val="-17"/>
          <w:w w:val="112"/>
        </w:rPr>
        <w:t> </w:t>
      </w:r>
      <w:r>
        <w:rPr>
          <w:spacing w:val="-1"/>
          <w:w w:val="97"/>
        </w:rPr>
        <w:t>review</w:t>
      </w:r>
      <w:r>
        <w:rPr>
          <w:spacing w:val="-9"/>
          <w:w w:val="97"/>
        </w:rPr>
        <w:t> </w:t>
      </w:r>
      <w:r>
        <w:rPr>
          <w:w w:val="99"/>
        </w:rPr>
        <w:t>of</w:t>
      </w:r>
      <w:r>
        <w:rPr>
          <w:spacing w:val="-10"/>
          <w:w w:val="99"/>
        </w:rPr>
        <w:t> </w:t>
      </w:r>
      <w:r>
        <w:rPr>
          <w:w w:val="97"/>
        </w:rPr>
        <w:t>the</w:t>
      </w:r>
      <w:r>
        <w:rPr>
          <w:spacing w:val="-10"/>
          <w:w w:val="97"/>
        </w:rPr>
        <w:t> </w:t>
      </w:r>
      <w:r>
        <w:rPr>
          <w:spacing w:val="1"/>
          <w:w w:val="97"/>
        </w:rPr>
        <w:t>plan</w:t>
      </w:r>
      <w:r>
        <w:rPr>
          <w:spacing w:val="-9"/>
          <w:w w:val="97"/>
        </w:rPr>
        <w:t> </w:t>
      </w:r>
      <w:r>
        <w:rPr>
          <w:spacing w:val="1"/>
          <w:w w:val="98"/>
        </w:rPr>
        <w:t>began</w:t>
      </w:r>
      <w:r>
        <w:rPr>
          <w:spacing w:val="-10"/>
          <w:w w:val="98"/>
        </w:rPr>
        <w:t> </w:t>
      </w:r>
      <w:r>
        <w:rPr>
          <w:w w:val="95"/>
        </w:rPr>
        <w:t>in</w:t>
      </w:r>
      <w:r>
        <w:rPr>
          <w:spacing w:val="-8"/>
          <w:w w:val="95"/>
        </w:rPr>
        <w:t> </w:t>
      </w:r>
      <w:r>
        <w:rPr>
          <w:spacing w:val="1"/>
          <w:w w:val="88"/>
        </w:rPr>
        <w:t>2015</w:t>
      </w:r>
      <w:r>
        <w:rPr>
          <w:spacing w:val="-5"/>
          <w:w w:val="88"/>
        </w:rPr>
        <w:t> </w:t>
      </w:r>
      <w:r>
        <w:rPr>
          <w:spacing w:val="1"/>
          <w:w w:val="97"/>
        </w:rPr>
        <w:t>and</w:t>
      </w:r>
      <w:r>
        <w:rPr>
          <w:spacing w:val="-9"/>
          <w:w w:val="97"/>
        </w:rPr>
        <w:t> </w:t>
      </w:r>
      <w:r>
        <w:rPr>
          <w:w w:val="97"/>
        </w:rPr>
        <w:t>will</w:t>
      </w:r>
      <w:r>
        <w:rPr>
          <w:spacing w:val="-9"/>
          <w:w w:val="97"/>
        </w:rPr>
        <w:t> </w:t>
      </w:r>
      <w:r>
        <w:rPr>
          <w:spacing w:val="1"/>
          <w:w w:val="99"/>
        </w:rPr>
        <w:t>be</w:t>
      </w:r>
      <w:r>
        <w:rPr>
          <w:w w:val="99"/>
        </w:rPr>
        <w:t> </w:t>
      </w:r>
      <w:r>
        <w:rPr>
          <w:spacing w:val="1"/>
          <w:w w:val="97"/>
        </w:rPr>
        <w:t>presented</w:t>
      </w:r>
      <w:r>
        <w:rPr>
          <w:w w:val="97"/>
        </w:rPr>
        <w:t> </w:t>
      </w:r>
      <w:r>
        <w:rPr>
          <w:w w:val="98"/>
        </w:rPr>
        <w:t>for </w:t>
      </w:r>
      <w:r>
        <w:rPr>
          <w:spacing w:val="1"/>
          <w:w w:val="97"/>
        </w:rPr>
        <w:t>endorsement</w:t>
      </w:r>
      <w:r>
        <w:rPr>
          <w:w w:val="97"/>
        </w:rPr>
        <w:t> </w:t>
      </w:r>
      <w:r>
        <w:rPr>
          <w:w w:val="95"/>
        </w:rPr>
        <w:t>in</w:t>
      </w:r>
      <w:r>
        <w:rPr>
          <w:spacing w:val="-25"/>
          <w:w w:val="95"/>
        </w:rPr>
        <w:t> </w:t>
      </w:r>
      <w:r>
        <w:rPr>
          <w:spacing w:val="2"/>
          <w:w w:val="85"/>
        </w:rPr>
        <w:t>2016.</w:t>
      </w:r>
    </w:p>
    <w:p>
      <w:pPr>
        <w:pStyle w:val="BodyText"/>
        <w:rPr>
          <w:sz w:val="14"/>
        </w:rPr>
      </w:pPr>
    </w:p>
    <w:p>
      <w:pPr>
        <w:pStyle w:val="BodyText"/>
        <w:spacing w:line="244" w:lineRule="auto"/>
        <w:ind w:left="107"/>
      </w:pPr>
      <w:r>
        <w:rPr>
          <w:rFonts w:ascii="Calibri" w:hAnsi="Calibri"/>
          <w:spacing w:val="-1"/>
          <w:w w:val="107"/>
        </w:rPr>
        <w:t>Werrington</w:t>
      </w:r>
      <w:r>
        <w:rPr>
          <w:rFonts w:ascii="Calibri" w:hAnsi="Calibri"/>
          <w:w w:val="107"/>
        </w:rPr>
        <w:t> </w:t>
      </w:r>
      <w:r>
        <w:rPr>
          <w:rFonts w:ascii="Calibri" w:hAnsi="Calibri"/>
          <w:w w:val="107"/>
        </w:rPr>
        <w:t>estate </w:t>
      </w:r>
      <w:r>
        <w:rPr>
          <w:rFonts w:ascii="Calibri" w:hAnsi="Calibri"/>
          <w:w w:val="106"/>
        </w:rPr>
        <w:t>master </w:t>
      </w:r>
      <w:r>
        <w:rPr>
          <w:rFonts w:ascii="Calibri" w:hAnsi="Calibri"/>
          <w:w w:val="107"/>
        </w:rPr>
        <w:t>plan </w:t>
      </w:r>
      <w:r>
        <w:rPr>
          <w:w w:val="89"/>
        </w:rPr>
        <w:t>– </w:t>
      </w:r>
      <w:r>
        <w:rPr>
          <w:spacing w:val="-1"/>
          <w:w w:val="98"/>
        </w:rPr>
        <w:t>Over</w:t>
      </w:r>
      <w:r>
        <w:rPr>
          <w:w w:val="98"/>
        </w:rPr>
        <w:t> </w:t>
      </w:r>
      <w:r>
        <w:rPr>
          <w:w w:val="84"/>
        </w:rPr>
        <w:t>2015, </w:t>
      </w:r>
      <w:r>
        <w:rPr/>
        <w:t>OCEP further developed the master plan for future</w:t>
      </w:r>
      <w:r>
        <w:rPr>
          <w:spacing w:val="-23"/>
        </w:rPr>
        <w:t> </w:t>
      </w:r>
      <w:r>
        <w:rPr/>
        <w:t>land</w:t>
      </w:r>
      <w:r>
        <w:rPr>
          <w:spacing w:val="-23"/>
        </w:rPr>
        <w:t> </w:t>
      </w:r>
      <w:r>
        <w:rPr/>
        <w:t>uses</w:t>
      </w:r>
      <w:r>
        <w:rPr>
          <w:spacing w:val="-23"/>
        </w:rPr>
        <w:t> </w:t>
      </w:r>
      <w:r>
        <w:rPr/>
        <w:t>on</w:t>
      </w:r>
      <w:r>
        <w:rPr>
          <w:spacing w:val="-23"/>
        </w:rPr>
        <w:t> </w:t>
      </w:r>
      <w:r>
        <w:rPr/>
        <w:t>the</w:t>
      </w:r>
      <w:r>
        <w:rPr>
          <w:spacing w:val="-23"/>
        </w:rPr>
        <w:t> </w:t>
      </w:r>
      <w:r>
        <w:rPr/>
        <w:t>Werrington</w:t>
      </w:r>
      <w:r>
        <w:rPr>
          <w:spacing w:val="-23"/>
        </w:rPr>
        <w:t> </w:t>
      </w:r>
      <w:r>
        <w:rPr/>
        <w:t>North</w:t>
      </w:r>
      <w:r>
        <w:rPr>
          <w:spacing w:val="-23"/>
        </w:rPr>
        <w:t> </w:t>
      </w:r>
      <w:r>
        <w:rPr/>
        <w:t>and Werrington</w:t>
      </w:r>
      <w:r>
        <w:rPr>
          <w:spacing w:val="-24"/>
        </w:rPr>
        <w:t> </w:t>
      </w:r>
      <w:r>
        <w:rPr/>
        <w:t>South</w:t>
      </w:r>
      <w:r>
        <w:rPr>
          <w:spacing w:val="-24"/>
        </w:rPr>
        <w:t> </w:t>
      </w:r>
      <w:r>
        <w:rPr/>
        <w:t>campuses</w:t>
      </w:r>
      <w:r>
        <w:rPr>
          <w:spacing w:val="-24"/>
        </w:rPr>
        <w:t> </w:t>
      </w:r>
      <w:r>
        <w:rPr/>
        <w:t>and</w:t>
      </w:r>
      <w:r>
        <w:rPr>
          <w:spacing w:val="-24"/>
        </w:rPr>
        <w:t> </w:t>
      </w:r>
      <w:r>
        <w:rPr/>
        <w:t>activation</w:t>
      </w:r>
      <w:r>
        <w:rPr>
          <w:spacing w:val="-24"/>
        </w:rPr>
        <w:t> </w:t>
      </w:r>
      <w:r>
        <w:rPr/>
        <w:t>of the</w:t>
      </w:r>
      <w:r>
        <w:rPr>
          <w:spacing w:val="-30"/>
        </w:rPr>
        <w:t> </w:t>
      </w:r>
      <w:r>
        <w:rPr/>
        <w:t>site</w:t>
      </w:r>
      <w:r>
        <w:rPr>
          <w:spacing w:val="-30"/>
        </w:rPr>
        <w:t> </w:t>
      </w:r>
      <w:r>
        <w:rPr/>
        <w:t>as</w:t>
      </w:r>
      <w:r>
        <w:rPr>
          <w:spacing w:val="-30"/>
        </w:rPr>
        <w:t> </w:t>
      </w:r>
      <w:r>
        <w:rPr/>
        <w:t>a</w:t>
      </w:r>
      <w:r>
        <w:rPr>
          <w:spacing w:val="-30"/>
        </w:rPr>
        <w:t> </w:t>
      </w:r>
      <w:r>
        <w:rPr/>
        <w:t>technology-focused</w:t>
      </w:r>
      <w:r>
        <w:rPr>
          <w:spacing w:val="-30"/>
        </w:rPr>
        <w:t> </w:t>
      </w:r>
      <w:r>
        <w:rPr/>
        <w:t>business</w:t>
      </w:r>
      <w:r>
        <w:rPr>
          <w:spacing w:val="-30"/>
        </w:rPr>
        <w:t> </w:t>
      </w:r>
      <w:r>
        <w:rPr/>
        <w:t>park.</w:t>
      </w:r>
    </w:p>
    <w:p>
      <w:pPr>
        <w:pStyle w:val="BodyText"/>
        <w:spacing w:before="4"/>
        <w:rPr>
          <w:sz w:val="14"/>
        </w:rPr>
      </w:pPr>
    </w:p>
    <w:p>
      <w:pPr>
        <w:pStyle w:val="BodyText"/>
        <w:spacing w:line="247" w:lineRule="auto"/>
        <w:ind w:left="107"/>
      </w:pPr>
      <w:r>
        <w:rPr>
          <w:rFonts w:ascii="Calibri" w:hAnsi="Calibri"/>
        </w:rPr>
        <w:t>Development </w:t>
      </w:r>
      <w:r>
        <w:rPr>
          <w:rFonts w:ascii="Calibri" w:hAnsi="Calibri"/>
          <w:spacing w:val="2"/>
        </w:rPr>
        <w:t>projects </w:t>
      </w:r>
      <w:r>
        <w:rPr/>
        <w:t>– OCEP has provided commercial and planning advice and support for</w:t>
      </w:r>
      <w:r>
        <w:rPr>
          <w:spacing w:val="-15"/>
        </w:rPr>
        <w:t> </w:t>
      </w:r>
      <w:r>
        <w:rPr/>
        <w:t>the</w:t>
      </w:r>
      <w:r>
        <w:rPr>
          <w:spacing w:val="-15"/>
        </w:rPr>
        <w:t> </w:t>
      </w:r>
      <w:r>
        <w:rPr/>
        <w:t>many</w:t>
      </w:r>
      <w:r>
        <w:rPr>
          <w:spacing w:val="-15"/>
        </w:rPr>
        <w:t> </w:t>
      </w:r>
      <w:r>
        <w:rPr/>
        <w:t>development</w:t>
      </w:r>
      <w:r>
        <w:rPr>
          <w:spacing w:val="-15"/>
        </w:rPr>
        <w:t> </w:t>
      </w:r>
      <w:r>
        <w:rPr/>
        <w:t>projects</w:t>
      </w:r>
      <w:r>
        <w:rPr>
          <w:spacing w:val="-15"/>
        </w:rPr>
        <w:t> </w:t>
      </w:r>
      <w:r>
        <w:rPr/>
        <w:t>underway across</w:t>
      </w:r>
      <w:r>
        <w:rPr>
          <w:spacing w:val="-19"/>
        </w:rPr>
        <w:t> </w:t>
      </w:r>
      <w:r>
        <w:rPr/>
        <w:t>the</w:t>
      </w:r>
      <w:r>
        <w:rPr>
          <w:spacing w:val="-19"/>
        </w:rPr>
        <w:t> </w:t>
      </w:r>
      <w:r>
        <w:rPr/>
        <w:t>University,</w:t>
      </w:r>
      <w:r>
        <w:rPr>
          <w:spacing w:val="-19"/>
        </w:rPr>
        <w:t> </w:t>
      </w:r>
      <w:r>
        <w:rPr/>
        <w:t>including</w:t>
      </w:r>
      <w:r>
        <w:rPr>
          <w:spacing w:val="-19"/>
        </w:rPr>
        <w:t> </w:t>
      </w:r>
      <w:r>
        <w:rPr/>
        <w:t>the</w:t>
      </w:r>
      <w:r>
        <w:rPr>
          <w:spacing w:val="-19"/>
        </w:rPr>
        <w:t> </w:t>
      </w:r>
      <w:r>
        <w:rPr/>
        <w:t>Westmead Redevelopment, </w:t>
      </w:r>
      <w:r>
        <w:rPr>
          <w:spacing w:val="2"/>
        </w:rPr>
        <w:t>1PSQ, </w:t>
      </w:r>
      <w:r>
        <w:rPr/>
        <w:t>Campbelltown residential</w:t>
      </w:r>
      <w:r>
        <w:rPr>
          <w:spacing w:val="-15"/>
        </w:rPr>
        <w:t> </w:t>
      </w:r>
      <w:r>
        <w:rPr/>
        <w:t>development</w:t>
      </w:r>
      <w:r>
        <w:rPr>
          <w:spacing w:val="-15"/>
        </w:rPr>
        <w:t> </w:t>
      </w:r>
      <w:r>
        <w:rPr/>
        <w:t>and</w:t>
      </w:r>
      <w:r>
        <w:rPr>
          <w:spacing w:val="-15"/>
        </w:rPr>
        <w:t> </w:t>
      </w:r>
      <w:r>
        <w:rPr/>
        <w:t>Werrington</w:t>
      </w:r>
      <w:r>
        <w:rPr>
          <w:spacing w:val="-15"/>
        </w:rPr>
        <w:t> </w:t>
      </w:r>
      <w:r>
        <w:rPr/>
        <w:t>Park Corporate</w:t>
      </w:r>
      <w:r>
        <w:rPr>
          <w:spacing w:val="-27"/>
        </w:rPr>
        <w:t> </w:t>
      </w:r>
      <w:r>
        <w:rPr/>
        <w:t>Centre.</w:t>
      </w:r>
    </w:p>
    <w:p>
      <w:pPr>
        <w:pStyle w:val="BodyText"/>
        <w:spacing w:before="2"/>
        <w:rPr>
          <w:sz w:val="14"/>
        </w:rPr>
      </w:pPr>
    </w:p>
    <w:p>
      <w:pPr>
        <w:pStyle w:val="BodyText"/>
        <w:spacing w:line="247" w:lineRule="auto"/>
        <w:ind w:left="107" w:right="76"/>
      </w:pPr>
      <w:r>
        <w:rPr>
          <w:rFonts w:ascii="Calibri" w:hAnsi="Calibri"/>
        </w:rPr>
        <w:t>Nirimba  Education  Precinct  </w:t>
      </w:r>
      <w:r>
        <w:rPr/>
        <w:t>– OCEP is working with the Nirimba Precinct Partners to</w:t>
      </w:r>
      <w:r>
        <w:rPr>
          <w:spacing w:val="-17"/>
        </w:rPr>
        <w:t> </w:t>
      </w:r>
      <w:r>
        <w:rPr/>
        <w:t>resolve</w:t>
      </w:r>
      <w:r>
        <w:rPr>
          <w:spacing w:val="-17"/>
        </w:rPr>
        <w:t> </w:t>
      </w:r>
      <w:r>
        <w:rPr/>
        <w:t>the</w:t>
      </w:r>
      <w:r>
        <w:rPr>
          <w:spacing w:val="-17"/>
        </w:rPr>
        <w:t> </w:t>
      </w:r>
      <w:r>
        <w:rPr/>
        <w:t>longstanding</w:t>
      </w:r>
      <w:r>
        <w:rPr>
          <w:spacing w:val="-17"/>
        </w:rPr>
        <w:t> </w:t>
      </w:r>
      <w:r>
        <w:rPr/>
        <w:t>issues</w:t>
      </w:r>
      <w:r>
        <w:rPr>
          <w:spacing w:val="-17"/>
        </w:rPr>
        <w:t> </w:t>
      </w:r>
      <w:r>
        <w:rPr/>
        <w:t>around</w:t>
      </w:r>
      <w:r>
        <w:rPr>
          <w:spacing w:val="-17"/>
        </w:rPr>
        <w:t> </w:t>
      </w:r>
      <w:r>
        <w:rPr/>
        <w:t>the Nirimba Education Precinct community title. The</w:t>
      </w:r>
      <w:r>
        <w:rPr>
          <w:spacing w:val="-16"/>
        </w:rPr>
        <w:t> </w:t>
      </w:r>
      <w:r>
        <w:rPr/>
        <w:t>community</w:t>
      </w:r>
      <w:r>
        <w:rPr>
          <w:spacing w:val="-16"/>
        </w:rPr>
        <w:t> </w:t>
      </w:r>
      <w:r>
        <w:rPr/>
        <w:t>title</w:t>
      </w:r>
      <w:r>
        <w:rPr>
          <w:spacing w:val="-16"/>
        </w:rPr>
        <w:t> </w:t>
      </w:r>
      <w:r>
        <w:rPr/>
        <w:t>subdivision</w:t>
      </w:r>
      <w:r>
        <w:rPr>
          <w:spacing w:val="-16"/>
        </w:rPr>
        <w:t> </w:t>
      </w:r>
      <w:r>
        <w:rPr/>
        <w:t>was</w:t>
      </w:r>
      <w:r>
        <w:rPr>
          <w:spacing w:val="-16"/>
        </w:rPr>
        <w:t> </w:t>
      </w:r>
      <w:r>
        <w:rPr/>
        <w:t>finalised </w:t>
      </w:r>
      <w:r>
        <w:rPr>
          <w:w w:val="95"/>
        </w:rPr>
        <w:t>in</w:t>
      </w:r>
      <w:r>
        <w:rPr>
          <w:spacing w:val="1"/>
          <w:w w:val="95"/>
        </w:rPr>
        <w:t> </w:t>
      </w:r>
      <w:r>
        <w:rPr>
          <w:spacing w:val="1"/>
          <w:w w:val="84"/>
        </w:rPr>
        <w:t>2015.</w:t>
      </w:r>
    </w:p>
    <w:p>
      <w:pPr>
        <w:pStyle w:val="BodyText"/>
        <w:spacing w:before="2"/>
        <w:rPr>
          <w:sz w:val="14"/>
        </w:rPr>
      </w:pPr>
    </w:p>
    <w:p>
      <w:pPr>
        <w:pStyle w:val="BodyText"/>
        <w:spacing w:line="247" w:lineRule="auto"/>
        <w:ind w:left="107" w:right="283"/>
      </w:pPr>
      <w:r>
        <w:rPr>
          <w:rFonts w:ascii="Calibri" w:hAnsi="Calibri"/>
        </w:rPr>
        <w:t>International college </w:t>
      </w:r>
      <w:r>
        <w:rPr/>
        <w:t>– The University reached agreement with Navitas Limited </w:t>
      </w:r>
      <w:r>
        <w:rPr>
          <w:w w:val="95"/>
        </w:rPr>
        <w:t>in </w:t>
      </w:r>
      <w:r>
        <w:rPr>
          <w:spacing w:val="1"/>
          <w:w w:val="97"/>
        </w:rPr>
        <w:t>March</w:t>
      </w:r>
      <w:r>
        <w:rPr>
          <w:w w:val="97"/>
        </w:rPr>
        <w:t> </w:t>
      </w:r>
      <w:r>
        <w:rPr>
          <w:spacing w:val="1"/>
          <w:w w:val="88"/>
        </w:rPr>
        <w:t>2015</w:t>
      </w:r>
      <w:r>
        <w:rPr>
          <w:w w:val="88"/>
        </w:rPr>
        <w:t> </w:t>
      </w:r>
      <w:r>
        <w:rPr>
          <w:spacing w:val="-1"/>
          <w:w w:val="101"/>
        </w:rPr>
        <w:t>to</w:t>
      </w:r>
      <w:r>
        <w:rPr>
          <w:w w:val="101"/>
        </w:rPr>
        <w:t> </w:t>
      </w:r>
      <w:r>
        <w:rPr>
          <w:spacing w:val="1"/>
          <w:w w:val="96"/>
        </w:rPr>
        <w:t>establish</w:t>
      </w:r>
      <w:r>
        <w:rPr>
          <w:w w:val="96"/>
        </w:rPr>
        <w:t> </w:t>
      </w:r>
      <w:r>
        <w:rPr>
          <w:spacing w:val="1"/>
          <w:w w:val="95"/>
        </w:rPr>
        <w:t>an</w:t>
      </w:r>
      <w:r>
        <w:rPr>
          <w:w w:val="95"/>
        </w:rPr>
        <w:t> </w:t>
      </w:r>
      <w:r>
        <w:rPr>
          <w:w w:val="96"/>
        </w:rPr>
        <w:t>international </w:t>
      </w:r>
      <w:r>
        <w:rPr/>
        <w:t>college</w:t>
      </w:r>
      <w:r>
        <w:rPr>
          <w:spacing w:val="-17"/>
        </w:rPr>
        <w:t> </w:t>
      </w:r>
      <w:r>
        <w:rPr/>
        <w:t>as</w:t>
      </w:r>
      <w:r>
        <w:rPr>
          <w:spacing w:val="-17"/>
        </w:rPr>
        <w:t> </w:t>
      </w:r>
      <w:r>
        <w:rPr/>
        <w:t>a</w:t>
      </w:r>
      <w:r>
        <w:rPr>
          <w:spacing w:val="-17"/>
        </w:rPr>
        <w:t> </w:t>
      </w:r>
      <w:r>
        <w:rPr/>
        <w:t>joint</w:t>
      </w:r>
      <w:r>
        <w:rPr>
          <w:spacing w:val="-17"/>
        </w:rPr>
        <w:t> </w:t>
      </w:r>
      <w:r>
        <w:rPr/>
        <w:t>venture</w:t>
      </w:r>
      <w:r>
        <w:rPr>
          <w:spacing w:val="-17"/>
        </w:rPr>
        <w:t> </w:t>
      </w:r>
      <w:r>
        <w:rPr/>
        <w:t>between</w:t>
      </w:r>
      <w:r>
        <w:rPr>
          <w:spacing w:val="-17"/>
        </w:rPr>
        <w:t> </w:t>
      </w:r>
      <w:r>
        <w:rPr/>
        <w:t>the</w:t>
      </w:r>
      <w:r>
        <w:rPr>
          <w:spacing w:val="-17"/>
        </w:rPr>
        <w:t> </w:t>
      </w:r>
      <w:r>
        <w:rPr/>
        <w:t>two organisations. An initial intake of a small cohort</w:t>
      </w:r>
      <w:r>
        <w:rPr>
          <w:spacing w:val="-11"/>
        </w:rPr>
        <w:t> </w:t>
      </w:r>
      <w:r>
        <w:rPr/>
        <w:t>of</w:t>
      </w:r>
      <w:r>
        <w:rPr>
          <w:spacing w:val="-11"/>
        </w:rPr>
        <w:t> </w:t>
      </w:r>
      <w:r>
        <w:rPr/>
        <w:t>students</w:t>
      </w:r>
      <w:r>
        <w:rPr>
          <w:spacing w:val="-11"/>
        </w:rPr>
        <w:t> </w:t>
      </w:r>
      <w:r>
        <w:rPr/>
        <w:t>occurred</w:t>
      </w:r>
      <w:r>
        <w:rPr>
          <w:spacing w:val="-11"/>
        </w:rPr>
        <w:t> </w:t>
      </w:r>
      <w:r>
        <w:rPr/>
        <w:t>in</w:t>
      </w:r>
      <w:r>
        <w:rPr>
          <w:spacing w:val="-11"/>
        </w:rPr>
        <w:t> </w:t>
      </w:r>
      <w:r>
        <w:rPr/>
        <w:t>September</w:t>
      </w:r>
    </w:p>
    <w:p>
      <w:pPr>
        <w:pStyle w:val="BodyText"/>
        <w:spacing w:line="249" w:lineRule="auto" w:before="1"/>
        <w:ind w:left="107"/>
      </w:pPr>
      <w:r>
        <w:rPr>
          <w:spacing w:val="1"/>
          <w:w w:val="84"/>
        </w:rPr>
        <w:t>2015,</w:t>
      </w:r>
      <w:r>
        <w:rPr>
          <w:w w:val="84"/>
        </w:rPr>
        <w:t> </w:t>
      </w:r>
      <w:r>
        <w:rPr>
          <w:w w:val="98"/>
        </w:rPr>
        <w:t>before </w:t>
      </w:r>
      <w:r>
        <w:rPr>
          <w:w w:val="94"/>
        </w:rPr>
        <w:t>a </w:t>
      </w:r>
      <w:r>
        <w:rPr>
          <w:spacing w:val="1"/>
          <w:w w:val="99"/>
        </w:rPr>
        <w:t>bigger</w:t>
      </w:r>
      <w:r>
        <w:rPr>
          <w:w w:val="99"/>
        </w:rPr>
        <w:t> </w:t>
      </w:r>
      <w:r>
        <w:rPr>
          <w:spacing w:val="1"/>
          <w:w w:val="98"/>
        </w:rPr>
        <w:t>operation</w:t>
      </w:r>
      <w:r>
        <w:rPr>
          <w:w w:val="98"/>
        </w:rPr>
        <w:t> </w:t>
      </w:r>
      <w:r>
        <w:rPr>
          <w:w w:val="95"/>
        </w:rPr>
        <w:t>in </w:t>
      </w:r>
      <w:r>
        <w:rPr>
          <w:spacing w:val="2"/>
          <w:w w:val="85"/>
        </w:rPr>
        <w:t>2016.</w:t>
      </w:r>
      <w:r>
        <w:rPr>
          <w:w w:val="85"/>
        </w:rPr>
        <w:t> </w:t>
      </w:r>
      <w:r>
        <w:rPr>
          <w:spacing w:val="1"/>
          <w:w w:val="94"/>
        </w:rPr>
        <w:t>The</w:t>
      </w:r>
      <w:r>
        <w:rPr>
          <w:w w:val="94"/>
        </w:rPr>
        <w:t> </w:t>
      </w:r>
      <w:r>
        <w:rPr/>
        <w:t>courses are being marketed in India and selected South East Asian countries and the number will grow over time to complement those</w:t>
      </w:r>
      <w:r>
        <w:rPr>
          <w:spacing w:val="-18"/>
        </w:rPr>
        <w:t> </w:t>
      </w:r>
      <w:r>
        <w:rPr/>
        <w:t>at</w:t>
      </w:r>
      <w:r>
        <w:rPr>
          <w:spacing w:val="-18"/>
        </w:rPr>
        <w:t> </w:t>
      </w:r>
      <w:r>
        <w:rPr/>
        <w:t>the</w:t>
      </w:r>
      <w:r>
        <w:rPr>
          <w:spacing w:val="-18"/>
        </w:rPr>
        <w:t> </w:t>
      </w:r>
      <w:r>
        <w:rPr/>
        <w:t>college,</w:t>
      </w:r>
      <w:r>
        <w:rPr>
          <w:spacing w:val="-18"/>
        </w:rPr>
        <w:t> </w:t>
      </w:r>
      <w:r>
        <w:rPr/>
        <w:t>providing</w:t>
      </w:r>
      <w:r>
        <w:rPr>
          <w:spacing w:val="-18"/>
        </w:rPr>
        <w:t> </w:t>
      </w:r>
      <w:r>
        <w:rPr/>
        <w:t>another</w:t>
      </w:r>
      <w:r>
        <w:rPr>
          <w:spacing w:val="-18"/>
        </w:rPr>
        <w:t> </w:t>
      </w:r>
      <w:r>
        <w:rPr/>
        <w:t>stream of</w:t>
      </w:r>
      <w:r>
        <w:rPr>
          <w:spacing w:val="-18"/>
        </w:rPr>
        <w:t> </w:t>
      </w:r>
      <w:r>
        <w:rPr/>
        <w:t>students</w:t>
      </w:r>
      <w:r>
        <w:rPr>
          <w:spacing w:val="-18"/>
        </w:rPr>
        <w:t> </w:t>
      </w:r>
      <w:r>
        <w:rPr/>
        <w:t>for</w:t>
      </w:r>
      <w:r>
        <w:rPr>
          <w:spacing w:val="-18"/>
        </w:rPr>
        <w:t> </w:t>
      </w:r>
      <w:r>
        <w:rPr/>
        <w:t>admission</w:t>
      </w:r>
      <w:r>
        <w:rPr>
          <w:spacing w:val="-18"/>
        </w:rPr>
        <w:t> </w:t>
      </w:r>
      <w:r>
        <w:rPr/>
        <w:t>to</w:t>
      </w:r>
      <w:r>
        <w:rPr>
          <w:spacing w:val="-18"/>
        </w:rPr>
        <w:t> </w:t>
      </w:r>
      <w:r>
        <w:rPr/>
        <w:t>the</w:t>
      </w:r>
      <w:r>
        <w:rPr>
          <w:spacing w:val="-18"/>
        </w:rPr>
        <w:t> </w:t>
      </w:r>
      <w:r>
        <w:rPr/>
        <w:t>University.</w:t>
      </w:r>
    </w:p>
    <w:p>
      <w:pPr>
        <w:pStyle w:val="BodyText"/>
        <w:rPr>
          <w:sz w:val="14"/>
        </w:rPr>
      </w:pPr>
    </w:p>
    <w:p>
      <w:pPr>
        <w:pStyle w:val="BodyText"/>
        <w:spacing w:line="244" w:lineRule="auto"/>
        <w:ind w:left="107" w:right="-2"/>
      </w:pPr>
      <w:r>
        <w:rPr>
          <w:rFonts w:ascii="Calibri" w:hAnsi="Calibri"/>
        </w:rPr>
        <w:t>uwsconnect  review  </w:t>
      </w:r>
      <w:r>
        <w:rPr/>
        <w:t>– The Commercial Business</w:t>
      </w:r>
      <w:r>
        <w:rPr>
          <w:spacing w:val="-17"/>
        </w:rPr>
        <w:t> </w:t>
      </w:r>
      <w:r>
        <w:rPr/>
        <w:t>Unit</w:t>
      </w:r>
      <w:r>
        <w:rPr>
          <w:spacing w:val="-17"/>
        </w:rPr>
        <w:t> </w:t>
      </w:r>
      <w:r>
        <w:rPr/>
        <w:t>undertook</w:t>
      </w:r>
      <w:r>
        <w:rPr>
          <w:spacing w:val="-17"/>
        </w:rPr>
        <w:t> </w:t>
      </w:r>
      <w:r>
        <w:rPr/>
        <w:t>an</w:t>
      </w:r>
      <w:r>
        <w:rPr>
          <w:spacing w:val="-17"/>
        </w:rPr>
        <w:t> </w:t>
      </w:r>
      <w:r>
        <w:rPr/>
        <w:t>operational</w:t>
      </w:r>
      <w:r>
        <w:rPr>
          <w:spacing w:val="-17"/>
        </w:rPr>
        <w:t> </w:t>
      </w:r>
      <w:r>
        <w:rPr/>
        <w:t>review of uwsconnect, and the University Executive Committee endorsed its</w:t>
      </w:r>
      <w:r>
        <w:rPr>
          <w:spacing w:val="-35"/>
        </w:rPr>
        <w:t> </w:t>
      </w:r>
      <w:r>
        <w:rPr/>
        <w:t>recommendations</w:t>
      </w:r>
    </w:p>
    <w:p>
      <w:pPr>
        <w:pStyle w:val="BodyText"/>
        <w:spacing w:line="249" w:lineRule="auto" w:before="3"/>
        <w:ind w:left="107" w:right="13"/>
      </w:pPr>
      <w:r>
        <w:rPr>
          <w:w w:val="95"/>
        </w:rPr>
        <w:t>in </w:t>
      </w:r>
      <w:r>
        <w:rPr>
          <w:spacing w:val="1"/>
          <w:w w:val="98"/>
        </w:rPr>
        <w:t>November</w:t>
      </w:r>
      <w:r>
        <w:rPr>
          <w:w w:val="98"/>
        </w:rPr>
        <w:t> </w:t>
      </w:r>
      <w:r>
        <w:rPr>
          <w:spacing w:val="2"/>
          <w:w w:val="84"/>
        </w:rPr>
        <w:t>2013.</w:t>
      </w:r>
      <w:r>
        <w:rPr>
          <w:w w:val="84"/>
        </w:rPr>
        <w:t> </w:t>
      </w:r>
      <w:r>
        <w:rPr>
          <w:spacing w:val="1"/>
          <w:w w:val="97"/>
        </w:rPr>
        <w:t>During</w:t>
      </w:r>
      <w:r>
        <w:rPr>
          <w:w w:val="97"/>
        </w:rPr>
        <w:t> </w:t>
      </w:r>
      <w:r>
        <w:rPr>
          <w:spacing w:val="1"/>
          <w:w w:val="86"/>
        </w:rPr>
        <w:t>2014,</w:t>
      </w:r>
      <w:r>
        <w:rPr>
          <w:w w:val="86"/>
        </w:rPr>
        <w:t> </w:t>
      </w:r>
      <w:r>
        <w:rPr>
          <w:w w:val="97"/>
        </w:rPr>
        <w:t>the </w:t>
      </w:r>
      <w:r>
        <w:rPr>
          <w:spacing w:val="1"/>
          <w:w w:val="98"/>
        </w:rPr>
        <w:t>Unit</w:t>
      </w:r>
      <w:r>
        <w:rPr>
          <w:w w:val="98"/>
        </w:rPr>
        <w:t> </w:t>
      </w:r>
      <w:r>
        <w:rPr/>
        <w:t>restructured management, aligned a number of activities with the University, streamlined the management approach to retail and gym activities, and began reviewing food and beverage</w:t>
      </w:r>
      <w:r>
        <w:rPr>
          <w:spacing w:val="-17"/>
        </w:rPr>
        <w:t> </w:t>
      </w:r>
      <w:r>
        <w:rPr>
          <w:spacing w:val="2"/>
        </w:rPr>
        <w:t>services.</w:t>
      </w:r>
      <w:r>
        <w:rPr>
          <w:spacing w:val="-17"/>
        </w:rPr>
        <w:t> </w:t>
      </w:r>
      <w:r>
        <w:rPr/>
        <w:t>A</w:t>
      </w:r>
      <w:r>
        <w:rPr>
          <w:spacing w:val="-17"/>
        </w:rPr>
        <w:t> </w:t>
      </w:r>
      <w:r>
        <w:rPr/>
        <w:t>number</w:t>
      </w:r>
      <w:r>
        <w:rPr>
          <w:spacing w:val="-17"/>
        </w:rPr>
        <w:t> </w:t>
      </w:r>
      <w:r>
        <w:rPr/>
        <w:t>of</w:t>
      </w:r>
      <w:r>
        <w:rPr>
          <w:spacing w:val="-17"/>
        </w:rPr>
        <w:t> </w:t>
      </w:r>
      <w:r>
        <w:rPr/>
        <w:t>outlets</w:t>
      </w:r>
      <w:r>
        <w:rPr>
          <w:spacing w:val="-17"/>
        </w:rPr>
        <w:t> </w:t>
      </w:r>
      <w:r>
        <w:rPr/>
        <w:t>on</w:t>
      </w:r>
      <w:r>
        <w:rPr>
          <w:spacing w:val="-17"/>
        </w:rPr>
        <w:t> </w:t>
      </w:r>
      <w:r>
        <w:rPr/>
        <w:t>the campuses will be leased to external suppliers to</w:t>
      </w:r>
      <w:r>
        <w:rPr>
          <w:spacing w:val="-14"/>
        </w:rPr>
        <w:t> </w:t>
      </w:r>
      <w:r>
        <w:rPr/>
        <w:t>create</w:t>
      </w:r>
      <w:r>
        <w:rPr>
          <w:spacing w:val="-14"/>
        </w:rPr>
        <w:t> </w:t>
      </w:r>
      <w:r>
        <w:rPr/>
        <w:t>variety</w:t>
      </w:r>
      <w:r>
        <w:rPr>
          <w:spacing w:val="-14"/>
        </w:rPr>
        <w:t> </w:t>
      </w:r>
      <w:r>
        <w:rPr/>
        <w:t>in</w:t>
      </w:r>
      <w:r>
        <w:rPr>
          <w:spacing w:val="-14"/>
        </w:rPr>
        <w:t> </w:t>
      </w:r>
      <w:r>
        <w:rPr/>
        <w:t>both</w:t>
      </w:r>
      <w:r>
        <w:rPr>
          <w:spacing w:val="-14"/>
        </w:rPr>
        <w:t> </w:t>
      </w:r>
      <w:r>
        <w:rPr/>
        <w:t>food</w:t>
      </w:r>
      <w:r>
        <w:rPr>
          <w:spacing w:val="-14"/>
        </w:rPr>
        <w:t> </w:t>
      </w:r>
      <w:r>
        <w:rPr/>
        <w:t>offerings</w:t>
      </w:r>
    </w:p>
    <w:p>
      <w:pPr>
        <w:pStyle w:val="BodyText"/>
        <w:spacing w:line="249" w:lineRule="auto"/>
        <w:ind w:left="107"/>
      </w:pPr>
      <w:r>
        <w:rPr/>
        <w:t>and price points. Venues Management has also transitioned to OCEP to align with the University’s</w:t>
      </w:r>
      <w:r>
        <w:rPr>
          <w:spacing w:val="-26"/>
        </w:rPr>
        <w:t> </w:t>
      </w:r>
      <w:r>
        <w:rPr/>
        <w:t>commercial</w:t>
      </w:r>
      <w:r>
        <w:rPr>
          <w:spacing w:val="-26"/>
        </w:rPr>
        <w:t> </w:t>
      </w:r>
      <w:r>
        <w:rPr/>
        <w:t>leasing</w:t>
      </w:r>
      <w:r>
        <w:rPr>
          <w:spacing w:val="-26"/>
        </w:rPr>
        <w:t> </w:t>
      </w:r>
      <w:r>
        <w:rPr/>
        <w:t>arrangements.</w:t>
      </w:r>
    </w:p>
    <w:p>
      <w:pPr>
        <w:pStyle w:val="BodyText"/>
        <w:spacing w:before="2"/>
        <w:rPr>
          <w:sz w:val="20"/>
        </w:rPr>
      </w:pPr>
      <w:r>
        <w:rPr/>
        <w:br w:type="column"/>
      </w:r>
      <w:r>
        <w:rPr>
          <w:sz w:val="20"/>
        </w:rPr>
      </w:r>
    </w:p>
    <w:p>
      <w:pPr>
        <w:pStyle w:val="BodyText"/>
        <w:spacing w:line="247" w:lineRule="auto"/>
        <w:ind w:left="107" w:right="132"/>
      </w:pPr>
      <w:r>
        <w:rPr>
          <w:rFonts w:ascii="Calibri" w:hAnsi="Calibri"/>
        </w:rPr>
        <w:t>Commercial agreements </w:t>
      </w:r>
      <w:r>
        <w:rPr/>
        <w:t>– Rationalisation of operational efficiencies and renegotiation of commercial leases and licence agreements across the portfolio have achieved revenue growth of 32 per cent. Further growth is </w:t>
      </w:r>
      <w:r>
        <w:rPr>
          <w:w w:val="99"/>
        </w:rPr>
        <w:t>expected </w:t>
      </w:r>
      <w:r>
        <w:rPr>
          <w:w w:val="95"/>
        </w:rPr>
        <w:t>in </w:t>
      </w:r>
      <w:r>
        <w:rPr>
          <w:w w:val="90"/>
        </w:rPr>
        <w:t>2016 </w:t>
      </w:r>
      <w:r>
        <w:rPr>
          <w:w w:val="94"/>
        </w:rPr>
        <w:t>as </w:t>
      </w:r>
      <w:r>
        <w:rPr>
          <w:w w:val="97"/>
        </w:rPr>
        <w:t>new </w:t>
      </w:r>
      <w:r>
        <w:rPr>
          <w:w w:val="97"/>
        </w:rPr>
        <w:t>agreements </w:t>
      </w:r>
      <w:r>
        <w:rPr>
          <w:w w:val="95"/>
        </w:rPr>
        <w:t>are </w:t>
      </w:r>
      <w:r>
        <w:rPr/>
        <w:t>negotiated for food and beverage outlets, sporting fields, venues and other commercial opportunities.</w:t>
      </w:r>
    </w:p>
    <w:p>
      <w:pPr>
        <w:pStyle w:val="BodyText"/>
      </w:pPr>
    </w:p>
    <w:p>
      <w:pPr>
        <w:pStyle w:val="Heading5"/>
        <w:spacing w:line="260" w:lineRule="exact" w:before="103"/>
        <w:ind w:right="287"/>
      </w:pPr>
      <w:r>
        <w:rPr>
          <w:w w:val="95"/>
        </w:rPr>
        <w:t>CAPITAL WORKS AND </w:t>
      </w:r>
      <w:r>
        <w:rPr/>
        <w:t>FACILITIES</w:t>
      </w:r>
    </w:p>
    <w:p>
      <w:pPr>
        <w:pStyle w:val="BodyText"/>
        <w:spacing w:line="249" w:lineRule="auto" w:before="214"/>
        <w:ind w:left="107" w:right="127"/>
      </w:pPr>
      <w:r>
        <w:rPr/>
        <w:t>Capital Works and Facilities (CW&amp;F) is responsible for planning and constructing new buildings, refurbishing and adapting existing buildings, maintaining almost </w:t>
      </w:r>
      <w:r>
        <w:rPr>
          <w:spacing w:val="2"/>
        </w:rPr>
        <w:t>2,000 </w:t>
      </w:r>
      <w:r>
        <w:rPr/>
        <w:t>hectares of landscape and maintaining and cleaning more than 550 buildings across six campuses and external sites. It also provides cleaning and presentation </w:t>
      </w:r>
      <w:r>
        <w:rPr>
          <w:spacing w:val="2"/>
        </w:rPr>
        <w:t>services, </w:t>
      </w:r>
      <w:r>
        <w:rPr/>
        <w:t>waste removal, relocations and event set-ups, furniture acquisition and installation, space management, spatial data collation and management, campus signage and logistics (mail and stores). The Hawkesbury campus farm</w:t>
      </w:r>
      <w:r>
        <w:rPr>
          <w:spacing w:val="-17"/>
        </w:rPr>
        <w:t> </w:t>
      </w:r>
      <w:r>
        <w:rPr/>
        <w:t>and</w:t>
      </w:r>
      <w:r>
        <w:rPr>
          <w:spacing w:val="-17"/>
        </w:rPr>
        <w:t> </w:t>
      </w:r>
      <w:r>
        <w:rPr/>
        <w:t>associated</w:t>
      </w:r>
      <w:r>
        <w:rPr>
          <w:spacing w:val="-17"/>
        </w:rPr>
        <w:t> </w:t>
      </w:r>
      <w:r>
        <w:rPr/>
        <w:t>resources</w:t>
      </w:r>
      <w:r>
        <w:rPr>
          <w:spacing w:val="-17"/>
        </w:rPr>
        <w:t> </w:t>
      </w:r>
      <w:r>
        <w:rPr/>
        <w:t>are</w:t>
      </w:r>
      <w:r>
        <w:rPr>
          <w:spacing w:val="-17"/>
        </w:rPr>
        <w:t> </w:t>
      </w:r>
      <w:r>
        <w:rPr/>
        <w:t>also</w:t>
      </w:r>
      <w:r>
        <w:rPr>
          <w:spacing w:val="-17"/>
        </w:rPr>
        <w:t> </w:t>
      </w:r>
      <w:r>
        <w:rPr>
          <w:spacing w:val="2"/>
        </w:rPr>
        <w:t>part</w:t>
      </w:r>
      <w:r>
        <w:rPr>
          <w:spacing w:val="-17"/>
        </w:rPr>
        <w:t> </w:t>
      </w:r>
      <w:r>
        <w:rPr/>
        <w:t>of the CW&amp;F portfolio. CW&amp;F is also committed to</w:t>
      </w:r>
      <w:r>
        <w:rPr>
          <w:spacing w:val="-13"/>
        </w:rPr>
        <w:t> </w:t>
      </w:r>
      <w:r>
        <w:rPr/>
        <w:t>providing</w:t>
      </w:r>
      <w:r>
        <w:rPr>
          <w:spacing w:val="-13"/>
        </w:rPr>
        <w:t> </w:t>
      </w:r>
      <w:r>
        <w:rPr/>
        <w:t>professional</w:t>
      </w:r>
      <w:r>
        <w:rPr>
          <w:spacing w:val="-13"/>
        </w:rPr>
        <w:t> </w:t>
      </w:r>
      <w:r>
        <w:rPr/>
        <w:t>and</w:t>
      </w:r>
      <w:r>
        <w:rPr>
          <w:spacing w:val="-13"/>
        </w:rPr>
        <w:t> </w:t>
      </w:r>
      <w:r>
        <w:rPr/>
        <w:t>project</w:t>
      </w:r>
      <w:r>
        <w:rPr>
          <w:spacing w:val="-13"/>
        </w:rPr>
        <w:t> </w:t>
      </w:r>
      <w:r>
        <w:rPr/>
        <w:t>delivery support</w:t>
      </w:r>
      <w:r>
        <w:rPr>
          <w:spacing w:val="-13"/>
        </w:rPr>
        <w:t> </w:t>
      </w:r>
      <w:r>
        <w:rPr/>
        <w:t>to</w:t>
      </w:r>
      <w:r>
        <w:rPr>
          <w:spacing w:val="-13"/>
        </w:rPr>
        <w:t> </w:t>
      </w:r>
      <w:r>
        <w:rPr/>
        <w:t>OCEP</w:t>
      </w:r>
      <w:r>
        <w:rPr>
          <w:spacing w:val="-13"/>
        </w:rPr>
        <w:t> </w:t>
      </w:r>
      <w:r>
        <w:rPr/>
        <w:t>commercial</w:t>
      </w:r>
      <w:r>
        <w:rPr>
          <w:spacing w:val="-13"/>
        </w:rPr>
        <w:t> </w:t>
      </w:r>
      <w:r>
        <w:rPr/>
        <w:t>ventures.</w:t>
      </w:r>
    </w:p>
    <w:p>
      <w:pPr>
        <w:pStyle w:val="BodyText"/>
        <w:spacing w:before="7"/>
        <w:rPr>
          <w:sz w:val="21"/>
        </w:rPr>
      </w:pPr>
    </w:p>
    <w:p>
      <w:pPr>
        <w:pStyle w:val="Heading8"/>
        <w:ind w:right="287"/>
      </w:pPr>
      <w:r>
        <w:rPr>
          <w:w w:val="95"/>
        </w:rPr>
        <w:t>2015 CAPITAL PROJECTS REVIEW</w:t>
      </w:r>
    </w:p>
    <w:p>
      <w:pPr>
        <w:pStyle w:val="BodyText"/>
        <w:spacing w:line="244" w:lineRule="auto" w:before="94"/>
        <w:ind w:left="107" w:right="96"/>
      </w:pPr>
      <w:r>
        <w:rPr>
          <w:rFonts w:ascii="Calibri" w:hAnsi="Calibri"/>
        </w:rPr>
        <w:t>Learning    Commons    at    </w:t>
      </w:r>
      <w:r>
        <w:rPr>
          <w:rFonts w:ascii="Calibri" w:hAnsi="Calibri"/>
          <w:spacing w:val="2"/>
        </w:rPr>
        <w:t>Campbelltown campus </w:t>
      </w:r>
      <w:r>
        <w:rPr/>
        <w:t>– A learning commons at Campbelltown campus was created by </w:t>
      </w:r>
      <w:r>
        <w:rPr>
          <w:spacing w:val="1"/>
          <w:w w:val="98"/>
        </w:rPr>
        <w:t>adapting</w:t>
      </w:r>
      <w:r>
        <w:rPr>
          <w:w w:val="98"/>
        </w:rPr>
        <w:t> </w:t>
      </w:r>
      <w:r>
        <w:rPr>
          <w:w w:val="94"/>
        </w:rPr>
        <w:t>a </w:t>
      </w:r>
      <w:r>
        <w:rPr>
          <w:spacing w:val="1"/>
          <w:w w:val="98"/>
        </w:rPr>
        <w:t>storage</w:t>
      </w:r>
      <w:r>
        <w:rPr>
          <w:w w:val="98"/>
        </w:rPr>
        <w:t> </w:t>
      </w:r>
      <w:r>
        <w:rPr>
          <w:w w:val="95"/>
        </w:rPr>
        <w:t>area </w:t>
      </w:r>
      <w:r>
        <w:rPr>
          <w:w w:val="95"/>
        </w:rPr>
        <w:t>in </w:t>
      </w:r>
      <w:r>
        <w:rPr>
          <w:spacing w:val="1"/>
          <w:w w:val="84"/>
        </w:rPr>
        <w:t>2015.</w:t>
      </w:r>
      <w:r>
        <w:rPr>
          <w:w w:val="84"/>
        </w:rPr>
        <w:t> </w:t>
      </w:r>
      <w:r>
        <w:rPr>
          <w:w w:val="112"/>
        </w:rPr>
        <w:t>A </w:t>
      </w:r>
      <w:r>
        <w:rPr>
          <w:w w:val="97"/>
        </w:rPr>
        <w:t>central </w:t>
      </w:r>
      <w:r>
        <w:rPr/>
        <w:t>student</w:t>
      </w:r>
      <w:r>
        <w:rPr>
          <w:spacing w:val="-16"/>
        </w:rPr>
        <w:t> </w:t>
      </w:r>
      <w:r>
        <w:rPr/>
        <w:t>facility</w:t>
      </w:r>
      <w:r>
        <w:rPr>
          <w:spacing w:val="-16"/>
        </w:rPr>
        <w:t> </w:t>
      </w:r>
      <w:r>
        <w:rPr>
          <w:spacing w:val="2"/>
        </w:rPr>
        <w:t>shifts</w:t>
      </w:r>
      <w:r>
        <w:rPr>
          <w:spacing w:val="-16"/>
        </w:rPr>
        <w:t> </w:t>
      </w:r>
      <w:r>
        <w:rPr/>
        <w:t>the</w:t>
      </w:r>
      <w:r>
        <w:rPr>
          <w:spacing w:val="-16"/>
        </w:rPr>
        <w:t> </w:t>
      </w:r>
      <w:r>
        <w:rPr/>
        <w:t>focus</w:t>
      </w:r>
      <w:r>
        <w:rPr>
          <w:spacing w:val="-16"/>
        </w:rPr>
        <w:t> </w:t>
      </w:r>
      <w:r>
        <w:rPr/>
        <w:t>on</w:t>
      </w:r>
      <w:r>
        <w:rPr>
          <w:spacing w:val="-16"/>
        </w:rPr>
        <w:t> </w:t>
      </w:r>
      <w:r>
        <w:rPr/>
        <w:t>entering</w:t>
      </w:r>
      <w:r>
        <w:rPr>
          <w:spacing w:val="-16"/>
        </w:rPr>
        <w:t> </w:t>
      </w:r>
      <w:r>
        <w:rPr/>
        <w:t>the campus away from the adjoining residential development and ensures an active and vibrant</w:t>
      </w:r>
      <w:r>
        <w:rPr>
          <w:spacing w:val="-19"/>
        </w:rPr>
        <w:t> </w:t>
      </w:r>
      <w:r>
        <w:rPr/>
        <w:t>‘face’</w:t>
      </w:r>
      <w:r>
        <w:rPr>
          <w:spacing w:val="-19"/>
        </w:rPr>
        <w:t> </w:t>
      </w:r>
      <w:r>
        <w:rPr/>
        <w:t>for</w:t>
      </w:r>
      <w:r>
        <w:rPr>
          <w:spacing w:val="-19"/>
        </w:rPr>
        <w:t> </w:t>
      </w:r>
      <w:r>
        <w:rPr/>
        <w:t>the</w:t>
      </w:r>
      <w:r>
        <w:rPr>
          <w:spacing w:val="-19"/>
        </w:rPr>
        <w:t> </w:t>
      </w:r>
      <w:r>
        <w:rPr/>
        <w:t>University.</w:t>
      </w:r>
      <w:r>
        <w:rPr>
          <w:spacing w:val="-19"/>
        </w:rPr>
        <w:t> </w:t>
      </w:r>
      <w:r>
        <w:rPr>
          <w:spacing w:val="-4"/>
        </w:rPr>
        <w:t>Two</w:t>
      </w:r>
      <w:r>
        <w:rPr>
          <w:spacing w:val="-19"/>
        </w:rPr>
        <w:t> </w:t>
      </w:r>
      <w:r>
        <w:rPr/>
        <w:t>levels</w:t>
      </w:r>
    </w:p>
    <w:p>
      <w:pPr>
        <w:pStyle w:val="BodyText"/>
        <w:spacing w:line="249" w:lineRule="auto" w:before="3"/>
        <w:ind w:left="107" w:right="123"/>
      </w:pPr>
      <w:r>
        <w:rPr/>
        <w:t>of student spaces connect to the existing food court, enhancing student amenities and ensuring access to flexible and technology- enabled spaces. Concurrently, the external forecourt has been refurbished to create extra space for students. The forecourt has been landscaped to complement the School of Medicine building and entry to the new UrbanGrowth subdivision. This project is part funded by the SSAF.</w:t>
      </w:r>
    </w:p>
    <w:p>
      <w:pPr>
        <w:spacing w:after="0" w:line="249" w:lineRule="auto"/>
        <w:sectPr>
          <w:type w:val="continuous"/>
          <w:pgSz w:w="11910" w:h="16840"/>
          <w:pgMar w:top="1580" w:bottom="280" w:left="800" w:right="800"/>
          <w:cols w:num="3" w:equalWidth="0">
            <w:col w:w="3318" w:space="121"/>
            <w:col w:w="3320" w:space="119"/>
            <w:col w:w="3432"/>
          </w:cols>
        </w:sectPr>
      </w:pPr>
    </w:p>
    <w:p>
      <w:pPr>
        <w:pStyle w:val="BodyText"/>
        <w:spacing w:before="10"/>
        <w:rPr>
          <w:sz w:val="28"/>
        </w:rPr>
      </w:pPr>
    </w:p>
    <w:p>
      <w:pPr>
        <w:pStyle w:val="Heading2"/>
        <w:ind w:right="7693"/>
        <w:rPr>
          <w:b w:val="0"/>
        </w:rPr>
      </w:pPr>
      <w:r>
        <w:rPr>
          <w:b w:val="0"/>
        </w:rPr>
        <w:t>Management and Resources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pgSz w:w="11910" w:h="16840"/>
          <w:pgMar w:header="494" w:footer="473" w:top="680" w:bottom="660" w:left="800" w:right="800"/>
        </w:sectPr>
      </w:pPr>
    </w:p>
    <w:p>
      <w:pPr>
        <w:pStyle w:val="BodyText"/>
        <w:spacing w:before="6"/>
        <w:rPr>
          <w:rFonts w:ascii="Chronicle Text G1"/>
          <w:b w:val="0"/>
          <w:sz w:val="17"/>
        </w:rPr>
      </w:pPr>
    </w:p>
    <w:p>
      <w:pPr>
        <w:pStyle w:val="BodyText"/>
        <w:spacing w:line="244" w:lineRule="auto" w:before="1"/>
        <w:ind w:left="107" w:right="94"/>
      </w:pPr>
      <w:r>
        <w:rPr>
          <w:rFonts w:ascii="Calibri" w:hAnsi="Calibri"/>
        </w:rPr>
        <w:t>New anatomy building at Campbelltown (building 24) </w:t>
      </w:r>
      <w:r>
        <w:rPr/>
        <w:t>– To meet future teaching requirements and additional student load, a three-storey anatomy facility has been built for the School of Science and Health and the School of Medicine at the Campbelltown campus. The facility has shared back-of-</w:t>
      </w:r>
    </w:p>
    <w:p>
      <w:pPr>
        <w:pStyle w:val="BodyText"/>
        <w:spacing w:line="249" w:lineRule="auto" w:before="3"/>
        <w:ind w:left="107" w:right="33"/>
      </w:pPr>
      <w:r>
        <w:rPr/>
        <w:t>house</w:t>
      </w:r>
      <w:r>
        <w:rPr>
          <w:spacing w:val="-19"/>
        </w:rPr>
        <w:t> </w:t>
      </w:r>
      <w:r>
        <w:rPr/>
        <w:t>functions,</w:t>
      </w:r>
      <w:r>
        <w:rPr>
          <w:spacing w:val="-19"/>
        </w:rPr>
        <w:t> </w:t>
      </w:r>
      <w:r>
        <w:rPr/>
        <w:t>such</w:t>
      </w:r>
      <w:r>
        <w:rPr>
          <w:spacing w:val="-19"/>
        </w:rPr>
        <w:t> </w:t>
      </w:r>
      <w:r>
        <w:rPr/>
        <w:t>as</w:t>
      </w:r>
      <w:r>
        <w:rPr>
          <w:spacing w:val="-19"/>
        </w:rPr>
        <w:t> </w:t>
      </w:r>
      <w:r>
        <w:rPr/>
        <w:t>refrigerated</w:t>
      </w:r>
      <w:r>
        <w:rPr>
          <w:spacing w:val="-19"/>
        </w:rPr>
        <w:t> </w:t>
      </w:r>
      <w:r>
        <w:rPr/>
        <w:t>cadaver storage and embalming and dissection areas for the University’s Body Donor Program, as well</w:t>
      </w:r>
      <w:r>
        <w:rPr>
          <w:spacing w:val="-19"/>
        </w:rPr>
        <w:t> </w:t>
      </w:r>
      <w:r>
        <w:rPr/>
        <w:t>as</w:t>
      </w:r>
      <w:r>
        <w:rPr>
          <w:spacing w:val="-19"/>
        </w:rPr>
        <w:t> </w:t>
      </w:r>
      <w:r>
        <w:rPr/>
        <w:t>teaching</w:t>
      </w:r>
      <w:r>
        <w:rPr>
          <w:spacing w:val="-19"/>
        </w:rPr>
        <w:t> </w:t>
      </w:r>
      <w:r>
        <w:rPr/>
        <w:t>laboratories,</w:t>
      </w:r>
      <w:r>
        <w:rPr>
          <w:spacing w:val="-19"/>
        </w:rPr>
        <w:t> </w:t>
      </w:r>
      <w:r>
        <w:rPr/>
        <w:t>thus</w:t>
      </w:r>
      <w:r>
        <w:rPr>
          <w:spacing w:val="-19"/>
        </w:rPr>
        <w:t> </w:t>
      </w:r>
      <w:r>
        <w:rPr/>
        <w:t>serving</w:t>
      </w:r>
      <w:r>
        <w:rPr>
          <w:spacing w:val="-19"/>
        </w:rPr>
        <w:t> </w:t>
      </w:r>
      <w:r>
        <w:rPr/>
        <w:t>the distinct</w:t>
      </w:r>
      <w:r>
        <w:rPr>
          <w:spacing w:val="-13"/>
        </w:rPr>
        <w:t> </w:t>
      </w:r>
      <w:r>
        <w:rPr/>
        <w:t>needs</w:t>
      </w:r>
      <w:r>
        <w:rPr>
          <w:spacing w:val="-13"/>
        </w:rPr>
        <w:t> </w:t>
      </w:r>
      <w:r>
        <w:rPr/>
        <w:t>of</w:t>
      </w:r>
      <w:r>
        <w:rPr>
          <w:spacing w:val="-13"/>
        </w:rPr>
        <w:t> </w:t>
      </w:r>
      <w:r>
        <w:rPr/>
        <w:t>both</w:t>
      </w:r>
      <w:r>
        <w:rPr>
          <w:spacing w:val="-13"/>
        </w:rPr>
        <w:t> </w:t>
      </w:r>
      <w:r>
        <w:rPr/>
        <w:t>Schools.</w:t>
      </w:r>
    </w:p>
    <w:p>
      <w:pPr>
        <w:pStyle w:val="BodyText"/>
        <w:spacing w:before="7"/>
        <w:rPr>
          <w:sz w:val="14"/>
        </w:rPr>
      </w:pPr>
    </w:p>
    <w:p>
      <w:pPr>
        <w:pStyle w:val="BodyText"/>
        <w:spacing w:before="1"/>
        <w:ind w:left="107" w:right="360"/>
      </w:pPr>
      <w:r>
        <w:rPr>
          <w:rFonts w:ascii="Calibri" w:hAnsi="Calibri"/>
        </w:rPr>
        <w:t>Refurbishment of building 10, Campbelltown </w:t>
      </w:r>
      <w:r>
        <w:rPr/>
        <w:t>– A major refurbishment </w:t>
      </w:r>
      <w:r>
        <w:rPr>
          <w:w w:val="101"/>
        </w:rPr>
        <w:t>to </w:t>
      </w:r>
      <w:r>
        <w:rPr>
          <w:w w:val="98"/>
        </w:rPr>
        <w:t>bring </w:t>
      </w:r>
      <w:r>
        <w:rPr>
          <w:w w:val="98"/>
        </w:rPr>
        <w:t>building </w:t>
      </w:r>
      <w:r>
        <w:rPr>
          <w:w w:val="82"/>
        </w:rPr>
        <w:t>10 </w:t>
      </w:r>
      <w:r>
        <w:rPr>
          <w:w w:val="98"/>
        </w:rPr>
        <w:t>at </w:t>
      </w:r>
      <w:r>
        <w:rPr>
          <w:w w:val="97"/>
        </w:rPr>
        <w:t>the </w:t>
      </w:r>
      <w:r>
        <w:rPr>
          <w:w w:val="98"/>
        </w:rPr>
        <w:t>Campbelltown </w:t>
      </w:r>
      <w:r>
        <w:rPr/>
        <w:t>campus up to the collaborative learning</w:t>
      </w:r>
    </w:p>
    <w:p>
      <w:pPr>
        <w:pStyle w:val="BodyText"/>
        <w:spacing w:line="249" w:lineRule="auto" w:before="7"/>
        <w:ind w:left="107" w:right="36"/>
      </w:pPr>
      <w:r>
        <w:rPr>
          <w:spacing w:val="2"/>
        </w:rPr>
        <w:t>standard </w:t>
      </w:r>
      <w:r>
        <w:rPr/>
        <w:t>has </w:t>
      </w:r>
      <w:r>
        <w:rPr>
          <w:spacing w:val="2"/>
        </w:rPr>
        <w:t>been </w:t>
      </w:r>
      <w:r>
        <w:rPr/>
        <w:t>completed. This </w:t>
      </w:r>
      <w:r>
        <w:rPr>
          <w:spacing w:val="2"/>
        </w:rPr>
        <w:t>project included upgrading </w:t>
      </w:r>
      <w:r>
        <w:rPr/>
        <w:t>the teaching facilities to create</w:t>
      </w:r>
      <w:r>
        <w:rPr>
          <w:spacing w:val="-17"/>
        </w:rPr>
        <w:t> </w:t>
      </w:r>
      <w:r>
        <w:rPr/>
        <w:t>collaborative</w:t>
      </w:r>
      <w:r>
        <w:rPr>
          <w:spacing w:val="-17"/>
        </w:rPr>
        <w:t> </w:t>
      </w:r>
      <w:r>
        <w:rPr>
          <w:spacing w:val="2"/>
        </w:rPr>
        <w:t>learning</w:t>
      </w:r>
      <w:r>
        <w:rPr>
          <w:spacing w:val="-17"/>
        </w:rPr>
        <w:t> </w:t>
      </w:r>
      <w:r>
        <w:rPr>
          <w:spacing w:val="2"/>
        </w:rPr>
        <w:t>spaces.</w:t>
      </w:r>
      <w:r>
        <w:rPr>
          <w:spacing w:val="-17"/>
        </w:rPr>
        <w:t> </w:t>
      </w:r>
      <w:r>
        <w:rPr/>
        <w:t>A</w:t>
      </w:r>
      <w:r>
        <w:rPr>
          <w:spacing w:val="-17"/>
        </w:rPr>
        <w:t> </w:t>
      </w:r>
      <w:r>
        <w:rPr/>
        <w:t>major </w:t>
      </w:r>
      <w:r>
        <w:rPr>
          <w:spacing w:val="2"/>
        </w:rPr>
        <w:t>upgrade </w:t>
      </w:r>
      <w:r>
        <w:rPr/>
        <w:t>of IT </w:t>
      </w:r>
      <w:r>
        <w:rPr>
          <w:spacing w:val="2"/>
        </w:rPr>
        <w:t>services, </w:t>
      </w:r>
      <w:r>
        <w:rPr/>
        <w:t>collaborative-style furniture and the incorporation of social </w:t>
      </w:r>
      <w:r>
        <w:rPr>
          <w:spacing w:val="2"/>
        </w:rPr>
        <w:t>learning</w:t>
      </w:r>
      <w:r>
        <w:rPr>
          <w:spacing w:val="-19"/>
        </w:rPr>
        <w:t> </w:t>
      </w:r>
      <w:r>
        <w:rPr>
          <w:spacing w:val="2"/>
        </w:rPr>
        <w:t>spaces</w:t>
      </w:r>
      <w:r>
        <w:rPr>
          <w:spacing w:val="-19"/>
        </w:rPr>
        <w:t> </w:t>
      </w:r>
      <w:r>
        <w:rPr/>
        <w:t>in</w:t>
      </w:r>
      <w:r>
        <w:rPr>
          <w:spacing w:val="-19"/>
        </w:rPr>
        <w:t> </w:t>
      </w:r>
      <w:r>
        <w:rPr/>
        <w:t>the</w:t>
      </w:r>
      <w:r>
        <w:rPr>
          <w:spacing w:val="-19"/>
        </w:rPr>
        <w:t> </w:t>
      </w:r>
      <w:r>
        <w:rPr/>
        <w:t>circulation</w:t>
      </w:r>
      <w:r>
        <w:rPr>
          <w:spacing w:val="-19"/>
        </w:rPr>
        <w:t> </w:t>
      </w:r>
      <w:r>
        <w:rPr>
          <w:spacing w:val="2"/>
        </w:rPr>
        <w:t>spaces</w:t>
      </w:r>
      <w:r>
        <w:rPr>
          <w:spacing w:val="-19"/>
        </w:rPr>
        <w:t> </w:t>
      </w:r>
      <w:r>
        <w:rPr/>
        <w:t>have greatly</w:t>
      </w:r>
      <w:r>
        <w:rPr>
          <w:spacing w:val="-20"/>
        </w:rPr>
        <w:t> </w:t>
      </w:r>
      <w:r>
        <w:rPr/>
        <w:t>improved</w:t>
      </w:r>
      <w:r>
        <w:rPr>
          <w:spacing w:val="-20"/>
        </w:rPr>
        <w:t> </w:t>
      </w:r>
      <w:r>
        <w:rPr/>
        <w:t>the</w:t>
      </w:r>
      <w:r>
        <w:rPr>
          <w:spacing w:val="-20"/>
        </w:rPr>
        <w:t> </w:t>
      </w:r>
      <w:r>
        <w:rPr>
          <w:spacing w:val="2"/>
        </w:rPr>
        <w:t>facilities.</w:t>
      </w:r>
    </w:p>
    <w:p>
      <w:pPr>
        <w:pStyle w:val="BodyText"/>
        <w:rPr>
          <w:sz w:val="14"/>
        </w:rPr>
      </w:pPr>
    </w:p>
    <w:p>
      <w:pPr>
        <w:pStyle w:val="BodyText"/>
        <w:spacing w:line="200" w:lineRule="exact"/>
        <w:ind w:left="107" w:right="6"/>
      </w:pPr>
      <w:r>
        <w:rPr>
          <w:rFonts w:ascii="Calibri" w:hAnsi="Calibri"/>
        </w:rPr>
        <w:t>Refurbishment of the Graham Swain Library, Hawkesbury </w:t>
      </w:r>
      <w:r>
        <w:rPr/>
        <w:t>– The Graham Swain Library (building G1) at the Hawkesbury campus</w:t>
      </w:r>
    </w:p>
    <w:p>
      <w:pPr>
        <w:pStyle w:val="BodyText"/>
        <w:spacing w:line="249" w:lineRule="auto"/>
        <w:ind w:left="107" w:right="133"/>
      </w:pPr>
      <w:r>
        <w:rPr/>
        <w:t>is the latest of the University’s existing library facilities to undergo a significant refurbishment. Increased student numbers and</w:t>
      </w:r>
      <w:r>
        <w:rPr>
          <w:spacing w:val="-13"/>
        </w:rPr>
        <w:t> </w:t>
      </w:r>
      <w:r>
        <w:rPr/>
        <w:t>demand</w:t>
      </w:r>
      <w:r>
        <w:rPr>
          <w:spacing w:val="-13"/>
        </w:rPr>
        <w:t> </w:t>
      </w:r>
      <w:r>
        <w:rPr/>
        <w:t>on</w:t>
      </w:r>
      <w:r>
        <w:rPr>
          <w:spacing w:val="-13"/>
        </w:rPr>
        <w:t> </w:t>
      </w:r>
      <w:r>
        <w:rPr/>
        <w:t>campus</w:t>
      </w:r>
      <w:r>
        <w:rPr>
          <w:spacing w:val="-13"/>
        </w:rPr>
        <w:t> </w:t>
      </w:r>
      <w:r>
        <w:rPr/>
        <w:t>made</w:t>
      </w:r>
      <w:r>
        <w:rPr>
          <w:spacing w:val="-13"/>
        </w:rPr>
        <w:t> </w:t>
      </w:r>
      <w:r>
        <w:rPr/>
        <w:t>this</w:t>
      </w:r>
      <w:r>
        <w:rPr>
          <w:spacing w:val="-13"/>
        </w:rPr>
        <w:t> </w:t>
      </w:r>
      <w:r>
        <w:rPr/>
        <w:t>a</w:t>
      </w:r>
      <w:r>
        <w:rPr>
          <w:spacing w:val="-13"/>
        </w:rPr>
        <w:t> </w:t>
      </w:r>
      <w:r>
        <w:rPr/>
        <w:t>priority project.</w:t>
      </w:r>
      <w:r>
        <w:rPr>
          <w:spacing w:val="-18"/>
        </w:rPr>
        <w:t> </w:t>
      </w:r>
      <w:r>
        <w:rPr/>
        <w:t>Dual</w:t>
      </w:r>
      <w:r>
        <w:rPr>
          <w:spacing w:val="-18"/>
        </w:rPr>
        <w:t> </w:t>
      </w:r>
      <w:r>
        <w:rPr/>
        <w:t>entries</w:t>
      </w:r>
      <w:r>
        <w:rPr>
          <w:spacing w:val="-18"/>
        </w:rPr>
        <w:t> </w:t>
      </w:r>
      <w:r>
        <w:rPr/>
        <w:t>to</w:t>
      </w:r>
      <w:r>
        <w:rPr>
          <w:spacing w:val="-18"/>
        </w:rPr>
        <w:t> </w:t>
      </w:r>
      <w:r>
        <w:rPr/>
        <w:t>the</w:t>
      </w:r>
      <w:r>
        <w:rPr>
          <w:spacing w:val="-18"/>
        </w:rPr>
        <w:t> </w:t>
      </w:r>
      <w:r>
        <w:rPr/>
        <w:t>library</w:t>
      </w:r>
      <w:r>
        <w:rPr>
          <w:spacing w:val="-18"/>
        </w:rPr>
        <w:t> </w:t>
      </w:r>
      <w:r>
        <w:rPr/>
        <w:t>have</w:t>
      </w:r>
      <w:r>
        <w:rPr>
          <w:spacing w:val="-18"/>
        </w:rPr>
        <w:t> </w:t>
      </w:r>
      <w:r>
        <w:rPr/>
        <w:t>been built</w:t>
      </w:r>
      <w:r>
        <w:rPr>
          <w:spacing w:val="-17"/>
        </w:rPr>
        <w:t> </w:t>
      </w:r>
      <w:r>
        <w:rPr/>
        <w:t>and</w:t>
      </w:r>
      <w:r>
        <w:rPr>
          <w:spacing w:val="-17"/>
        </w:rPr>
        <w:t> </w:t>
      </w:r>
      <w:r>
        <w:rPr/>
        <w:t>linked</w:t>
      </w:r>
      <w:r>
        <w:rPr>
          <w:spacing w:val="-17"/>
        </w:rPr>
        <w:t> </w:t>
      </w:r>
      <w:r>
        <w:rPr/>
        <w:t>to</w:t>
      </w:r>
      <w:r>
        <w:rPr>
          <w:spacing w:val="-17"/>
        </w:rPr>
        <w:t> </w:t>
      </w:r>
      <w:r>
        <w:rPr/>
        <w:t>the</w:t>
      </w:r>
      <w:r>
        <w:rPr>
          <w:spacing w:val="-17"/>
        </w:rPr>
        <w:t> </w:t>
      </w:r>
      <w:r>
        <w:rPr>
          <w:spacing w:val="2"/>
        </w:rPr>
        <w:t>heart</w:t>
      </w:r>
      <w:r>
        <w:rPr>
          <w:spacing w:val="-17"/>
        </w:rPr>
        <w:t> </w:t>
      </w:r>
      <w:r>
        <w:rPr/>
        <w:t>of</w:t>
      </w:r>
      <w:r>
        <w:rPr>
          <w:spacing w:val="-17"/>
        </w:rPr>
        <w:t> </w:t>
      </w:r>
      <w:r>
        <w:rPr/>
        <w:t>the</w:t>
      </w:r>
      <w:r>
        <w:rPr>
          <w:spacing w:val="-17"/>
        </w:rPr>
        <w:t> </w:t>
      </w:r>
      <w:r>
        <w:rPr>
          <w:spacing w:val="2"/>
        </w:rPr>
        <w:t>campus, </w:t>
      </w:r>
      <w:r>
        <w:rPr/>
        <w:t>creating</w:t>
      </w:r>
      <w:r>
        <w:rPr>
          <w:spacing w:val="-16"/>
        </w:rPr>
        <w:t> </w:t>
      </w:r>
      <w:r>
        <w:rPr/>
        <w:t>a</w:t>
      </w:r>
      <w:r>
        <w:rPr>
          <w:spacing w:val="-16"/>
        </w:rPr>
        <w:t> </w:t>
      </w:r>
      <w:r>
        <w:rPr/>
        <w:t>greater</w:t>
      </w:r>
      <w:r>
        <w:rPr>
          <w:spacing w:val="-16"/>
        </w:rPr>
        <w:t> </w:t>
      </w:r>
      <w:r>
        <w:rPr/>
        <w:t>connection</w:t>
      </w:r>
      <w:r>
        <w:rPr>
          <w:spacing w:val="-16"/>
        </w:rPr>
        <w:t> </w:t>
      </w:r>
      <w:r>
        <w:rPr/>
        <w:t>between</w:t>
      </w:r>
      <w:r>
        <w:rPr>
          <w:spacing w:val="-16"/>
        </w:rPr>
        <w:t> </w:t>
      </w:r>
      <w:r>
        <w:rPr/>
        <w:t>the</w:t>
      </w:r>
    </w:p>
    <w:p>
      <w:pPr>
        <w:pStyle w:val="BodyText"/>
        <w:spacing w:line="249" w:lineRule="auto"/>
        <w:ind w:left="107" w:right="26"/>
      </w:pPr>
      <w:r>
        <w:rPr/>
        <w:t>precincts.</w:t>
      </w:r>
      <w:r>
        <w:rPr>
          <w:spacing w:val="-16"/>
        </w:rPr>
        <w:t> </w:t>
      </w:r>
      <w:r>
        <w:rPr/>
        <w:t>The</w:t>
      </w:r>
      <w:r>
        <w:rPr>
          <w:spacing w:val="-16"/>
        </w:rPr>
        <w:t> </w:t>
      </w:r>
      <w:r>
        <w:rPr/>
        <w:t>work</w:t>
      </w:r>
      <w:r>
        <w:rPr>
          <w:spacing w:val="-16"/>
        </w:rPr>
        <w:t> </w:t>
      </w:r>
      <w:r>
        <w:rPr/>
        <w:t>raised</w:t>
      </w:r>
      <w:r>
        <w:rPr>
          <w:spacing w:val="-16"/>
        </w:rPr>
        <w:t> </w:t>
      </w:r>
      <w:r>
        <w:rPr/>
        <w:t>the</w:t>
      </w:r>
      <w:r>
        <w:rPr>
          <w:spacing w:val="-16"/>
        </w:rPr>
        <w:t> </w:t>
      </w:r>
      <w:r>
        <w:rPr/>
        <w:t>standard</w:t>
      </w:r>
      <w:r>
        <w:rPr>
          <w:spacing w:val="-16"/>
        </w:rPr>
        <w:t> </w:t>
      </w:r>
      <w:r>
        <w:rPr/>
        <w:t>of</w:t>
      </w:r>
      <w:r>
        <w:rPr>
          <w:spacing w:val="-16"/>
        </w:rPr>
        <w:t> </w:t>
      </w:r>
      <w:r>
        <w:rPr/>
        <w:t>the library to that of the surrounding buildings, and it now provides better amenities and greater</w:t>
      </w:r>
      <w:r>
        <w:rPr>
          <w:spacing w:val="-19"/>
        </w:rPr>
        <w:t> </w:t>
      </w:r>
      <w:r>
        <w:rPr/>
        <w:t>flexibility</w:t>
      </w:r>
      <w:r>
        <w:rPr>
          <w:spacing w:val="-19"/>
        </w:rPr>
        <w:t> </w:t>
      </w:r>
      <w:r>
        <w:rPr/>
        <w:t>for</w:t>
      </w:r>
      <w:r>
        <w:rPr>
          <w:spacing w:val="-19"/>
        </w:rPr>
        <w:t> </w:t>
      </w:r>
      <w:r>
        <w:rPr/>
        <w:t>students.</w:t>
      </w:r>
    </w:p>
    <w:p>
      <w:pPr>
        <w:pStyle w:val="BodyText"/>
        <w:rPr>
          <w:sz w:val="14"/>
        </w:rPr>
      </w:pPr>
    </w:p>
    <w:p>
      <w:pPr>
        <w:pStyle w:val="BodyText"/>
        <w:spacing w:line="242" w:lineRule="auto"/>
        <w:ind w:left="107" w:right="101"/>
        <w:jc w:val="both"/>
      </w:pPr>
      <w:r>
        <w:rPr>
          <w:rFonts w:ascii="Calibri" w:hAnsi="Calibri"/>
        </w:rPr>
        <w:t>New College </w:t>
      </w:r>
      <w:r>
        <w:rPr>
          <w:rFonts w:ascii="Calibri" w:hAnsi="Calibri"/>
          <w:spacing w:val="2"/>
        </w:rPr>
        <w:t>building, </w:t>
      </w:r>
      <w:r>
        <w:rPr>
          <w:rFonts w:ascii="Calibri" w:hAnsi="Calibri"/>
        </w:rPr>
        <w:t>Penrith </w:t>
      </w:r>
      <w:r>
        <w:rPr/>
        <w:t>– A new five- star,</w:t>
      </w:r>
      <w:r>
        <w:rPr>
          <w:spacing w:val="-27"/>
        </w:rPr>
        <w:t> </w:t>
      </w:r>
      <w:r>
        <w:rPr/>
        <w:t>Green</w:t>
      </w:r>
      <w:r>
        <w:rPr>
          <w:spacing w:val="-27"/>
        </w:rPr>
        <w:t> </w:t>
      </w:r>
      <w:r>
        <w:rPr/>
        <w:t>Star-rated,</w:t>
      </w:r>
      <w:r>
        <w:rPr>
          <w:spacing w:val="-27"/>
        </w:rPr>
        <w:t> </w:t>
      </w:r>
      <w:r>
        <w:rPr/>
        <w:t>single-storey</w:t>
      </w:r>
      <w:r>
        <w:rPr>
          <w:spacing w:val="-27"/>
        </w:rPr>
        <w:t> </w:t>
      </w:r>
      <w:r>
        <w:rPr/>
        <w:t>teaching building</w:t>
      </w:r>
      <w:r>
        <w:rPr>
          <w:spacing w:val="-14"/>
        </w:rPr>
        <w:t> </w:t>
      </w:r>
      <w:r>
        <w:rPr/>
        <w:t>has</w:t>
      </w:r>
      <w:r>
        <w:rPr>
          <w:spacing w:val="-14"/>
        </w:rPr>
        <w:t> </w:t>
      </w:r>
      <w:r>
        <w:rPr/>
        <w:t>been</w:t>
      </w:r>
      <w:r>
        <w:rPr>
          <w:spacing w:val="-14"/>
        </w:rPr>
        <w:t> </w:t>
      </w:r>
      <w:r>
        <w:rPr/>
        <w:t>built</w:t>
      </w:r>
      <w:r>
        <w:rPr>
          <w:spacing w:val="-14"/>
        </w:rPr>
        <w:t> </w:t>
      </w:r>
      <w:r>
        <w:rPr/>
        <w:t>for</w:t>
      </w:r>
      <w:r>
        <w:rPr>
          <w:spacing w:val="-14"/>
        </w:rPr>
        <w:t> </w:t>
      </w:r>
      <w:r>
        <w:rPr/>
        <w:t>the</w:t>
      </w:r>
      <w:r>
        <w:rPr>
          <w:spacing w:val="-14"/>
        </w:rPr>
        <w:t> </w:t>
      </w:r>
      <w:r>
        <w:rPr/>
        <w:t>College</w:t>
      </w:r>
      <w:r>
        <w:rPr>
          <w:spacing w:val="-14"/>
        </w:rPr>
        <w:t> </w:t>
      </w:r>
      <w:r>
        <w:rPr/>
        <w:t>at</w:t>
      </w:r>
    </w:p>
    <w:p>
      <w:pPr>
        <w:pStyle w:val="BodyText"/>
        <w:spacing w:line="249" w:lineRule="auto" w:before="5"/>
        <w:ind w:left="107" w:right="4"/>
      </w:pPr>
      <w:r>
        <w:rPr/>
        <w:t>the Penrith (Kingswood) campus to give University students greater study options. The new teaching facility comprises a lecture theatre, four flat-floor teaching spaces, a computer lab and a dry lab, and social/ collaborative learning spaces. The facility </w:t>
      </w:r>
      <w:r>
        <w:rPr>
          <w:w w:val="98"/>
        </w:rPr>
        <w:t>opened </w:t>
      </w:r>
      <w:r>
        <w:rPr>
          <w:w w:val="98"/>
        </w:rPr>
        <w:t>at </w:t>
      </w:r>
      <w:r>
        <w:rPr>
          <w:w w:val="97"/>
        </w:rPr>
        <w:t>the </w:t>
      </w:r>
      <w:r>
        <w:rPr>
          <w:w w:val="97"/>
        </w:rPr>
        <w:t>start </w:t>
      </w:r>
      <w:r>
        <w:rPr>
          <w:w w:val="99"/>
        </w:rPr>
        <w:t>of </w:t>
      </w:r>
      <w:r>
        <w:rPr>
          <w:w w:val="97"/>
        </w:rPr>
        <w:t>the </w:t>
      </w:r>
      <w:r>
        <w:rPr>
          <w:w w:val="88"/>
        </w:rPr>
        <w:t>2015 </w:t>
      </w:r>
      <w:r>
        <w:rPr>
          <w:w w:val="93"/>
        </w:rPr>
        <w:t>semester.</w:t>
      </w:r>
    </w:p>
    <w:p>
      <w:pPr>
        <w:pStyle w:val="BodyText"/>
        <w:rPr>
          <w:sz w:val="14"/>
        </w:rPr>
      </w:pPr>
    </w:p>
    <w:p>
      <w:pPr>
        <w:pStyle w:val="BodyText"/>
        <w:spacing w:line="244" w:lineRule="auto"/>
        <w:ind w:left="107"/>
      </w:pPr>
      <w:r>
        <w:rPr>
          <w:rFonts w:ascii="Calibri" w:hAnsi="Calibri"/>
        </w:rPr>
        <w:t>John Phillips Library, Penrith </w:t>
      </w:r>
      <w:r>
        <w:rPr/>
        <w:t>– A new state- of-the-art</w:t>
      </w:r>
      <w:r>
        <w:rPr>
          <w:spacing w:val="-15"/>
        </w:rPr>
        <w:t> </w:t>
      </w:r>
      <w:r>
        <w:rPr/>
        <w:t>library</w:t>
      </w:r>
      <w:r>
        <w:rPr>
          <w:spacing w:val="-15"/>
        </w:rPr>
        <w:t> </w:t>
      </w:r>
      <w:r>
        <w:rPr/>
        <w:t>has</w:t>
      </w:r>
      <w:r>
        <w:rPr>
          <w:spacing w:val="-15"/>
        </w:rPr>
        <w:t> </w:t>
      </w:r>
      <w:r>
        <w:rPr/>
        <w:t>been</w:t>
      </w:r>
      <w:r>
        <w:rPr>
          <w:spacing w:val="-15"/>
        </w:rPr>
        <w:t> </w:t>
      </w:r>
      <w:r>
        <w:rPr/>
        <w:t>built</w:t>
      </w:r>
      <w:r>
        <w:rPr>
          <w:spacing w:val="-15"/>
        </w:rPr>
        <w:t> </w:t>
      </w:r>
      <w:r>
        <w:rPr/>
        <w:t>for</w:t>
      </w:r>
      <w:r>
        <w:rPr>
          <w:spacing w:val="-15"/>
        </w:rPr>
        <w:t> </w:t>
      </w:r>
      <w:r>
        <w:rPr/>
        <w:t>the</w:t>
      </w:r>
      <w:r>
        <w:rPr>
          <w:spacing w:val="-15"/>
        </w:rPr>
        <w:t> </w:t>
      </w:r>
      <w:r>
        <w:rPr/>
        <w:t>Penrith (Kingswood)</w:t>
      </w:r>
      <w:r>
        <w:rPr>
          <w:spacing w:val="-18"/>
        </w:rPr>
        <w:t> </w:t>
      </w:r>
      <w:r>
        <w:rPr>
          <w:spacing w:val="2"/>
        </w:rPr>
        <w:t>campus.</w:t>
      </w:r>
      <w:r>
        <w:rPr>
          <w:spacing w:val="-18"/>
        </w:rPr>
        <w:t> </w:t>
      </w:r>
      <w:r>
        <w:rPr/>
        <w:t>The</w:t>
      </w:r>
      <w:r>
        <w:rPr>
          <w:spacing w:val="-18"/>
        </w:rPr>
        <w:t> </w:t>
      </w:r>
      <w:r>
        <w:rPr/>
        <w:t>six-storey</w:t>
      </w:r>
      <w:r>
        <w:rPr>
          <w:spacing w:val="-18"/>
        </w:rPr>
        <w:t> </w:t>
      </w:r>
      <w:r>
        <w:rPr/>
        <w:t>purpose- built</w:t>
      </w:r>
      <w:r>
        <w:rPr>
          <w:spacing w:val="-12"/>
        </w:rPr>
        <w:t> </w:t>
      </w:r>
      <w:r>
        <w:rPr/>
        <w:t>John</w:t>
      </w:r>
      <w:r>
        <w:rPr>
          <w:spacing w:val="-12"/>
        </w:rPr>
        <w:t> </w:t>
      </w:r>
      <w:r>
        <w:rPr/>
        <w:t>Phillips</w:t>
      </w:r>
      <w:r>
        <w:rPr>
          <w:spacing w:val="-12"/>
        </w:rPr>
        <w:t> </w:t>
      </w:r>
      <w:r>
        <w:rPr/>
        <w:t>Library</w:t>
      </w:r>
      <w:r>
        <w:rPr>
          <w:spacing w:val="-12"/>
        </w:rPr>
        <w:t> </w:t>
      </w:r>
      <w:r>
        <w:rPr/>
        <w:t>consolidates</w:t>
      </w:r>
      <w:r>
        <w:rPr>
          <w:spacing w:val="-12"/>
        </w:rPr>
        <w:t> </w:t>
      </w:r>
      <w:r>
        <w:rPr/>
        <w:t>the</w:t>
      </w:r>
    </w:p>
    <w:p>
      <w:pPr>
        <w:pStyle w:val="BodyText"/>
        <w:spacing w:before="10"/>
      </w:pPr>
      <w:r>
        <w:rPr/>
        <w:br w:type="column"/>
      </w:r>
      <w:r>
        <w:rPr/>
      </w:r>
    </w:p>
    <w:p>
      <w:pPr>
        <w:pStyle w:val="BodyText"/>
        <w:spacing w:line="249" w:lineRule="auto"/>
        <w:ind w:left="107" w:right="298"/>
      </w:pPr>
      <w:r>
        <w:rPr/>
        <w:t>teaching facilities and gives students a new,</w:t>
      </w:r>
      <w:r>
        <w:rPr>
          <w:spacing w:val="-22"/>
        </w:rPr>
        <w:t> </w:t>
      </w:r>
      <w:r>
        <w:rPr/>
        <w:t>central</w:t>
      </w:r>
      <w:r>
        <w:rPr>
          <w:spacing w:val="-22"/>
        </w:rPr>
        <w:t> </w:t>
      </w:r>
      <w:r>
        <w:rPr/>
        <w:t>resource</w:t>
      </w:r>
      <w:r>
        <w:rPr>
          <w:spacing w:val="-22"/>
        </w:rPr>
        <w:t> </w:t>
      </w:r>
      <w:r>
        <w:rPr/>
        <w:t>centre</w:t>
      </w:r>
      <w:r>
        <w:rPr>
          <w:spacing w:val="-22"/>
        </w:rPr>
        <w:t> </w:t>
      </w:r>
      <w:r>
        <w:rPr/>
        <w:t>that</w:t>
      </w:r>
      <w:r>
        <w:rPr>
          <w:spacing w:val="-22"/>
        </w:rPr>
        <w:t> </w:t>
      </w:r>
      <w:r>
        <w:rPr/>
        <w:t>provides a synergy between traditional hardcopy resources and contemporary, electronic, </w:t>
      </w:r>
      <w:r>
        <w:rPr>
          <w:w w:val="95"/>
        </w:rPr>
        <w:t>interactive</w:t>
      </w:r>
      <w:r>
        <w:rPr>
          <w:spacing w:val="30"/>
          <w:w w:val="95"/>
        </w:rPr>
        <w:t> </w:t>
      </w:r>
      <w:r>
        <w:rPr>
          <w:w w:val="95"/>
        </w:rPr>
        <w:t>learning.</w:t>
      </w:r>
    </w:p>
    <w:p>
      <w:pPr>
        <w:pStyle w:val="BodyText"/>
        <w:rPr>
          <w:sz w:val="14"/>
        </w:rPr>
      </w:pPr>
    </w:p>
    <w:p>
      <w:pPr>
        <w:pStyle w:val="BodyText"/>
        <w:spacing w:line="247" w:lineRule="auto"/>
        <w:ind w:left="107" w:right="2"/>
      </w:pPr>
      <w:r>
        <w:rPr>
          <w:rFonts w:ascii="Calibri" w:hAnsi="Calibri"/>
        </w:rPr>
        <w:t>College  corporate  offices  (building  U11)  </w:t>
      </w:r>
      <w:r>
        <w:rPr/>
        <w:t>–  The College has experienced significant growth</w:t>
      </w:r>
      <w:r>
        <w:rPr>
          <w:spacing w:val="-15"/>
        </w:rPr>
        <w:t> </w:t>
      </w:r>
      <w:r>
        <w:rPr/>
        <w:t>in</w:t>
      </w:r>
      <w:r>
        <w:rPr>
          <w:spacing w:val="-15"/>
        </w:rPr>
        <w:t> </w:t>
      </w:r>
      <w:r>
        <w:rPr/>
        <w:t>student</w:t>
      </w:r>
      <w:r>
        <w:rPr>
          <w:spacing w:val="-15"/>
        </w:rPr>
        <w:t> </w:t>
      </w:r>
      <w:r>
        <w:rPr/>
        <w:t>numbers,</w:t>
      </w:r>
      <w:r>
        <w:rPr>
          <w:spacing w:val="-15"/>
        </w:rPr>
        <w:t> </w:t>
      </w:r>
      <w:r>
        <w:rPr/>
        <w:t>which</w:t>
      </w:r>
      <w:r>
        <w:rPr>
          <w:spacing w:val="-15"/>
        </w:rPr>
        <w:t> </w:t>
      </w:r>
      <w:r>
        <w:rPr/>
        <w:t>is</w:t>
      </w:r>
      <w:r>
        <w:rPr>
          <w:spacing w:val="-15"/>
        </w:rPr>
        <w:t> </w:t>
      </w:r>
      <w:r>
        <w:rPr/>
        <w:t>expected to continue with population growth in north- western</w:t>
      </w:r>
      <w:r>
        <w:rPr>
          <w:spacing w:val="-20"/>
        </w:rPr>
        <w:t> </w:t>
      </w:r>
      <w:r>
        <w:rPr/>
        <w:t>Sydney.</w:t>
      </w:r>
      <w:r>
        <w:rPr>
          <w:spacing w:val="-20"/>
        </w:rPr>
        <w:t> </w:t>
      </w:r>
      <w:r>
        <w:rPr/>
        <w:t>Teaching</w:t>
      </w:r>
      <w:r>
        <w:rPr>
          <w:spacing w:val="-20"/>
        </w:rPr>
        <w:t> </w:t>
      </w:r>
      <w:r>
        <w:rPr/>
        <w:t>capacity</w:t>
      </w:r>
      <w:r>
        <w:rPr>
          <w:spacing w:val="-20"/>
        </w:rPr>
        <w:t> </w:t>
      </w:r>
      <w:r>
        <w:rPr/>
        <w:t>must</w:t>
      </w:r>
      <w:r>
        <w:rPr>
          <w:spacing w:val="-20"/>
        </w:rPr>
        <w:t> </w:t>
      </w:r>
      <w:r>
        <w:rPr/>
        <w:t>grow to meet this demand. The redevelopment of the</w:t>
      </w:r>
      <w:r>
        <w:rPr>
          <w:spacing w:val="-15"/>
        </w:rPr>
        <w:t> </w:t>
      </w:r>
      <w:r>
        <w:rPr/>
        <w:t>Westmead</w:t>
      </w:r>
      <w:r>
        <w:rPr>
          <w:spacing w:val="-15"/>
        </w:rPr>
        <w:t> </w:t>
      </w:r>
      <w:r>
        <w:rPr/>
        <w:t>precinct</w:t>
      </w:r>
      <w:r>
        <w:rPr>
          <w:spacing w:val="-15"/>
        </w:rPr>
        <w:t> </w:t>
      </w:r>
      <w:r>
        <w:rPr/>
        <w:t>means</w:t>
      </w:r>
      <w:r>
        <w:rPr>
          <w:spacing w:val="-15"/>
        </w:rPr>
        <w:t> </w:t>
      </w:r>
      <w:r>
        <w:rPr/>
        <w:t>that</w:t>
      </w:r>
      <w:r>
        <w:rPr>
          <w:spacing w:val="-15"/>
        </w:rPr>
        <w:t> </w:t>
      </w:r>
      <w:r>
        <w:rPr/>
        <w:t>a</w:t>
      </w:r>
      <w:r>
        <w:rPr>
          <w:spacing w:val="-15"/>
        </w:rPr>
        <w:t> </w:t>
      </w:r>
      <w:r>
        <w:rPr/>
        <w:t>number of administrative and corporate staff have relocated to Nirimba, which is the hub of the College activity and the only location where all College programs are offered. The new corporate</w:t>
      </w:r>
      <w:r>
        <w:rPr>
          <w:spacing w:val="-13"/>
        </w:rPr>
        <w:t> </w:t>
      </w:r>
      <w:r>
        <w:rPr/>
        <w:t>office</w:t>
      </w:r>
      <w:r>
        <w:rPr>
          <w:spacing w:val="-13"/>
        </w:rPr>
        <w:t> </w:t>
      </w:r>
      <w:r>
        <w:rPr/>
        <w:t>building</w:t>
      </w:r>
      <w:r>
        <w:rPr>
          <w:spacing w:val="-13"/>
        </w:rPr>
        <w:t> </w:t>
      </w:r>
      <w:r>
        <w:rPr/>
        <w:t>is</w:t>
      </w:r>
      <w:r>
        <w:rPr>
          <w:spacing w:val="-13"/>
        </w:rPr>
        <w:t> </w:t>
      </w:r>
      <w:r>
        <w:rPr/>
        <w:t>located</w:t>
      </w:r>
      <w:r>
        <w:rPr>
          <w:spacing w:val="-13"/>
        </w:rPr>
        <w:t> </w:t>
      </w:r>
      <w:r>
        <w:rPr/>
        <w:t>on</w:t>
      </w:r>
      <w:r>
        <w:rPr>
          <w:spacing w:val="-13"/>
        </w:rPr>
        <w:t> </w:t>
      </w:r>
      <w:r>
        <w:rPr/>
        <w:t>the</w:t>
      </w:r>
    </w:p>
    <w:p>
      <w:pPr>
        <w:pStyle w:val="BodyText"/>
        <w:spacing w:line="249" w:lineRule="auto" w:before="1"/>
        <w:ind w:left="107" w:right="162"/>
      </w:pPr>
      <w:r>
        <w:rPr/>
        <w:t>site of the former building U9, which was demolished. The single-storey building is 550 square metres and accommodates the executive offices. It has a reception area,</w:t>
      </w:r>
    </w:p>
    <w:p>
      <w:pPr>
        <w:pStyle w:val="BodyText"/>
        <w:spacing w:line="249" w:lineRule="auto"/>
        <w:ind w:left="107" w:right="-5"/>
      </w:pPr>
      <w:r>
        <w:rPr/>
        <w:t>accommodation</w:t>
      </w:r>
      <w:r>
        <w:rPr>
          <w:spacing w:val="-16"/>
        </w:rPr>
        <w:t> </w:t>
      </w:r>
      <w:r>
        <w:rPr/>
        <w:t>for</w:t>
      </w:r>
      <w:r>
        <w:rPr>
          <w:spacing w:val="-16"/>
        </w:rPr>
        <w:t> </w:t>
      </w:r>
      <w:r>
        <w:rPr/>
        <w:t>the</w:t>
      </w:r>
      <w:r>
        <w:rPr>
          <w:spacing w:val="-16"/>
        </w:rPr>
        <w:t> </w:t>
      </w:r>
      <w:r>
        <w:rPr/>
        <w:t>Dean</w:t>
      </w:r>
      <w:r>
        <w:rPr>
          <w:spacing w:val="-16"/>
        </w:rPr>
        <w:t> </w:t>
      </w:r>
      <w:r>
        <w:rPr/>
        <w:t>and</w:t>
      </w:r>
      <w:r>
        <w:rPr>
          <w:spacing w:val="-16"/>
        </w:rPr>
        <w:t> </w:t>
      </w:r>
      <w:r>
        <w:rPr/>
        <w:t>CEO,</w:t>
      </w:r>
      <w:r>
        <w:rPr>
          <w:spacing w:val="-16"/>
        </w:rPr>
        <w:t> </w:t>
      </w:r>
      <w:r>
        <w:rPr/>
        <w:t>a</w:t>
      </w:r>
      <w:r>
        <w:rPr>
          <w:spacing w:val="-16"/>
        </w:rPr>
        <w:t> </w:t>
      </w:r>
      <w:r>
        <w:rPr/>
        <w:t>large meeting room, administrative offices and a </w:t>
      </w:r>
      <w:r>
        <w:rPr>
          <w:w w:val="95"/>
        </w:rPr>
        <w:t>professional</w:t>
      </w:r>
      <w:r>
        <w:rPr>
          <w:spacing w:val="20"/>
          <w:w w:val="95"/>
        </w:rPr>
        <w:t> </w:t>
      </w:r>
      <w:r>
        <w:rPr>
          <w:w w:val="95"/>
        </w:rPr>
        <w:t>unit.</w:t>
      </w:r>
    </w:p>
    <w:p>
      <w:pPr>
        <w:pStyle w:val="BodyText"/>
        <w:rPr>
          <w:sz w:val="14"/>
        </w:rPr>
      </w:pPr>
    </w:p>
    <w:p>
      <w:pPr>
        <w:pStyle w:val="BodyText"/>
        <w:spacing w:line="244" w:lineRule="auto"/>
        <w:ind w:left="107" w:right="13"/>
      </w:pPr>
      <w:r>
        <w:rPr>
          <w:rFonts w:ascii="Calibri" w:hAnsi="Calibri"/>
        </w:rPr>
        <w:t>Westmead major estate works </w:t>
      </w:r>
      <w:r>
        <w:rPr/>
        <w:t>– CW&amp;F has managed the project, undertaking the estate major works for the Westmead subdivision development. The works are due to be </w:t>
      </w:r>
      <w:r>
        <w:rPr>
          <w:w w:val="99"/>
        </w:rPr>
        <w:t>completed </w:t>
      </w:r>
      <w:r>
        <w:rPr>
          <w:w w:val="95"/>
        </w:rPr>
        <w:t>in </w:t>
      </w:r>
      <w:r>
        <w:rPr>
          <w:w w:val="96"/>
        </w:rPr>
        <w:t>early </w:t>
      </w:r>
      <w:r>
        <w:rPr>
          <w:w w:val="85"/>
        </w:rPr>
        <w:t>2016.</w:t>
      </w:r>
    </w:p>
    <w:p>
      <w:pPr>
        <w:pStyle w:val="BodyText"/>
        <w:spacing w:before="4"/>
        <w:rPr>
          <w:sz w:val="14"/>
        </w:rPr>
      </w:pPr>
    </w:p>
    <w:p>
      <w:pPr>
        <w:pStyle w:val="BodyText"/>
        <w:spacing w:line="247" w:lineRule="auto"/>
        <w:ind w:left="107" w:right="29"/>
      </w:pPr>
      <w:r>
        <w:rPr>
          <w:rFonts w:ascii="Calibri" w:hAnsi="Calibri"/>
        </w:rPr>
        <w:t>Rebrand and </w:t>
      </w:r>
      <w:r>
        <w:rPr>
          <w:rFonts w:ascii="Calibri" w:hAnsi="Calibri"/>
          <w:spacing w:val="2"/>
        </w:rPr>
        <w:t>signage </w:t>
      </w:r>
      <w:r>
        <w:rPr/>
        <w:t>– CW&amp;F have worked closely with the Vice-President (People and Advancement) on the rebranding initiative. Tasks</w:t>
      </w:r>
      <w:r>
        <w:rPr>
          <w:spacing w:val="-17"/>
        </w:rPr>
        <w:t> </w:t>
      </w:r>
      <w:r>
        <w:rPr/>
        <w:t>are</w:t>
      </w:r>
      <w:r>
        <w:rPr>
          <w:spacing w:val="-17"/>
        </w:rPr>
        <w:t> </w:t>
      </w:r>
      <w:r>
        <w:rPr/>
        <w:t>prioritised</w:t>
      </w:r>
      <w:r>
        <w:rPr>
          <w:spacing w:val="-17"/>
        </w:rPr>
        <w:t> </w:t>
      </w:r>
      <w:r>
        <w:rPr/>
        <w:t>and</w:t>
      </w:r>
      <w:r>
        <w:rPr>
          <w:spacing w:val="-17"/>
        </w:rPr>
        <w:t> </w:t>
      </w:r>
      <w:r>
        <w:rPr/>
        <w:t>are</w:t>
      </w:r>
      <w:r>
        <w:rPr>
          <w:spacing w:val="-17"/>
        </w:rPr>
        <w:t> </w:t>
      </w:r>
      <w:r>
        <w:rPr/>
        <w:t>being</w:t>
      </w:r>
      <w:r>
        <w:rPr>
          <w:spacing w:val="-17"/>
        </w:rPr>
        <w:t> </w:t>
      </w:r>
      <w:r>
        <w:rPr/>
        <w:t>rolled</w:t>
      </w:r>
      <w:r>
        <w:rPr>
          <w:spacing w:val="-17"/>
        </w:rPr>
        <w:t> </w:t>
      </w:r>
      <w:r>
        <w:rPr/>
        <w:t>out to</w:t>
      </w:r>
      <w:r>
        <w:rPr>
          <w:spacing w:val="-14"/>
        </w:rPr>
        <w:t> </w:t>
      </w:r>
      <w:r>
        <w:rPr/>
        <w:t>meet</w:t>
      </w:r>
      <w:r>
        <w:rPr>
          <w:spacing w:val="-14"/>
        </w:rPr>
        <w:t> </w:t>
      </w:r>
      <w:r>
        <w:rPr/>
        <w:t>the</w:t>
      </w:r>
      <w:r>
        <w:rPr>
          <w:spacing w:val="-14"/>
        </w:rPr>
        <w:t> </w:t>
      </w:r>
      <w:r>
        <w:rPr/>
        <w:t>University’s</w:t>
      </w:r>
      <w:r>
        <w:rPr>
          <w:spacing w:val="-14"/>
        </w:rPr>
        <w:t> </w:t>
      </w:r>
      <w:r>
        <w:rPr/>
        <w:t>cash</w:t>
      </w:r>
      <w:r>
        <w:rPr>
          <w:spacing w:val="-14"/>
        </w:rPr>
        <w:t> </w:t>
      </w:r>
      <w:r>
        <w:rPr/>
        <w:t>flow</w:t>
      </w:r>
      <w:r>
        <w:rPr>
          <w:spacing w:val="-14"/>
        </w:rPr>
        <w:t> </w:t>
      </w:r>
      <w:r>
        <w:rPr/>
        <w:t>and</w:t>
      </w:r>
      <w:r>
        <w:rPr>
          <w:spacing w:val="-14"/>
        </w:rPr>
        <w:t> </w:t>
      </w:r>
      <w:r>
        <w:rPr/>
        <w:t>budget constraints</w:t>
      </w:r>
      <w:r>
        <w:rPr>
          <w:spacing w:val="-27"/>
        </w:rPr>
        <w:t> </w:t>
      </w:r>
      <w:r>
        <w:rPr/>
        <w:t>and</w:t>
      </w:r>
      <w:r>
        <w:rPr>
          <w:spacing w:val="-27"/>
        </w:rPr>
        <w:t> </w:t>
      </w:r>
      <w:r>
        <w:rPr/>
        <w:t>requirements.</w:t>
      </w:r>
    </w:p>
    <w:p>
      <w:pPr>
        <w:pStyle w:val="BodyText"/>
        <w:spacing w:before="2"/>
        <w:rPr>
          <w:sz w:val="14"/>
        </w:rPr>
      </w:pPr>
    </w:p>
    <w:p>
      <w:pPr>
        <w:pStyle w:val="BodyText"/>
        <w:spacing w:line="244" w:lineRule="auto"/>
        <w:ind w:left="107" w:right="-12"/>
      </w:pPr>
      <w:r>
        <w:rPr>
          <w:rFonts w:ascii="Calibri" w:hAnsi="Calibri"/>
          <w:w w:val="108"/>
        </w:rPr>
        <w:t>Relocation </w:t>
      </w:r>
      <w:r>
        <w:rPr>
          <w:rFonts w:ascii="Calibri" w:hAnsi="Calibri"/>
          <w:w w:val="107"/>
        </w:rPr>
        <w:t>of </w:t>
      </w:r>
      <w:r>
        <w:rPr>
          <w:rFonts w:ascii="Calibri" w:hAnsi="Calibri"/>
          <w:w w:val="105"/>
        </w:rPr>
        <w:t>the </w:t>
      </w:r>
      <w:r>
        <w:rPr>
          <w:rFonts w:ascii="Calibri" w:hAnsi="Calibri"/>
          <w:w w:val="108"/>
        </w:rPr>
        <w:t>Chancellery </w:t>
      </w:r>
      <w:r>
        <w:rPr>
          <w:w w:val="89"/>
        </w:rPr>
        <w:t>– </w:t>
      </w:r>
      <w:r>
        <w:rPr>
          <w:w w:val="97"/>
        </w:rPr>
        <w:t>During </w:t>
      </w:r>
      <w:r>
        <w:rPr>
          <w:w w:val="84"/>
        </w:rPr>
        <w:t>2015, </w:t>
      </w:r>
      <w:r>
        <w:rPr/>
        <w:t>the Chancellery was relocated to Parramatta (south) campus, with level 2 of building EB being refurbished to accommodate the team.</w:t>
      </w:r>
    </w:p>
    <w:p>
      <w:pPr>
        <w:pStyle w:val="BodyText"/>
        <w:spacing w:before="11"/>
        <w:rPr>
          <w:sz w:val="14"/>
        </w:rPr>
      </w:pPr>
    </w:p>
    <w:p>
      <w:pPr>
        <w:pStyle w:val="BodyText"/>
        <w:spacing w:line="242" w:lineRule="auto" w:before="1"/>
        <w:ind w:left="107" w:right="54"/>
      </w:pPr>
      <w:r>
        <w:rPr>
          <w:rFonts w:ascii="Calibri" w:hAnsi="Calibri"/>
        </w:rPr>
        <w:t>Maker space/Blank slate pilot on Parramatta (south) campus </w:t>
      </w:r>
      <w:r>
        <w:rPr/>
        <w:t>– These new and innovative learning spaces allow suitably trained students to access technologies to support creativity, foster new approaches such</w:t>
      </w:r>
    </w:p>
    <w:p>
      <w:pPr>
        <w:pStyle w:val="BodyText"/>
        <w:spacing w:line="249" w:lineRule="auto" w:before="5"/>
        <w:ind w:left="107" w:right="92"/>
      </w:pPr>
      <w:r>
        <w:rPr/>
        <w:t>as rapid prototyping, and underpin the development of design-based thinking in an </w:t>
      </w:r>
      <w:r>
        <w:rPr>
          <w:w w:val="95"/>
        </w:rPr>
        <w:t>inter-disciplinary  environment.</w:t>
      </w:r>
    </w:p>
    <w:p>
      <w:pPr>
        <w:pStyle w:val="BodyText"/>
        <w:rPr>
          <w:sz w:val="14"/>
        </w:rPr>
      </w:pPr>
    </w:p>
    <w:p>
      <w:pPr>
        <w:pStyle w:val="BodyText"/>
        <w:spacing w:line="200" w:lineRule="exact"/>
        <w:ind w:left="107" w:right="-14"/>
      </w:pPr>
      <w:r>
        <w:rPr>
          <w:rFonts w:ascii="Calibri" w:hAnsi="Calibri"/>
          <w:w w:val="105"/>
        </w:rPr>
        <w:t>Penrith (Kingswood) campus building Z prototype teaching space </w:t>
      </w:r>
      <w:r>
        <w:rPr>
          <w:w w:val="105"/>
        </w:rPr>
        <w:t>– The prototype is</w:t>
      </w:r>
    </w:p>
    <w:p>
      <w:pPr>
        <w:pStyle w:val="BodyText"/>
        <w:spacing w:before="10"/>
      </w:pPr>
      <w:r>
        <w:rPr/>
        <w:br w:type="column"/>
      </w:r>
      <w:r>
        <w:rPr/>
      </w:r>
    </w:p>
    <w:p>
      <w:pPr>
        <w:pStyle w:val="BodyText"/>
        <w:spacing w:line="249" w:lineRule="auto"/>
        <w:ind w:left="107" w:right="112"/>
      </w:pPr>
      <w:r>
        <w:rPr/>
        <w:t>for the construction of a 50-space teaching space in building Z that mirrors 1PSQ’s proposed teaching space. Any issues or improvements to this prototype will be taken into</w:t>
      </w:r>
      <w:r>
        <w:rPr>
          <w:spacing w:val="-19"/>
        </w:rPr>
        <w:t> </w:t>
      </w:r>
      <w:r>
        <w:rPr/>
        <w:t>consideration</w:t>
      </w:r>
      <w:r>
        <w:rPr>
          <w:spacing w:val="-19"/>
        </w:rPr>
        <w:t> </w:t>
      </w:r>
      <w:r>
        <w:rPr/>
        <w:t>for</w:t>
      </w:r>
      <w:r>
        <w:rPr>
          <w:spacing w:val="-19"/>
        </w:rPr>
        <w:t> </w:t>
      </w:r>
      <w:r>
        <w:rPr/>
        <w:t>the</w:t>
      </w:r>
      <w:r>
        <w:rPr>
          <w:spacing w:val="-19"/>
        </w:rPr>
        <w:t> </w:t>
      </w:r>
      <w:r>
        <w:rPr/>
        <w:t>final</w:t>
      </w:r>
      <w:r>
        <w:rPr>
          <w:spacing w:val="-19"/>
        </w:rPr>
        <w:t> </w:t>
      </w:r>
      <w:r>
        <w:rPr/>
        <w:t>1PSQ</w:t>
      </w:r>
      <w:r>
        <w:rPr>
          <w:spacing w:val="-19"/>
        </w:rPr>
        <w:t> </w:t>
      </w:r>
      <w:r>
        <w:rPr/>
        <w:t>fit-out.</w:t>
      </w:r>
      <w:r>
        <w:rPr>
          <w:spacing w:val="-19"/>
        </w:rPr>
        <w:t> </w:t>
      </w:r>
      <w:r>
        <w:rPr/>
        <w:t>All schools</w:t>
      </w:r>
      <w:r>
        <w:rPr>
          <w:spacing w:val="-17"/>
        </w:rPr>
        <w:t> </w:t>
      </w:r>
      <w:r>
        <w:rPr/>
        <w:t>are</w:t>
      </w:r>
      <w:r>
        <w:rPr>
          <w:spacing w:val="-17"/>
        </w:rPr>
        <w:t> </w:t>
      </w:r>
      <w:r>
        <w:rPr/>
        <w:t>able</w:t>
      </w:r>
      <w:r>
        <w:rPr>
          <w:spacing w:val="-17"/>
        </w:rPr>
        <w:t> </w:t>
      </w:r>
      <w:r>
        <w:rPr/>
        <w:t>to</w:t>
      </w:r>
      <w:r>
        <w:rPr>
          <w:spacing w:val="-17"/>
        </w:rPr>
        <w:t> </w:t>
      </w:r>
      <w:r>
        <w:rPr/>
        <w:t>book</w:t>
      </w:r>
      <w:r>
        <w:rPr>
          <w:spacing w:val="-17"/>
        </w:rPr>
        <w:t> </w:t>
      </w:r>
      <w:r>
        <w:rPr/>
        <w:t>and</w:t>
      </w:r>
      <w:r>
        <w:rPr>
          <w:spacing w:val="-17"/>
        </w:rPr>
        <w:t> </w:t>
      </w:r>
      <w:r>
        <w:rPr/>
        <w:t>use</w:t>
      </w:r>
      <w:r>
        <w:rPr>
          <w:spacing w:val="-17"/>
        </w:rPr>
        <w:t> </w:t>
      </w:r>
      <w:r>
        <w:rPr/>
        <w:t>this</w:t>
      </w:r>
      <w:r>
        <w:rPr>
          <w:spacing w:val="-17"/>
        </w:rPr>
        <w:t> </w:t>
      </w:r>
      <w:r>
        <w:rPr/>
        <w:t>space.</w:t>
      </w:r>
    </w:p>
    <w:p>
      <w:pPr>
        <w:pStyle w:val="BodyText"/>
        <w:spacing w:before="7"/>
        <w:rPr>
          <w:sz w:val="21"/>
        </w:rPr>
      </w:pPr>
    </w:p>
    <w:p>
      <w:pPr>
        <w:pStyle w:val="Heading8"/>
        <w:ind w:right="112"/>
      </w:pPr>
      <w:r>
        <w:rPr>
          <w:w w:val="95"/>
        </w:rPr>
        <w:t>2015 RELOCATIONS PROGRAM REVIEW</w:t>
      </w:r>
    </w:p>
    <w:p>
      <w:pPr>
        <w:pStyle w:val="BodyText"/>
        <w:spacing w:line="249" w:lineRule="auto" w:before="86"/>
        <w:ind w:left="107" w:right="253"/>
      </w:pPr>
      <w:r>
        <w:rPr/>
        <w:t>The relocation projects budget has been allocated to internally reconfigure buildings in</w:t>
      </w:r>
      <w:r>
        <w:rPr>
          <w:spacing w:val="-17"/>
        </w:rPr>
        <w:t> </w:t>
      </w:r>
      <w:r>
        <w:rPr/>
        <w:t>response</w:t>
      </w:r>
      <w:r>
        <w:rPr>
          <w:spacing w:val="-17"/>
        </w:rPr>
        <w:t> </w:t>
      </w:r>
      <w:r>
        <w:rPr/>
        <w:t>to</w:t>
      </w:r>
      <w:r>
        <w:rPr>
          <w:spacing w:val="-17"/>
        </w:rPr>
        <w:t> </w:t>
      </w:r>
      <w:r>
        <w:rPr/>
        <w:t>changes</w:t>
      </w:r>
      <w:r>
        <w:rPr>
          <w:spacing w:val="-17"/>
        </w:rPr>
        <w:t> </w:t>
      </w:r>
      <w:r>
        <w:rPr/>
        <w:t>in</w:t>
      </w:r>
      <w:r>
        <w:rPr>
          <w:spacing w:val="-17"/>
        </w:rPr>
        <w:t> </w:t>
      </w:r>
      <w:r>
        <w:rPr/>
        <w:t>organisational</w:t>
      </w:r>
      <w:r>
        <w:rPr>
          <w:spacing w:val="-17"/>
        </w:rPr>
        <w:t> </w:t>
      </w:r>
      <w:r>
        <w:rPr/>
        <w:t>and functional</w:t>
      </w:r>
      <w:r>
        <w:rPr>
          <w:spacing w:val="-22"/>
        </w:rPr>
        <w:t> </w:t>
      </w:r>
      <w:r>
        <w:rPr/>
        <w:t>structures</w:t>
      </w:r>
      <w:r>
        <w:rPr>
          <w:spacing w:val="-22"/>
        </w:rPr>
        <w:t> </w:t>
      </w:r>
      <w:r>
        <w:rPr/>
        <w:t>and</w:t>
      </w:r>
      <w:r>
        <w:rPr>
          <w:spacing w:val="-22"/>
        </w:rPr>
        <w:t> </w:t>
      </w:r>
      <w:r>
        <w:rPr/>
        <w:t>requirements.</w:t>
      </w:r>
    </w:p>
    <w:p>
      <w:pPr>
        <w:pStyle w:val="BodyText"/>
        <w:rPr>
          <w:sz w:val="14"/>
        </w:rPr>
      </w:pPr>
    </w:p>
    <w:p>
      <w:pPr>
        <w:pStyle w:val="BodyText"/>
        <w:spacing w:line="249" w:lineRule="auto"/>
        <w:ind w:left="107" w:right="302"/>
      </w:pPr>
      <w:r>
        <w:rPr/>
        <w:t>A number of relocation projects took place </w:t>
      </w:r>
      <w:r>
        <w:rPr>
          <w:w w:val="95"/>
        </w:rPr>
        <w:t>in </w:t>
      </w:r>
      <w:r>
        <w:rPr>
          <w:w w:val="84"/>
        </w:rPr>
        <w:t>2015, </w:t>
      </w:r>
      <w:r>
        <w:rPr>
          <w:w w:val="97"/>
        </w:rPr>
        <w:t>including </w:t>
      </w:r>
      <w:r>
        <w:rPr>
          <w:w w:val="98"/>
        </w:rPr>
        <w:t>Campbelltown </w:t>
      </w:r>
      <w:r>
        <w:rPr>
          <w:w w:val="98"/>
        </w:rPr>
        <w:t>campus</w:t>
      </w:r>
    </w:p>
    <w:p>
      <w:pPr>
        <w:pStyle w:val="BodyText"/>
        <w:spacing w:line="249" w:lineRule="auto"/>
        <w:ind w:left="107" w:right="112"/>
      </w:pPr>
      <w:r>
        <w:rPr/>
        <w:t>building</w:t>
      </w:r>
      <w:r>
        <w:rPr>
          <w:spacing w:val="-22"/>
        </w:rPr>
        <w:t> </w:t>
      </w:r>
      <w:r>
        <w:rPr>
          <w:w w:val="95"/>
        </w:rPr>
        <w:t>1</w:t>
      </w:r>
      <w:r>
        <w:rPr>
          <w:spacing w:val="-19"/>
          <w:w w:val="95"/>
        </w:rPr>
        <w:t> </w:t>
      </w:r>
      <w:r>
        <w:rPr/>
        <w:t>relocation</w:t>
      </w:r>
      <w:r>
        <w:rPr>
          <w:spacing w:val="-22"/>
        </w:rPr>
        <w:t> </w:t>
      </w:r>
      <w:r>
        <w:rPr/>
        <w:t>of</w:t>
      </w:r>
      <w:r>
        <w:rPr>
          <w:spacing w:val="-22"/>
        </w:rPr>
        <w:t> </w:t>
      </w:r>
      <w:r>
        <w:rPr/>
        <w:t>the</w:t>
      </w:r>
      <w:r>
        <w:rPr>
          <w:spacing w:val="-22"/>
        </w:rPr>
        <w:t> </w:t>
      </w:r>
      <w:r>
        <w:rPr/>
        <w:t>School</w:t>
      </w:r>
      <w:r>
        <w:rPr>
          <w:spacing w:val="-22"/>
        </w:rPr>
        <w:t> </w:t>
      </w:r>
      <w:r>
        <w:rPr/>
        <w:t>of</w:t>
      </w:r>
      <w:r>
        <w:rPr>
          <w:spacing w:val="-22"/>
        </w:rPr>
        <w:t> </w:t>
      </w:r>
      <w:r>
        <w:rPr>
          <w:spacing w:val="2"/>
        </w:rPr>
        <w:t>Business, </w:t>
      </w:r>
      <w:r>
        <w:rPr/>
        <w:t>and Hawkesbury campus building H3 relocation</w:t>
      </w:r>
      <w:r>
        <w:rPr>
          <w:spacing w:val="-21"/>
        </w:rPr>
        <w:t> </w:t>
      </w:r>
      <w:r>
        <w:rPr/>
        <w:t>of</w:t>
      </w:r>
      <w:r>
        <w:rPr>
          <w:spacing w:val="-21"/>
        </w:rPr>
        <w:t> </w:t>
      </w:r>
      <w:r>
        <w:rPr/>
        <w:t>ITDS</w:t>
      </w:r>
      <w:r>
        <w:rPr>
          <w:spacing w:val="-21"/>
        </w:rPr>
        <w:t> </w:t>
      </w:r>
      <w:r>
        <w:rPr/>
        <w:t>and</w:t>
      </w:r>
      <w:r>
        <w:rPr>
          <w:spacing w:val="-21"/>
        </w:rPr>
        <w:t> </w:t>
      </w:r>
      <w:r>
        <w:rPr/>
        <w:t>building</w:t>
      </w:r>
      <w:r>
        <w:rPr>
          <w:spacing w:val="-21"/>
        </w:rPr>
        <w:t> </w:t>
      </w:r>
      <w:r>
        <w:rPr>
          <w:spacing w:val="2"/>
        </w:rPr>
        <w:t>P16</w:t>
      </w:r>
      <w:r>
        <w:rPr>
          <w:spacing w:val="-21"/>
        </w:rPr>
        <w:t> </w:t>
      </w:r>
      <w:r>
        <w:rPr/>
        <w:t>relocation of</w:t>
      </w:r>
      <w:r>
        <w:rPr>
          <w:spacing w:val="-15"/>
        </w:rPr>
        <w:t> </w:t>
      </w:r>
      <w:r>
        <w:rPr/>
        <w:t>Audit</w:t>
      </w:r>
      <w:r>
        <w:rPr>
          <w:spacing w:val="-15"/>
        </w:rPr>
        <w:t> </w:t>
      </w:r>
      <w:r>
        <w:rPr/>
        <w:t>&amp;</w:t>
      </w:r>
      <w:r>
        <w:rPr>
          <w:spacing w:val="-15"/>
        </w:rPr>
        <w:t> </w:t>
      </w:r>
      <w:r>
        <w:rPr/>
        <w:t>Risk</w:t>
      </w:r>
      <w:r>
        <w:rPr>
          <w:spacing w:val="-15"/>
        </w:rPr>
        <w:t> </w:t>
      </w:r>
      <w:r>
        <w:rPr/>
        <w:t>Assessment.</w:t>
      </w:r>
    </w:p>
    <w:p>
      <w:pPr>
        <w:pStyle w:val="BodyText"/>
        <w:spacing w:before="7"/>
        <w:rPr>
          <w:sz w:val="21"/>
        </w:rPr>
      </w:pPr>
    </w:p>
    <w:p>
      <w:pPr>
        <w:pStyle w:val="Heading8"/>
        <w:ind w:right="112"/>
      </w:pPr>
      <w:r>
        <w:rPr>
          <w:w w:val="95"/>
        </w:rPr>
        <w:t>2015 INFRASTRUCTURE RENEWAL REVIEW</w:t>
      </w:r>
    </w:p>
    <w:p>
      <w:pPr>
        <w:pStyle w:val="BodyText"/>
        <w:spacing w:line="249" w:lineRule="auto" w:before="86"/>
        <w:ind w:left="107" w:right="174"/>
      </w:pPr>
      <w:r>
        <w:rPr/>
        <w:t>The infrastructure renewal program comprises about 80 projects with numerous </w:t>
      </w:r>
      <w:r>
        <w:rPr>
          <w:spacing w:val="2"/>
        </w:rPr>
        <w:t>sub-projects, </w:t>
      </w:r>
      <w:r>
        <w:rPr/>
        <w:t>all of which are based around upkeeping and upgrading the University’s physical infrastructure. Infrastructure renewal</w:t>
      </w:r>
      <w:r>
        <w:rPr>
          <w:spacing w:val="-16"/>
        </w:rPr>
        <w:t> </w:t>
      </w:r>
      <w:r>
        <w:rPr/>
        <w:t>projects</w:t>
      </w:r>
      <w:r>
        <w:rPr>
          <w:spacing w:val="-16"/>
        </w:rPr>
        <w:t> </w:t>
      </w:r>
      <w:r>
        <w:rPr/>
        <w:t>are</w:t>
      </w:r>
      <w:r>
        <w:rPr>
          <w:spacing w:val="-16"/>
        </w:rPr>
        <w:t> </w:t>
      </w:r>
      <w:r>
        <w:rPr/>
        <w:t>crucial</w:t>
      </w:r>
      <w:r>
        <w:rPr>
          <w:spacing w:val="-16"/>
        </w:rPr>
        <w:t> </w:t>
      </w:r>
      <w:r>
        <w:rPr/>
        <w:t>to</w:t>
      </w:r>
      <w:r>
        <w:rPr>
          <w:spacing w:val="-16"/>
        </w:rPr>
        <w:t> </w:t>
      </w:r>
      <w:r>
        <w:rPr/>
        <w:t>achieving</w:t>
      </w:r>
      <w:r>
        <w:rPr>
          <w:spacing w:val="-16"/>
        </w:rPr>
        <w:t> </w:t>
      </w:r>
      <w:r>
        <w:rPr/>
        <w:t>and maintaining compliance of University assets with</w:t>
      </w:r>
      <w:r>
        <w:rPr>
          <w:spacing w:val="-23"/>
        </w:rPr>
        <w:t> </w:t>
      </w:r>
      <w:r>
        <w:rPr/>
        <w:t>standards</w:t>
      </w:r>
      <w:r>
        <w:rPr>
          <w:spacing w:val="-23"/>
        </w:rPr>
        <w:t> </w:t>
      </w:r>
      <w:r>
        <w:rPr/>
        <w:t>and</w:t>
      </w:r>
      <w:r>
        <w:rPr>
          <w:spacing w:val="-23"/>
        </w:rPr>
        <w:t> </w:t>
      </w:r>
      <w:r>
        <w:rPr/>
        <w:t>legislation.</w:t>
      </w:r>
      <w:r>
        <w:rPr>
          <w:spacing w:val="-23"/>
        </w:rPr>
        <w:t> </w:t>
      </w:r>
      <w:r>
        <w:rPr/>
        <w:t>They</w:t>
      </w:r>
      <w:r>
        <w:rPr>
          <w:spacing w:val="-23"/>
        </w:rPr>
        <w:t> </w:t>
      </w:r>
      <w:r>
        <w:rPr/>
        <w:t>included:</w:t>
      </w:r>
    </w:p>
    <w:p>
      <w:pPr>
        <w:pStyle w:val="BodyText"/>
        <w:spacing w:before="11"/>
        <w:rPr>
          <w:sz w:val="13"/>
        </w:rPr>
      </w:pPr>
    </w:p>
    <w:p>
      <w:pPr>
        <w:pStyle w:val="BodyText"/>
        <w:spacing w:line="247" w:lineRule="auto"/>
        <w:ind w:left="333" w:right="112" w:hanging="227"/>
      </w:pPr>
      <w:r>
        <w:rPr>
          <w:rFonts w:ascii="Century Gothic" w:hAnsi="Century Gothic"/>
          <w:b/>
          <w:w w:val="115"/>
        </w:rPr>
        <w:t>≥ </w:t>
      </w:r>
      <w:r>
        <w:rPr/>
        <w:t>identifying and rectifying occupational health</w:t>
      </w:r>
      <w:r>
        <w:rPr>
          <w:spacing w:val="-18"/>
        </w:rPr>
        <w:t> </w:t>
      </w:r>
      <w:r>
        <w:rPr/>
        <w:t>and</w:t>
      </w:r>
      <w:r>
        <w:rPr>
          <w:spacing w:val="-18"/>
        </w:rPr>
        <w:t> </w:t>
      </w:r>
      <w:r>
        <w:rPr/>
        <w:t>safety</w:t>
      </w:r>
      <w:r>
        <w:rPr>
          <w:spacing w:val="-18"/>
        </w:rPr>
        <w:t> </w:t>
      </w:r>
      <w:r>
        <w:rPr/>
        <w:t>‘trips,</w:t>
      </w:r>
      <w:r>
        <w:rPr>
          <w:spacing w:val="-18"/>
        </w:rPr>
        <w:t> </w:t>
      </w:r>
      <w:r>
        <w:rPr/>
        <w:t>slips</w:t>
      </w:r>
      <w:r>
        <w:rPr>
          <w:spacing w:val="-18"/>
        </w:rPr>
        <w:t> </w:t>
      </w:r>
      <w:r>
        <w:rPr/>
        <w:t>and</w:t>
      </w:r>
      <w:r>
        <w:rPr>
          <w:spacing w:val="-18"/>
        </w:rPr>
        <w:t> </w:t>
      </w:r>
      <w:r>
        <w:rPr/>
        <w:t>falls’</w:t>
      </w:r>
      <w:r>
        <w:rPr>
          <w:spacing w:val="-18"/>
        </w:rPr>
        <w:t> </w:t>
      </w:r>
      <w:r>
        <w:rPr/>
        <w:t>on paving</w:t>
      </w:r>
      <w:r>
        <w:rPr>
          <w:spacing w:val="-16"/>
        </w:rPr>
        <w:t> </w:t>
      </w:r>
      <w:r>
        <w:rPr/>
        <w:t>and</w:t>
      </w:r>
      <w:r>
        <w:rPr>
          <w:spacing w:val="-16"/>
        </w:rPr>
        <w:t> </w:t>
      </w:r>
      <w:r>
        <w:rPr/>
        <w:t>access</w:t>
      </w:r>
      <w:r>
        <w:rPr>
          <w:spacing w:val="-16"/>
        </w:rPr>
        <w:t> </w:t>
      </w:r>
      <w:r>
        <w:rPr/>
        <w:t>ways</w:t>
      </w:r>
    </w:p>
    <w:p>
      <w:pPr>
        <w:pStyle w:val="BodyText"/>
        <w:spacing w:before="57"/>
        <w:ind w:left="107" w:right="112"/>
      </w:pPr>
      <w:r>
        <w:rPr>
          <w:rFonts w:ascii="Century Gothic" w:hAnsi="Century Gothic"/>
          <w:b/>
          <w:w w:val="115"/>
        </w:rPr>
        <w:t>≥ </w:t>
      </w:r>
      <w:r>
        <w:rPr>
          <w:w w:val="105"/>
        </w:rPr>
        <w:t>providing equitable access solutions</w:t>
      </w:r>
    </w:p>
    <w:p>
      <w:pPr>
        <w:pStyle w:val="BodyText"/>
        <w:spacing w:before="60"/>
        <w:ind w:left="107" w:right="112"/>
      </w:pPr>
      <w:r>
        <w:rPr>
          <w:rFonts w:ascii="Century Gothic" w:hAnsi="Century Gothic"/>
          <w:b/>
          <w:w w:val="115"/>
        </w:rPr>
        <w:t>≥ </w:t>
      </w:r>
      <w:r>
        <w:rPr>
          <w:w w:val="105"/>
        </w:rPr>
        <w:t>augmenting critical power supply</w:t>
      </w:r>
    </w:p>
    <w:p>
      <w:pPr>
        <w:pStyle w:val="BodyText"/>
        <w:spacing w:before="60"/>
        <w:ind w:left="107" w:right="112"/>
      </w:pPr>
      <w:r>
        <w:rPr>
          <w:rFonts w:ascii="Century Gothic" w:hAnsi="Century Gothic"/>
          <w:b/>
          <w:w w:val="115"/>
        </w:rPr>
        <w:t>≥ </w:t>
      </w:r>
      <w:r>
        <w:rPr>
          <w:w w:val="105"/>
        </w:rPr>
        <w:t>removing asbestos (and other Hazmat)</w:t>
      </w:r>
    </w:p>
    <w:p>
      <w:pPr>
        <w:pStyle w:val="BodyText"/>
        <w:spacing w:line="244" w:lineRule="auto" w:before="60"/>
        <w:ind w:left="333" w:right="201" w:hanging="227"/>
      </w:pPr>
      <w:r>
        <w:rPr>
          <w:rFonts w:ascii="Century Gothic" w:hAnsi="Century Gothic"/>
          <w:b/>
          <w:w w:val="115"/>
        </w:rPr>
        <w:t>≥</w:t>
      </w:r>
      <w:r>
        <w:rPr>
          <w:rFonts w:ascii="Century Gothic" w:hAnsi="Century Gothic"/>
          <w:b/>
          <w:spacing w:val="6"/>
          <w:w w:val="115"/>
        </w:rPr>
        <w:t> </w:t>
      </w:r>
      <w:r>
        <w:rPr>
          <w:w w:val="105"/>
        </w:rPr>
        <w:t>replacing</w:t>
      </w:r>
      <w:r>
        <w:rPr>
          <w:spacing w:val="-30"/>
          <w:w w:val="105"/>
        </w:rPr>
        <w:t> </w:t>
      </w:r>
      <w:r>
        <w:rPr>
          <w:w w:val="105"/>
        </w:rPr>
        <w:t>fire</w:t>
      </w:r>
      <w:r>
        <w:rPr>
          <w:spacing w:val="-30"/>
          <w:w w:val="105"/>
        </w:rPr>
        <w:t> </w:t>
      </w:r>
      <w:r>
        <w:rPr>
          <w:w w:val="105"/>
        </w:rPr>
        <w:t>indicator</w:t>
      </w:r>
      <w:r>
        <w:rPr>
          <w:spacing w:val="-30"/>
          <w:w w:val="105"/>
        </w:rPr>
        <w:t> </w:t>
      </w:r>
      <w:r>
        <w:rPr>
          <w:w w:val="105"/>
        </w:rPr>
        <w:t>panels</w:t>
      </w:r>
      <w:r>
        <w:rPr>
          <w:spacing w:val="-30"/>
          <w:w w:val="105"/>
        </w:rPr>
        <w:t> </w:t>
      </w:r>
      <w:r>
        <w:rPr>
          <w:w w:val="105"/>
        </w:rPr>
        <w:t>and</w:t>
      </w:r>
      <w:r>
        <w:rPr>
          <w:spacing w:val="-30"/>
          <w:w w:val="105"/>
        </w:rPr>
        <w:t> </w:t>
      </w:r>
      <w:r>
        <w:rPr>
          <w:w w:val="105"/>
        </w:rPr>
        <w:t>dealing </w:t>
      </w:r>
      <w:r>
        <w:rPr/>
        <w:t>with</w:t>
      </w:r>
      <w:r>
        <w:rPr>
          <w:spacing w:val="-18"/>
        </w:rPr>
        <w:t> </w:t>
      </w:r>
      <w:r>
        <w:rPr/>
        <w:t>other</w:t>
      </w:r>
      <w:r>
        <w:rPr>
          <w:spacing w:val="-18"/>
        </w:rPr>
        <w:t> </w:t>
      </w:r>
      <w:r>
        <w:rPr/>
        <w:t>fire</w:t>
      </w:r>
      <w:r>
        <w:rPr>
          <w:spacing w:val="-18"/>
        </w:rPr>
        <w:t> </w:t>
      </w:r>
      <w:r>
        <w:rPr/>
        <w:t>safety</w:t>
      </w:r>
      <w:r>
        <w:rPr>
          <w:spacing w:val="-18"/>
        </w:rPr>
        <w:t> </w:t>
      </w:r>
      <w:r>
        <w:rPr/>
        <w:t>compliance</w:t>
      </w:r>
      <w:r>
        <w:rPr>
          <w:spacing w:val="-18"/>
        </w:rPr>
        <w:t> </w:t>
      </w:r>
      <w:r>
        <w:rPr/>
        <w:t>issues</w:t>
      </w:r>
    </w:p>
    <w:p>
      <w:pPr>
        <w:pStyle w:val="BodyText"/>
        <w:spacing w:line="247" w:lineRule="auto" w:before="58"/>
        <w:ind w:left="333" w:right="171" w:hanging="227"/>
      </w:pPr>
      <w:r>
        <w:rPr>
          <w:rFonts w:ascii="Century Gothic" w:hAnsi="Century Gothic"/>
          <w:b/>
          <w:w w:val="115"/>
        </w:rPr>
        <w:t>≥ </w:t>
      </w:r>
      <w:r>
        <w:rPr>
          <w:w w:val="105"/>
        </w:rPr>
        <w:t>renewing and installing new energy- </w:t>
      </w:r>
      <w:r>
        <w:rPr/>
        <w:t>efficient air-conditioning systems and the central plant</w:t>
      </w:r>
    </w:p>
    <w:p>
      <w:pPr>
        <w:pStyle w:val="BodyText"/>
        <w:spacing w:line="244" w:lineRule="auto" w:before="57"/>
        <w:ind w:left="333" w:right="112" w:hanging="227"/>
      </w:pPr>
      <w:r>
        <w:rPr>
          <w:rFonts w:ascii="Century Gothic" w:hAnsi="Century Gothic"/>
          <w:b/>
          <w:w w:val="115"/>
        </w:rPr>
        <w:t>≥ </w:t>
      </w:r>
      <w:r>
        <w:rPr/>
        <w:t>upgrading and resurfacing roads and car </w:t>
      </w:r>
      <w:r>
        <w:rPr>
          <w:spacing w:val="2"/>
        </w:rPr>
        <w:t>parks,</w:t>
      </w:r>
      <w:r>
        <w:rPr>
          <w:spacing w:val="-19"/>
        </w:rPr>
        <w:t> </w:t>
      </w:r>
      <w:r>
        <w:rPr/>
        <w:t>as</w:t>
      </w:r>
      <w:r>
        <w:rPr>
          <w:spacing w:val="-19"/>
        </w:rPr>
        <w:t> </w:t>
      </w:r>
      <w:r>
        <w:rPr/>
        <w:t>well</w:t>
      </w:r>
      <w:r>
        <w:rPr>
          <w:spacing w:val="-19"/>
        </w:rPr>
        <w:t> </w:t>
      </w:r>
      <w:r>
        <w:rPr/>
        <w:t>as</w:t>
      </w:r>
      <w:r>
        <w:rPr>
          <w:spacing w:val="-19"/>
        </w:rPr>
        <w:t> </w:t>
      </w:r>
      <w:r>
        <w:rPr/>
        <w:t>providing</w:t>
      </w:r>
      <w:r>
        <w:rPr>
          <w:spacing w:val="-19"/>
        </w:rPr>
        <w:t> </w:t>
      </w:r>
      <w:r>
        <w:rPr/>
        <w:t>new</w:t>
      </w:r>
      <w:r>
        <w:rPr>
          <w:spacing w:val="-19"/>
        </w:rPr>
        <w:t> </w:t>
      </w:r>
      <w:r>
        <w:rPr/>
        <w:t>car</w:t>
      </w:r>
      <w:r>
        <w:rPr>
          <w:spacing w:val="-19"/>
        </w:rPr>
        <w:t> </w:t>
      </w:r>
      <w:r>
        <w:rPr/>
        <w:t>parking</w:t>
      </w:r>
    </w:p>
    <w:p>
      <w:pPr>
        <w:pStyle w:val="BodyText"/>
        <w:spacing w:line="247" w:lineRule="auto" w:before="58"/>
        <w:ind w:left="333" w:right="94" w:hanging="227"/>
      </w:pPr>
      <w:r>
        <w:rPr>
          <w:rFonts w:ascii="Century Gothic" w:hAnsi="Century Gothic"/>
          <w:b/>
          <w:w w:val="115"/>
        </w:rPr>
        <w:t>≥ </w:t>
      </w:r>
      <w:r>
        <w:rPr/>
        <w:t>introducing sustainability initiatives such as water reuse, solar energy generation, LED lighting and green building design.</w:t>
      </w:r>
    </w:p>
    <w:p>
      <w:pPr>
        <w:pStyle w:val="BodyText"/>
        <w:spacing w:before="2"/>
        <w:rPr>
          <w:sz w:val="14"/>
        </w:rPr>
      </w:pPr>
    </w:p>
    <w:p>
      <w:pPr>
        <w:pStyle w:val="BodyText"/>
        <w:spacing w:line="249" w:lineRule="auto"/>
        <w:ind w:left="107" w:right="112"/>
      </w:pPr>
      <w:r>
        <w:rPr/>
        <w:t>The infrastructure renewal program also provided funding for statutory compliance issues</w:t>
      </w:r>
      <w:r>
        <w:rPr>
          <w:spacing w:val="-28"/>
        </w:rPr>
        <w:t> </w:t>
      </w:r>
      <w:r>
        <w:rPr/>
        <w:t>including</w:t>
      </w:r>
      <w:r>
        <w:rPr>
          <w:spacing w:val="-28"/>
        </w:rPr>
        <w:t> </w:t>
      </w:r>
      <w:r>
        <w:rPr/>
        <w:t>work,</w:t>
      </w:r>
      <w:r>
        <w:rPr>
          <w:spacing w:val="-28"/>
        </w:rPr>
        <w:t> </w:t>
      </w:r>
      <w:r>
        <w:rPr/>
        <w:t>health</w:t>
      </w:r>
      <w:r>
        <w:rPr>
          <w:spacing w:val="-28"/>
        </w:rPr>
        <w:t> </w:t>
      </w:r>
      <w:r>
        <w:rPr/>
        <w:t>and</w:t>
      </w:r>
      <w:r>
        <w:rPr>
          <w:spacing w:val="-28"/>
        </w:rPr>
        <w:t> </w:t>
      </w:r>
      <w:r>
        <w:rPr/>
        <w:t>safety</w:t>
      </w:r>
      <w:r>
        <w:rPr>
          <w:spacing w:val="-28"/>
        </w:rPr>
        <w:t> </w:t>
      </w:r>
      <w:r>
        <w:rPr/>
        <w:t>(WHS) upgrades,</w:t>
      </w:r>
      <w:r>
        <w:rPr>
          <w:spacing w:val="-34"/>
        </w:rPr>
        <w:t> </w:t>
      </w:r>
      <w:r>
        <w:rPr/>
        <w:t>disability</w:t>
      </w:r>
      <w:r>
        <w:rPr>
          <w:spacing w:val="-34"/>
        </w:rPr>
        <w:t> </w:t>
      </w:r>
      <w:r>
        <w:rPr/>
        <w:t>access</w:t>
      </w:r>
      <w:r>
        <w:rPr>
          <w:spacing w:val="-34"/>
        </w:rPr>
        <w:t> </w:t>
      </w:r>
      <w:r>
        <w:rPr/>
        <w:t>and</w:t>
      </w:r>
      <w:r>
        <w:rPr>
          <w:spacing w:val="-34"/>
        </w:rPr>
        <w:t> </w:t>
      </w:r>
      <w:r>
        <w:rPr/>
        <w:t>fire</w:t>
      </w:r>
      <w:r>
        <w:rPr>
          <w:spacing w:val="-34"/>
        </w:rPr>
        <w:t> </w:t>
      </w:r>
      <w:r>
        <w:rPr/>
        <w:t>safety.</w:t>
      </w:r>
    </w:p>
    <w:p>
      <w:pPr>
        <w:spacing w:after="0" w:line="249" w:lineRule="auto"/>
        <w:sectPr>
          <w:type w:val="continuous"/>
          <w:pgSz w:w="11910" w:h="16840"/>
          <w:pgMar w:top="1580" w:bottom="280" w:left="800" w:right="800"/>
          <w:cols w:num="3" w:equalWidth="0">
            <w:col w:w="3309" w:space="130"/>
            <w:col w:w="3306" w:space="134"/>
            <w:col w:w="3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494" w:footer="473" w:top="680" w:bottom="660" w:left="800" w:right="800"/>
        </w:sectPr>
      </w:pPr>
    </w:p>
    <w:p>
      <w:pPr>
        <w:pStyle w:val="BodyText"/>
        <w:spacing w:before="2"/>
        <w:rPr>
          <w:sz w:val="20"/>
        </w:rPr>
      </w:pPr>
    </w:p>
    <w:p>
      <w:pPr>
        <w:pStyle w:val="BodyText"/>
        <w:spacing w:line="249" w:lineRule="auto"/>
        <w:ind w:left="107" w:right="122"/>
      </w:pPr>
      <w:r>
        <w:rPr>
          <w:w w:val="99"/>
        </w:rPr>
        <w:t>Notable </w:t>
      </w:r>
      <w:r>
        <w:rPr>
          <w:w w:val="96"/>
        </w:rPr>
        <w:t>projects </w:t>
      </w:r>
      <w:r>
        <w:rPr>
          <w:w w:val="95"/>
        </w:rPr>
        <w:t>in </w:t>
      </w:r>
      <w:r>
        <w:rPr>
          <w:w w:val="97"/>
        </w:rPr>
        <w:t>this </w:t>
      </w:r>
      <w:r>
        <w:rPr>
          <w:w w:val="98"/>
        </w:rPr>
        <w:t>program </w:t>
      </w:r>
      <w:r>
        <w:rPr>
          <w:w w:val="97"/>
        </w:rPr>
        <w:t>during </w:t>
      </w:r>
      <w:r>
        <w:rPr>
          <w:w w:val="88"/>
        </w:rPr>
        <w:t>2015 </w:t>
      </w:r>
      <w:r>
        <w:rPr/>
        <w:t>included:</w:t>
      </w:r>
    </w:p>
    <w:p>
      <w:pPr>
        <w:pStyle w:val="BodyText"/>
        <w:spacing w:before="11"/>
        <w:rPr>
          <w:sz w:val="13"/>
        </w:rPr>
      </w:pPr>
    </w:p>
    <w:p>
      <w:pPr>
        <w:pStyle w:val="BodyText"/>
        <w:ind w:left="107"/>
      </w:pPr>
      <w:r>
        <w:rPr>
          <w:rFonts w:ascii="Century Gothic" w:hAnsi="Century Gothic"/>
          <w:b/>
          <w:w w:val="115"/>
        </w:rPr>
        <w:t>≥ </w:t>
      </w:r>
      <w:r>
        <w:rPr>
          <w:w w:val="105"/>
        </w:rPr>
        <w:t>introducing energy savings action plans</w:t>
      </w:r>
    </w:p>
    <w:p>
      <w:pPr>
        <w:pStyle w:val="BodyText"/>
        <w:spacing w:line="244" w:lineRule="auto" w:before="60"/>
        <w:ind w:left="333" w:right="268" w:hanging="227"/>
      </w:pPr>
      <w:r>
        <w:rPr>
          <w:rFonts w:ascii="Century Gothic" w:hAnsi="Century Gothic"/>
          <w:b/>
          <w:w w:val="115"/>
        </w:rPr>
        <w:t>≥</w:t>
      </w:r>
      <w:r>
        <w:rPr>
          <w:rFonts w:ascii="Century Gothic" w:hAnsi="Century Gothic"/>
          <w:b/>
          <w:spacing w:val="13"/>
          <w:w w:val="115"/>
        </w:rPr>
        <w:t> </w:t>
      </w:r>
      <w:r>
        <w:rPr>
          <w:w w:val="105"/>
        </w:rPr>
        <w:t>upgrading</w:t>
      </w:r>
      <w:r>
        <w:rPr>
          <w:spacing w:val="-28"/>
          <w:w w:val="105"/>
        </w:rPr>
        <w:t> </w:t>
      </w:r>
      <w:r>
        <w:rPr>
          <w:w w:val="105"/>
        </w:rPr>
        <w:t>fire</w:t>
      </w:r>
      <w:r>
        <w:rPr>
          <w:spacing w:val="-28"/>
          <w:w w:val="105"/>
        </w:rPr>
        <w:t> </w:t>
      </w:r>
      <w:r>
        <w:rPr>
          <w:w w:val="105"/>
        </w:rPr>
        <w:t>detection</w:t>
      </w:r>
      <w:r>
        <w:rPr>
          <w:spacing w:val="-28"/>
          <w:w w:val="105"/>
        </w:rPr>
        <w:t> </w:t>
      </w:r>
      <w:r>
        <w:rPr>
          <w:w w:val="105"/>
        </w:rPr>
        <w:t>devices</w:t>
      </w:r>
      <w:r>
        <w:rPr>
          <w:spacing w:val="-28"/>
          <w:w w:val="105"/>
        </w:rPr>
        <w:t> </w:t>
      </w:r>
      <w:r>
        <w:rPr>
          <w:w w:val="105"/>
        </w:rPr>
        <w:t>on</w:t>
      </w:r>
      <w:r>
        <w:rPr>
          <w:spacing w:val="-28"/>
          <w:w w:val="105"/>
        </w:rPr>
        <w:t> </w:t>
      </w:r>
      <w:r>
        <w:rPr>
          <w:w w:val="105"/>
        </w:rPr>
        <w:t>the </w:t>
      </w:r>
      <w:r>
        <w:rPr/>
        <w:t>Penrith</w:t>
      </w:r>
      <w:r>
        <w:rPr>
          <w:spacing w:val="-16"/>
        </w:rPr>
        <w:t> </w:t>
      </w:r>
      <w:r>
        <w:rPr/>
        <w:t>campus</w:t>
      </w:r>
    </w:p>
    <w:p>
      <w:pPr>
        <w:pStyle w:val="BodyText"/>
        <w:spacing w:line="247" w:lineRule="auto" w:before="58"/>
        <w:ind w:left="333" w:right="90" w:hanging="227"/>
        <w:jc w:val="both"/>
      </w:pPr>
      <w:r>
        <w:rPr>
          <w:rFonts w:ascii="Century Gothic" w:hAnsi="Century Gothic"/>
          <w:b/>
          <w:w w:val="115"/>
        </w:rPr>
        <w:t>≥ </w:t>
      </w:r>
      <w:r>
        <w:rPr/>
        <w:t>upgrading the </w:t>
      </w:r>
      <w:r>
        <w:rPr>
          <w:spacing w:val="2"/>
        </w:rPr>
        <w:t>façades </w:t>
      </w:r>
      <w:r>
        <w:rPr/>
        <w:t>of buildings U2,</w:t>
      </w:r>
      <w:r>
        <w:rPr>
          <w:spacing w:val="-34"/>
        </w:rPr>
        <w:t> </w:t>
      </w:r>
      <w:r>
        <w:rPr/>
        <w:t>U3 and</w:t>
      </w:r>
      <w:r>
        <w:rPr>
          <w:spacing w:val="-11"/>
        </w:rPr>
        <w:t> </w:t>
      </w:r>
      <w:r>
        <w:rPr/>
        <w:t>U4</w:t>
      </w:r>
      <w:r>
        <w:rPr>
          <w:spacing w:val="-11"/>
        </w:rPr>
        <w:t> </w:t>
      </w:r>
      <w:r>
        <w:rPr/>
        <w:t>of</w:t>
      </w:r>
      <w:r>
        <w:rPr>
          <w:spacing w:val="-11"/>
        </w:rPr>
        <w:t> </w:t>
      </w:r>
      <w:r>
        <w:rPr/>
        <w:t>the</w:t>
      </w:r>
      <w:r>
        <w:rPr>
          <w:spacing w:val="-11"/>
        </w:rPr>
        <w:t> </w:t>
      </w:r>
      <w:r>
        <w:rPr/>
        <w:t>Nirimba</w:t>
      </w:r>
      <w:r>
        <w:rPr>
          <w:spacing w:val="-11"/>
        </w:rPr>
        <w:t> </w:t>
      </w:r>
      <w:r>
        <w:rPr/>
        <w:t>Education</w:t>
      </w:r>
      <w:r>
        <w:rPr>
          <w:spacing w:val="-11"/>
        </w:rPr>
        <w:t> </w:t>
      </w:r>
      <w:r>
        <w:rPr/>
        <w:t>Precinct at the Blacktown</w:t>
      </w:r>
      <w:r>
        <w:rPr>
          <w:spacing w:val="-37"/>
        </w:rPr>
        <w:t> </w:t>
      </w:r>
      <w:r>
        <w:rPr/>
        <w:t>campus</w:t>
      </w:r>
    </w:p>
    <w:p>
      <w:pPr>
        <w:pStyle w:val="BodyText"/>
        <w:spacing w:line="244" w:lineRule="auto" w:before="57"/>
        <w:ind w:left="333" w:right="130" w:hanging="227"/>
      </w:pPr>
      <w:r>
        <w:rPr>
          <w:rFonts w:ascii="Century Gothic" w:hAnsi="Century Gothic"/>
          <w:b/>
          <w:w w:val="115"/>
        </w:rPr>
        <w:t>≥</w:t>
      </w:r>
      <w:r>
        <w:rPr>
          <w:rFonts w:ascii="Century Gothic" w:hAnsi="Century Gothic"/>
          <w:b/>
          <w:spacing w:val="14"/>
          <w:w w:val="115"/>
        </w:rPr>
        <w:t> </w:t>
      </w:r>
      <w:r>
        <w:rPr>
          <w:w w:val="105"/>
        </w:rPr>
        <w:t>upgrading</w:t>
      </w:r>
      <w:r>
        <w:rPr>
          <w:spacing w:val="-28"/>
          <w:w w:val="105"/>
        </w:rPr>
        <w:t> </w:t>
      </w:r>
      <w:r>
        <w:rPr>
          <w:w w:val="105"/>
        </w:rPr>
        <w:t>roof</w:t>
      </w:r>
      <w:r>
        <w:rPr>
          <w:spacing w:val="-28"/>
          <w:w w:val="105"/>
        </w:rPr>
        <w:t> </w:t>
      </w:r>
      <w:r>
        <w:rPr>
          <w:w w:val="105"/>
        </w:rPr>
        <w:t>gutters</w:t>
      </w:r>
      <w:r>
        <w:rPr>
          <w:spacing w:val="-28"/>
          <w:w w:val="105"/>
        </w:rPr>
        <w:t> </w:t>
      </w:r>
      <w:r>
        <w:rPr>
          <w:w w:val="105"/>
        </w:rPr>
        <w:t>and</w:t>
      </w:r>
      <w:r>
        <w:rPr>
          <w:spacing w:val="-28"/>
          <w:w w:val="105"/>
        </w:rPr>
        <w:t> </w:t>
      </w:r>
      <w:r>
        <w:rPr>
          <w:w w:val="105"/>
        </w:rPr>
        <w:t>downpipes</w:t>
      </w:r>
      <w:r>
        <w:rPr>
          <w:spacing w:val="-28"/>
          <w:w w:val="105"/>
        </w:rPr>
        <w:t> </w:t>
      </w:r>
      <w:r>
        <w:rPr>
          <w:w w:val="105"/>
        </w:rPr>
        <w:t>at </w:t>
      </w:r>
      <w:r>
        <w:rPr/>
        <w:t>the</w:t>
      </w:r>
      <w:r>
        <w:rPr>
          <w:spacing w:val="-21"/>
        </w:rPr>
        <w:t> </w:t>
      </w:r>
      <w:r>
        <w:rPr/>
        <w:t>Parramatta</w:t>
      </w:r>
      <w:r>
        <w:rPr>
          <w:spacing w:val="-21"/>
        </w:rPr>
        <w:t> </w:t>
      </w:r>
      <w:r>
        <w:rPr/>
        <w:t>(south)</w:t>
      </w:r>
      <w:r>
        <w:rPr>
          <w:spacing w:val="-21"/>
        </w:rPr>
        <w:t> </w:t>
      </w:r>
      <w:r>
        <w:rPr/>
        <w:t>campus</w:t>
      </w:r>
    </w:p>
    <w:p>
      <w:pPr>
        <w:pStyle w:val="BodyText"/>
        <w:spacing w:before="58"/>
        <w:ind w:left="107"/>
      </w:pPr>
      <w:r>
        <w:rPr>
          <w:rFonts w:ascii="Century Gothic" w:hAnsi="Century Gothic"/>
          <w:b/>
          <w:w w:val="105"/>
        </w:rPr>
        <w:t>≥ </w:t>
      </w:r>
      <w:r>
        <w:rPr>
          <w:w w:val="105"/>
        </w:rPr>
        <w:t>replacing outdoor furniture</w:t>
      </w:r>
    </w:p>
    <w:p>
      <w:pPr>
        <w:pStyle w:val="BodyText"/>
        <w:spacing w:line="244" w:lineRule="auto" w:before="60"/>
        <w:ind w:left="333" w:right="177" w:hanging="227"/>
        <w:jc w:val="both"/>
      </w:pPr>
      <w:r>
        <w:rPr>
          <w:rFonts w:ascii="Century Gothic" w:hAnsi="Century Gothic"/>
          <w:b/>
          <w:w w:val="115"/>
        </w:rPr>
        <w:t>≥ </w:t>
      </w:r>
      <w:r>
        <w:rPr/>
        <w:t>upgrading preparation areas for building K16 at the Hawkesbury campus.</w:t>
      </w:r>
    </w:p>
    <w:p>
      <w:pPr>
        <w:pStyle w:val="BodyText"/>
        <w:spacing w:before="11"/>
        <w:rPr>
          <w:sz w:val="21"/>
        </w:rPr>
      </w:pPr>
    </w:p>
    <w:p>
      <w:pPr>
        <w:pStyle w:val="Heading8"/>
        <w:spacing w:line="249" w:lineRule="auto"/>
        <w:ind w:right="15"/>
      </w:pPr>
      <w:r>
        <w:rPr/>
        <w:t>2015</w:t>
      </w:r>
      <w:r>
        <w:rPr>
          <w:spacing w:val="-28"/>
        </w:rPr>
        <w:t> </w:t>
      </w:r>
      <w:r>
        <w:rPr/>
        <w:t>BACKLOG</w:t>
      </w:r>
      <w:r>
        <w:rPr>
          <w:spacing w:val="-28"/>
        </w:rPr>
        <w:t> </w:t>
      </w:r>
      <w:r>
        <w:rPr/>
        <w:t>CAPITAL</w:t>
      </w:r>
      <w:r>
        <w:rPr>
          <w:spacing w:val="-28"/>
        </w:rPr>
        <w:t> </w:t>
      </w:r>
      <w:r>
        <w:rPr/>
        <w:t>WORKS</w:t>
      </w:r>
      <w:r>
        <w:rPr>
          <w:spacing w:val="-28"/>
        </w:rPr>
        <w:t> </w:t>
      </w:r>
      <w:r>
        <w:rPr>
          <w:spacing w:val="2"/>
        </w:rPr>
        <w:t>PROGRAM REVIEW</w:t>
      </w:r>
    </w:p>
    <w:p>
      <w:pPr>
        <w:pStyle w:val="BodyText"/>
        <w:spacing w:line="249" w:lineRule="auto" w:before="79"/>
        <w:ind w:left="107" w:right="151"/>
      </w:pPr>
      <w:r>
        <w:rPr/>
        <w:t>A number of noteworthy projects were identified from the backlog priority list </w:t>
      </w:r>
      <w:r>
        <w:rPr>
          <w:spacing w:val="1"/>
          <w:w w:val="97"/>
        </w:rPr>
        <w:t>during</w:t>
      </w:r>
      <w:r>
        <w:rPr>
          <w:w w:val="97"/>
        </w:rPr>
        <w:t> </w:t>
      </w:r>
      <w:r>
        <w:rPr>
          <w:spacing w:val="2"/>
          <w:w w:val="83"/>
        </w:rPr>
        <w:t>2015–16,</w:t>
      </w:r>
      <w:r>
        <w:rPr>
          <w:w w:val="83"/>
        </w:rPr>
        <w:t> </w:t>
      </w:r>
      <w:r>
        <w:rPr>
          <w:spacing w:val="1"/>
          <w:w w:val="97"/>
        </w:rPr>
        <w:t>such</w:t>
      </w:r>
      <w:r>
        <w:rPr>
          <w:w w:val="97"/>
        </w:rPr>
        <w:t> </w:t>
      </w:r>
      <w:r>
        <w:rPr>
          <w:spacing w:val="1"/>
          <w:w w:val="94"/>
        </w:rPr>
        <w:t>as</w:t>
      </w:r>
      <w:r>
        <w:rPr>
          <w:w w:val="94"/>
        </w:rPr>
        <w:t> </w:t>
      </w:r>
      <w:r>
        <w:rPr>
          <w:w w:val="97"/>
        </w:rPr>
        <w:t>the </w:t>
      </w:r>
      <w:r>
        <w:rPr>
          <w:w w:val="98"/>
        </w:rPr>
        <w:t>adaptive </w:t>
      </w:r>
      <w:r>
        <w:rPr>
          <w:spacing w:val="1"/>
          <w:w w:val="95"/>
        </w:rPr>
        <w:t>reuse</w:t>
      </w:r>
      <w:r>
        <w:rPr>
          <w:w w:val="95"/>
        </w:rPr>
        <w:t> </w:t>
      </w:r>
      <w:r>
        <w:rPr/>
        <w:t>of Allen Library (building </w:t>
      </w:r>
      <w:r>
        <w:rPr>
          <w:spacing w:val="-3"/>
        </w:rPr>
        <w:t>O) </w:t>
      </w:r>
      <w:r>
        <w:rPr/>
        <w:t>at the Penrith (Kingswood) campus to accommodate new social learning and teaching spaces, and administration and academic development spaces</w:t>
      </w:r>
      <w:r>
        <w:rPr>
          <w:spacing w:val="-13"/>
        </w:rPr>
        <w:t> </w:t>
      </w:r>
      <w:r>
        <w:rPr/>
        <w:t>for</w:t>
      </w:r>
      <w:r>
        <w:rPr>
          <w:spacing w:val="-13"/>
        </w:rPr>
        <w:t> </w:t>
      </w:r>
      <w:r>
        <w:rPr/>
        <w:t>the</w:t>
      </w:r>
      <w:r>
        <w:rPr>
          <w:spacing w:val="-13"/>
        </w:rPr>
        <w:t> </w:t>
      </w:r>
      <w:r>
        <w:rPr/>
        <w:t>School</w:t>
      </w:r>
      <w:r>
        <w:rPr>
          <w:spacing w:val="-13"/>
        </w:rPr>
        <w:t> </w:t>
      </w:r>
      <w:r>
        <w:rPr/>
        <w:t>of</w:t>
      </w:r>
      <w:r>
        <w:rPr>
          <w:spacing w:val="-13"/>
        </w:rPr>
        <w:t> </w:t>
      </w:r>
      <w:r>
        <w:rPr/>
        <w:t>Social</w:t>
      </w:r>
      <w:r>
        <w:rPr>
          <w:spacing w:val="-13"/>
        </w:rPr>
        <w:t> </w:t>
      </w:r>
      <w:r>
        <w:rPr/>
        <w:t>Sciences</w:t>
      </w:r>
      <w:r>
        <w:rPr>
          <w:spacing w:val="-13"/>
        </w:rPr>
        <w:t> </w:t>
      </w:r>
      <w:r>
        <w:rPr/>
        <w:t>and Psychology. Given the complexity of the project,</w:t>
      </w:r>
      <w:r>
        <w:rPr>
          <w:spacing w:val="-16"/>
        </w:rPr>
        <w:t> </w:t>
      </w:r>
      <w:r>
        <w:rPr/>
        <w:t>it</w:t>
      </w:r>
      <w:r>
        <w:rPr>
          <w:spacing w:val="-16"/>
        </w:rPr>
        <w:t> </w:t>
      </w:r>
      <w:r>
        <w:rPr/>
        <w:t>has</w:t>
      </w:r>
      <w:r>
        <w:rPr>
          <w:spacing w:val="-16"/>
        </w:rPr>
        <w:t> </w:t>
      </w:r>
      <w:r>
        <w:rPr/>
        <w:t>had</w:t>
      </w:r>
      <w:r>
        <w:rPr>
          <w:spacing w:val="-16"/>
        </w:rPr>
        <w:t> </w:t>
      </w:r>
      <w:r>
        <w:rPr/>
        <w:t>a</w:t>
      </w:r>
      <w:r>
        <w:rPr>
          <w:spacing w:val="-16"/>
        </w:rPr>
        <w:t> </w:t>
      </w:r>
      <w:r>
        <w:rPr/>
        <w:t>significant</w:t>
      </w:r>
      <w:r>
        <w:rPr>
          <w:spacing w:val="-16"/>
        </w:rPr>
        <w:t> </w:t>
      </w:r>
      <w:r>
        <w:rPr/>
        <w:t>budgetary</w:t>
      </w:r>
    </w:p>
    <w:p>
      <w:pPr>
        <w:pStyle w:val="BodyText"/>
        <w:spacing w:line="192" w:lineRule="exact"/>
        <w:ind w:left="107"/>
      </w:pPr>
      <w:r>
        <w:rPr/>
        <w:t>impact</w:t>
      </w:r>
      <w:r>
        <w:rPr>
          <w:spacing w:val="-12"/>
        </w:rPr>
        <w:t> </w:t>
      </w:r>
      <w:r>
        <w:rPr/>
        <w:t>on</w:t>
      </w:r>
      <w:r>
        <w:rPr>
          <w:spacing w:val="-12"/>
        </w:rPr>
        <w:t> </w:t>
      </w:r>
      <w:r>
        <w:rPr/>
        <w:t>the</w:t>
      </w:r>
      <w:r>
        <w:rPr>
          <w:spacing w:val="-12"/>
        </w:rPr>
        <w:t> </w:t>
      </w:r>
      <w:r>
        <w:rPr/>
        <w:t>backlog</w:t>
      </w:r>
      <w:r>
        <w:rPr>
          <w:spacing w:val="-12"/>
        </w:rPr>
        <w:t> </w:t>
      </w:r>
      <w:r>
        <w:rPr/>
        <w:t>capital</w:t>
      </w:r>
      <w:r>
        <w:rPr>
          <w:spacing w:val="-12"/>
        </w:rPr>
        <w:t> </w:t>
      </w:r>
      <w:r>
        <w:rPr/>
        <w:t>works</w:t>
      </w:r>
      <w:r>
        <w:rPr>
          <w:spacing w:val="-12"/>
        </w:rPr>
        <w:t> </w:t>
      </w:r>
      <w:r>
        <w:rPr/>
        <w:t>program.</w:t>
      </w:r>
    </w:p>
    <w:p>
      <w:pPr>
        <w:pStyle w:val="BodyText"/>
      </w:pPr>
    </w:p>
    <w:p>
      <w:pPr>
        <w:spacing w:line="260" w:lineRule="exact" w:before="109"/>
        <w:ind w:left="107" w:right="0" w:firstLine="0"/>
        <w:jc w:val="left"/>
        <w:rPr>
          <w:rFonts w:ascii="Gotham Narrow Bold"/>
          <w:b/>
          <w:sz w:val="24"/>
        </w:rPr>
      </w:pPr>
      <w:r>
        <w:rPr>
          <w:rFonts w:ascii="Gotham Narrow Bold"/>
          <w:b/>
          <w:w w:val="95"/>
          <w:sz w:val="24"/>
        </w:rPr>
        <w:t>ENVIRONMENT AND RISK </w:t>
      </w:r>
      <w:r>
        <w:rPr>
          <w:rFonts w:ascii="Gotham Narrow Bold"/>
          <w:b/>
          <w:sz w:val="24"/>
        </w:rPr>
        <w:t>MANAGEMENT</w:t>
      </w:r>
    </w:p>
    <w:p>
      <w:pPr>
        <w:pStyle w:val="BodyText"/>
        <w:spacing w:line="247" w:lineRule="auto" w:before="214"/>
        <w:ind w:left="107" w:right="-2"/>
      </w:pPr>
      <w:r>
        <w:rPr>
          <w:w w:val="97"/>
        </w:rPr>
        <w:t>During </w:t>
      </w:r>
      <w:r>
        <w:rPr>
          <w:w w:val="84"/>
        </w:rPr>
        <w:t>2015, </w:t>
      </w:r>
      <w:r>
        <w:rPr>
          <w:spacing w:val="-1"/>
          <w:w w:val="97"/>
        </w:rPr>
        <w:t>Environment</w:t>
      </w:r>
      <w:r>
        <w:rPr>
          <w:w w:val="97"/>
        </w:rPr>
        <w:t> </w:t>
      </w:r>
      <w:r>
        <w:rPr>
          <w:w w:val="97"/>
        </w:rPr>
        <w:t>and </w:t>
      </w:r>
      <w:r>
        <w:rPr>
          <w:spacing w:val="-1"/>
          <w:w w:val="96"/>
        </w:rPr>
        <w:t>Risk</w:t>
      </w:r>
      <w:r>
        <w:rPr>
          <w:w w:val="96"/>
        </w:rPr>
        <w:t> </w:t>
      </w:r>
      <w:r>
        <w:rPr/>
        <w:t>Management (E&amp;RM) initiatives included enhancing service provision, aiding key business transformations, and developing ongoing cross-unit collaboration. Across the E&amp;RM portfolio, alignment with the </w:t>
      </w:r>
      <w:r>
        <w:rPr>
          <w:rFonts w:ascii="Century Gothic" w:hAnsi="Century Gothic"/>
          <w:i/>
        </w:rPr>
        <w:t>Securing </w:t>
      </w:r>
      <w:r>
        <w:rPr>
          <w:rFonts w:ascii="Century Gothic" w:hAnsi="Century Gothic"/>
          <w:i/>
        </w:rPr>
        <w:t>Success </w:t>
      </w:r>
      <w:r>
        <w:rPr/>
        <w:t>strategy is sought, with services supporting</w:t>
      </w:r>
      <w:r>
        <w:rPr>
          <w:spacing w:val="-25"/>
        </w:rPr>
        <w:t> </w:t>
      </w:r>
      <w:r>
        <w:rPr/>
        <w:t>quality</w:t>
      </w:r>
      <w:r>
        <w:rPr>
          <w:spacing w:val="-25"/>
        </w:rPr>
        <w:t> </w:t>
      </w:r>
      <w:r>
        <w:rPr/>
        <w:t>buildings,</w:t>
      </w:r>
      <w:r>
        <w:rPr>
          <w:spacing w:val="-25"/>
        </w:rPr>
        <w:t> </w:t>
      </w:r>
      <w:r>
        <w:rPr/>
        <w:t>social</w:t>
      </w:r>
      <w:r>
        <w:rPr>
          <w:spacing w:val="-25"/>
        </w:rPr>
        <w:t> </w:t>
      </w:r>
      <w:r>
        <w:rPr/>
        <w:t>spaces</w:t>
      </w:r>
      <w:r>
        <w:rPr>
          <w:spacing w:val="-25"/>
        </w:rPr>
        <w:t> </w:t>
      </w:r>
      <w:r>
        <w:rPr/>
        <w:t>and campuses,</w:t>
      </w:r>
      <w:r>
        <w:rPr>
          <w:spacing w:val="-28"/>
        </w:rPr>
        <w:t> </w:t>
      </w:r>
      <w:r>
        <w:rPr/>
        <w:t>and</w:t>
      </w:r>
      <w:r>
        <w:rPr>
          <w:spacing w:val="-28"/>
        </w:rPr>
        <w:t> </w:t>
      </w:r>
      <w:r>
        <w:rPr/>
        <w:t>seeking</w:t>
      </w:r>
      <w:r>
        <w:rPr>
          <w:spacing w:val="-28"/>
        </w:rPr>
        <w:t> </w:t>
      </w:r>
      <w:r>
        <w:rPr/>
        <w:t>to</w:t>
      </w:r>
      <w:r>
        <w:rPr>
          <w:spacing w:val="-28"/>
        </w:rPr>
        <w:t> </w:t>
      </w:r>
      <w:r>
        <w:rPr/>
        <w:t>‘embrace</w:t>
      </w:r>
      <w:r>
        <w:rPr>
          <w:spacing w:val="-28"/>
        </w:rPr>
        <w:t> </w:t>
      </w:r>
      <w:r>
        <w:rPr/>
        <w:t>and</w:t>
      </w:r>
      <w:r>
        <w:rPr>
          <w:spacing w:val="-28"/>
        </w:rPr>
        <w:t> </w:t>
      </w:r>
      <w:r>
        <w:rPr/>
        <w:t>embed </w:t>
      </w:r>
      <w:r>
        <w:rPr>
          <w:w w:val="95"/>
        </w:rPr>
        <w:t>sustainability within the University’s</w:t>
      </w:r>
      <w:r>
        <w:rPr>
          <w:spacing w:val="-16"/>
          <w:w w:val="95"/>
        </w:rPr>
        <w:t> </w:t>
      </w:r>
      <w:r>
        <w:rPr>
          <w:w w:val="95"/>
        </w:rPr>
        <w:t>culture’.</w:t>
      </w:r>
    </w:p>
    <w:p>
      <w:pPr>
        <w:pStyle w:val="BodyText"/>
        <w:spacing w:before="2"/>
        <w:rPr>
          <w:sz w:val="14"/>
        </w:rPr>
      </w:pPr>
    </w:p>
    <w:p>
      <w:pPr>
        <w:pStyle w:val="BodyText"/>
        <w:spacing w:line="249" w:lineRule="auto"/>
        <w:ind w:left="107" w:right="212"/>
      </w:pPr>
      <w:r>
        <w:rPr/>
        <w:t>Key services included those associated with</w:t>
      </w:r>
      <w:r>
        <w:rPr>
          <w:spacing w:val="-17"/>
        </w:rPr>
        <w:t> </w:t>
      </w:r>
      <w:r>
        <w:rPr/>
        <w:t>campus</w:t>
      </w:r>
      <w:r>
        <w:rPr>
          <w:spacing w:val="-17"/>
        </w:rPr>
        <w:t> </w:t>
      </w:r>
      <w:r>
        <w:rPr/>
        <w:t>presentation</w:t>
      </w:r>
      <w:r>
        <w:rPr>
          <w:spacing w:val="-17"/>
        </w:rPr>
        <w:t> </w:t>
      </w:r>
      <w:r>
        <w:rPr/>
        <w:t>and</w:t>
      </w:r>
      <w:r>
        <w:rPr>
          <w:spacing w:val="-17"/>
        </w:rPr>
        <w:t> </w:t>
      </w:r>
      <w:r>
        <w:rPr/>
        <w:t>external</w:t>
      </w:r>
      <w:r>
        <w:rPr>
          <w:spacing w:val="-17"/>
        </w:rPr>
        <w:t> </w:t>
      </w:r>
      <w:r>
        <w:rPr/>
        <w:t>civil works,</w:t>
      </w:r>
      <w:r>
        <w:rPr>
          <w:spacing w:val="-24"/>
        </w:rPr>
        <w:t> </w:t>
      </w:r>
      <w:r>
        <w:rPr/>
        <w:t>cleaning,</w:t>
      </w:r>
      <w:r>
        <w:rPr>
          <w:spacing w:val="-24"/>
        </w:rPr>
        <w:t> </w:t>
      </w:r>
      <w:r>
        <w:rPr/>
        <w:t>waste</w:t>
      </w:r>
      <w:r>
        <w:rPr>
          <w:spacing w:val="-24"/>
        </w:rPr>
        <w:t> </w:t>
      </w:r>
      <w:r>
        <w:rPr/>
        <w:t>management</w:t>
      </w:r>
      <w:r>
        <w:rPr>
          <w:spacing w:val="-24"/>
        </w:rPr>
        <w:t> </w:t>
      </w:r>
      <w:r>
        <w:rPr/>
        <w:t>and</w:t>
      </w:r>
    </w:p>
    <w:p>
      <w:pPr>
        <w:pStyle w:val="BodyText"/>
        <w:spacing w:line="249" w:lineRule="auto"/>
        <w:ind w:left="107" w:right="25"/>
      </w:pPr>
      <w:r>
        <w:rPr/>
        <w:t>recycling;</w:t>
      </w:r>
      <w:r>
        <w:rPr>
          <w:spacing w:val="-26"/>
        </w:rPr>
        <w:t> </w:t>
      </w:r>
      <w:r>
        <w:rPr/>
        <w:t>relocations</w:t>
      </w:r>
      <w:r>
        <w:rPr>
          <w:spacing w:val="-26"/>
        </w:rPr>
        <w:t> </w:t>
      </w:r>
      <w:r>
        <w:rPr/>
        <w:t>and</w:t>
      </w:r>
      <w:r>
        <w:rPr>
          <w:spacing w:val="-26"/>
        </w:rPr>
        <w:t> </w:t>
      </w:r>
      <w:r>
        <w:rPr/>
        <w:t>event</w:t>
      </w:r>
      <w:r>
        <w:rPr>
          <w:spacing w:val="-26"/>
        </w:rPr>
        <w:t> </w:t>
      </w:r>
      <w:r>
        <w:rPr/>
        <w:t>management; environmental operations; and logistics and mail </w:t>
      </w:r>
      <w:r>
        <w:rPr>
          <w:spacing w:val="2"/>
        </w:rPr>
        <w:t>services. </w:t>
      </w:r>
      <w:r>
        <w:rPr/>
        <w:t>The amenity and quality of campus</w:t>
      </w:r>
      <w:r>
        <w:rPr>
          <w:spacing w:val="-16"/>
        </w:rPr>
        <w:t> </w:t>
      </w:r>
      <w:r>
        <w:rPr/>
        <w:t>landscapes</w:t>
      </w:r>
      <w:r>
        <w:rPr>
          <w:spacing w:val="-16"/>
        </w:rPr>
        <w:t> </w:t>
      </w:r>
      <w:r>
        <w:rPr/>
        <w:t>is</w:t>
      </w:r>
      <w:r>
        <w:rPr>
          <w:spacing w:val="-16"/>
        </w:rPr>
        <w:t> </w:t>
      </w:r>
      <w:r>
        <w:rPr/>
        <w:t>continuously</w:t>
      </w:r>
      <w:r>
        <w:rPr>
          <w:spacing w:val="-16"/>
        </w:rPr>
        <w:t> </w:t>
      </w:r>
      <w:r>
        <w:rPr/>
        <w:t>improved. The</w:t>
      </w:r>
      <w:r>
        <w:rPr>
          <w:spacing w:val="-13"/>
        </w:rPr>
        <w:t> </w:t>
      </w:r>
      <w:r>
        <w:rPr/>
        <w:t>in-house</w:t>
      </w:r>
      <w:r>
        <w:rPr>
          <w:spacing w:val="-13"/>
        </w:rPr>
        <w:t> </w:t>
      </w:r>
      <w:r>
        <w:rPr/>
        <w:t>nursery</w:t>
      </w:r>
      <w:r>
        <w:rPr>
          <w:spacing w:val="-13"/>
        </w:rPr>
        <w:t> </w:t>
      </w:r>
      <w:r>
        <w:rPr/>
        <w:t>grew</w:t>
      </w:r>
      <w:r>
        <w:rPr>
          <w:spacing w:val="-13"/>
        </w:rPr>
        <w:t> </w:t>
      </w:r>
      <w:r>
        <w:rPr>
          <w:spacing w:val="2"/>
        </w:rPr>
        <w:t>50,000</w:t>
      </w:r>
      <w:r>
        <w:rPr>
          <w:spacing w:val="-13"/>
        </w:rPr>
        <w:t> </w:t>
      </w:r>
      <w:r>
        <w:rPr/>
        <w:t>plants</w:t>
      </w:r>
      <w:r>
        <w:rPr>
          <w:spacing w:val="-13"/>
        </w:rPr>
        <w:t> </w:t>
      </w:r>
      <w:r>
        <w:rPr/>
        <w:t>for</w:t>
      </w:r>
    </w:p>
    <w:p>
      <w:pPr>
        <w:pStyle w:val="BodyText"/>
        <w:spacing w:before="2"/>
        <w:rPr>
          <w:sz w:val="20"/>
        </w:rPr>
      </w:pPr>
      <w:r>
        <w:rPr/>
        <w:br w:type="column"/>
      </w:r>
      <w:r>
        <w:rPr>
          <w:sz w:val="20"/>
        </w:rPr>
      </w:r>
    </w:p>
    <w:p>
      <w:pPr>
        <w:pStyle w:val="BodyText"/>
        <w:spacing w:line="249" w:lineRule="auto"/>
        <w:ind w:left="107"/>
      </w:pPr>
      <w:r>
        <w:rPr/>
        <w:t>University gardens. Cleaning services were extended to major new buildings, including the Werrington Park Corporate Centre and the</w:t>
      </w:r>
      <w:r>
        <w:rPr>
          <w:spacing w:val="-15"/>
        </w:rPr>
        <w:t> </w:t>
      </w:r>
      <w:r>
        <w:rPr/>
        <w:t>Phillips</w:t>
      </w:r>
      <w:r>
        <w:rPr>
          <w:spacing w:val="-15"/>
        </w:rPr>
        <w:t> </w:t>
      </w:r>
      <w:r>
        <w:rPr/>
        <w:t>Library</w:t>
      </w:r>
      <w:r>
        <w:rPr>
          <w:spacing w:val="-15"/>
        </w:rPr>
        <w:t> </w:t>
      </w:r>
      <w:r>
        <w:rPr/>
        <w:t>on</w:t>
      </w:r>
      <w:r>
        <w:rPr>
          <w:spacing w:val="-15"/>
        </w:rPr>
        <w:t> </w:t>
      </w:r>
      <w:r>
        <w:rPr/>
        <w:t>the</w:t>
      </w:r>
      <w:r>
        <w:rPr>
          <w:spacing w:val="-15"/>
        </w:rPr>
        <w:t> </w:t>
      </w:r>
      <w:r>
        <w:rPr/>
        <w:t>Kingswood</w:t>
      </w:r>
      <w:r>
        <w:rPr>
          <w:spacing w:val="-15"/>
        </w:rPr>
        <w:t> </w:t>
      </w:r>
      <w:r>
        <w:rPr>
          <w:spacing w:val="2"/>
        </w:rPr>
        <w:t>campus, </w:t>
      </w:r>
      <w:r>
        <w:rPr/>
        <w:t>and</w:t>
      </w:r>
      <w:r>
        <w:rPr>
          <w:spacing w:val="-14"/>
        </w:rPr>
        <w:t> </w:t>
      </w:r>
      <w:r>
        <w:rPr/>
        <w:t>waste</w:t>
      </w:r>
      <w:r>
        <w:rPr>
          <w:spacing w:val="-14"/>
        </w:rPr>
        <w:t> </w:t>
      </w:r>
      <w:r>
        <w:rPr/>
        <w:t>and</w:t>
      </w:r>
      <w:r>
        <w:rPr>
          <w:spacing w:val="-14"/>
        </w:rPr>
        <w:t> </w:t>
      </w:r>
      <w:r>
        <w:rPr/>
        <w:t>recycling</w:t>
      </w:r>
      <w:r>
        <w:rPr>
          <w:spacing w:val="-14"/>
        </w:rPr>
        <w:t> </w:t>
      </w:r>
      <w:r>
        <w:rPr/>
        <w:t>services</w:t>
      </w:r>
      <w:r>
        <w:rPr>
          <w:spacing w:val="-14"/>
        </w:rPr>
        <w:t> </w:t>
      </w:r>
      <w:r>
        <w:rPr/>
        <w:t>based</w:t>
      </w:r>
    </w:p>
    <w:p>
      <w:pPr>
        <w:pStyle w:val="BodyText"/>
        <w:spacing w:line="249" w:lineRule="auto"/>
        <w:ind w:left="107" w:right="149"/>
      </w:pPr>
      <w:r>
        <w:rPr/>
        <w:t>on waste compaction technologies were extended</w:t>
      </w:r>
      <w:r>
        <w:rPr>
          <w:spacing w:val="-16"/>
        </w:rPr>
        <w:t> </w:t>
      </w:r>
      <w:r>
        <w:rPr/>
        <w:t>to</w:t>
      </w:r>
      <w:r>
        <w:rPr>
          <w:spacing w:val="-16"/>
        </w:rPr>
        <w:t> </w:t>
      </w:r>
      <w:r>
        <w:rPr/>
        <w:t>the</w:t>
      </w:r>
      <w:r>
        <w:rPr>
          <w:spacing w:val="-16"/>
        </w:rPr>
        <w:t> </w:t>
      </w:r>
      <w:r>
        <w:rPr/>
        <w:t>Nirimba</w:t>
      </w:r>
      <w:r>
        <w:rPr>
          <w:spacing w:val="-16"/>
        </w:rPr>
        <w:t> </w:t>
      </w:r>
      <w:r>
        <w:rPr>
          <w:spacing w:val="2"/>
        </w:rPr>
        <w:t>campus.</w:t>
      </w:r>
      <w:r>
        <w:rPr>
          <w:spacing w:val="-16"/>
        </w:rPr>
        <w:t> </w:t>
      </w:r>
      <w:r>
        <w:rPr/>
        <w:t>A</w:t>
      </w:r>
      <w:r>
        <w:rPr>
          <w:spacing w:val="-16"/>
        </w:rPr>
        <w:t> </w:t>
      </w:r>
      <w:r>
        <w:rPr/>
        <w:t>number of</w:t>
      </w:r>
      <w:r>
        <w:rPr>
          <w:spacing w:val="-17"/>
        </w:rPr>
        <w:t> </w:t>
      </w:r>
      <w:r>
        <w:rPr/>
        <w:t>major</w:t>
      </w:r>
      <w:r>
        <w:rPr>
          <w:spacing w:val="-17"/>
        </w:rPr>
        <w:t> </w:t>
      </w:r>
      <w:r>
        <w:rPr/>
        <w:t>and</w:t>
      </w:r>
      <w:r>
        <w:rPr>
          <w:spacing w:val="-17"/>
        </w:rPr>
        <w:t> </w:t>
      </w:r>
      <w:r>
        <w:rPr/>
        <w:t>minor</w:t>
      </w:r>
      <w:r>
        <w:rPr>
          <w:spacing w:val="-17"/>
        </w:rPr>
        <w:t> </w:t>
      </w:r>
      <w:r>
        <w:rPr/>
        <w:t>events</w:t>
      </w:r>
      <w:r>
        <w:rPr>
          <w:spacing w:val="-17"/>
        </w:rPr>
        <w:t> </w:t>
      </w:r>
      <w:r>
        <w:rPr/>
        <w:t>were</w:t>
      </w:r>
      <w:r>
        <w:rPr>
          <w:spacing w:val="-17"/>
        </w:rPr>
        <w:t> </w:t>
      </w:r>
      <w:r>
        <w:rPr/>
        <w:t>supported, including Open Day at the Parramatta campus and the Centenary remembrance of ANZAC Day at the Hawkesbury </w:t>
      </w:r>
      <w:r>
        <w:rPr>
          <w:spacing w:val="2"/>
        </w:rPr>
        <w:t>campus, </w:t>
      </w:r>
      <w:r>
        <w:rPr/>
        <w:t>along</w:t>
      </w:r>
      <w:r>
        <w:rPr>
          <w:spacing w:val="-18"/>
        </w:rPr>
        <w:t> </w:t>
      </w:r>
      <w:r>
        <w:rPr/>
        <w:t>with</w:t>
      </w:r>
      <w:r>
        <w:rPr>
          <w:spacing w:val="-18"/>
        </w:rPr>
        <w:t> </w:t>
      </w:r>
      <w:r>
        <w:rPr/>
        <w:t>the</w:t>
      </w:r>
      <w:r>
        <w:rPr>
          <w:spacing w:val="-18"/>
        </w:rPr>
        <w:t> </w:t>
      </w:r>
      <w:r>
        <w:rPr/>
        <w:t>ethical</w:t>
      </w:r>
      <w:r>
        <w:rPr>
          <w:spacing w:val="-18"/>
        </w:rPr>
        <w:t> </w:t>
      </w:r>
      <w:r>
        <w:rPr/>
        <w:t>donation</w:t>
      </w:r>
      <w:r>
        <w:rPr>
          <w:spacing w:val="-18"/>
        </w:rPr>
        <w:t> </w:t>
      </w:r>
      <w:r>
        <w:rPr/>
        <w:t>of</w:t>
      </w:r>
      <w:r>
        <w:rPr>
          <w:spacing w:val="-18"/>
        </w:rPr>
        <w:t> </w:t>
      </w:r>
      <w:r>
        <w:rPr/>
        <w:t>furniture. Environmental</w:t>
      </w:r>
      <w:r>
        <w:rPr>
          <w:spacing w:val="-13"/>
        </w:rPr>
        <w:t> </w:t>
      </w:r>
      <w:r>
        <w:rPr/>
        <w:t>operations</w:t>
      </w:r>
      <w:r>
        <w:rPr>
          <w:spacing w:val="-13"/>
        </w:rPr>
        <w:t> </w:t>
      </w:r>
      <w:r>
        <w:rPr/>
        <w:t>included</w:t>
      </w:r>
      <w:r>
        <w:rPr>
          <w:spacing w:val="-13"/>
        </w:rPr>
        <w:t> </w:t>
      </w:r>
      <w:r>
        <w:rPr/>
        <w:t>ongoing efforts to conserve energy and recycle water,</w:t>
      </w:r>
      <w:r>
        <w:rPr>
          <w:spacing w:val="-24"/>
        </w:rPr>
        <w:t> </w:t>
      </w:r>
      <w:r>
        <w:rPr/>
        <w:t>and</w:t>
      </w:r>
      <w:r>
        <w:rPr>
          <w:spacing w:val="-24"/>
        </w:rPr>
        <w:t> </w:t>
      </w:r>
      <w:r>
        <w:rPr/>
        <w:t>environmental</w:t>
      </w:r>
      <w:r>
        <w:rPr>
          <w:spacing w:val="-24"/>
        </w:rPr>
        <w:t> </w:t>
      </w:r>
      <w:r>
        <w:rPr/>
        <w:t>risk</w:t>
      </w:r>
      <w:r>
        <w:rPr>
          <w:spacing w:val="-24"/>
        </w:rPr>
        <w:t> </w:t>
      </w:r>
      <w:r>
        <w:rPr/>
        <w:t>management associated with bushfire mitigation and controlling feral animals. The logistics and mail team streamlined services and were consolidated</w:t>
      </w:r>
      <w:r>
        <w:rPr>
          <w:spacing w:val="-27"/>
        </w:rPr>
        <w:t> </w:t>
      </w:r>
      <w:r>
        <w:rPr/>
        <w:t>into</w:t>
      </w:r>
      <w:r>
        <w:rPr>
          <w:spacing w:val="-27"/>
        </w:rPr>
        <w:t> </w:t>
      </w:r>
      <w:r>
        <w:rPr>
          <w:spacing w:val="2"/>
        </w:rPr>
        <w:t>E&amp;RM.</w:t>
      </w:r>
    </w:p>
    <w:p>
      <w:pPr>
        <w:pStyle w:val="BodyText"/>
        <w:rPr>
          <w:sz w:val="14"/>
        </w:rPr>
      </w:pPr>
    </w:p>
    <w:p>
      <w:pPr>
        <w:pStyle w:val="BodyText"/>
        <w:spacing w:line="249" w:lineRule="auto"/>
        <w:ind w:left="107" w:right="284"/>
      </w:pPr>
      <w:r>
        <w:rPr/>
        <w:t>Key business transformations continued </w:t>
      </w:r>
      <w:r>
        <w:rPr>
          <w:w w:val="95"/>
        </w:rPr>
        <w:t>in </w:t>
      </w:r>
      <w:r>
        <w:rPr>
          <w:w w:val="84"/>
        </w:rPr>
        <w:t>2015, </w:t>
      </w:r>
      <w:r>
        <w:rPr>
          <w:w w:val="97"/>
        </w:rPr>
        <w:t>particularly </w:t>
      </w:r>
      <w:r>
        <w:rPr>
          <w:w w:val="97"/>
        </w:rPr>
        <w:t>around </w:t>
      </w:r>
      <w:r>
        <w:rPr>
          <w:w w:val="97"/>
        </w:rPr>
        <w:t>environmental</w:t>
      </w:r>
    </w:p>
    <w:p>
      <w:pPr>
        <w:pStyle w:val="BodyText"/>
        <w:spacing w:line="249" w:lineRule="auto"/>
        <w:ind w:left="107" w:right="38"/>
      </w:pPr>
      <w:r>
        <w:rPr/>
        <w:t>systems and performance, contractor WHS and operations at the Hawkesbury Farm. Along with upgrading the University’s Environmental Management System, performance and targets associated with campus operations were developed as </w:t>
      </w:r>
      <w:r>
        <w:rPr>
          <w:spacing w:val="2"/>
        </w:rPr>
        <w:t>part </w:t>
      </w:r>
      <w:r>
        <w:rPr/>
        <w:t>of</w:t>
      </w:r>
      <w:r>
        <w:rPr>
          <w:spacing w:val="-15"/>
        </w:rPr>
        <w:t> </w:t>
      </w:r>
      <w:r>
        <w:rPr/>
        <w:t>broader</w:t>
      </w:r>
      <w:r>
        <w:rPr>
          <w:spacing w:val="-15"/>
        </w:rPr>
        <w:t> </w:t>
      </w:r>
      <w:r>
        <w:rPr/>
        <w:t>University</w:t>
      </w:r>
      <w:r>
        <w:rPr>
          <w:spacing w:val="-15"/>
        </w:rPr>
        <w:t> </w:t>
      </w:r>
      <w:r>
        <w:rPr/>
        <w:t>sustainability</w:t>
      </w:r>
      <w:r>
        <w:rPr>
          <w:spacing w:val="-15"/>
        </w:rPr>
        <w:t> </w:t>
      </w:r>
      <w:r>
        <w:rPr/>
        <w:t>reporting. Waste recycling rates of 80 per cent were </w:t>
      </w:r>
      <w:r>
        <w:rPr>
          <w:spacing w:val="1"/>
          <w:w w:val="94"/>
        </w:rPr>
        <w:t>achieved,</w:t>
      </w:r>
      <w:r>
        <w:rPr>
          <w:spacing w:val="-7"/>
          <w:w w:val="94"/>
        </w:rPr>
        <w:t> </w:t>
      </w:r>
      <w:r>
        <w:rPr>
          <w:spacing w:val="2"/>
          <w:w w:val="82"/>
        </w:rPr>
        <w:t>10</w:t>
      </w:r>
      <w:r>
        <w:rPr>
          <w:spacing w:val="-1"/>
          <w:w w:val="82"/>
        </w:rPr>
        <w:t> </w:t>
      </w:r>
      <w:r>
        <w:rPr>
          <w:spacing w:val="1"/>
          <w:w w:val="97"/>
        </w:rPr>
        <w:t>per</w:t>
      </w:r>
      <w:r>
        <w:rPr>
          <w:spacing w:val="-9"/>
          <w:w w:val="97"/>
        </w:rPr>
        <w:t> </w:t>
      </w:r>
      <w:r>
        <w:rPr>
          <w:w w:val="99"/>
        </w:rPr>
        <w:t>cent</w:t>
      </w:r>
      <w:r>
        <w:rPr>
          <w:spacing w:val="-9"/>
          <w:w w:val="99"/>
        </w:rPr>
        <w:t> </w:t>
      </w:r>
      <w:r>
        <w:rPr>
          <w:spacing w:val="1"/>
          <w:w w:val="96"/>
        </w:rPr>
        <w:t>higher</w:t>
      </w:r>
      <w:r>
        <w:rPr>
          <w:spacing w:val="-8"/>
          <w:w w:val="96"/>
        </w:rPr>
        <w:t> </w:t>
      </w:r>
      <w:r>
        <w:rPr>
          <w:spacing w:val="1"/>
          <w:w w:val="97"/>
        </w:rPr>
        <w:t>than</w:t>
      </w:r>
      <w:r>
        <w:rPr>
          <w:spacing w:val="-8"/>
          <w:w w:val="97"/>
        </w:rPr>
        <w:t> </w:t>
      </w:r>
      <w:r>
        <w:rPr>
          <w:w w:val="95"/>
        </w:rPr>
        <w:t>in</w:t>
      </w:r>
      <w:r>
        <w:rPr>
          <w:spacing w:val="-8"/>
          <w:w w:val="95"/>
        </w:rPr>
        <w:t> </w:t>
      </w:r>
      <w:r>
        <w:rPr>
          <w:spacing w:val="1"/>
          <w:w w:val="86"/>
        </w:rPr>
        <w:t>2014.</w:t>
      </w:r>
      <w:r>
        <w:rPr>
          <w:spacing w:val="-3"/>
          <w:w w:val="86"/>
        </w:rPr>
        <w:t> </w:t>
      </w:r>
      <w:r>
        <w:rPr>
          <w:spacing w:val="1"/>
          <w:w w:val="94"/>
        </w:rPr>
        <w:t>The</w:t>
      </w:r>
      <w:r>
        <w:rPr>
          <w:w w:val="94"/>
        </w:rPr>
        <w:t> </w:t>
      </w:r>
      <w:r>
        <w:rPr/>
        <w:t>CW&amp;F contractor induction program was upgraded, along with WHS procedures for the Hawkesbury Farm. Substantive progress was</w:t>
      </w:r>
      <w:r>
        <w:rPr>
          <w:spacing w:val="-13"/>
        </w:rPr>
        <w:t> </w:t>
      </w:r>
      <w:r>
        <w:rPr/>
        <w:t>made</w:t>
      </w:r>
      <w:r>
        <w:rPr>
          <w:spacing w:val="-13"/>
        </w:rPr>
        <w:t> </w:t>
      </w:r>
      <w:r>
        <w:rPr/>
        <w:t>on</w:t>
      </w:r>
      <w:r>
        <w:rPr>
          <w:spacing w:val="-13"/>
        </w:rPr>
        <w:t> </w:t>
      </w:r>
      <w:r>
        <w:rPr/>
        <w:t>increasing</w:t>
      </w:r>
      <w:r>
        <w:rPr>
          <w:spacing w:val="-13"/>
        </w:rPr>
        <w:t> </w:t>
      </w:r>
      <w:r>
        <w:rPr/>
        <w:t>the</w:t>
      </w:r>
      <w:r>
        <w:rPr>
          <w:spacing w:val="-13"/>
        </w:rPr>
        <w:t> </w:t>
      </w:r>
      <w:r>
        <w:rPr/>
        <w:t>productivity</w:t>
      </w:r>
      <w:r>
        <w:rPr>
          <w:spacing w:val="-13"/>
        </w:rPr>
        <w:t> </w:t>
      </w:r>
      <w:r>
        <w:rPr/>
        <w:t>and income of the Hawkesbury Farm, with the engagement of a new Farm Production </w:t>
      </w:r>
      <w:r>
        <w:rPr>
          <w:spacing w:val="2"/>
        </w:rPr>
        <w:t>Co- </w:t>
      </w:r>
      <w:r>
        <w:rPr/>
        <w:t>ordinator.</w:t>
      </w:r>
    </w:p>
    <w:p>
      <w:pPr>
        <w:pStyle w:val="BodyText"/>
        <w:rPr>
          <w:sz w:val="14"/>
        </w:rPr>
      </w:pPr>
    </w:p>
    <w:p>
      <w:pPr>
        <w:pStyle w:val="BodyText"/>
        <w:spacing w:line="249" w:lineRule="auto"/>
        <w:ind w:left="107"/>
      </w:pPr>
      <w:r>
        <w:rPr/>
        <w:t>Cross-unit</w:t>
      </w:r>
      <w:r>
        <w:rPr>
          <w:spacing w:val="-16"/>
        </w:rPr>
        <w:t> </w:t>
      </w:r>
      <w:r>
        <w:rPr/>
        <w:t>cooperation</w:t>
      </w:r>
      <w:r>
        <w:rPr>
          <w:spacing w:val="-16"/>
        </w:rPr>
        <w:t> </w:t>
      </w:r>
      <w:r>
        <w:rPr/>
        <w:t>has</w:t>
      </w:r>
      <w:r>
        <w:rPr>
          <w:spacing w:val="-16"/>
        </w:rPr>
        <w:t> </w:t>
      </w:r>
      <w:r>
        <w:rPr/>
        <w:t>been</w:t>
      </w:r>
      <w:r>
        <w:rPr>
          <w:spacing w:val="-16"/>
        </w:rPr>
        <w:t> </w:t>
      </w:r>
      <w:r>
        <w:rPr/>
        <w:t>a</w:t>
      </w:r>
      <w:r>
        <w:rPr>
          <w:spacing w:val="-16"/>
        </w:rPr>
        <w:t> </w:t>
      </w:r>
      <w:r>
        <w:rPr/>
        <w:t>continuing </w:t>
      </w:r>
      <w:r>
        <w:rPr>
          <w:spacing w:val="1"/>
          <w:w w:val="97"/>
        </w:rPr>
        <w:t>theme</w:t>
      </w:r>
      <w:r>
        <w:rPr>
          <w:w w:val="97"/>
        </w:rPr>
        <w:t> </w:t>
      </w:r>
      <w:r>
        <w:rPr>
          <w:w w:val="98"/>
        </w:rPr>
        <w:t>for </w:t>
      </w:r>
      <w:r>
        <w:rPr>
          <w:w w:val="97"/>
        </w:rPr>
        <w:t>the </w:t>
      </w:r>
      <w:r>
        <w:rPr>
          <w:spacing w:val="1"/>
          <w:w w:val="88"/>
        </w:rPr>
        <w:t>2015</w:t>
      </w:r>
      <w:r>
        <w:rPr>
          <w:w w:val="88"/>
        </w:rPr>
        <w:t> </w:t>
      </w:r>
      <w:r>
        <w:rPr>
          <w:spacing w:val="2"/>
          <w:w w:val="97"/>
        </w:rPr>
        <w:t>E&amp;RM</w:t>
      </w:r>
      <w:r>
        <w:rPr>
          <w:w w:val="97"/>
        </w:rPr>
        <w:t> </w:t>
      </w:r>
      <w:r>
        <w:rPr>
          <w:w w:val="94"/>
        </w:rPr>
        <w:t>initiatives. </w:t>
      </w:r>
      <w:r>
        <w:rPr>
          <w:w w:val="98"/>
        </w:rPr>
        <w:t>Energy- </w:t>
      </w:r>
      <w:r>
        <w:rPr/>
        <w:t>efficient solar hot water heating has been installed on the Kingswood and Parramatta campuses</w:t>
      </w:r>
      <w:r>
        <w:rPr>
          <w:spacing w:val="-15"/>
        </w:rPr>
        <w:t> </w:t>
      </w:r>
      <w:r>
        <w:rPr/>
        <w:t>in</w:t>
      </w:r>
      <w:r>
        <w:rPr>
          <w:spacing w:val="-15"/>
        </w:rPr>
        <w:t> </w:t>
      </w:r>
      <w:r>
        <w:rPr/>
        <w:t>collaboration</w:t>
      </w:r>
      <w:r>
        <w:rPr>
          <w:spacing w:val="-15"/>
        </w:rPr>
        <w:t> </w:t>
      </w:r>
      <w:r>
        <w:rPr/>
        <w:t>with</w:t>
      </w:r>
      <w:r>
        <w:rPr>
          <w:spacing w:val="-15"/>
        </w:rPr>
        <w:t> </w:t>
      </w:r>
      <w:r>
        <w:rPr/>
        <w:t>Minor</w:t>
      </w:r>
    </w:p>
    <w:p>
      <w:pPr>
        <w:pStyle w:val="BodyText"/>
        <w:spacing w:line="249" w:lineRule="auto"/>
        <w:ind w:left="107" w:right="126"/>
      </w:pPr>
      <w:r>
        <w:rPr/>
        <w:t>Capital Works. The Hawkesbury Bushfire Unit and bushfire mitigation strategy builds on collaboration between CW&amp;F, Campus</w:t>
      </w:r>
    </w:p>
    <w:p>
      <w:pPr>
        <w:pStyle w:val="BodyText"/>
        <w:spacing w:line="249" w:lineRule="auto"/>
        <w:ind w:left="107" w:right="38"/>
      </w:pPr>
      <w:r>
        <w:rPr/>
        <w:t>Safety</w:t>
      </w:r>
      <w:r>
        <w:rPr>
          <w:spacing w:val="-22"/>
        </w:rPr>
        <w:t> </w:t>
      </w:r>
      <w:r>
        <w:rPr/>
        <w:t>and</w:t>
      </w:r>
      <w:r>
        <w:rPr>
          <w:spacing w:val="-22"/>
        </w:rPr>
        <w:t> </w:t>
      </w:r>
      <w:r>
        <w:rPr/>
        <w:t>Security,</w:t>
      </w:r>
      <w:r>
        <w:rPr>
          <w:spacing w:val="-22"/>
        </w:rPr>
        <w:t> </w:t>
      </w:r>
      <w:r>
        <w:rPr/>
        <w:t>the</w:t>
      </w:r>
      <w:r>
        <w:rPr>
          <w:spacing w:val="-22"/>
        </w:rPr>
        <w:t> </w:t>
      </w:r>
      <w:r>
        <w:rPr/>
        <w:t>Hawkesbury</w:t>
      </w:r>
      <w:r>
        <w:rPr>
          <w:spacing w:val="-22"/>
        </w:rPr>
        <w:t> </w:t>
      </w:r>
      <w:r>
        <w:rPr/>
        <w:t>Institute for</w:t>
      </w:r>
      <w:r>
        <w:rPr>
          <w:spacing w:val="-15"/>
        </w:rPr>
        <w:t> </w:t>
      </w:r>
      <w:r>
        <w:rPr/>
        <w:t>the</w:t>
      </w:r>
      <w:r>
        <w:rPr>
          <w:spacing w:val="-15"/>
        </w:rPr>
        <w:t> </w:t>
      </w:r>
      <w:r>
        <w:rPr/>
        <w:t>Environment</w:t>
      </w:r>
      <w:r>
        <w:rPr>
          <w:spacing w:val="-15"/>
        </w:rPr>
        <w:t> </w:t>
      </w:r>
      <w:r>
        <w:rPr/>
        <w:t>and</w:t>
      </w:r>
      <w:r>
        <w:rPr>
          <w:spacing w:val="-15"/>
        </w:rPr>
        <w:t> </w:t>
      </w:r>
      <w:r>
        <w:rPr/>
        <w:t>the</w:t>
      </w:r>
      <w:r>
        <w:rPr>
          <w:spacing w:val="-15"/>
        </w:rPr>
        <w:t> </w:t>
      </w:r>
      <w:r>
        <w:rPr/>
        <w:t>NSW</w:t>
      </w:r>
      <w:r>
        <w:rPr>
          <w:spacing w:val="-15"/>
        </w:rPr>
        <w:t> </w:t>
      </w:r>
      <w:r>
        <w:rPr/>
        <w:t>Rural</w:t>
      </w:r>
    </w:p>
    <w:p>
      <w:pPr>
        <w:pStyle w:val="BodyText"/>
        <w:spacing w:line="249" w:lineRule="auto"/>
        <w:ind w:left="107" w:right="17"/>
      </w:pPr>
      <w:r>
        <w:rPr/>
        <w:t>Fire Service. Developments and services at the Hawkesbury Farm and the associated water-recycling scheme seek to demonstrate sustainable peri-urban agriculture and environmental management, in association with the School of Science and Health</w:t>
      </w:r>
    </w:p>
    <w:p>
      <w:pPr>
        <w:pStyle w:val="BodyText"/>
        <w:spacing w:before="2"/>
        <w:rPr>
          <w:sz w:val="20"/>
        </w:rPr>
      </w:pPr>
      <w:r>
        <w:rPr/>
        <w:br w:type="column"/>
      </w:r>
      <w:r>
        <w:rPr>
          <w:sz w:val="20"/>
        </w:rPr>
      </w:r>
    </w:p>
    <w:p>
      <w:pPr>
        <w:pStyle w:val="BodyText"/>
        <w:spacing w:line="249" w:lineRule="auto"/>
        <w:ind w:left="107" w:right="102"/>
      </w:pPr>
      <w:r>
        <w:rPr/>
        <w:t>and NSW Local Land Services. A federally funded Green Army initiative with a local employment agent provides training for local unemployed people in bush regeneration and weed management in the Cumberland Plain vegetation of the Hawkesbury campus.</w:t>
      </w:r>
    </w:p>
    <w:p>
      <w:pPr>
        <w:pStyle w:val="BodyText"/>
      </w:pPr>
    </w:p>
    <w:p>
      <w:pPr>
        <w:pStyle w:val="Heading5"/>
        <w:spacing w:line="260" w:lineRule="exact" w:before="101"/>
        <w:ind w:right="112"/>
      </w:pPr>
      <w:r>
        <w:rPr>
          <w:w w:val="95"/>
        </w:rPr>
        <w:t>PROJECT MANAGEMENT </w:t>
      </w:r>
      <w:r>
        <w:rPr/>
        <w:t>OFFICE</w:t>
      </w:r>
    </w:p>
    <w:p>
      <w:pPr>
        <w:pStyle w:val="BodyText"/>
        <w:spacing w:line="249" w:lineRule="auto" w:before="214"/>
        <w:ind w:left="107" w:right="295"/>
      </w:pPr>
      <w:r>
        <w:rPr/>
        <w:t>The Project Management Office (PMO) is a single, central support structure designed to drive and assist change-related projects across the University. The Office </w:t>
      </w:r>
      <w:r>
        <w:rPr>
          <w:spacing w:val="2"/>
        </w:rPr>
        <w:t>supports </w:t>
      </w:r>
      <w:r>
        <w:rPr/>
        <w:t>individual projects and programs across the</w:t>
      </w:r>
      <w:r>
        <w:rPr>
          <w:spacing w:val="-19"/>
        </w:rPr>
        <w:t> </w:t>
      </w:r>
      <w:r>
        <w:rPr/>
        <w:t>organisation,</w:t>
      </w:r>
      <w:r>
        <w:rPr>
          <w:spacing w:val="-19"/>
        </w:rPr>
        <w:t> </w:t>
      </w:r>
      <w:r>
        <w:rPr/>
        <w:t>allowing</w:t>
      </w:r>
      <w:r>
        <w:rPr>
          <w:spacing w:val="-19"/>
        </w:rPr>
        <w:t> </w:t>
      </w:r>
      <w:r>
        <w:rPr/>
        <w:t>for</w:t>
      </w:r>
      <w:r>
        <w:rPr>
          <w:spacing w:val="-19"/>
        </w:rPr>
        <w:t> </w:t>
      </w:r>
      <w:r>
        <w:rPr/>
        <w:t>the</w:t>
      </w:r>
      <w:r>
        <w:rPr>
          <w:spacing w:val="-19"/>
        </w:rPr>
        <w:t> </w:t>
      </w:r>
      <w:r>
        <w:rPr/>
        <w:t>successful introduction of projects. The PMO’s main objective is ensuring that the University is run as an efficient, agile and cost-effective organisation that is ready to face future challenges.</w:t>
      </w:r>
    </w:p>
    <w:p>
      <w:pPr>
        <w:pStyle w:val="BodyText"/>
        <w:rPr>
          <w:sz w:val="14"/>
        </w:rPr>
      </w:pPr>
    </w:p>
    <w:p>
      <w:pPr>
        <w:pStyle w:val="BodyText"/>
        <w:spacing w:line="249" w:lineRule="auto"/>
        <w:ind w:left="107" w:right="345"/>
      </w:pPr>
      <w:r>
        <w:rPr/>
        <w:t>The Office is currently leading a number of projects that form part of the Divisional</w:t>
      </w:r>
    </w:p>
    <w:p>
      <w:pPr>
        <w:pStyle w:val="BodyText"/>
        <w:spacing w:line="249" w:lineRule="auto"/>
        <w:ind w:left="107" w:right="54"/>
      </w:pPr>
      <w:r>
        <w:rPr/>
        <w:t>Services and Processes Assessment (DSPA). These projects focus on improving the effectiveness and efficiency of the University’s corporate support activities (Capital</w:t>
      </w:r>
    </w:p>
    <w:p>
      <w:pPr>
        <w:pStyle w:val="BodyText"/>
        <w:spacing w:line="249" w:lineRule="auto"/>
        <w:ind w:left="107" w:right="123"/>
      </w:pPr>
      <w:r>
        <w:rPr/>
        <w:t>Works and Facilities, Finance, </w:t>
      </w:r>
      <w:r>
        <w:rPr>
          <w:spacing w:val="3"/>
        </w:rPr>
        <w:t>HR, </w:t>
      </w:r>
      <w:r>
        <w:rPr/>
        <w:t>ITDS and Marketing)</w:t>
      </w:r>
      <w:r>
        <w:rPr>
          <w:spacing w:val="-16"/>
        </w:rPr>
        <w:t> </w:t>
      </w:r>
      <w:r>
        <w:rPr/>
        <w:t>by</w:t>
      </w:r>
      <w:r>
        <w:rPr>
          <w:spacing w:val="-16"/>
        </w:rPr>
        <w:t> </w:t>
      </w:r>
      <w:r>
        <w:rPr/>
        <w:t>implementing</w:t>
      </w:r>
      <w:r>
        <w:rPr>
          <w:spacing w:val="-16"/>
        </w:rPr>
        <w:t> </w:t>
      </w:r>
      <w:r>
        <w:rPr/>
        <w:t>a</w:t>
      </w:r>
      <w:r>
        <w:rPr>
          <w:spacing w:val="-16"/>
        </w:rPr>
        <w:t> </w:t>
      </w:r>
      <w:r>
        <w:rPr/>
        <w:t>‘hub</w:t>
      </w:r>
      <w:r>
        <w:rPr>
          <w:spacing w:val="-16"/>
        </w:rPr>
        <w:t> </w:t>
      </w:r>
      <w:r>
        <w:rPr/>
        <w:t>and</w:t>
      </w:r>
      <w:r>
        <w:rPr>
          <w:spacing w:val="-16"/>
        </w:rPr>
        <w:t> </w:t>
      </w:r>
      <w:r>
        <w:rPr/>
        <w:t>spoke’ service</w:t>
      </w:r>
      <w:r>
        <w:rPr>
          <w:spacing w:val="-18"/>
        </w:rPr>
        <w:t> </w:t>
      </w:r>
      <w:r>
        <w:rPr/>
        <w:t>delivery</w:t>
      </w:r>
      <w:r>
        <w:rPr>
          <w:spacing w:val="-18"/>
        </w:rPr>
        <w:t> </w:t>
      </w:r>
      <w:r>
        <w:rPr/>
        <w:t>model.</w:t>
      </w:r>
      <w:r>
        <w:rPr>
          <w:spacing w:val="-18"/>
        </w:rPr>
        <w:t> </w:t>
      </w:r>
      <w:r>
        <w:rPr/>
        <w:t>In</w:t>
      </w:r>
      <w:r>
        <w:rPr>
          <w:spacing w:val="-18"/>
        </w:rPr>
        <w:t> </w:t>
      </w:r>
      <w:r>
        <w:rPr/>
        <w:t>applying</w:t>
      </w:r>
      <w:r>
        <w:rPr>
          <w:spacing w:val="-18"/>
        </w:rPr>
        <w:t> </w:t>
      </w:r>
      <w:r>
        <w:rPr/>
        <w:t>this</w:t>
      </w:r>
      <w:r>
        <w:rPr>
          <w:spacing w:val="-18"/>
        </w:rPr>
        <w:t> </w:t>
      </w:r>
      <w:r>
        <w:rPr/>
        <w:t>model, the University has been able to aggregate staff</w:t>
      </w:r>
      <w:r>
        <w:rPr>
          <w:spacing w:val="-14"/>
        </w:rPr>
        <w:t> </w:t>
      </w:r>
      <w:r>
        <w:rPr/>
        <w:t>performing</w:t>
      </w:r>
      <w:r>
        <w:rPr>
          <w:spacing w:val="-14"/>
        </w:rPr>
        <w:t> </w:t>
      </w:r>
      <w:r>
        <w:rPr/>
        <w:t>similar</w:t>
      </w:r>
      <w:r>
        <w:rPr>
          <w:spacing w:val="-14"/>
        </w:rPr>
        <w:t> </w:t>
      </w:r>
      <w:r>
        <w:rPr/>
        <w:t>corporate</w:t>
      </w:r>
      <w:r>
        <w:rPr>
          <w:spacing w:val="-14"/>
        </w:rPr>
        <w:t> </w:t>
      </w:r>
      <w:r>
        <w:rPr/>
        <w:t>activities</w:t>
      </w:r>
      <w:r>
        <w:rPr>
          <w:spacing w:val="-14"/>
        </w:rPr>
        <w:t> </w:t>
      </w:r>
      <w:r>
        <w:rPr/>
        <w:t>to create</w:t>
      </w:r>
      <w:r>
        <w:rPr>
          <w:spacing w:val="-20"/>
        </w:rPr>
        <w:t> </w:t>
      </w:r>
      <w:r>
        <w:rPr/>
        <w:t>centres</w:t>
      </w:r>
      <w:r>
        <w:rPr>
          <w:spacing w:val="-20"/>
        </w:rPr>
        <w:t> </w:t>
      </w:r>
      <w:r>
        <w:rPr/>
        <w:t>of</w:t>
      </w:r>
      <w:r>
        <w:rPr>
          <w:spacing w:val="-20"/>
        </w:rPr>
        <w:t> </w:t>
      </w:r>
      <w:r>
        <w:rPr/>
        <w:t>excellence,</w:t>
      </w:r>
      <w:r>
        <w:rPr>
          <w:spacing w:val="-20"/>
        </w:rPr>
        <w:t> </w:t>
      </w:r>
      <w:r>
        <w:rPr/>
        <w:t>group</w:t>
      </w:r>
      <w:r>
        <w:rPr>
          <w:spacing w:val="-20"/>
        </w:rPr>
        <w:t> </w:t>
      </w:r>
      <w:r>
        <w:rPr/>
        <w:t>specialised skills</w:t>
      </w:r>
      <w:r>
        <w:rPr>
          <w:spacing w:val="-20"/>
        </w:rPr>
        <w:t> </w:t>
      </w:r>
      <w:r>
        <w:rPr/>
        <w:t>and</w:t>
      </w:r>
      <w:r>
        <w:rPr>
          <w:spacing w:val="-20"/>
        </w:rPr>
        <w:t> </w:t>
      </w:r>
      <w:r>
        <w:rPr/>
        <w:t>achieve</w:t>
      </w:r>
      <w:r>
        <w:rPr>
          <w:spacing w:val="-20"/>
        </w:rPr>
        <w:t> </w:t>
      </w:r>
      <w:r>
        <w:rPr/>
        <w:t>economies</w:t>
      </w:r>
      <w:r>
        <w:rPr>
          <w:spacing w:val="-20"/>
        </w:rPr>
        <w:t> </w:t>
      </w:r>
      <w:r>
        <w:rPr/>
        <w:t>of</w:t>
      </w:r>
      <w:r>
        <w:rPr>
          <w:spacing w:val="-20"/>
        </w:rPr>
        <w:t> </w:t>
      </w:r>
      <w:r>
        <w:rPr/>
        <w:t>scale.</w:t>
      </w:r>
      <w:r>
        <w:rPr>
          <w:spacing w:val="-20"/>
        </w:rPr>
        <w:t> </w:t>
      </w:r>
      <w:r>
        <w:rPr/>
        <w:t>This</w:t>
      </w:r>
      <w:r>
        <w:rPr>
          <w:spacing w:val="-20"/>
        </w:rPr>
        <w:t> </w:t>
      </w:r>
      <w:r>
        <w:rPr/>
        <w:t>has included University entities such as Western Sydney</w:t>
      </w:r>
      <w:r>
        <w:rPr>
          <w:spacing w:val="-20"/>
        </w:rPr>
        <w:t> </w:t>
      </w:r>
      <w:r>
        <w:rPr/>
        <w:t>University</w:t>
      </w:r>
      <w:r>
        <w:rPr>
          <w:spacing w:val="-20"/>
        </w:rPr>
        <w:t> </w:t>
      </w:r>
      <w:r>
        <w:rPr/>
        <w:t>The</w:t>
      </w:r>
      <w:r>
        <w:rPr>
          <w:spacing w:val="-20"/>
        </w:rPr>
        <w:t> </w:t>
      </w:r>
      <w:r>
        <w:rPr/>
        <w:t>College</w:t>
      </w:r>
      <w:r>
        <w:rPr>
          <w:spacing w:val="-20"/>
        </w:rPr>
        <w:t> </w:t>
      </w:r>
      <w:r>
        <w:rPr/>
        <w:t>and</w:t>
      </w:r>
      <w:r>
        <w:rPr>
          <w:spacing w:val="-20"/>
        </w:rPr>
        <w:t> </w:t>
      </w:r>
      <w:r>
        <w:rPr>
          <w:spacing w:val="2"/>
        </w:rPr>
        <w:t>Connect.</w:t>
      </w:r>
    </w:p>
    <w:p>
      <w:pPr>
        <w:pStyle w:val="BodyText"/>
        <w:rPr>
          <w:sz w:val="14"/>
        </w:rPr>
      </w:pPr>
    </w:p>
    <w:p>
      <w:pPr>
        <w:pStyle w:val="BodyText"/>
        <w:spacing w:line="249" w:lineRule="auto"/>
        <w:ind w:left="107" w:right="26"/>
      </w:pPr>
      <w:r>
        <w:rPr/>
        <w:t>The Student Experience is another major initiative</w:t>
      </w:r>
      <w:r>
        <w:rPr>
          <w:spacing w:val="-18"/>
        </w:rPr>
        <w:t> </w:t>
      </w:r>
      <w:r>
        <w:rPr/>
        <w:t>being</w:t>
      </w:r>
      <w:r>
        <w:rPr>
          <w:spacing w:val="-18"/>
        </w:rPr>
        <w:t> </w:t>
      </w:r>
      <w:r>
        <w:rPr/>
        <w:t>driven</w:t>
      </w:r>
      <w:r>
        <w:rPr>
          <w:spacing w:val="-18"/>
        </w:rPr>
        <w:t> </w:t>
      </w:r>
      <w:r>
        <w:rPr/>
        <w:t>by</w:t>
      </w:r>
      <w:r>
        <w:rPr>
          <w:spacing w:val="-18"/>
        </w:rPr>
        <w:t> </w:t>
      </w:r>
      <w:r>
        <w:rPr/>
        <w:t>the</w:t>
      </w:r>
      <w:r>
        <w:rPr>
          <w:spacing w:val="-18"/>
        </w:rPr>
        <w:t> </w:t>
      </w:r>
      <w:r>
        <w:rPr/>
        <w:t>PMO.</w:t>
      </w:r>
      <w:r>
        <w:rPr>
          <w:spacing w:val="-18"/>
        </w:rPr>
        <w:t> </w:t>
      </w:r>
      <w:r>
        <w:rPr/>
        <w:t>This</w:t>
      </w:r>
      <w:r>
        <w:rPr>
          <w:spacing w:val="-18"/>
        </w:rPr>
        <w:t> </w:t>
      </w:r>
      <w:r>
        <w:rPr/>
        <w:t>project focuses</w:t>
      </w:r>
      <w:r>
        <w:rPr>
          <w:spacing w:val="-14"/>
        </w:rPr>
        <w:t> </w:t>
      </w:r>
      <w:r>
        <w:rPr/>
        <w:t>on</w:t>
      </w:r>
      <w:r>
        <w:rPr>
          <w:spacing w:val="-14"/>
        </w:rPr>
        <w:t> </w:t>
      </w:r>
      <w:r>
        <w:rPr/>
        <w:t>student</w:t>
      </w:r>
      <w:r>
        <w:rPr>
          <w:spacing w:val="-14"/>
        </w:rPr>
        <w:t> </w:t>
      </w:r>
      <w:r>
        <w:rPr/>
        <w:t>attraction,</w:t>
      </w:r>
      <w:r>
        <w:rPr>
          <w:spacing w:val="-14"/>
        </w:rPr>
        <w:t> </w:t>
      </w:r>
      <w:r>
        <w:rPr/>
        <w:t>application</w:t>
      </w:r>
    </w:p>
    <w:p>
      <w:pPr>
        <w:pStyle w:val="BodyText"/>
        <w:spacing w:line="249" w:lineRule="auto"/>
        <w:ind w:left="107" w:right="112"/>
      </w:pPr>
      <w:r>
        <w:rPr/>
        <w:t>and admission through to graduation and becoming alumni. A key outcome has been the development of the University’s Student Lifecycle and using this as an organising framework for business units delivering administrative services to students. This project in particular aims to achieve the University’s goal of being student-centred.</w:t>
      </w:r>
    </w:p>
    <w:p>
      <w:pPr>
        <w:pStyle w:val="BodyText"/>
        <w:rPr>
          <w:sz w:val="14"/>
        </w:rPr>
      </w:pPr>
    </w:p>
    <w:p>
      <w:pPr>
        <w:pStyle w:val="BodyText"/>
        <w:spacing w:line="249" w:lineRule="auto"/>
        <w:ind w:left="107" w:right="86"/>
      </w:pPr>
      <w:r>
        <w:rPr>
          <w:w w:val="98"/>
        </w:rPr>
        <w:t>Other </w:t>
      </w:r>
      <w:r>
        <w:rPr>
          <w:w w:val="98"/>
        </w:rPr>
        <w:t>key </w:t>
      </w:r>
      <w:r>
        <w:rPr>
          <w:w w:val="97"/>
        </w:rPr>
        <w:t>achievements </w:t>
      </w:r>
      <w:r>
        <w:rPr>
          <w:w w:val="98"/>
        </w:rPr>
        <w:t>for </w:t>
      </w:r>
      <w:r>
        <w:rPr>
          <w:w w:val="97"/>
        </w:rPr>
        <w:t>the </w:t>
      </w:r>
      <w:r>
        <w:rPr>
          <w:w w:val="100"/>
        </w:rPr>
        <w:t>PMO </w:t>
      </w:r>
      <w:r>
        <w:rPr>
          <w:w w:val="95"/>
        </w:rPr>
        <w:t>in </w:t>
      </w:r>
      <w:r>
        <w:rPr>
          <w:w w:val="88"/>
        </w:rPr>
        <w:t>2015 </w:t>
      </w:r>
      <w:r>
        <w:rPr/>
        <w:t>have included initiating improvement projects identified as part of the Red Tape Task Force program launched by the Vice-Chancellor.</w:t>
      </w:r>
    </w:p>
    <w:p>
      <w:pPr>
        <w:spacing w:after="0" w:line="249" w:lineRule="auto"/>
        <w:sectPr>
          <w:type w:val="continuous"/>
          <w:pgSz w:w="11910" w:h="16840"/>
          <w:pgMar w:top="1580" w:bottom="280" w:left="800" w:right="800"/>
          <w:cols w:num="3" w:equalWidth="0">
            <w:col w:w="3320" w:space="119"/>
            <w:col w:w="3300" w:space="140"/>
            <w:col w:w="3431"/>
          </w:cols>
        </w:sectPr>
      </w:pPr>
    </w:p>
    <w:p>
      <w:pPr>
        <w:pStyle w:val="BodyText"/>
        <w:spacing w:before="10"/>
        <w:rPr>
          <w:sz w:val="28"/>
        </w:rPr>
      </w:pPr>
    </w:p>
    <w:p>
      <w:pPr>
        <w:pStyle w:val="Heading2"/>
        <w:ind w:right="7693"/>
        <w:rPr>
          <w:b w:val="0"/>
        </w:rPr>
      </w:pPr>
      <w:r>
        <w:rPr>
          <w:b w:val="0"/>
        </w:rPr>
        <w:t>Management and Resources</w:t>
      </w: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pStyle w:val="BodyText"/>
        <w:rPr>
          <w:rFonts w:ascii="Chronicle Text G1"/>
          <w:b w:val="0"/>
          <w:sz w:val="20"/>
        </w:rPr>
      </w:pPr>
    </w:p>
    <w:p>
      <w:pPr>
        <w:spacing w:after="0"/>
        <w:rPr>
          <w:rFonts w:ascii="Chronicle Text G1"/>
          <w:sz w:val="20"/>
        </w:rPr>
        <w:sectPr>
          <w:footerReference w:type="even" r:id="rId63"/>
          <w:footerReference w:type="default" r:id="rId64"/>
          <w:pgSz w:w="11910" w:h="16840"/>
          <w:pgMar w:footer="473" w:header="494" w:top="680" w:bottom="660" w:left="800" w:right="800"/>
        </w:sectPr>
      </w:pPr>
    </w:p>
    <w:p>
      <w:pPr>
        <w:pStyle w:val="Heading5"/>
        <w:spacing w:before="197"/>
        <w:ind w:right="95"/>
      </w:pPr>
      <w:r>
        <w:rPr/>
        <w:t>ENTITIES</w:t>
      </w:r>
    </w:p>
    <w:p>
      <w:pPr>
        <w:pStyle w:val="BodyText"/>
        <w:rPr>
          <w:rFonts w:ascii="Gotham Narrow Bold"/>
          <w:b/>
          <w:sz w:val="25"/>
        </w:rPr>
      </w:pPr>
    </w:p>
    <w:p>
      <w:pPr>
        <w:pStyle w:val="Heading8"/>
        <w:ind w:right="95"/>
      </w:pPr>
      <w:r>
        <w:rPr>
          <w:w w:val="95"/>
        </w:rPr>
        <w:t>UWSCONNECT LTD</w:t>
      </w:r>
    </w:p>
    <w:p>
      <w:pPr>
        <w:pStyle w:val="BodyText"/>
        <w:spacing w:line="249" w:lineRule="auto" w:before="86"/>
        <w:ind w:left="107" w:right="104"/>
      </w:pPr>
      <w:r>
        <w:rPr/>
        <w:t>The University established uwsconnect Ltd (uwsconnect) as a not-for-profit, controlled entity</w:t>
      </w:r>
      <w:r>
        <w:rPr>
          <w:spacing w:val="-16"/>
        </w:rPr>
        <w:t> </w:t>
      </w:r>
      <w:r>
        <w:rPr/>
        <w:t>of</w:t>
      </w:r>
      <w:r>
        <w:rPr>
          <w:spacing w:val="-16"/>
        </w:rPr>
        <w:t> </w:t>
      </w:r>
      <w:r>
        <w:rPr/>
        <w:t>the</w:t>
      </w:r>
      <w:r>
        <w:rPr>
          <w:spacing w:val="-16"/>
        </w:rPr>
        <w:t> </w:t>
      </w:r>
      <w:r>
        <w:rPr/>
        <w:t>University</w:t>
      </w:r>
      <w:r>
        <w:rPr>
          <w:spacing w:val="-16"/>
        </w:rPr>
        <w:t> </w:t>
      </w:r>
      <w:r>
        <w:rPr/>
        <w:t>in</w:t>
      </w:r>
      <w:r>
        <w:rPr>
          <w:spacing w:val="-16"/>
        </w:rPr>
        <w:t> </w:t>
      </w:r>
      <w:r>
        <w:rPr>
          <w:spacing w:val="2"/>
        </w:rPr>
        <w:t>2004.</w:t>
      </w:r>
      <w:r>
        <w:rPr>
          <w:spacing w:val="-16"/>
        </w:rPr>
        <w:t> </w:t>
      </w:r>
      <w:r>
        <w:rPr/>
        <w:t>It</w:t>
      </w:r>
      <w:r>
        <w:rPr>
          <w:spacing w:val="-16"/>
        </w:rPr>
        <w:t> </w:t>
      </w:r>
      <w:r>
        <w:rPr/>
        <w:t>is</w:t>
      </w:r>
      <w:r>
        <w:rPr>
          <w:spacing w:val="-16"/>
        </w:rPr>
        <w:t> </w:t>
      </w:r>
      <w:r>
        <w:rPr/>
        <w:t>student- centric and community focused, providing a wide range of services – including Campus Life, food and beverages, functions, book </w:t>
      </w:r>
      <w:r>
        <w:rPr>
          <w:spacing w:val="2"/>
        </w:rPr>
        <w:t>sales,</w:t>
      </w:r>
      <w:r>
        <w:rPr>
          <w:spacing w:val="-21"/>
        </w:rPr>
        <w:t> </w:t>
      </w:r>
      <w:r>
        <w:rPr/>
        <w:t>campus</w:t>
      </w:r>
      <w:r>
        <w:rPr>
          <w:spacing w:val="-21"/>
        </w:rPr>
        <w:t> </w:t>
      </w:r>
      <w:r>
        <w:rPr/>
        <w:t>retail</w:t>
      </w:r>
      <w:r>
        <w:rPr>
          <w:spacing w:val="-21"/>
        </w:rPr>
        <w:t> </w:t>
      </w:r>
      <w:r>
        <w:rPr/>
        <w:t>and</w:t>
      </w:r>
      <w:r>
        <w:rPr>
          <w:spacing w:val="-21"/>
        </w:rPr>
        <w:t> </w:t>
      </w:r>
      <w:r>
        <w:rPr/>
        <w:t>gyms</w:t>
      </w:r>
      <w:r>
        <w:rPr>
          <w:spacing w:val="-21"/>
        </w:rPr>
        <w:t> </w:t>
      </w:r>
      <w:r>
        <w:rPr/>
        <w:t>–</w:t>
      </w:r>
      <w:r>
        <w:rPr>
          <w:spacing w:val="-21"/>
        </w:rPr>
        <w:t> </w:t>
      </w:r>
      <w:r>
        <w:rPr/>
        <w:t>for</w:t>
      </w:r>
      <w:r>
        <w:rPr>
          <w:spacing w:val="-21"/>
        </w:rPr>
        <w:t> </w:t>
      </w:r>
      <w:r>
        <w:rPr/>
        <w:t>students, staff, alumni and the Western Sydney community.</w:t>
      </w:r>
    </w:p>
    <w:p>
      <w:pPr>
        <w:pStyle w:val="BodyText"/>
        <w:rPr>
          <w:sz w:val="14"/>
        </w:rPr>
      </w:pPr>
    </w:p>
    <w:p>
      <w:pPr>
        <w:pStyle w:val="BodyText"/>
        <w:spacing w:line="249" w:lineRule="auto"/>
        <w:ind w:left="107" w:right="63"/>
      </w:pPr>
      <w:r>
        <w:rPr/>
        <w:t>It has recently undergone a significant management reorganisation to make its offering more efficient. uwsconnect employs more than 200 people across Western Sydney.</w:t>
      </w:r>
    </w:p>
    <w:p>
      <w:pPr>
        <w:pStyle w:val="BodyText"/>
        <w:spacing w:before="7"/>
        <w:rPr>
          <w:sz w:val="21"/>
        </w:rPr>
      </w:pPr>
    </w:p>
    <w:p>
      <w:pPr>
        <w:pStyle w:val="Heading8"/>
        <w:ind w:right="95"/>
      </w:pPr>
      <w:r>
        <w:rPr>
          <w:w w:val="95"/>
        </w:rPr>
        <w:t>UWS EARLY LEARNING LTD</w:t>
      </w:r>
    </w:p>
    <w:p>
      <w:pPr>
        <w:pStyle w:val="BodyText"/>
        <w:spacing w:line="249" w:lineRule="auto" w:before="86"/>
        <w:ind w:left="107" w:right="163"/>
      </w:pPr>
      <w:r>
        <w:rPr>
          <w:spacing w:val="1"/>
          <w:w w:val="96"/>
        </w:rPr>
        <w:t>Incorporated</w:t>
      </w:r>
      <w:r>
        <w:rPr>
          <w:w w:val="96"/>
        </w:rPr>
        <w:t> </w:t>
      </w:r>
      <w:r>
        <w:rPr>
          <w:w w:val="95"/>
        </w:rPr>
        <w:t>in </w:t>
      </w:r>
      <w:r>
        <w:rPr>
          <w:spacing w:val="1"/>
          <w:w w:val="84"/>
        </w:rPr>
        <w:t>2012,</w:t>
      </w:r>
      <w:r>
        <w:rPr>
          <w:w w:val="84"/>
        </w:rPr>
        <w:t> </w:t>
      </w:r>
      <w:r>
        <w:rPr>
          <w:spacing w:val="1"/>
          <w:w w:val="101"/>
        </w:rPr>
        <w:t>UWS</w:t>
      </w:r>
      <w:r>
        <w:rPr>
          <w:w w:val="101"/>
        </w:rPr>
        <w:t> </w:t>
      </w:r>
      <w:r>
        <w:rPr>
          <w:spacing w:val="1"/>
          <w:w w:val="97"/>
        </w:rPr>
        <w:t>Early</w:t>
      </w:r>
      <w:r>
        <w:rPr>
          <w:w w:val="97"/>
        </w:rPr>
        <w:t> </w:t>
      </w:r>
      <w:r>
        <w:rPr>
          <w:spacing w:val="1"/>
          <w:w w:val="97"/>
        </w:rPr>
        <w:t>Learning</w:t>
      </w:r>
      <w:r>
        <w:rPr>
          <w:w w:val="97"/>
        </w:rPr>
        <w:t> </w:t>
      </w:r>
      <w:r>
        <w:rPr/>
        <w:t>Ltd is a not-for-profit, controlled entity of the</w:t>
      </w:r>
      <w:r>
        <w:rPr>
          <w:spacing w:val="-20"/>
        </w:rPr>
        <w:t> </w:t>
      </w:r>
      <w:r>
        <w:rPr/>
        <w:t>University,</w:t>
      </w:r>
      <w:r>
        <w:rPr>
          <w:spacing w:val="-20"/>
        </w:rPr>
        <w:t> </w:t>
      </w:r>
      <w:r>
        <w:rPr/>
        <w:t>which</w:t>
      </w:r>
      <w:r>
        <w:rPr>
          <w:spacing w:val="-20"/>
        </w:rPr>
        <w:t> </w:t>
      </w:r>
      <w:r>
        <w:rPr/>
        <w:t>provides</w:t>
      </w:r>
      <w:r>
        <w:rPr>
          <w:spacing w:val="-20"/>
        </w:rPr>
        <w:t> </w:t>
      </w:r>
      <w:r>
        <w:rPr/>
        <w:t>early</w:t>
      </w:r>
      <w:r>
        <w:rPr>
          <w:spacing w:val="-20"/>
        </w:rPr>
        <w:t> </w:t>
      </w:r>
      <w:r>
        <w:rPr/>
        <w:t>learning facilities on all campuses for zero to six- year-old</w:t>
      </w:r>
      <w:r>
        <w:rPr>
          <w:spacing w:val="-18"/>
        </w:rPr>
        <w:t> </w:t>
      </w:r>
      <w:r>
        <w:rPr/>
        <w:t>children</w:t>
      </w:r>
      <w:r>
        <w:rPr>
          <w:spacing w:val="-18"/>
        </w:rPr>
        <w:t> </w:t>
      </w:r>
      <w:r>
        <w:rPr/>
        <w:t>of</w:t>
      </w:r>
      <w:r>
        <w:rPr>
          <w:spacing w:val="-18"/>
        </w:rPr>
        <w:t> </w:t>
      </w:r>
      <w:r>
        <w:rPr/>
        <w:t>students,</w:t>
      </w:r>
      <w:r>
        <w:rPr>
          <w:spacing w:val="-18"/>
        </w:rPr>
        <w:t> </w:t>
      </w:r>
      <w:r>
        <w:rPr/>
        <w:t>staff</w:t>
      </w:r>
      <w:r>
        <w:rPr>
          <w:spacing w:val="-18"/>
        </w:rPr>
        <w:t> </w:t>
      </w:r>
      <w:r>
        <w:rPr/>
        <w:t>and</w:t>
      </w:r>
      <w:r>
        <w:rPr>
          <w:spacing w:val="-18"/>
        </w:rPr>
        <w:t> </w:t>
      </w:r>
      <w:r>
        <w:rPr/>
        <w:t>the</w:t>
      </w:r>
    </w:p>
    <w:p>
      <w:pPr>
        <w:pStyle w:val="BodyText"/>
        <w:spacing w:line="249" w:lineRule="auto"/>
        <w:ind w:left="107" w:right="-2"/>
      </w:pPr>
      <w:r>
        <w:rPr/>
        <w:t>broader</w:t>
      </w:r>
      <w:r>
        <w:rPr>
          <w:spacing w:val="-21"/>
        </w:rPr>
        <w:t> </w:t>
      </w:r>
      <w:r>
        <w:rPr/>
        <w:t>community.</w:t>
      </w:r>
      <w:r>
        <w:rPr>
          <w:spacing w:val="-21"/>
        </w:rPr>
        <w:t> </w:t>
      </w:r>
      <w:r>
        <w:rPr/>
        <w:t>The</w:t>
      </w:r>
      <w:r>
        <w:rPr>
          <w:spacing w:val="-21"/>
        </w:rPr>
        <w:t> </w:t>
      </w:r>
      <w:r>
        <w:rPr/>
        <w:t>University</w:t>
      </w:r>
      <w:r>
        <w:rPr>
          <w:spacing w:val="-21"/>
        </w:rPr>
        <w:t> </w:t>
      </w:r>
      <w:r>
        <w:rPr/>
        <w:t>subsidises childcare places for students and staff, in addition to SSAF support for students. In </w:t>
      </w:r>
      <w:r>
        <w:rPr>
          <w:spacing w:val="1"/>
          <w:w w:val="86"/>
        </w:rPr>
        <w:t>2014,</w:t>
      </w:r>
      <w:r>
        <w:rPr>
          <w:w w:val="86"/>
        </w:rPr>
        <w:t> </w:t>
      </w:r>
      <w:r>
        <w:rPr>
          <w:w w:val="99"/>
        </w:rPr>
        <w:t>it </w:t>
      </w:r>
      <w:r>
        <w:rPr>
          <w:spacing w:val="1"/>
          <w:w w:val="98"/>
        </w:rPr>
        <w:t>opened</w:t>
      </w:r>
      <w:r>
        <w:rPr>
          <w:w w:val="98"/>
        </w:rPr>
        <w:t> </w:t>
      </w:r>
      <w:r>
        <w:rPr>
          <w:spacing w:val="1"/>
          <w:w w:val="97"/>
        </w:rPr>
        <w:t>its</w:t>
      </w:r>
      <w:r>
        <w:rPr>
          <w:w w:val="97"/>
        </w:rPr>
        <w:t> </w:t>
      </w:r>
      <w:r>
        <w:rPr>
          <w:w w:val="97"/>
        </w:rPr>
        <w:t>latest </w:t>
      </w:r>
      <w:r>
        <w:rPr>
          <w:w w:val="97"/>
        </w:rPr>
        <w:t>57-place </w:t>
      </w:r>
      <w:r>
        <w:rPr>
          <w:spacing w:val="1"/>
          <w:w w:val="97"/>
        </w:rPr>
        <w:t>service</w:t>
      </w:r>
      <w:r>
        <w:rPr>
          <w:w w:val="97"/>
        </w:rPr>
        <w:t> </w:t>
      </w:r>
      <w:r>
        <w:rPr>
          <w:w w:val="98"/>
        </w:rPr>
        <w:t>at </w:t>
      </w:r>
      <w:r>
        <w:rPr/>
        <w:t>the</w:t>
      </w:r>
      <w:r>
        <w:rPr>
          <w:spacing w:val="-29"/>
        </w:rPr>
        <w:t> </w:t>
      </w:r>
      <w:r>
        <w:rPr/>
        <w:t>Parramatta</w:t>
      </w:r>
      <w:r>
        <w:rPr>
          <w:spacing w:val="-29"/>
        </w:rPr>
        <w:t> </w:t>
      </w:r>
      <w:r>
        <w:rPr/>
        <w:t>(south)</w:t>
      </w:r>
      <w:r>
        <w:rPr>
          <w:spacing w:val="-29"/>
        </w:rPr>
        <w:t> </w:t>
      </w:r>
      <w:r>
        <w:rPr>
          <w:spacing w:val="2"/>
        </w:rPr>
        <w:t>campus.</w:t>
      </w:r>
    </w:p>
    <w:p>
      <w:pPr>
        <w:pStyle w:val="BodyText"/>
        <w:spacing w:before="7"/>
        <w:rPr>
          <w:sz w:val="21"/>
        </w:rPr>
      </w:pPr>
    </w:p>
    <w:p>
      <w:pPr>
        <w:pStyle w:val="Heading8"/>
        <w:ind w:right="95"/>
      </w:pPr>
      <w:r>
        <w:rPr>
          <w:w w:val="95"/>
        </w:rPr>
        <w:t>TELEVISION SYDNEY LTD</w:t>
      </w:r>
    </w:p>
    <w:p>
      <w:pPr>
        <w:pStyle w:val="BodyText"/>
        <w:spacing w:before="86"/>
        <w:ind w:left="107" w:right="95"/>
      </w:pPr>
      <w:r>
        <w:rPr/>
        <w:t>Television Sydney Ltd (TVS) was the only</w:t>
      </w:r>
    </w:p>
    <w:p>
      <w:pPr>
        <w:pStyle w:val="BodyText"/>
        <w:spacing w:line="249" w:lineRule="auto" w:before="7"/>
        <w:ind w:left="107"/>
      </w:pPr>
      <w:r>
        <w:rPr/>
        <w:t>free-to-air,</w:t>
      </w:r>
      <w:r>
        <w:rPr>
          <w:spacing w:val="-22"/>
        </w:rPr>
        <w:t> </w:t>
      </w:r>
      <w:r>
        <w:rPr/>
        <w:t>not-for-profit</w:t>
      </w:r>
      <w:r>
        <w:rPr>
          <w:spacing w:val="-22"/>
        </w:rPr>
        <w:t> </w:t>
      </w:r>
      <w:r>
        <w:rPr/>
        <w:t>community</w:t>
      </w:r>
      <w:r>
        <w:rPr>
          <w:spacing w:val="-22"/>
        </w:rPr>
        <w:t> </w:t>
      </w:r>
      <w:r>
        <w:rPr/>
        <w:t>television licence-holder</w:t>
      </w:r>
      <w:r>
        <w:rPr>
          <w:spacing w:val="-18"/>
        </w:rPr>
        <w:t> </w:t>
      </w:r>
      <w:r>
        <w:rPr/>
        <w:t>in</w:t>
      </w:r>
      <w:r>
        <w:rPr>
          <w:spacing w:val="-18"/>
        </w:rPr>
        <w:t> </w:t>
      </w:r>
      <w:r>
        <w:rPr/>
        <w:t>Sydney.</w:t>
      </w:r>
      <w:r>
        <w:rPr>
          <w:spacing w:val="-18"/>
        </w:rPr>
        <w:t> </w:t>
      </w:r>
      <w:r>
        <w:rPr/>
        <w:t>The</w:t>
      </w:r>
      <w:r>
        <w:rPr>
          <w:spacing w:val="-18"/>
        </w:rPr>
        <w:t> </w:t>
      </w:r>
      <w:r>
        <w:rPr/>
        <w:t>company</w:t>
      </w:r>
      <w:r>
        <w:rPr>
          <w:spacing w:val="-18"/>
        </w:rPr>
        <w:t> </w:t>
      </w:r>
      <w:r>
        <w:rPr/>
        <w:t>began operating in </w:t>
      </w:r>
      <w:r>
        <w:rPr>
          <w:spacing w:val="2"/>
        </w:rPr>
        <w:t>2006 </w:t>
      </w:r>
      <w:r>
        <w:rPr/>
        <w:t>and broadcasted on digital channel</w:t>
      </w:r>
      <w:r>
        <w:rPr>
          <w:spacing w:val="-29"/>
        </w:rPr>
        <w:t> </w:t>
      </w:r>
      <w:r>
        <w:rPr>
          <w:spacing w:val="3"/>
        </w:rPr>
        <w:t>44.</w:t>
      </w:r>
    </w:p>
    <w:p>
      <w:pPr>
        <w:pStyle w:val="BodyText"/>
        <w:rPr>
          <w:sz w:val="14"/>
        </w:rPr>
      </w:pPr>
    </w:p>
    <w:p>
      <w:pPr>
        <w:pStyle w:val="BodyText"/>
        <w:spacing w:line="249" w:lineRule="auto"/>
        <w:ind w:left="107" w:right="26"/>
      </w:pPr>
      <w:r>
        <w:rPr>
          <w:w w:val="99"/>
        </w:rPr>
        <w:t>Following </w:t>
      </w:r>
      <w:r>
        <w:rPr>
          <w:w w:val="97"/>
        </w:rPr>
        <w:t>the </w:t>
      </w:r>
      <w:r>
        <w:rPr>
          <w:spacing w:val="1"/>
          <w:w w:val="97"/>
        </w:rPr>
        <w:t>decision</w:t>
      </w:r>
      <w:r>
        <w:rPr>
          <w:w w:val="97"/>
        </w:rPr>
        <w:t> </w:t>
      </w:r>
      <w:r>
        <w:rPr>
          <w:w w:val="95"/>
        </w:rPr>
        <w:t>in </w:t>
      </w:r>
      <w:r>
        <w:rPr>
          <w:spacing w:val="1"/>
          <w:w w:val="90"/>
        </w:rPr>
        <w:t>2014</w:t>
      </w:r>
      <w:r>
        <w:rPr>
          <w:w w:val="90"/>
        </w:rPr>
        <w:t> </w:t>
      </w:r>
      <w:r>
        <w:rPr>
          <w:spacing w:val="-1"/>
          <w:w w:val="102"/>
        </w:rPr>
        <w:t>by</w:t>
      </w:r>
      <w:r>
        <w:rPr>
          <w:w w:val="102"/>
        </w:rPr>
        <w:t> </w:t>
      </w:r>
      <w:r>
        <w:rPr>
          <w:w w:val="97"/>
        </w:rPr>
        <w:t>the </w:t>
      </w:r>
      <w:r>
        <w:rPr>
          <w:spacing w:val="1"/>
          <w:w w:val="97"/>
        </w:rPr>
        <w:t>then</w:t>
      </w:r>
      <w:r>
        <w:rPr>
          <w:w w:val="97"/>
        </w:rPr>
        <w:t> </w:t>
      </w:r>
      <w:r>
        <w:rPr/>
        <w:t>Minister for Communications, Mr Malcolm Turnbull, to terminate community television licences,</w:t>
      </w:r>
      <w:r>
        <w:rPr>
          <w:spacing w:val="-17"/>
        </w:rPr>
        <w:t> </w:t>
      </w:r>
      <w:r>
        <w:rPr/>
        <w:t>the</w:t>
      </w:r>
      <w:r>
        <w:rPr>
          <w:spacing w:val="-17"/>
        </w:rPr>
        <w:t> </w:t>
      </w:r>
      <w:r>
        <w:rPr/>
        <w:t>Board</w:t>
      </w:r>
      <w:r>
        <w:rPr>
          <w:spacing w:val="-17"/>
        </w:rPr>
        <w:t> </w:t>
      </w:r>
      <w:r>
        <w:rPr/>
        <w:t>of</w:t>
      </w:r>
      <w:r>
        <w:rPr>
          <w:spacing w:val="-17"/>
        </w:rPr>
        <w:t> </w:t>
      </w:r>
      <w:r>
        <w:rPr/>
        <w:t>Trustees</w:t>
      </w:r>
      <w:r>
        <w:rPr>
          <w:spacing w:val="-17"/>
        </w:rPr>
        <w:t> </w:t>
      </w:r>
      <w:r>
        <w:rPr/>
        <w:t>and</w:t>
      </w:r>
      <w:r>
        <w:rPr>
          <w:spacing w:val="-17"/>
        </w:rPr>
        <w:t> </w:t>
      </w:r>
      <w:r>
        <w:rPr/>
        <w:t>the</w:t>
      </w:r>
      <w:r>
        <w:rPr>
          <w:spacing w:val="-17"/>
        </w:rPr>
        <w:t> </w:t>
      </w:r>
      <w:r>
        <w:rPr/>
        <w:t>Board of</w:t>
      </w:r>
      <w:r>
        <w:rPr>
          <w:spacing w:val="-13"/>
        </w:rPr>
        <w:t> </w:t>
      </w:r>
      <w:r>
        <w:rPr>
          <w:spacing w:val="2"/>
        </w:rPr>
        <w:t>TVS</w:t>
      </w:r>
      <w:r>
        <w:rPr>
          <w:spacing w:val="-13"/>
        </w:rPr>
        <w:t> </w:t>
      </w:r>
      <w:r>
        <w:rPr/>
        <w:t>decided</w:t>
      </w:r>
      <w:r>
        <w:rPr>
          <w:spacing w:val="-13"/>
        </w:rPr>
        <w:t> </w:t>
      </w:r>
      <w:r>
        <w:rPr/>
        <w:t>to</w:t>
      </w:r>
      <w:r>
        <w:rPr>
          <w:spacing w:val="-13"/>
        </w:rPr>
        <w:t> </w:t>
      </w:r>
      <w:r>
        <w:rPr/>
        <w:t>cease</w:t>
      </w:r>
      <w:r>
        <w:rPr>
          <w:spacing w:val="-13"/>
        </w:rPr>
        <w:t> </w:t>
      </w:r>
      <w:r>
        <w:rPr/>
        <w:t>operations</w:t>
      </w:r>
      <w:r>
        <w:rPr>
          <w:spacing w:val="-13"/>
        </w:rPr>
        <w:t> </w:t>
      </w:r>
      <w:r>
        <w:rPr/>
        <w:t>at</w:t>
      </w:r>
      <w:r>
        <w:rPr>
          <w:spacing w:val="-13"/>
        </w:rPr>
        <w:t> </w:t>
      </w:r>
      <w:r>
        <w:rPr/>
        <w:t>the</w:t>
      </w:r>
      <w:r>
        <w:rPr>
          <w:spacing w:val="-13"/>
        </w:rPr>
        <w:t> </w:t>
      </w:r>
      <w:r>
        <w:rPr/>
        <w:t>end </w:t>
      </w:r>
      <w:r>
        <w:rPr>
          <w:w w:val="99"/>
        </w:rPr>
        <w:t>of</w:t>
      </w:r>
      <w:r>
        <w:rPr>
          <w:spacing w:val="-2"/>
          <w:w w:val="99"/>
        </w:rPr>
        <w:t> </w:t>
      </w:r>
      <w:r>
        <w:rPr>
          <w:spacing w:val="1"/>
          <w:w w:val="84"/>
        </w:rPr>
        <w:t>2015.</w:t>
      </w:r>
    </w:p>
    <w:p>
      <w:pPr>
        <w:pStyle w:val="Heading5"/>
        <w:spacing w:before="197"/>
        <w:ind w:right="296"/>
      </w:pPr>
      <w:r>
        <w:rPr>
          <w:b w:val="0"/>
        </w:rPr>
        <w:br w:type="column"/>
      </w:r>
      <w:r>
        <w:rPr>
          <w:w w:val="95"/>
        </w:rPr>
        <w:t>RISK MANAGEMENT</w:t>
      </w:r>
    </w:p>
    <w:p>
      <w:pPr>
        <w:pStyle w:val="BodyText"/>
        <w:spacing w:line="249" w:lineRule="auto" w:before="209"/>
        <w:ind w:left="107" w:right="26"/>
      </w:pPr>
      <w:r>
        <w:rPr/>
        <w:t>The University maintains an enterprise-wide strategic</w:t>
      </w:r>
      <w:r>
        <w:rPr>
          <w:spacing w:val="-15"/>
        </w:rPr>
        <w:t> </w:t>
      </w:r>
      <w:r>
        <w:rPr/>
        <w:t>risk</w:t>
      </w:r>
      <w:r>
        <w:rPr>
          <w:spacing w:val="-15"/>
        </w:rPr>
        <w:t> </w:t>
      </w:r>
      <w:r>
        <w:rPr/>
        <w:t>management</w:t>
      </w:r>
      <w:r>
        <w:rPr>
          <w:spacing w:val="-15"/>
        </w:rPr>
        <w:t> </w:t>
      </w:r>
      <w:r>
        <w:rPr/>
        <w:t>program</w:t>
      </w:r>
      <w:r>
        <w:rPr>
          <w:spacing w:val="-15"/>
        </w:rPr>
        <w:t> </w:t>
      </w:r>
      <w:r>
        <w:rPr/>
        <w:t>based</w:t>
      </w:r>
      <w:r>
        <w:rPr>
          <w:spacing w:val="-15"/>
        </w:rPr>
        <w:t> </w:t>
      </w:r>
      <w:r>
        <w:rPr/>
        <w:t>on the</w:t>
      </w:r>
      <w:r>
        <w:rPr>
          <w:spacing w:val="-11"/>
        </w:rPr>
        <w:t> </w:t>
      </w:r>
      <w:r>
        <w:rPr/>
        <w:t>methodology</w:t>
      </w:r>
      <w:r>
        <w:rPr>
          <w:spacing w:val="-11"/>
        </w:rPr>
        <w:t> </w:t>
      </w:r>
      <w:r>
        <w:rPr/>
        <w:t>contained</w:t>
      </w:r>
      <w:r>
        <w:rPr>
          <w:spacing w:val="-11"/>
        </w:rPr>
        <w:t> </w:t>
      </w:r>
      <w:r>
        <w:rPr/>
        <w:t>in</w:t>
      </w:r>
      <w:r>
        <w:rPr>
          <w:spacing w:val="-11"/>
        </w:rPr>
        <w:t> </w:t>
      </w:r>
      <w:r>
        <w:rPr/>
        <w:t>the</w:t>
      </w:r>
      <w:r>
        <w:rPr>
          <w:spacing w:val="-11"/>
        </w:rPr>
        <w:t> </w:t>
      </w:r>
      <w:r>
        <w:rPr/>
        <w:t>Australian/ New</w:t>
      </w:r>
      <w:r>
        <w:rPr>
          <w:spacing w:val="-12"/>
        </w:rPr>
        <w:t> </w:t>
      </w:r>
      <w:r>
        <w:rPr/>
        <w:t>Zealand</w:t>
      </w:r>
      <w:r>
        <w:rPr>
          <w:spacing w:val="-12"/>
        </w:rPr>
        <w:t> </w:t>
      </w:r>
      <w:r>
        <w:rPr/>
        <w:t>Risk</w:t>
      </w:r>
      <w:r>
        <w:rPr>
          <w:spacing w:val="-12"/>
        </w:rPr>
        <w:t> </w:t>
      </w:r>
      <w:r>
        <w:rPr/>
        <w:t>Management</w:t>
      </w:r>
      <w:r>
        <w:rPr>
          <w:spacing w:val="-12"/>
        </w:rPr>
        <w:t> </w:t>
      </w:r>
      <w:r>
        <w:rPr/>
        <w:t>Standard</w:t>
      </w:r>
      <w:r>
        <w:rPr>
          <w:spacing w:val="-12"/>
        </w:rPr>
        <w:t> </w:t>
      </w:r>
      <w:r>
        <w:rPr/>
        <w:t>AS/ </w:t>
      </w:r>
      <w:r>
        <w:rPr>
          <w:spacing w:val="1"/>
          <w:w w:val="101"/>
        </w:rPr>
        <w:t>NZS</w:t>
      </w:r>
      <w:r>
        <w:rPr>
          <w:w w:val="101"/>
        </w:rPr>
        <w:t> </w:t>
      </w:r>
      <w:r>
        <w:rPr>
          <w:spacing w:val="1"/>
          <w:w w:val="87"/>
        </w:rPr>
        <w:t>ISO</w:t>
      </w:r>
      <w:r>
        <w:rPr>
          <w:spacing w:val="23"/>
          <w:w w:val="87"/>
        </w:rPr>
        <w:t> </w:t>
      </w:r>
      <w:r>
        <w:rPr>
          <w:spacing w:val="2"/>
          <w:w w:val="93"/>
        </w:rPr>
        <w:t>31000:2009.</w:t>
      </w:r>
    </w:p>
    <w:p>
      <w:pPr>
        <w:pStyle w:val="BodyText"/>
        <w:rPr>
          <w:sz w:val="14"/>
        </w:rPr>
      </w:pPr>
    </w:p>
    <w:p>
      <w:pPr>
        <w:pStyle w:val="BodyText"/>
        <w:spacing w:line="249" w:lineRule="auto"/>
        <w:ind w:left="107" w:right="-3"/>
      </w:pPr>
      <w:r>
        <w:rPr/>
        <w:t>The Strategic Risk Register is updated every six</w:t>
      </w:r>
      <w:r>
        <w:rPr>
          <w:spacing w:val="-19"/>
        </w:rPr>
        <w:t> </w:t>
      </w:r>
      <w:r>
        <w:rPr/>
        <w:t>months.</w:t>
      </w:r>
      <w:r>
        <w:rPr>
          <w:spacing w:val="-19"/>
        </w:rPr>
        <w:t> </w:t>
      </w:r>
      <w:r>
        <w:rPr/>
        <w:t>Risks</w:t>
      </w:r>
      <w:r>
        <w:rPr>
          <w:spacing w:val="-19"/>
        </w:rPr>
        <w:t> </w:t>
      </w:r>
      <w:r>
        <w:rPr/>
        <w:t>are</w:t>
      </w:r>
      <w:r>
        <w:rPr>
          <w:spacing w:val="-19"/>
        </w:rPr>
        <w:t> </w:t>
      </w:r>
      <w:r>
        <w:rPr/>
        <w:t>identified</w:t>
      </w:r>
      <w:r>
        <w:rPr>
          <w:spacing w:val="-19"/>
        </w:rPr>
        <w:t> </w:t>
      </w:r>
      <w:r>
        <w:rPr/>
        <w:t>via</w:t>
      </w:r>
      <w:r>
        <w:rPr>
          <w:spacing w:val="-19"/>
        </w:rPr>
        <w:t> </w:t>
      </w:r>
      <w:r>
        <w:rPr/>
        <w:t>interviews and</w:t>
      </w:r>
      <w:r>
        <w:rPr>
          <w:spacing w:val="-15"/>
        </w:rPr>
        <w:t> </w:t>
      </w:r>
      <w:r>
        <w:rPr/>
        <w:t>risk</w:t>
      </w:r>
      <w:r>
        <w:rPr>
          <w:spacing w:val="-15"/>
        </w:rPr>
        <w:t> </w:t>
      </w:r>
      <w:r>
        <w:rPr/>
        <w:t>workshops</w:t>
      </w:r>
      <w:r>
        <w:rPr>
          <w:spacing w:val="-15"/>
        </w:rPr>
        <w:t> </w:t>
      </w:r>
      <w:r>
        <w:rPr/>
        <w:t>are</w:t>
      </w:r>
      <w:r>
        <w:rPr>
          <w:spacing w:val="-15"/>
        </w:rPr>
        <w:t> </w:t>
      </w:r>
      <w:r>
        <w:rPr/>
        <w:t>conducted</w:t>
      </w:r>
      <w:r>
        <w:rPr>
          <w:spacing w:val="-15"/>
        </w:rPr>
        <w:t> </w:t>
      </w:r>
      <w:r>
        <w:rPr/>
        <w:t>with</w:t>
      </w:r>
      <w:r>
        <w:rPr>
          <w:spacing w:val="-15"/>
        </w:rPr>
        <w:t> </w:t>
      </w:r>
      <w:r>
        <w:rPr/>
        <w:t>senior executive,</w:t>
      </w:r>
      <w:r>
        <w:rPr>
          <w:spacing w:val="-18"/>
        </w:rPr>
        <w:t> </w:t>
      </w:r>
      <w:r>
        <w:rPr/>
        <w:t>and</w:t>
      </w:r>
      <w:r>
        <w:rPr>
          <w:spacing w:val="-18"/>
        </w:rPr>
        <w:t> </w:t>
      </w:r>
      <w:r>
        <w:rPr/>
        <w:t>managerial</w:t>
      </w:r>
      <w:r>
        <w:rPr>
          <w:spacing w:val="-18"/>
        </w:rPr>
        <w:t> </w:t>
      </w:r>
      <w:r>
        <w:rPr/>
        <w:t>and</w:t>
      </w:r>
      <w:r>
        <w:rPr>
          <w:spacing w:val="-18"/>
        </w:rPr>
        <w:t> </w:t>
      </w:r>
      <w:r>
        <w:rPr/>
        <w:t>key</w:t>
      </w:r>
      <w:r>
        <w:rPr>
          <w:spacing w:val="-18"/>
        </w:rPr>
        <w:t> </w:t>
      </w:r>
      <w:r>
        <w:rPr/>
        <w:t>operating staff members across the University and its </w:t>
      </w:r>
      <w:r>
        <w:rPr>
          <w:w w:val="95"/>
        </w:rPr>
        <w:t>related</w:t>
      </w:r>
      <w:r>
        <w:rPr>
          <w:spacing w:val="13"/>
          <w:w w:val="95"/>
        </w:rPr>
        <w:t> </w:t>
      </w:r>
      <w:r>
        <w:rPr>
          <w:w w:val="95"/>
        </w:rPr>
        <w:t>entities.</w:t>
      </w:r>
    </w:p>
    <w:p>
      <w:pPr>
        <w:pStyle w:val="BodyText"/>
        <w:rPr>
          <w:sz w:val="14"/>
        </w:rPr>
      </w:pPr>
    </w:p>
    <w:p>
      <w:pPr>
        <w:pStyle w:val="BodyText"/>
        <w:spacing w:line="249" w:lineRule="auto"/>
        <w:ind w:left="107" w:right="73"/>
      </w:pPr>
      <w:r>
        <w:rPr/>
        <w:t>The Register is used to consolidate the identified</w:t>
      </w:r>
      <w:r>
        <w:rPr>
          <w:spacing w:val="-16"/>
        </w:rPr>
        <w:t> </w:t>
      </w:r>
      <w:r>
        <w:rPr/>
        <w:t>risks</w:t>
      </w:r>
      <w:r>
        <w:rPr>
          <w:spacing w:val="-16"/>
        </w:rPr>
        <w:t> </w:t>
      </w:r>
      <w:r>
        <w:rPr/>
        <w:t>and</w:t>
      </w:r>
      <w:r>
        <w:rPr>
          <w:spacing w:val="-16"/>
        </w:rPr>
        <w:t> </w:t>
      </w:r>
      <w:r>
        <w:rPr/>
        <w:t>record</w:t>
      </w:r>
      <w:r>
        <w:rPr>
          <w:spacing w:val="-16"/>
        </w:rPr>
        <w:t> </w:t>
      </w:r>
      <w:r>
        <w:rPr/>
        <w:t>the</w:t>
      </w:r>
      <w:r>
        <w:rPr>
          <w:spacing w:val="-16"/>
        </w:rPr>
        <w:t> </w:t>
      </w:r>
      <w:r>
        <w:rPr/>
        <w:t>ways</w:t>
      </w:r>
      <w:r>
        <w:rPr>
          <w:spacing w:val="-16"/>
        </w:rPr>
        <w:t> </w:t>
      </w:r>
      <w:r>
        <w:rPr/>
        <w:t>in</w:t>
      </w:r>
      <w:r>
        <w:rPr>
          <w:spacing w:val="-16"/>
        </w:rPr>
        <w:t> </w:t>
      </w:r>
      <w:r>
        <w:rPr/>
        <w:t>which these</w:t>
      </w:r>
      <w:r>
        <w:rPr>
          <w:spacing w:val="-16"/>
        </w:rPr>
        <w:t> </w:t>
      </w:r>
      <w:r>
        <w:rPr/>
        <w:t>risks</w:t>
      </w:r>
      <w:r>
        <w:rPr>
          <w:spacing w:val="-16"/>
        </w:rPr>
        <w:t> </w:t>
      </w:r>
      <w:r>
        <w:rPr/>
        <w:t>are</w:t>
      </w:r>
      <w:r>
        <w:rPr>
          <w:spacing w:val="-16"/>
        </w:rPr>
        <w:t> </w:t>
      </w:r>
      <w:r>
        <w:rPr/>
        <w:t>addressed</w:t>
      </w:r>
      <w:r>
        <w:rPr>
          <w:spacing w:val="-16"/>
        </w:rPr>
        <w:t> </w:t>
      </w:r>
      <w:r>
        <w:rPr/>
        <w:t>according</w:t>
      </w:r>
      <w:r>
        <w:rPr>
          <w:spacing w:val="-16"/>
        </w:rPr>
        <w:t> </w:t>
      </w:r>
      <w:r>
        <w:rPr/>
        <w:t>to</w:t>
      </w:r>
      <w:r>
        <w:rPr>
          <w:spacing w:val="-16"/>
        </w:rPr>
        <w:t> </w:t>
      </w:r>
      <w:r>
        <w:rPr/>
        <w:t>their likelihood (probability of occurrence) and consequence (magnitude of impact). The Register</w:t>
      </w:r>
      <w:r>
        <w:rPr>
          <w:spacing w:val="-17"/>
        </w:rPr>
        <w:t> </w:t>
      </w:r>
      <w:r>
        <w:rPr/>
        <w:t>also</w:t>
      </w:r>
      <w:r>
        <w:rPr>
          <w:spacing w:val="-17"/>
        </w:rPr>
        <w:t> </w:t>
      </w:r>
      <w:r>
        <w:rPr/>
        <w:t>helps</w:t>
      </w:r>
      <w:r>
        <w:rPr>
          <w:spacing w:val="-17"/>
        </w:rPr>
        <w:t> </w:t>
      </w:r>
      <w:r>
        <w:rPr/>
        <w:t>to</w:t>
      </w:r>
      <w:r>
        <w:rPr>
          <w:spacing w:val="-17"/>
        </w:rPr>
        <w:t> </w:t>
      </w:r>
      <w:r>
        <w:rPr/>
        <w:t>ensure</w:t>
      </w:r>
      <w:r>
        <w:rPr>
          <w:spacing w:val="-17"/>
        </w:rPr>
        <w:t> </w:t>
      </w:r>
      <w:r>
        <w:rPr/>
        <w:t>that</w:t>
      </w:r>
      <w:r>
        <w:rPr>
          <w:spacing w:val="-17"/>
        </w:rPr>
        <w:t> </w:t>
      </w:r>
      <w:r>
        <w:rPr/>
        <w:t>efforts</w:t>
      </w:r>
    </w:p>
    <w:p>
      <w:pPr>
        <w:pStyle w:val="BodyText"/>
        <w:spacing w:line="249" w:lineRule="auto"/>
        <w:ind w:left="107" w:right="124"/>
      </w:pPr>
      <w:r>
        <w:rPr/>
        <w:t>to address risk are not duplicated and that responses</w:t>
      </w:r>
      <w:r>
        <w:rPr>
          <w:spacing w:val="-17"/>
        </w:rPr>
        <w:t> </w:t>
      </w:r>
      <w:r>
        <w:rPr/>
        <w:t>to</w:t>
      </w:r>
      <w:r>
        <w:rPr>
          <w:spacing w:val="-17"/>
        </w:rPr>
        <w:t> </w:t>
      </w:r>
      <w:r>
        <w:rPr/>
        <w:t>risk</w:t>
      </w:r>
      <w:r>
        <w:rPr>
          <w:spacing w:val="-17"/>
        </w:rPr>
        <w:t> </w:t>
      </w:r>
      <w:r>
        <w:rPr/>
        <w:t>are</w:t>
      </w:r>
      <w:r>
        <w:rPr>
          <w:spacing w:val="-17"/>
        </w:rPr>
        <w:t> </w:t>
      </w:r>
      <w:r>
        <w:rPr/>
        <w:t>integrated</w:t>
      </w:r>
      <w:r>
        <w:rPr>
          <w:spacing w:val="-17"/>
        </w:rPr>
        <w:t> </w:t>
      </w:r>
      <w:r>
        <w:rPr/>
        <w:t>and</w:t>
      </w:r>
      <w:r>
        <w:rPr>
          <w:spacing w:val="-17"/>
        </w:rPr>
        <w:t> </w:t>
      </w:r>
      <w:r>
        <w:rPr/>
        <w:t>focused where</w:t>
      </w:r>
      <w:r>
        <w:rPr>
          <w:spacing w:val="-23"/>
        </w:rPr>
        <w:t> </w:t>
      </w:r>
      <w:r>
        <w:rPr/>
        <w:t>they</w:t>
      </w:r>
      <w:r>
        <w:rPr>
          <w:spacing w:val="-23"/>
        </w:rPr>
        <w:t> </w:t>
      </w:r>
      <w:r>
        <w:rPr/>
        <w:t>are</w:t>
      </w:r>
      <w:r>
        <w:rPr>
          <w:spacing w:val="-23"/>
        </w:rPr>
        <w:t> </w:t>
      </w:r>
      <w:r>
        <w:rPr/>
        <w:t>most</w:t>
      </w:r>
      <w:r>
        <w:rPr>
          <w:spacing w:val="-23"/>
        </w:rPr>
        <w:t> </w:t>
      </w:r>
      <w:r>
        <w:rPr>
          <w:spacing w:val="2"/>
        </w:rPr>
        <w:t>needed.</w:t>
      </w:r>
    </w:p>
    <w:p>
      <w:pPr>
        <w:pStyle w:val="BodyText"/>
        <w:rPr>
          <w:sz w:val="14"/>
        </w:rPr>
      </w:pPr>
    </w:p>
    <w:p>
      <w:pPr>
        <w:pStyle w:val="BodyText"/>
        <w:spacing w:line="249" w:lineRule="auto"/>
        <w:ind w:left="107" w:right="-6"/>
      </w:pPr>
      <w:r>
        <w:rPr/>
        <w:t>This</w:t>
      </w:r>
      <w:r>
        <w:rPr>
          <w:spacing w:val="-17"/>
        </w:rPr>
        <w:t> </w:t>
      </w:r>
      <w:r>
        <w:rPr/>
        <w:t>work</w:t>
      </w:r>
      <w:r>
        <w:rPr>
          <w:spacing w:val="-17"/>
        </w:rPr>
        <w:t> </w:t>
      </w:r>
      <w:r>
        <w:rPr/>
        <w:t>is</w:t>
      </w:r>
      <w:r>
        <w:rPr>
          <w:spacing w:val="-17"/>
        </w:rPr>
        <w:t> </w:t>
      </w:r>
      <w:r>
        <w:rPr/>
        <w:t>based</w:t>
      </w:r>
      <w:r>
        <w:rPr>
          <w:spacing w:val="-17"/>
        </w:rPr>
        <w:t> </w:t>
      </w:r>
      <w:r>
        <w:rPr/>
        <w:t>on</w:t>
      </w:r>
      <w:r>
        <w:rPr>
          <w:spacing w:val="-17"/>
        </w:rPr>
        <w:t> </w:t>
      </w:r>
      <w:r>
        <w:rPr/>
        <w:t>a</w:t>
      </w:r>
      <w:r>
        <w:rPr>
          <w:spacing w:val="-17"/>
        </w:rPr>
        <w:t> </w:t>
      </w:r>
      <w:r>
        <w:rPr/>
        <w:t>structured</w:t>
      </w:r>
      <w:r>
        <w:rPr>
          <w:spacing w:val="-17"/>
        </w:rPr>
        <w:t> </w:t>
      </w:r>
      <w:r>
        <w:rPr/>
        <w:t>framework, the</w:t>
      </w:r>
      <w:r>
        <w:rPr>
          <w:spacing w:val="-19"/>
        </w:rPr>
        <w:t> </w:t>
      </w:r>
      <w:r>
        <w:rPr/>
        <w:t>elements</w:t>
      </w:r>
      <w:r>
        <w:rPr>
          <w:spacing w:val="-19"/>
        </w:rPr>
        <w:t> </w:t>
      </w:r>
      <w:r>
        <w:rPr/>
        <w:t>of</w:t>
      </w:r>
      <w:r>
        <w:rPr>
          <w:spacing w:val="-19"/>
        </w:rPr>
        <w:t> </w:t>
      </w:r>
      <w:r>
        <w:rPr/>
        <w:t>which</w:t>
      </w:r>
      <w:r>
        <w:rPr>
          <w:spacing w:val="-19"/>
        </w:rPr>
        <w:t> </w:t>
      </w:r>
      <w:r>
        <w:rPr/>
        <w:t>are</w:t>
      </w:r>
      <w:r>
        <w:rPr>
          <w:spacing w:val="-19"/>
        </w:rPr>
        <w:t> </w:t>
      </w:r>
      <w:r>
        <w:rPr/>
        <w:t>summarised</w:t>
      </w:r>
      <w:r>
        <w:rPr>
          <w:spacing w:val="-19"/>
        </w:rPr>
        <w:t> </w:t>
      </w:r>
      <w:r>
        <w:rPr/>
        <w:t>in</w:t>
      </w:r>
    </w:p>
    <w:p>
      <w:pPr>
        <w:pStyle w:val="BodyText"/>
        <w:spacing w:line="249" w:lineRule="auto"/>
        <w:ind w:left="107" w:right="12"/>
      </w:pPr>
      <w:r>
        <w:rPr/>
        <w:t>the Risk Management Framework diagram below.</w:t>
      </w:r>
      <w:r>
        <w:rPr>
          <w:spacing w:val="-20"/>
        </w:rPr>
        <w:t> </w:t>
      </w:r>
      <w:r>
        <w:rPr/>
        <w:t>The</w:t>
      </w:r>
      <w:r>
        <w:rPr>
          <w:spacing w:val="-20"/>
        </w:rPr>
        <w:t> </w:t>
      </w:r>
      <w:r>
        <w:rPr/>
        <w:t>successful</w:t>
      </w:r>
      <w:r>
        <w:rPr>
          <w:spacing w:val="-20"/>
        </w:rPr>
        <w:t> </w:t>
      </w:r>
      <w:r>
        <w:rPr/>
        <w:t>implementation</w:t>
      </w:r>
      <w:r>
        <w:rPr>
          <w:spacing w:val="-20"/>
        </w:rPr>
        <w:t> </w:t>
      </w:r>
      <w:r>
        <w:rPr/>
        <w:t>of</w:t>
      </w:r>
      <w:r>
        <w:rPr>
          <w:spacing w:val="-20"/>
        </w:rPr>
        <w:t> </w:t>
      </w:r>
      <w:r>
        <w:rPr/>
        <w:t>each component of the framework is ongoing and involves cultural change and the progressive evolution of University risk management practices.</w:t>
      </w:r>
    </w:p>
    <w:p>
      <w:pPr>
        <w:pStyle w:val="BodyText"/>
        <w:rPr>
          <w:sz w:val="14"/>
        </w:rPr>
      </w:pPr>
    </w:p>
    <w:p>
      <w:pPr>
        <w:pStyle w:val="BodyText"/>
        <w:spacing w:line="249" w:lineRule="auto"/>
        <w:ind w:left="107" w:right="57"/>
      </w:pPr>
      <w:r>
        <w:rPr/>
        <w:t>The Audit and Risk Management Committee provides the Board with advice and information on high-risk activities or events, including new or emerging risks. The risk management program is also subject to an independent peer review at least every five years as part of the Office of Audit and Risk Assessment quality improvement program.</w:t>
      </w:r>
    </w:p>
    <w:p>
      <w:pPr>
        <w:pStyle w:val="BodyText"/>
        <w:rPr>
          <w:sz w:val="14"/>
        </w:rPr>
      </w:pPr>
    </w:p>
    <w:p>
      <w:pPr>
        <w:pStyle w:val="BodyText"/>
        <w:spacing w:line="249" w:lineRule="auto"/>
        <w:ind w:left="107" w:right="73"/>
      </w:pPr>
      <w:r>
        <w:rPr>
          <w:w w:val="100"/>
        </w:rPr>
        <w:t>Key </w:t>
      </w:r>
      <w:r>
        <w:rPr>
          <w:w w:val="98"/>
        </w:rPr>
        <w:t>outcomes </w:t>
      </w:r>
      <w:r>
        <w:rPr>
          <w:w w:val="99"/>
        </w:rPr>
        <w:t>of </w:t>
      </w:r>
      <w:r>
        <w:rPr>
          <w:w w:val="97"/>
        </w:rPr>
        <w:t>the </w:t>
      </w:r>
      <w:r>
        <w:rPr>
          <w:w w:val="88"/>
        </w:rPr>
        <w:t>2015 </w:t>
      </w:r>
      <w:r>
        <w:rPr>
          <w:w w:val="95"/>
        </w:rPr>
        <w:t>risk </w:t>
      </w:r>
      <w:r>
        <w:rPr>
          <w:w w:val="97"/>
        </w:rPr>
        <w:t>management </w:t>
      </w:r>
      <w:r>
        <w:rPr/>
        <w:t>program include the:</w:t>
      </w:r>
    </w:p>
    <w:p>
      <w:pPr>
        <w:pStyle w:val="BodyText"/>
        <w:spacing w:before="11"/>
        <w:rPr>
          <w:sz w:val="13"/>
        </w:rPr>
      </w:pPr>
    </w:p>
    <w:p>
      <w:pPr>
        <w:pStyle w:val="BodyText"/>
        <w:spacing w:line="247" w:lineRule="auto"/>
        <w:ind w:left="333" w:right="-2" w:hanging="227"/>
      </w:pPr>
      <w:r>
        <w:rPr>
          <w:rFonts w:ascii="Century Gothic" w:hAnsi="Century Gothic"/>
          <w:b/>
          <w:w w:val="115"/>
        </w:rPr>
        <w:t>≥</w:t>
      </w:r>
      <w:r>
        <w:rPr>
          <w:rFonts w:ascii="Century Gothic" w:hAnsi="Century Gothic"/>
          <w:b/>
          <w:spacing w:val="-3"/>
          <w:w w:val="115"/>
        </w:rPr>
        <w:t> </w:t>
      </w:r>
      <w:r>
        <w:rPr>
          <w:w w:val="105"/>
        </w:rPr>
        <w:t>commencement</w:t>
      </w:r>
      <w:r>
        <w:rPr>
          <w:spacing w:val="-34"/>
          <w:w w:val="105"/>
        </w:rPr>
        <w:t> </w:t>
      </w:r>
      <w:r>
        <w:rPr>
          <w:w w:val="105"/>
        </w:rPr>
        <w:t>of</w:t>
      </w:r>
      <w:r>
        <w:rPr>
          <w:spacing w:val="-34"/>
          <w:w w:val="105"/>
        </w:rPr>
        <w:t> </w:t>
      </w:r>
      <w:r>
        <w:rPr>
          <w:w w:val="105"/>
        </w:rPr>
        <w:t>staged</w:t>
      </w:r>
      <w:r>
        <w:rPr>
          <w:spacing w:val="-34"/>
          <w:w w:val="105"/>
        </w:rPr>
        <w:t> </w:t>
      </w:r>
      <w:r>
        <w:rPr>
          <w:w w:val="105"/>
        </w:rPr>
        <w:t>implementation of the University’s enterprise risk </w:t>
      </w:r>
      <w:r>
        <w:rPr/>
        <w:t>management</w:t>
      </w:r>
      <w:r>
        <w:rPr>
          <w:spacing w:val="-21"/>
        </w:rPr>
        <w:t> </w:t>
      </w:r>
      <w:r>
        <w:rPr/>
        <w:t>system</w:t>
      </w:r>
      <w:r>
        <w:rPr>
          <w:spacing w:val="-21"/>
        </w:rPr>
        <w:t> </w:t>
      </w:r>
      <w:r>
        <w:rPr/>
        <w:t>(Protecht)</w:t>
      </w:r>
    </w:p>
    <w:p>
      <w:pPr>
        <w:pStyle w:val="BodyText"/>
        <w:spacing w:line="247" w:lineRule="auto" w:before="57"/>
        <w:ind w:left="333" w:right="-3" w:hanging="227"/>
      </w:pPr>
      <w:r>
        <w:rPr>
          <w:rFonts w:ascii="Century Gothic" w:hAnsi="Century Gothic"/>
          <w:b/>
          <w:w w:val="115"/>
        </w:rPr>
        <w:t>≥ </w:t>
      </w:r>
      <w:r>
        <w:rPr/>
        <w:t>maintenance of a cyclical risk assessment program and operational risk databases across both administrative and academic operations</w:t>
      </w:r>
    </w:p>
    <w:p>
      <w:pPr>
        <w:pStyle w:val="BodyText"/>
        <w:spacing w:before="9"/>
      </w:pPr>
      <w:r>
        <w:rPr/>
        <w:br w:type="column"/>
      </w:r>
      <w:r>
        <w:rPr/>
      </w:r>
    </w:p>
    <w:p>
      <w:pPr>
        <w:pStyle w:val="BodyText"/>
        <w:spacing w:line="247" w:lineRule="auto"/>
        <w:ind w:left="333" w:right="56" w:hanging="227"/>
      </w:pPr>
      <w:r>
        <w:rPr>
          <w:rFonts w:ascii="Century Gothic" w:hAnsi="Century Gothic"/>
          <w:b/>
          <w:w w:val="115"/>
        </w:rPr>
        <w:t>≥ </w:t>
      </w:r>
      <w:r>
        <w:rPr/>
        <w:t>attendance of senior staff at Audit &amp; Risk Management Committee meetings in order to report on the management of strategic risk in key areas of University operations</w:t>
      </w:r>
    </w:p>
    <w:p>
      <w:pPr>
        <w:pStyle w:val="BodyText"/>
        <w:spacing w:line="247" w:lineRule="auto" w:before="57"/>
        <w:ind w:left="333" w:right="316" w:hanging="227"/>
        <w:jc w:val="both"/>
      </w:pPr>
      <w:r>
        <w:rPr>
          <w:rFonts w:ascii="Century Gothic" w:hAnsi="Century Gothic"/>
          <w:b/>
          <w:w w:val="115"/>
        </w:rPr>
        <w:t>≥ </w:t>
      </w:r>
      <w:r>
        <w:rPr/>
        <w:t>maintenance of a corruption prevention training</w:t>
      </w:r>
      <w:r>
        <w:rPr>
          <w:spacing w:val="-15"/>
        </w:rPr>
        <w:t> </w:t>
      </w:r>
      <w:r>
        <w:rPr/>
        <w:t>program</w:t>
      </w:r>
      <w:r>
        <w:rPr>
          <w:spacing w:val="-15"/>
        </w:rPr>
        <w:t> </w:t>
      </w:r>
      <w:r>
        <w:rPr/>
        <w:t>in</w:t>
      </w:r>
      <w:r>
        <w:rPr>
          <w:spacing w:val="-15"/>
        </w:rPr>
        <w:t> </w:t>
      </w:r>
      <w:r>
        <w:rPr/>
        <w:t>accordance</w:t>
      </w:r>
      <w:r>
        <w:rPr>
          <w:spacing w:val="-15"/>
        </w:rPr>
        <w:t> </w:t>
      </w:r>
      <w:r>
        <w:rPr/>
        <w:t>with</w:t>
      </w:r>
      <w:r>
        <w:rPr>
          <w:spacing w:val="-15"/>
        </w:rPr>
        <w:t> </w:t>
      </w:r>
      <w:r>
        <w:rPr/>
        <w:t>our strategy</w:t>
      </w:r>
      <w:r>
        <w:rPr>
          <w:spacing w:val="-15"/>
        </w:rPr>
        <w:t> </w:t>
      </w:r>
      <w:r>
        <w:rPr/>
        <w:t>to</w:t>
      </w:r>
      <w:r>
        <w:rPr>
          <w:spacing w:val="-15"/>
        </w:rPr>
        <w:t> </w:t>
      </w:r>
      <w:r>
        <w:rPr/>
        <w:t>reduce</w:t>
      </w:r>
      <w:r>
        <w:rPr>
          <w:spacing w:val="-15"/>
        </w:rPr>
        <w:t> </w:t>
      </w:r>
      <w:r>
        <w:rPr/>
        <w:t>corruption</w:t>
      </w:r>
      <w:r>
        <w:rPr>
          <w:spacing w:val="-15"/>
        </w:rPr>
        <w:t> </w:t>
      </w:r>
      <w:r>
        <w:rPr/>
        <w:t>risks</w:t>
      </w:r>
    </w:p>
    <w:p>
      <w:pPr>
        <w:pStyle w:val="BodyText"/>
        <w:spacing w:line="247" w:lineRule="auto" w:before="57"/>
        <w:ind w:left="333" w:right="266" w:hanging="227"/>
      </w:pPr>
      <w:r>
        <w:rPr>
          <w:rFonts w:ascii="Century Gothic" w:hAnsi="Century Gothic"/>
          <w:b/>
          <w:w w:val="115"/>
        </w:rPr>
        <w:t>≥ </w:t>
      </w:r>
      <w:r>
        <w:rPr/>
        <w:t>introduction of more rigorous reporting processes, together with procedures for ensuring risk mitigation strategies are closely monitored and completed.</w:t>
      </w:r>
    </w:p>
    <w:p>
      <w:pPr>
        <w:spacing w:after="0" w:line="247" w:lineRule="auto"/>
        <w:sectPr>
          <w:type w:val="continuous"/>
          <w:pgSz w:w="11910" w:h="16840"/>
          <w:pgMar w:top="1580" w:bottom="280" w:left="800" w:right="800"/>
          <w:cols w:num="3" w:equalWidth="0">
            <w:col w:w="3319" w:space="121"/>
            <w:col w:w="3292" w:space="148"/>
            <w:col w:w="3430"/>
          </w:cols>
        </w:sectPr>
      </w:pPr>
    </w:p>
    <w:p>
      <w:pPr>
        <w:pStyle w:val="BodyText"/>
        <w:spacing w:before="7"/>
        <w:rPr>
          <w:sz w:val="28"/>
        </w:rPr>
      </w:pPr>
    </w:p>
    <w:p>
      <w:pPr>
        <w:spacing w:line="420" w:lineRule="exact" w:before="78"/>
        <w:ind w:left="907" w:right="4353" w:firstLine="0"/>
        <w:jc w:val="left"/>
        <w:rPr>
          <w:rFonts w:ascii="Gotham Narrow Bold"/>
          <w:b/>
          <w:sz w:val="40"/>
        </w:rPr>
      </w:pPr>
      <w:r>
        <w:rPr/>
        <w:pict>
          <v:shape style="position:absolute;margin-left:260.450989pt;margin-top:48.544083pt;width:82.2pt;height:32.75pt;mso-position-horizontal-relative:page;mso-position-vertical-relative:paragraph;z-index:1912;mso-wrap-distance-left:0;mso-wrap-distance-right:0" type="#_x0000_t202" filled="true" fillcolor="#e6e7e8" stroked="true" strokeweight=".5pt" strokecolor="#a7a9ac">
            <v:textbox inset="0,0,0,0">
              <w:txbxContent>
                <w:p>
                  <w:pPr>
                    <w:spacing w:line="249" w:lineRule="auto" w:before="132"/>
                    <w:ind w:left="223" w:right="16" w:hanging="63"/>
                    <w:jc w:val="left"/>
                    <w:rPr>
                      <w:rFonts w:ascii="Gotham Narrow Bold"/>
                      <w:b/>
                      <w:sz w:val="16"/>
                    </w:rPr>
                  </w:pPr>
                  <w:r>
                    <w:rPr>
                      <w:rFonts w:ascii="Gotham Narrow Bold"/>
                      <w:b/>
                      <w:w w:val="95"/>
                      <w:sz w:val="16"/>
                    </w:rPr>
                    <w:t>MANAGING RISKS AND CONTROLS</w:t>
                  </w:r>
                </w:p>
              </w:txbxContent>
            </v:textbox>
            <v:fill type="solid"/>
            <w10:wrap type="topAndBottom"/>
          </v:shape>
        </w:pict>
      </w:r>
      <w:r>
        <w:rPr/>
        <w:pict>
          <v:shape style="position:absolute;margin-left:284.693298pt;margin-top:96.278099pt;width:14.85pt;height:20.75pt;mso-position-horizontal-relative:page;mso-position-vertical-relative:paragraph;z-index:1936;mso-wrap-distance-left:0;mso-wrap-distance-right:0" type="#_x0000_t202" filled="false" stroked="false">
            <v:textbox inset="0,0,0,0">
              <w:txbxContent>
                <w:p>
                  <w:pPr>
                    <w:spacing w:line="404" w:lineRule="exact" w:before="0"/>
                    <w:ind w:left="20" w:right="0" w:firstLine="0"/>
                    <w:jc w:val="left"/>
                    <w:rPr>
                      <w:sz w:val="37"/>
                    </w:rPr>
                  </w:pPr>
                  <w:r>
                    <w:rPr>
                      <w:w w:val="101"/>
                      <w:sz w:val="37"/>
                    </w:rPr>
                    <w:t>N</w:t>
                  </w:r>
                </w:p>
              </w:txbxContent>
            </v:textbox>
            <w10:wrap type="topAndBottom"/>
          </v:shape>
        </w:pict>
      </w:r>
      <w:r>
        <w:rPr>
          <w:rFonts w:ascii="Gotham Narrow Bold"/>
          <w:b/>
          <w:w w:val="95"/>
          <w:sz w:val="40"/>
        </w:rPr>
        <w:t>RISK MANAGEMENT </w:t>
      </w:r>
      <w:r>
        <w:rPr>
          <w:rFonts w:ascii="Gotham Narrow Bold"/>
          <w:b/>
          <w:sz w:val="40"/>
        </w:rPr>
        <w:t>FRAMEWORK</w:t>
      </w:r>
    </w:p>
    <w:p>
      <w:pPr>
        <w:pStyle w:val="BodyText"/>
        <w:spacing w:before="2"/>
        <w:rPr>
          <w:rFonts w:ascii="Gotham Narrow Bold"/>
          <w:b/>
          <w:sz w:val="20"/>
        </w:rPr>
      </w:pPr>
    </w:p>
    <w:p>
      <w:pPr>
        <w:pStyle w:val="BodyText"/>
        <w:rPr>
          <w:rFonts w:ascii="Gotham Narrow Bold"/>
          <w:b/>
          <w:sz w:val="18"/>
        </w:rPr>
      </w:pPr>
    </w:p>
    <w:p>
      <w:pPr>
        <w:pStyle w:val="ListParagraph"/>
        <w:numPr>
          <w:ilvl w:val="1"/>
          <w:numId w:val="2"/>
        </w:numPr>
        <w:tabs>
          <w:tab w:pos="5522" w:val="left" w:leader="none"/>
        </w:tabs>
        <w:spacing w:line="240" w:lineRule="auto" w:before="59" w:after="0"/>
        <w:ind w:left="5521" w:right="0" w:hanging="190"/>
        <w:jc w:val="left"/>
        <w:rPr>
          <w:rFonts w:ascii="Gotham Narrow Bold"/>
          <w:b/>
          <w:sz w:val="24"/>
        </w:rPr>
      </w:pPr>
      <w:r>
        <w:rPr/>
        <w:pict>
          <v:shape style="position:absolute;margin-left:85.773003pt;margin-top:6.992305pt;width:82.2pt;height:32.75pt;mso-position-horizontal-relative:page;mso-position-vertical-relative:paragraph;z-index:1984" type="#_x0000_t202" filled="true" fillcolor="#e6e7e8" stroked="true" strokeweight=".5pt" strokecolor="#a7a9ac">
            <v:textbox inset="0,0,0,0">
              <w:txbxContent>
                <w:p>
                  <w:pPr>
                    <w:pStyle w:val="BodyText"/>
                    <w:spacing w:before="3"/>
                    <w:rPr>
                      <w:sz w:val="19"/>
                    </w:rPr>
                  </w:pPr>
                </w:p>
                <w:p>
                  <w:pPr>
                    <w:spacing w:before="0"/>
                    <w:ind w:left="95" w:right="16" w:firstLine="0"/>
                    <w:jc w:val="left"/>
                    <w:rPr>
                      <w:rFonts w:ascii="Gotham Narrow Bold"/>
                      <w:b/>
                      <w:sz w:val="16"/>
                    </w:rPr>
                  </w:pPr>
                  <w:r>
                    <w:rPr>
                      <w:rFonts w:ascii="Gotham Narrow Bold"/>
                      <w:b/>
                      <w:w w:val="95"/>
                      <w:sz w:val="16"/>
                    </w:rPr>
                    <w:t>RISK GOVERNANCE</w:t>
                  </w:r>
                </w:p>
              </w:txbxContent>
            </v:textbox>
            <v:fill type="solid"/>
            <w10:wrap type="none"/>
          </v:shape>
        </w:pict>
      </w:r>
      <w:r>
        <w:rPr/>
        <w:pict>
          <v:shape style="position:absolute;margin-left:431.274994pt;margin-top:6.992305pt;width:82.2pt;height:32.75pt;mso-position-horizontal-relative:page;mso-position-vertical-relative:paragraph;z-index:2008" type="#_x0000_t202" filled="true" fillcolor="#e6e7e8" stroked="true" strokeweight=".5pt" strokecolor="#a7a9ac">
            <v:textbox inset="0,0,0,0">
              <w:txbxContent>
                <w:p>
                  <w:pPr>
                    <w:spacing w:line="249" w:lineRule="auto" w:before="132"/>
                    <w:ind w:left="151" w:right="16" w:firstLine="171"/>
                    <w:jc w:val="left"/>
                    <w:rPr>
                      <w:rFonts w:ascii="Gotham Narrow Bold"/>
                      <w:b/>
                      <w:sz w:val="16"/>
                    </w:rPr>
                  </w:pPr>
                  <w:r>
                    <w:rPr>
                      <w:rFonts w:ascii="Gotham Narrow Bold"/>
                      <w:b/>
                      <w:sz w:val="16"/>
                    </w:rPr>
                    <w:t>MONITORING </w:t>
                  </w:r>
                  <w:r>
                    <w:rPr>
                      <w:rFonts w:ascii="Gotham Narrow Bold"/>
                      <w:b/>
                      <w:w w:val="95"/>
                      <w:sz w:val="16"/>
                    </w:rPr>
                    <w:t>AND EVALUATION</w:t>
                  </w:r>
                </w:p>
              </w:txbxContent>
            </v:textbox>
            <v:fill type="solid"/>
            <w10:wrap type="none"/>
          </v:shape>
        </w:pict>
      </w:r>
      <w:r>
        <w:rPr/>
        <w:pict>
          <v:shape style="position:absolute;margin-left:301.775848pt;margin-top:-31.0728pt;width:4.8pt;height:18.6pt;mso-position-horizontal-relative:page;mso-position-vertical-relative:paragraph;z-index:2128;rotation:2" type="#_x0000_t136" fillcolor="#000000" stroked="f">
            <o:extrusion v:ext="view" autorotationcenter="t"/>
            <v:textpath style="font-family:&amp;quot;Tahoma&amp;quot;;font-size:18pt;v-text-kern:t;mso-text-shadow:auto" string="I"/>
            <w10:wrap type="none"/>
          </v:shape>
        </w:pict>
      </w:r>
      <w:r>
        <w:rPr/>
        <w:pict>
          <v:shape style="position:absolute;margin-left:309.919495pt;margin-top:-30.099529pt;width:11.6pt;height:18.6pt;mso-position-horizontal-relative:page;mso-position-vertical-relative:paragraph;z-index:2176;rotation:7" type="#_x0000_t136" fillcolor="#000000" stroked="f">
            <o:extrusion v:ext="view" autorotationcenter="t"/>
            <v:textpath style="font-family:&amp;quot;Tahoma&amp;quot;;font-size:18pt;v-text-kern:t;mso-text-shadow:auto" string="C"/>
            <w10:wrap type="none"/>
          </v:shape>
        </w:pict>
      </w:r>
      <w:r>
        <w:rPr/>
        <w:pict>
          <v:shape style="position:absolute;margin-left:324.684845pt;margin-top:-27.455597pt;width:12.7pt;height:18.6pt;mso-position-horizontal-relative:page;mso-position-vertical-relative:paragraph;z-index:2224;rotation:12" type="#_x0000_t136" fillcolor="#000000" stroked="f">
            <o:extrusion v:ext="view" autorotationcenter="t"/>
            <v:textpath style="font-family:&amp;quot;Tahoma&amp;quot;;font-size:18pt;v-text-kern:t;mso-text-shadow:auto" string="A"/>
            <w10:wrap type="none"/>
          </v:shape>
        </w:pict>
      </w:r>
      <w:r>
        <w:rPr/>
        <w:pict>
          <v:shape style="position:absolute;margin-left:339.073486pt;margin-top:-23.970808pt;width:10.15pt;height:18.6pt;mso-position-horizontal-relative:page;mso-position-vertical-relative:paragraph;z-index:2272;rotation:17" type="#_x0000_t136" fillcolor="#000000" stroked="f">
            <o:extrusion v:ext="view" autorotationcenter="t"/>
            <v:textpath style="font-family:&amp;quot;Tahoma&amp;quot;;font-size:18pt;v-text-kern:t;mso-text-shadow:auto" string="T"/>
            <w10:wrap type="none"/>
          </v:shape>
        </w:pict>
      </w:r>
      <w:r>
        <w:rPr/>
        <w:pict>
          <v:shape style="position:absolute;margin-left:352.095886pt;margin-top:-20.4575pt;width:4.55pt;height:18.6pt;mso-position-horizontal-relative:page;mso-position-vertical-relative:paragraph;z-index:2320;rotation:21" type="#_x0000_t136" fillcolor="#000000" stroked="f">
            <o:extrusion v:ext="view" autorotationcenter="t"/>
            <v:textpath style="font-family:&amp;quot;Tahoma&amp;quot;;font-size:18pt;v-text-kern:t;mso-text-shadow:auto" string="I"/>
            <w10:wrap type="none"/>
          </v:shape>
        </w:pict>
      </w:r>
      <w:r>
        <w:rPr/>
        <w:pict>
          <v:shape style="position:absolute;margin-left:359.049561pt;margin-top:-15.665402pt;width:13.6pt;height:18.6pt;mso-position-horizontal-relative:page;mso-position-vertical-relative:paragraph;z-index:2368;rotation:24" type="#_x0000_t136" fillcolor="#000000" stroked="f">
            <o:extrusion v:ext="view" autorotationcenter="t"/>
            <v:textpath style="font-family:&amp;quot;Tahoma&amp;quot;;font-size:18pt;v-text-kern:t;mso-text-shadow:auto" string="O"/>
            <w10:wrap type="none"/>
          </v:shape>
        </w:pict>
      </w:r>
      <w:r>
        <w:rPr/>
        <w:pict>
          <v:shape style="position:absolute;margin-left:374.200104pt;margin-top:-8.152142pt;width:12.75pt;height:18.6pt;mso-position-horizontal-relative:page;mso-position-vertical-relative:paragraph;z-index:2392;rotation:29" type="#_x0000_t136" fillcolor="#000000" stroked="f">
            <o:extrusion v:ext="view" autorotationcenter="t"/>
            <v:textpath style="font-family:&amp;quot;Tahoma&amp;quot;;font-size:18pt;v-text-kern:t;mso-text-shadow:auto" string="N"/>
            <w10:wrap type="none"/>
          </v:shape>
        </w:pict>
      </w:r>
      <w:r>
        <w:rPr/>
        <w:pict>
          <v:shape style="position:absolute;margin-left:206.822083pt;margin-top:-8.244186pt;width:11.7pt;height:18.6pt;mso-position-horizontal-relative:page;mso-position-vertical-relative:paragraph;z-index:2416;rotation:332" type="#_x0000_t136" fillcolor="#000000" stroked="f">
            <o:extrusion v:ext="view" autorotationcenter="t"/>
            <v:textpath style="font-family:&amp;quot;Tahoma&amp;quot;;font-size:18pt;v-text-kern:t;mso-text-shadow:auto" string="C"/>
            <w10:wrap type="none"/>
          </v:shape>
        </w:pict>
      </w:r>
      <w:r>
        <w:rPr/>
        <w:pict>
          <v:shape style="position:absolute;margin-left:219.770172pt;margin-top:-15.323159pt;width:13.45pt;height:18.6pt;mso-position-horizontal-relative:page;mso-position-vertical-relative:paragraph;z-index:2440;rotation:336" type="#_x0000_t136" fillcolor="#000000" stroked="f">
            <o:extrusion v:ext="view" autorotationcenter="t"/>
            <v:textpath style="font-family:&amp;quot;Tahoma&amp;quot;;font-size:18pt;v-text-kern:t;mso-text-shadow:auto" string="O"/>
            <w10:wrap type="none"/>
          </v:shape>
        </w:pict>
      </w:r>
      <w:r>
        <w:rPr/>
        <w:pict>
          <v:shape style="position:absolute;margin-left:235.433502pt;margin-top:-21.836985pt;width:14.25pt;height:18.6pt;mso-position-horizontal-relative:page;mso-position-vertical-relative:paragraph;z-index:2512;rotation:342" type="#_x0000_t136" fillcolor="#000000" stroked="f">
            <o:extrusion v:ext="view" autorotationcenter="t"/>
            <v:textpath style="font-family:&amp;quot;Tahoma&amp;quot;;font-size:18pt;v-text-kern:t;mso-text-shadow:auto" string="M"/>
            <w10:wrap type="none"/>
          </v:shape>
        </w:pict>
      </w:r>
      <w:r>
        <w:rPr/>
        <w:pict>
          <v:shape style="position:absolute;margin-left:252.481583pt;margin-top:-26.820507pt;width:14pt;height:18.6pt;mso-position-horizontal-relative:page;mso-position-vertical-relative:paragraph;z-index:2560;rotation:347" type="#_x0000_t136" fillcolor="#000000" stroked="f">
            <o:extrusion v:ext="view" autorotationcenter="t"/>
            <v:textpath style="font-family:&amp;quot;Tahoma&amp;quot;;font-size:18pt;v-text-kern:t;mso-text-shadow:auto" string="M"/>
            <w10:wrap type="none"/>
          </v:shape>
        </w:pict>
      </w:r>
      <w:r>
        <w:rPr/>
        <w:pict>
          <v:shape style="position:absolute;margin-left:269.820587pt;margin-top:-29.898411pt;width:12.4pt;height:18.6pt;mso-position-horizontal-relative:page;mso-position-vertical-relative:paragraph;z-index:2632;rotation:354" type="#_x0000_t136" fillcolor="#000000" stroked="f">
            <o:extrusion v:ext="view" autorotationcenter="t"/>
            <v:textpath style="font-family:&amp;quot;Tahoma&amp;quot;;font-size:18pt;v-text-kern:t;mso-text-shadow:auto" string="U"/>
            <w10:wrap type="none"/>
          </v:shape>
        </w:pict>
      </w:r>
      <w:r>
        <w:rPr>
          <w:rFonts w:ascii="Gotham Narrow Bold"/>
          <w:b/>
          <w:color w:val="6D6E71"/>
          <w:sz w:val="24"/>
        </w:rPr>
        <w:t>CONTEXT</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4"/>
        <w:rPr>
          <w:rFonts w:ascii="Gotham Narrow Bold"/>
          <w:b/>
          <w:sz w:val="27"/>
        </w:rPr>
      </w:pPr>
    </w:p>
    <w:p>
      <w:pPr>
        <w:spacing w:after="0"/>
        <w:rPr>
          <w:rFonts w:ascii="Gotham Narrow Bold"/>
          <w:sz w:val="27"/>
        </w:rPr>
        <w:sectPr>
          <w:pgSz w:w="11910" w:h="16840"/>
          <w:pgMar w:header="494" w:footer="473" w:top="680" w:bottom="660" w:left="0" w:right="580"/>
        </w:sectPr>
      </w:pPr>
    </w:p>
    <w:p>
      <w:pPr>
        <w:spacing w:before="59"/>
        <w:ind w:left="2663" w:right="-16" w:firstLine="0"/>
        <w:jc w:val="left"/>
        <w:rPr>
          <w:rFonts w:ascii="Gotham Narrow Bold"/>
          <w:b/>
          <w:sz w:val="24"/>
        </w:rPr>
      </w:pPr>
      <w:r>
        <w:rPr>
          <w:rFonts w:ascii="Gotham Narrow Bold"/>
          <w:b/>
          <w:color w:val="6D6E71"/>
          <w:w w:val="95"/>
          <w:sz w:val="24"/>
        </w:rPr>
        <w:t>VI. MONITOR</w:t>
      </w:r>
    </w:p>
    <w:p>
      <w:pPr>
        <w:pStyle w:val="BodyText"/>
        <w:spacing w:before="11"/>
        <w:rPr>
          <w:rFonts w:ascii="Gotham Narrow Bold"/>
          <w:b/>
          <w:sz w:val="33"/>
        </w:rPr>
      </w:pPr>
      <w:r>
        <w:rPr/>
        <w:br w:type="column"/>
      </w:r>
      <w:r>
        <w:rPr>
          <w:rFonts w:ascii="Gotham Narrow Bold"/>
          <w:b/>
          <w:sz w:val="33"/>
        </w:rPr>
      </w:r>
    </w:p>
    <w:p>
      <w:pPr>
        <w:spacing w:before="0"/>
        <w:ind w:left="1188" w:right="302" w:hanging="1"/>
        <w:jc w:val="center"/>
        <w:rPr>
          <w:rFonts w:ascii="Gotham Narrow Bold"/>
          <w:b/>
          <w:sz w:val="26"/>
        </w:rPr>
      </w:pPr>
      <w:r>
        <w:rPr>
          <w:rFonts w:ascii="Gotham Narrow Bold"/>
          <w:b/>
          <w:w w:val="95"/>
          <w:sz w:val="26"/>
        </w:rPr>
        <w:t>AS/NZS ISO 31000:2009</w:t>
      </w:r>
    </w:p>
    <w:p>
      <w:pPr>
        <w:spacing w:before="185"/>
        <w:ind w:left="883" w:right="0" w:firstLine="0"/>
        <w:jc w:val="center"/>
        <w:rPr>
          <w:rFonts w:ascii="Gotham Narrow Bold"/>
          <w:b/>
          <w:sz w:val="26"/>
        </w:rPr>
      </w:pPr>
      <w:r>
        <w:rPr>
          <w:rFonts w:ascii="Gotham Narrow Bold"/>
          <w:b/>
          <w:w w:val="95"/>
          <w:sz w:val="26"/>
        </w:rPr>
        <w:t>Risk Management </w:t>
      </w:r>
      <w:r>
        <w:rPr>
          <w:rFonts w:ascii="Gotham Narrow Bold"/>
          <w:b/>
          <w:sz w:val="26"/>
        </w:rPr>
        <w:t>Standard</w:t>
      </w:r>
    </w:p>
    <w:p>
      <w:pPr>
        <w:pStyle w:val="ListParagraph"/>
        <w:numPr>
          <w:ilvl w:val="1"/>
          <w:numId w:val="2"/>
        </w:numPr>
        <w:tabs>
          <w:tab w:pos="1313" w:val="left" w:leader="none"/>
        </w:tabs>
        <w:spacing w:line="240" w:lineRule="auto" w:before="59" w:after="0"/>
        <w:ind w:left="1312" w:right="0" w:hanging="261"/>
        <w:jc w:val="left"/>
        <w:rPr>
          <w:rFonts w:ascii="Gotham Narrow Bold"/>
          <w:b/>
          <w:sz w:val="24"/>
        </w:rPr>
      </w:pPr>
      <w:r>
        <w:rPr>
          <w:rFonts w:ascii="Gotham Narrow Bold"/>
          <w:b/>
          <w:color w:val="6D6E71"/>
          <w:w w:val="95"/>
          <w:sz w:val="24"/>
        </w:rPr>
        <w:br w:type="column"/>
      </w:r>
      <w:r>
        <w:rPr>
          <w:rFonts w:ascii="Gotham Narrow Bold"/>
          <w:b/>
          <w:color w:val="6D6E71"/>
          <w:sz w:val="24"/>
        </w:rPr>
        <w:t>IDENTIFY</w:t>
      </w:r>
    </w:p>
    <w:p>
      <w:pPr>
        <w:spacing w:after="0" w:line="240" w:lineRule="auto"/>
        <w:jc w:val="left"/>
        <w:rPr>
          <w:rFonts w:ascii="Gotham Narrow Bold"/>
          <w:sz w:val="24"/>
        </w:rPr>
        <w:sectPr>
          <w:type w:val="continuous"/>
          <w:pgSz w:w="11910" w:h="16840"/>
          <w:pgMar w:top="1580" w:bottom="280" w:left="0" w:right="580"/>
          <w:cols w:num="3" w:equalWidth="0">
            <w:col w:w="4054" w:space="40"/>
            <w:col w:w="2928" w:space="40"/>
            <w:col w:w="4268"/>
          </w:cols>
        </w:sectPr>
      </w:pPr>
    </w:p>
    <w:p>
      <w:pPr>
        <w:pStyle w:val="BodyText"/>
        <w:rPr>
          <w:rFonts w:ascii="Gotham Narrow Bold"/>
          <w:b/>
          <w:sz w:val="20"/>
        </w:rPr>
      </w:pPr>
    </w:p>
    <w:p>
      <w:pPr>
        <w:pStyle w:val="BodyText"/>
        <w:spacing w:before="8"/>
        <w:rPr>
          <w:rFonts w:ascii="Gotham Narrow Bold"/>
          <w:b/>
          <w:sz w:val="27"/>
        </w:rPr>
      </w:pPr>
    </w:p>
    <w:p>
      <w:pPr>
        <w:tabs>
          <w:tab w:pos="7762" w:val="left" w:leader="none"/>
        </w:tabs>
        <w:spacing w:before="59"/>
        <w:ind w:left="3105" w:right="0" w:firstLine="0"/>
        <w:jc w:val="left"/>
        <w:rPr>
          <w:rFonts w:ascii="Gotham Narrow Bold"/>
          <w:b/>
          <w:sz w:val="24"/>
        </w:rPr>
      </w:pPr>
      <w:r>
        <w:rPr/>
        <w:pict>
          <v:shape style="position:absolute;margin-left:45.354pt;margin-top:-48.115211pt;width:82.2pt;height:32.75pt;mso-position-horizontal-relative:page;mso-position-vertical-relative:paragraph;z-index:2032" type="#_x0000_t202" filled="true" fillcolor="#e6e7e8" stroked="true" strokeweight=".5pt" strokecolor="#a7a9ac">
            <v:textbox inset="0,0,0,0">
              <w:txbxContent>
                <w:p>
                  <w:pPr>
                    <w:pStyle w:val="BodyText"/>
                    <w:spacing w:before="3"/>
                    <w:rPr>
                      <w:sz w:val="19"/>
                    </w:rPr>
                  </w:pPr>
                </w:p>
                <w:p>
                  <w:pPr>
                    <w:spacing w:before="0"/>
                    <w:ind w:left="513" w:right="16" w:firstLine="0"/>
                    <w:jc w:val="left"/>
                    <w:rPr>
                      <w:rFonts w:ascii="Gotham Narrow Bold"/>
                      <w:b/>
                      <w:sz w:val="16"/>
                    </w:rPr>
                  </w:pPr>
                  <w:r>
                    <w:rPr>
                      <w:rFonts w:ascii="Gotham Narrow Bold"/>
                      <w:b/>
                      <w:sz w:val="16"/>
                    </w:rPr>
                    <w:t>REVIEW</w:t>
                  </w:r>
                </w:p>
              </w:txbxContent>
            </v:textbox>
            <v:fill type="solid"/>
            <w10:wrap type="none"/>
          </v:shape>
        </w:pict>
      </w:r>
      <w:r>
        <w:rPr/>
        <w:pict>
          <v:shape style="position:absolute;margin-left:467.769012pt;margin-top:-48.335213pt;width:82.2pt;height:32.75pt;mso-position-horizontal-relative:page;mso-position-vertical-relative:paragraph;z-index:2056" type="#_x0000_t202" filled="true" fillcolor="#e6e7e8" stroked="true" strokeweight=".5pt" strokecolor="#a7a9ac">
            <v:textbox inset="0,0,0,0">
              <w:txbxContent>
                <w:p>
                  <w:pPr>
                    <w:spacing w:line="249" w:lineRule="auto" w:before="132"/>
                    <w:ind w:left="170" w:right="16" w:hanging="56"/>
                    <w:jc w:val="left"/>
                    <w:rPr>
                      <w:rFonts w:ascii="Gotham Narrow Bold"/>
                      <w:b/>
                      <w:sz w:val="16"/>
                    </w:rPr>
                  </w:pPr>
                  <w:r>
                    <w:rPr>
                      <w:rFonts w:ascii="Gotham Narrow Bold"/>
                      <w:b/>
                      <w:w w:val="95"/>
                      <w:sz w:val="16"/>
                    </w:rPr>
                    <w:t>INTEGRATION AND </w:t>
                  </w:r>
                  <w:r>
                    <w:rPr>
                      <w:rFonts w:ascii="Gotham Narrow Bold"/>
                      <w:b/>
                      <w:sz w:val="16"/>
                    </w:rPr>
                    <w:t>REINFORCEMENT</w:t>
                  </w:r>
                </w:p>
              </w:txbxContent>
            </v:textbox>
            <v:fill type="solid"/>
            <w10:wrap type="none"/>
          </v:shape>
        </w:pict>
      </w:r>
      <w:r>
        <w:rPr>
          <w:rFonts w:ascii="Gotham Narrow Bold"/>
          <w:b/>
          <w:color w:val="6D6E71"/>
          <w:spacing w:val="-12"/>
          <w:sz w:val="24"/>
        </w:rPr>
        <w:t>V.</w:t>
      </w:r>
      <w:r>
        <w:rPr>
          <w:rFonts w:ascii="Gotham Narrow Bold"/>
          <w:b/>
          <w:color w:val="6D6E71"/>
          <w:spacing w:val="-18"/>
          <w:sz w:val="24"/>
        </w:rPr>
        <w:t> </w:t>
      </w:r>
      <w:r>
        <w:rPr>
          <w:rFonts w:ascii="Gotham Narrow Bold"/>
          <w:b/>
          <w:color w:val="6D6E71"/>
          <w:spacing w:val="-4"/>
          <w:sz w:val="24"/>
        </w:rPr>
        <w:t>TREAT</w:t>
        <w:tab/>
      </w:r>
      <w:r>
        <w:rPr>
          <w:rFonts w:ascii="Gotham Narrow Bold"/>
          <w:b/>
          <w:color w:val="6D6E71"/>
          <w:w w:val="95"/>
          <w:sz w:val="24"/>
        </w:rPr>
        <w:t>III.</w:t>
      </w:r>
      <w:r>
        <w:rPr>
          <w:rFonts w:ascii="Gotham Narrow Bold"/>
          <w:b/>
          <w:color w:val="6D6E71"/>
          <w:spacing w:val="-10"/>
          <w:w w:val="95"/>
          <w:sz w:val="24"/>
        </w:rPr>
        <w:t> </w:t>
      </w:r>
      <w:r>
        <w:rPr>
          <w:rFonts w:ascii="Gotham Narrow Bold"/>
          <w:b/>
          <w:color w:val="6D6E71"/>
          <w:w w:val="95"/>
          <w:sz w:val="24"/>
        </w:rPr>
        <w:t>ASSESS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11"/>
        <w:rPr>
          <w:rFonts w:ascii="Gotham Narrow Bold"/>
          <w:b/>
          <w:sz w:val="17"/>
        </w:rPr>
      </w:pPr>
    </w:p>
    <w:p>
      <w:pPr>
        <w:spacing w:before="60"/>
        <w:ind w:left="5252" w:right="4353" w:firstLine="0"/>
        <w:jc w:val="left"/>
        <w:rPr>
          <w:rFonts w:ascii="Gotham Narrow Bold"/>
          <w:b/>
          <w:sz w:val="24"/>
        </w:rPr>
      </w:pPr>
      <w:r>
        <w:rPr/>
        <w:pict>
          <v:shape style="position:absolute;margin-left:228.388733pt;margin-top:20.079540pt;width:11.45pt;height:18.6pt;mso-position-horizontal-relative:page;mso-position-vertical-relative:paragraph;z-index:2344;rotation:21" type="#_x0000_t136" fillcolor="#000000" stroked="f">
            <o:extrusion v:ext="view" autorotationcenter="t"/>
            <v:textpath style="font-family:&amp;quot;Tahoma&amp;quot;;font-size:18pt;v-text-kern:t;mso-text-shadow:auto" string="C"/>
            <w10:wrap type="none"/>
          </v:shape>
        </w:pict>
      </w:r>
      <w:r>
        <w:rPr/>
        <w:pict>
          <v:shape style="position:absolute;margin-left:369.343628pt;margin-top:19.214762pt;width:12.85pt;height:18.6pt;mso-position-horizontal-relative:page;mso-position-vertical-relative:paragraph;z-index:2464;rotation:337" type="#_x0000_t136" fillcolor="#000000" stroked="f">
            <o:extrusion v:ext="view" autorotationcenter="t"/>
            <v:textpath style="font-family:&amp;quot;Tahoma&amp;quot;;font-size:18pt;v-text-kern:t;mso-text-shadow:auto" string="N"/>
            <w10:wrap type="none"/>
          </v:shape>
        </w:pict>
      </w:r>
      <w:r>
        <w:rPr>
          <w:rFonts w:ascii="Gotham Narrow Bold"/>
          <w:b/>
          <w:color w:val="6D6E71"/>
          <w:w w:val="95"/>
          <w:sz w:val="24"/>
        </w:rPr>
        <w:t>IV. PRIORITISE</w:t>
      </w:r>
    </w:p>
    <w:p>
      <w:pPr>
        <w:pStyle w:val="BodyText"/>
        <w:spacing w:before="9"/>
        <w:rPr>
          <w:rFonts w:ascii="Gotham Narrow Bold"/>
          <w:b/>
          <w:sz w:val="22"/>
        </w:rPr>
      </w:pPr>
    </w:p>
    <w:p>
      <w:pPr>
        <w:spacing w:before="0"/>
        <w:ind w:left="836" w:right="0" w:firstLine="0"/>
        <w:jc w:val="center"/>
        <w:rPr>
          <w:sz w:val="37"/>
        </w:rPr>
      </w:pPr>
      <w:r>
        <w:rPr/>
        <w:pict>
          <v:shape style="position:absolute;margin-left:141.490005pt;margin-top:8.560532pt;width:82.2pt;height:32.75pt;mso-position-horizontal-relative:page;mso-position-vertical-relative:paragraph;z-index:2080" type="#_x0000_t202" filled="true" fillcolor="#e6e7e8" stroked="true" strokeweight=".5pt" strokecolor="#a7a9ac">
            <v:textbox inset="0,0,0,0">
              <w:txbxContent>
                <w:p>
                  <w:pPr>
                    <w:pStyle w:val="BodyText"/>
                    <w:spacing w:before="3"/>
                    <w:rPr>
                      <w:sz w:val="19"/>
                    </w:rPr>
                  </w:pPr>
                </w:p>
                <w:p>
                  <w:pPr>
                    <w:spacing w:before="0"/>
                    <w:ind w:left="281" w:right="16" w:firstLine="0"/>
                    <w:jc w:val="left"/>
                    <w:rPr>
                      <w:rFonts w:ascii="Gotham Narrow Bold"/>
                      <w:b/>
                      <w:sz w:val="16"/>
                    </w:rPr>
                  </w:pPr>
                  <w:r>
                    <w:rPr>
                      <w:rFonts w:ascii="Gotham Narrow Bold"/>
                      <w:b/>
                      <w:sz w:val="16"/>
                    </w:rPr>
                    <w:t>INFORMATION</w:t>
                  </w:r>
                </w:p>
              </w:txbxContent>
            </v:textbox>
            <v:fill type="solid"/>
            <w10:wrap type="none"/>
          </v:shape>
        </w:pict>
      </w:r>
      <w:r>
        <w:rPr/>
        <w:pict>
          <v:shape style="position:absolute;margin-left:373.377014pt;margin-top:8.560532pt;width:82.2pt;height:32.75pt;mso-position-horizontal-relative:page;mso-position-vertical-relative:paragraph;z-index:2104" type="#_x0000_t202" filled="true" fillcolor="#e6e7e8" stroked="true" strokeweight=".5pt" strokecolor="#a7a9ac">
            <v:textbox inset="0,0,0,0">
              <w:txbxContent>
                <w:p>
                  <w:pPr>
                    <w:spacing w:line="249" w:lineRule="auto" w:before="132"/>
                    <w:ind w:left="397" w:right="16" w:firstLine="71"/>
                    <w:jc w:val="left"/>
                    <w:rPr>
                      <w:rFonts w:ascii="Gotham Narrow Bold"/>
                      <w:b/>
                      <w:sz w:val="16"/>
                    </w:rPr>
                  </w:pPr>
                  <w:r>
                    <w:rPr>
                      <w:rFonts w:ascii="Gotham Narrow Bold"/>
                      <w:b/>
                      <w:sz w:val="16"/>
                    </w:rPr>
                    <w:t>COMMON </w:t>
                  </w:r>
                  <w:r>
                    <w:rPr>
                      <w:rFonts w:ascii="Gotham Narrow Bold"/>
                      <w:b/>
                      <w:w w:val="95"/>
                      <w:sz w:val="16"/>
                    </w:rPr>
                    <w:t>LANGUAGE</w:t>
                  </w:r>
                </w:p>
              </w:txbxContent>
            </v:textbox>
            <v:fill type="solid"/>
            <w10:wrap type="none"/>
          </v:shape>
        </w:pict>
      </w:r>
      <w:r>
        <w:rPr/>
        <w:pict>
          <v:shape style="position:absolute;margin-left:284.382172pt;margin-top:2.621392pt;width:12.35pt;height:18.6pt;mso-position-horizontal-relative:page;mso-position-vertical-relative:paragraph;z-index:2152;rotation:4" type="#_x0000_t136" fillcolor="#000000" stroked="f">
            <o:extrusion v:ext="view" autorotationcenter="t"/>
            <v:textpath style="font-family:&amp;quot;Tahoma&amp;quot;;font-size:18pt;v-text-kern:t;mso-text-shadow:auto" string="U"/>
            <w10:wrap type="none"/>
          </v:shape>
        </w:pict>
      </w:r>
      <w:r>
        <w:rPr/>
        <w:pict>
          <v:shape style="position:absolute;margin-left:271.744781pt;margin-top:.908377pt;width:10.15pt;height:18.6pt;mso-position-horizontal-relative:page;mso-position-vertical-relative:paragraph;z-index:2200;rotation:9" type="#_x0000_t136" fillcolor="#000000" stroked="f">
            <o:extrusion v:ext="view" autorotationcenter="t"/>
            <v:textpath style="font-family:&amp;quot;Tahoma&amp;quot;;font-size:18pt;v-text-kern:t;mso-text-shadow:auto" string="S"/>
            <w10:wrap type="none"/>
          </v:shape>
        </w:pict>
      </w:r>
      <w:r>
        <w:rPr/>
        <w:pict>
          <v:shape style="position:absolute;margin-left:256.701508pt;margin-top:-1.858306pt;width:12.6pt;height:18.6pt;mso-position-horizontal-relative:page;mso-position-vertical-relative:paragraph;z-index:2248;rotation:13" type="#_x0000_t136" fillcolor="#000000" stroked="f">
            <o:extrusion v:ext="view" autorotationcenter="t"/>
            <v:textpath style="font-family:&amp;quot;Tahoma&amp;quot;;font-size:18pt;v-text-kern:t;mso-text-shadow:auto" string="N"/>
            <w10:wrap type="none"/>
          </v:shape>
        </w:pict>
      </w:r>
      <w:r>
        <w:rPr/>
        <w:pict>
          <v:shape style="position:absolute;margin-left:241.257813pt;margin-top:-6.053829pt;width:13.35pt;height:18.6pt;mso-position-horizontal-relative:page;mso-position-vertical-relative:paragraph;z-index:2296;rotation:17" type="#_x0000_t136" fillcolor="#000000" stroked="f">
            <o:extrusion v:ext="view" autorotationcenter="t"/>
            <v:textpath style="font-family:&amp;quot;Tahoma&amp;quot;;font-size:18pt;v-text-kern:t;mso-text-shadow:auto" string="O"/>
            <w10:wrap type="none"/>
          </v:shape>
        </w:pict>
      </w:r>
      <w:r>
        <w:rPr/>
        <w:pict>
          <v:shape style="position:absolute;margin-left:354.40686pt;margin-top:-6.053707pt;width:13.6pt;height:18.6pt;mso-position-horizontal-relative:page;mso-position-vertical-relative:paragraph;z-index:2488;rotation:341" type="#_x0000_t136" fillcolor="#000000" stroked="f">
            <o:extrusion v:ext="view" autorotationcenter="t"/>
            <v:textpath style="font-family:&amp;quot;Tahoma&amp;quot;;font-size:18pt;v-text-kern:t;mso-text-shadow:auto" string="O"/>
            <w10:wrap type="none"/>
          </v:shape>
        </w:pict>
      </w:r>
      <w:r>
        <w:rPr/>
        <w:pict>
          <v:shape style="position:absolute;margin-left:347.796753pt;margin-top:-2.606091pt;width:4.6pt;height:18.6pt;mso-position-horizontal-relative:page;mso-position-vertical-relative:paragraph;z-index:2536;rotation:344" type="#_x0000_t136" fillcolor="#000000" stroked="f">
            <o:extrusion v:ext="view" autorotationcenter="t"/>
            <v:textpath style="font-family:&amp;quot;Tahoma&amp;quot;;font-size:18pt;v-text-kern:t;mso-text-shadow:auto" string="I"/>
            <w10:wrap type="none"/>
          </v:shape>
        </w:pict>
      </w:r>
      <w:r>
        <w:rPr/>
        <w:pict>
          <v:shape style="position:absolute;margin-left:335.229736pt;margin-top:-.270556pt;width:10.2pt;height:18.6pt;mso-position-horizontal-relative:page;mso-position-vertical-relative:paragraph;z-index:2584;rotation:348" type="#_x0000_t136" fillcolor="#000000" stroked="f">
            <o:extrusion v:ext="view" autorotationcenter="t"/>
            <v:textpath style="font-family:&amp;quot;Tahoma&amp;quot;;font-size:18pt;v-text-kern:t;mso-text-shadow:auto" string="T"/>
            <w10:wrap type="none"/>
          </v:shape>
        </w:pict>
      </w:r>
      <w:r>
        <w:rPr/>
        <w:pict>
          <v:shape style="position:absolute;margin-left:321.489868pt;margin-top:1.838662pt;width:12.85pt;height:18.6pt;mso-position-horizontal-relative:page;mso-position-vertical-relative:paragraph;z-index:2608;rotation:353" type="#_x0000_t136" fillcolor="#000000" stroked="f">
            <o:extrusion v:ext="view" autorotationcenter="t"/>
            <v:textpath style="font-family:&amp;quot;Tahoma&amp;quot;;font-size:18pt;v-text-kern:t;mso-text-shadow:auto" string="A"/>
            <w10:wrap type="none"/>
          </v:shape>
        </w:pict>
      </w:r>
      <w:r>
        <w:rPr/>
        <w:pict>
          <v:shape style="position:absolute;margin-left:310.23114pt;margin-top:3.014017pt;width:10.2pt;height:18.6pt;mso-position-horizontal-relative:page;mso-position-vertical-relative:paragraph;z-index:2656;rotation:357" type="#_x0000_t136" fillcolor="#000000" stroked="f">
            <o:extrusion v:ext="view" autorotationcenter="t"/>
            <v:textpath style="font-family:&amp;quot;Tahoma&amp;quot;;font-size:18pt;v-text-kern:t;mso-text-shadow:auto" string="T"/>
            <w10:wrap type="none"/>
          </v:shape>
        </w:pict>
      </w:r>
      <w:r>
        <w:rPr>
          <w:w w:val="104"/>
          <w:sz w:val="37"/>
        </w:rPr>
        <w:t>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907" w:right="0" w:firstLine="0"/>
        <w:jc w:val="left"/>
        <w:rPr>
          <w:rFonts w:ascii="Gotham Narrow Bold"/>
          <w:b/>
          <w:sz w:val="24"/>
        </w:rPr>
      </w:pPr>
      <w:r>
        <w:rPr>
          <w:rFonts w:ascii="Gotham Narrow Bold"/>
          <w:b/>
          <w:w w:val="95"/>
          <w:sz w:val="24"/>
        </w:rPr>
        <w:t>ESSENTIAL ELEMENTS FOR THE IMPLEMENTATION OF RISK MANAGEMENT</w:t>
      </w:r>
    </w:p>
    <w:p>
      <w:pPr>
        <w:pStyle w:val="BodyText"/>
        <w:spacing w:before="11"/>
        <w:rPr>
          <w:rFonts w:ascii="Gotham Narrow Bold"/>
          <w:b/>
          <w:sz w:val="11"/>
        </w:rPr>
      </w:pPr>
    </w:p>
    <w:p>
      <w:pPr>
        <w:spacing w:after="0"/>
        <w:rPr>
          <w:rFonts w:ascii="Gotham Narrow Bold"/>
          <w:sz w:val="11"/>
        </w:rPr>
        <w:sectPr>
          <w:type w:val="continuous"/>
          <w:pgSz w:w="11910" w:h="16840"/>
          <w:pgMar w:top="1580" w:bottom="280" w:left="0" w:right="580"/>
        </w:sectPr>
      </w:pPr>
    </w:p>
    <w:p>
      <w:pPr>
        <w:spacing w:before="72"/>
        <w:ind w:left="907" w:right="-16" w:firstLine="0"/>
        <w:jc w:val="left"/>
        <w:rPr>
          <w:rFonts w:ascii="Gotham Narrow Bold"/>
          <w:b/>
          <w:sz w:val="16"/>
        </w:rPr>
      </w:pPr>
      <w:r>
        <w:rPr/>
        <w:pict>
          <v:group style="position:absolute;margin-left:34.015999pt;margin-top:45.355015pt;width:527.25pt;height:751.2pt;mso-position-horizontal-relative:page;mso-position-vertical-relative:page;z-index:-332704" coordorigin="680,907" coordsize="10545,15024">
            <v:rect style="position:absolute;left:680;top:907;width:10545;height:15024" filled="true" fillcolor="#e6e7e8" stroked="false">
              <v:fill type="solid"/>
            </v:rect>
            <v:shape style="position:absolute;left:1655;top:2309;width:8583;height:8583" coordorigin="1655,2309" coordsize="8583,8583" path="m5946,10892l6022,10891,6098,10889,6174,10886,6249,10881,6324,10875,6399,10868,6473,10860,6547,10850,6620,10839,6693,10827,6766,10814,6838,10799,6910,10783,6981,10766,7052,10748,7122,10729,7192,10708,7261,10687,7330,10664,7398,10640,7466,10615,7533,10589,7600,10562,7666,10533,7732,10504,7797,10473,7861,10442,7925,10410,7988,10376,8050,10341,8112,10306,8173,10269,8234,10232,8294,10193,8353,10154,8411,10114,8469,10072,8526,10030,8582,9987,8638,9943,8693,9898,8747,9852,8800,9805,8853,9758,8905,9709,8955,9660,9006,9610,9055,9559,9103,9507,9151,9455,9198,9401,9243,9347,9288,9292,9332,9237,9376,9180,9418,9123,9459,9066,9500,9007,9539,8948,9578,8888,9615,8828,9652,8766,9687,8705,9722,8642,9755,8579,9788,8515,9819,8451,9850,8386,9879,8320,9907,8254,9934,8188,9961,8120,9986,8053,10009,7984,10032,7916,10054,7846,10074,7776,10094,7706,10112,7635,10129,7564,10145,7492,10159,7420,10173,7348,10185,7275,10196,7201,10205,7127,10214,7053,10221,6979,10227,6904,10232,6828,10235,6753,10237,6677,10238,6600,10237,6524,10235,6448,10232,6373,10227,6297,10221,6222,10214,6148,10205,6074,10196,6000,10185,5926,10173,5853,10159,5781,10145,5709,10129,5637,10112,5566,10094,5495,10074,5425,10054,5355,10032,5285,10009,5217,9986,5148,9961,5081,9934,5013,9907,4947,9879,4881,9850,4815,9819,4750,9788,4686,9755,4622,9722,4559,9687,4496,9652,4435,9615,4373,9578,4313,9539,4253,9500,4194,9459,4135,9418,4078,9376,4020,9332,3964,9288,3909,9243,3854,9198,3800,9151,3746,9103,3694,9055,3642,9006,3591,8955,3541,8905,3492,8853,3443,8800,3396,8747,3349,8693,3303,8638,3258,8582,3214,8526,3171,8469,3129,8411,3087,8353,3047,8294,3008,8234,2969,8173,2932,8112,2895,8050,2859,7988,2825,7925,2791,7861,2759,7797,2727,7732,2697,7666,2668,7600,2639,7533,2612,7466,2586,7398,2561,7330,2537,7261,2514,7192,2493,7122,2472,7052,2453,6981,2435,6910,2418,6838,2402,6766,2387,6693,2374,6620,2362,6547,2351,6473,2341,6399,2333,6324,2326,6249,2320,6174,2315,6098,2312,6022,2310,5946,2309,5870,2310,5794,2312,5718,2315,5643,2320,5568,2326,5493,2333,5419,2341,5345,2351,5272,2362,5199,2374,5126,2387,5054,2402,4983,2418,4911,2435,4841,2453,4770,2472,4700,2493,4631,2514,4562,2537,4494,2561,4426,2586,4359,2612,4292,2639,4226,2668,4161,2697,4096,2727,4031,2759,3968,2791,3905,2825,3842,2859,3780,2895,3719,2932,3659,2969,3599,3008,3539,3047,3481,3087,3423,3129,3366,3171,3310,3214,3254,3258,3199,3303,3145,3349,3092,3396,3040,3443,2988,3492,2937,3541,2887,3591,2838,3642,2789,3694,2741,3746,2695,3800,2649,3854,2604,3909,2560,3964,2517,4020,2474,4078,2433,4135,2393,4194,2353,4253,2315,4313,2277,4373,2241,4435,2205,4496,2171,4559,2137,4622,2105,4686,2073,4750,2043,4815,2013,4881,1985,4947,1958,5013,1932,5081,1907,5148,1883,5217,1860,5285,1838,5355,1818,5425,1799,5495,1780,5566,1763,5637,1748,5709,1733,5781,1720,5853,1707,5926,1697,6000,1687,6074,1678,6148,1671,6222,1665,6297,1661,6373,1657,6448,1655,6524,1655,6600,1655,6677,1657,6753,1661,6828,1665,6904,1671,6979,1678,7053,1687,7127,1697,7201,1707,7275,1720,7348,1733,7420,1748,7492,1763,7564,1780,7635,1799,7706,1818,7776,1838,7846,1860,7916,1883,7984,1907,8053,1932,8120,1958,8188,1985,8254,2013,8320,2043,8386,2073,8451,2105,8515,2137,8579,2171,8642,2205,8705,2241,8766,2277,8828,2315,8888,2353,8948,2393,9007,2433,9066,2474,9123,2517,9180,2560,9237,2604,9292,2649,9347,2695,9401,2741,9455,2789,9507,2838,9559,2887,9610,2937,9660,2988,9709,3040,9758,3092,9805,3145,9852,3199,9898,3254,9943,3310,9987,3366,10030,3423,10072,3481,10114,3539,10154,3599,10193,3659,10232,3719,10269,3780,10306,3842,10341,3905,10376,3968,10410,4031,10442,4096,10473,4161,10504,4226,10533,4292,10562,4359,10589,4426,10615,4494,10640,4562,10664,4631,10687,4700,10708,4770,10729,4841,10748,4911,10766,4983,10783,5054,10799,5126,10814,5199,10827,5272,10839,5345,10850,5419,10860,5493,10868,5568,10875,5643,10881,5718,10886,5794,10889,5870,10891,5946,10892xe" filled="false" stroked="true" strokeweight=".929pt" strokecolor="#a7a9ac">
              <v:path arrowok="t"/>
            </v:shape>
            <v:shape style="position:absolute;left:3029;top:3742;width:5718;height:5718" coordorigin="3029,3742" coordsize="5718,5718" path="m5887,9459l5963,9458,6039,9455,6114,9450,6189,9443,6263,9435,6336,9424,6409,9412,6481,9397,6553,9381,6624,9363,6694,9344,6763,9322,6832,9299,6900,9275,6967,9248,7033,9220,7098,9191,7163,9160,7226,9127,7289,9093,7351,9057,7411,9020,7471,8981,7529,8941,7587,8899,7643,8856,7699,8812,7753,8766,7806,8719,7858,8671,7909,8622,7958,8571,8006,8519,8053,8466,8099,8412,8143,8357,8186,8300,8228,8243,8268,8184,8306,8124,8344,8064,8379,8002,8414,7939,8446,7876,8478,7811,8507,7746,8535,7680,8562,7613,8586,7545,8609,7476,8631,7407,8650,7337,8668,7266,8684,7195,8698,7122,8711,7049,8722,6976,8730,6902,8737,6827,8742,6752,8745,6677,8746,6600,8745,6524,8742,6449,8737,6373,8730,6299,8722,6225,8711,6151,8698,6078,8684,6006,8668,5935,8650,5864,8631,5794,8609,5724,8586,5656,8562,5588,8535,5521,8507,5455,8478,5389,8446,5325,8414,5261,8379,5199,8344,5137,8306,5076,8268,5017,8228,4958,8186,4901,8143,4844,8099,4789,8053,4735,8006,4682,7958,4630,7909,4579,7858,4529,7806,4481,7753,4434,7699,4389,7643,4345,7587,4302,7529,4260,7471,4220,7411,4181,7351,4144,7289,4108,7226,4074,7163,4041,7098,4010,7033,3980,6967,3952,6900,3926,6832,3901,6763,3878,6694,3857,6624,3837,6553,3820,6481,3803,6409,3789,6336,3777,6263,3766,6189,3757,6114,3751,6039,3746,5963,3743,5887,3742,5811,3743,5735,3746,5660,3751,5586,3757,5512,3766,5438,3777,5365,3789,5293,3803,5222,3820,5151,3837,5081,3857,5011,3878,4943,3901,4875,3926,4808,3952,4742,3980,4676,4010,4612,4041,4548,4074,4486,4108,4424,4144,4363,4181,4304,4220,4245,4260,4187,4302,4131,4345,4076,4389,4021,4434,3968,4481,3916,4529,3866,4579,3816,4630,3768,4682,3721,4735,3676,4789,3631,4844,3589,4901,3547,4958,3507,5017,3468,5076,3431,5137,3395,5199,3361,5261,3328,5325,3297,5389,3267,5455,3239,5521,3213,5588,3188,5656,3165,5724,3144,5794,3124,5864,3106,5935,3090,6006,3076,6078,3064,6151,3053,6225,3044,6299,3037,6373,3032,6449,3030,6524,3029,6600,3030,6677,3032,6752,3037,6827,3044,6902,3053,6976,3064,7049,3076,7122,3090,7195,3106,7266,3124,7337,3144,7407,3165,7476,3188,7545,3213,7613,3239,7680,3267,7746,3297,7811,3328,7876,3361,7939,3395,8002,3431,8064,3468,8124,3507,8184,3547,8243,3589,8300,3631,8357,3676,8412,3721,8466,3768,8519,3816,8571,3866,8622,3916,8671,3968,8719,4021,8766,4076,8812,4131,8856,4187,8899,4245,8941,4304,8981,4363,9020,4424,9057,4486,9093,4548,9127,4612,9160,4676,9191,4742,9220,4808,9248,4875,9275,4943,9299,5011,9322,5081,9344,5151,9363,5222,9381,5293,9397,5365,9412,5438,9424,5512,9435,5586,9443,5660,9450,5735,9455,5811,9458,5887,9459xe" filled="false" stroked="true" strokeweight=".929pt" strokecolor="#a7a9ac">
              <v:path arrowok="t"/>
            </v:shape>
            <v:shape style="position:absolute;left:4305;top:4943;width:3283;height:3283" coordorigin="4305,4943" coordsize="3283,3283" path="m5946,4943l5871,4945,5797,4950,5723,4958,5651,4969,5580,4984,5510,5002,5441,5022,5374,5046,5307,5072,5243,5101,5179,5133,5118,5167,5058,5204,5000,5243,4943,5285,4889,5329,4836,5375,4786,5424,4737,5474,4691,5527,4647,5581,4605,5638,4566,5696,4529,5756,4495,5817,4463,5881,4434,5945,4408,6011,4384,6079,4364,6148,4346,6218,4331,6289,4320,6361,4312,6435,4307,6509,4305,6584,4307,6659,4312,6733,4320,6807,4331,6879,4346,6950,4364,7020,4384,7089,4408,7157,4434,7223,4463,7288,4495,7351,4529,7412,4566,7472,4605,7530,4647,7587,4691,7641,4737,7694,4786,7744,4836,7793,4889,7839,4943,7883,5000,7925,5058,7964,5118,8001,5179,8035,5243,8067,5307,8096,5374,8122,5441,8146,5510,8167,5580,8184,5651,8199,5723,8210,5797,8218,5871,8223,5946,8225,6021,8223,6096,8218,6169,8210,6241,8199,6312,8184,6382,8167,6451,8146,6519,8122,6585,8096,6650,8067,6713,8035,6774,8001,6834,7964,6893,7925,6949,7883,7004,7839,7056,7793,7107,7744,7155,7694,7201,7641,7245,7587,7287,7530,7326,7472,7363,7412,7398,7351,7429,7288,7458,7223,7485,7157,7508,7089,7529,7020,7546,6950,7561,6879,7572,6807,7581,6733,7586,6659,7587,6584,7586,6509,7581,6435,7572,6361,7561,6289,7546,6218,7529,6148,7508,6079,7485,6011,7458,5945,7429,5881,7398,5817,7363,5756,7326,5696,7287,5638,7245,5581,7201,5527,7155,5474,7107,5424,7056,5375,7004,5329,6949,5285,6893,5243,6834,5204,6774,5167,6713,5133,6650,5101,6585,5072,6519,5046,6451,5022,6382,5002,6312,4984,6241,4969,6169,4958,6096,4950,6021,4945,5946,4943xe" filled="true" fillcolor="#ffffff" stroked="false">
              <v:path arrowok="t"/>
              <v:fill type="solid"/>
            </v:shape>
            <v:shape style="position:absolute;left:2596;top:3639;width:6851;height:5901" coordorigin="2596,3639" coordsize="6851,5901" path="m4095,7961l3067,7961,3067,8225,4095,8225,4095,7961m4121,5504l2596,5504,2596,5855,4121,5855,4121,5504m6691,3639l5201,3639,5201,3968,6691,3968,6691,3639m6936,9211l5125,9211,5125,9540,6936,9540,6936,9211m9026,7961l7658,7961,7658,8225,9026,8225,9026,7961m9447,5504l8062,5504,8062,5855,9447,5855,9447,5504e" filled="true" fillcolor="#e6e7e8" stroked="false">
              <v:path arrowok="t"/>
              <v:fill type="solid"/>
            </v:shape>
            <v:line style="position:absolute" from="907,11895" to="4120,11895" stroked="true" strokeweight="1.5pt" strokecolor="#000000"/>
            <v:line style="position:absolute" from="907,13519" to="4120,13519" stroked="true" strokeweight="1.5pt" strokecolor="#000000"/>
            <v:line style="position:absolute" from="907,14744" to="4120,14744" stroked="true" strokeweight="1.5pt" strokecolor="#000000"/>
            <v:line style="position:absolute" from="4346,11895" to="7559,11895" stroked="true" strokeweight="1.5pt" strokecolor="#000000"/>
            <v:line style="position:absolute" from="4346,13520" to="7559,13520" stroked="true" strokeweight="1.5pt" strokecolor="#000000"/>
            <v:line style="position:absolute" from="7786,11895" to="10998,11895" stroked="true" strokeweight="1.5pt" strokecolor="#000000"/>
            <v:line style="position:absolute" from="7786,13517" to="10998,13517" stroked="true" strokeweight="1.5pt" strokecolor="#000000"/>
            <v:rect style="position:absolute;left:907;top:6938;width:1643;height:654" filled="true" fillcolor="#e6e7e8" stroked="false">
              <v:fill type="solid"/>
            </v:rect>
            <v:shape style="position:absolute;left:1715;top:2011;width:9283;height:8619" coordorigin="1715,2011" coordsize="9283,8619" path="m3359,3751l1715,3751,1715,4405,3359,4405,3359,3751m4473,9975l2830,9975,2830,10629,4473,10629,4473,9975m6852,2011l5209,2011,5209,2665,6852,2665,6852,2011m9111,9975l7468,9975,7468,10629,9111,10629,9111,9975m10269,3751l8626,3751,8626,4405,10269,4405,10269,3751m10998,6933l9355,6933,9355,7588,10998,7588,10998,6933e" filled="true" fillcolor="#e6e7e8" stroked="false">
              <v:path arrowok="t"/>
              <v:fill type="solid"/>
            </v:shape>
            <w10:wrap type="none"/>
          </v:group>
        </w:pict>
      </w:r>
      <w:r>
        <w:rPr>
          <w:rFonts w:ascii="Gotham Narrow Bold"/>
          <w:b/>
          <w:w w:val="95"/>
          <w:sz w:val="16"/>
        </w:rPr>
        <w:t>RISK GOVERNANCE</w:t>
      </w:r>
    </w:p>
    <w:p>
      <w:pPr>
        <w:pStyle w:val="BodyText"/>
        <w:spacing w:line="249" w:lineRule="auto" w:before="86"/>
        <w:ind w:left="907" w:right="28"/>
      </w:pPr>
      <w:r>
        <w:rPr/>
        <w:t>Guidance, directions, control and support provided</w:t>
      </w:r>
      <w:r>
        <w:rPr>
          <w:spacing w:val="-16"/>
        </w:rPr>
        <w:t> </w:t>
      </w:r>
      <w:r>
        <w:rPr/>
        <w:t>by</w:t>
      </w:r>
      <w:r>
        <w:rPr>
          <w:spacing w:val="-16"/>
        </w:rPr>
        <w:t> </w:t>
      </w:r>
      <w:r>
        <w:rPr/>
        <w:t>senior</w:t>
      </w:r>
      <w:r>
        <w:rPr>
          <w:spacing w:val="-16"/>
        </w:rPr>
        <w:t> </w:t>
      </w:r>
      <w:r>
        <w:rPr/>
        <w:t>management</w:t>
      </w:r>
      <w:r>
        <w:rPr>
          <w:spacing w:val="-16"/>
        </w:rPr>
        <w:t> </w:t>
      </w:r>
      <w:r>
        <w:rPr/>
        <w:t>as</w:t>
      </w:r>
      <w:r>
        <w:rPr>
          <w:spacing w:val="-16"/>
        </w:rPr>
        <w:t> </w:t>
      </w:r>
      <w:r>
        <w:rPr/>
        <w:t>well</w:t>
      </w:r>
      <w:r>
        <w:rPr>
          <w:spacing w:val="-16"/>
        </w:rPr>
        <w:t> </w:t>
      </w:r>
      <w:r>
        <w:rPr/>
        <w:t>as the management style and organisational structure</w:t>
      </w:r>
      <w:r>
        <w:rPr>
          <w:spacing w:val="-17"/>
        </w:rPr>
        <w:t> </w:t>
      </w:r>
      <w:r>
        <w:rPr/>
        <w:t>in</w:t>
      </w:r>
      <w:r>
        <w:rPr>
          <w:spacing w:val="-17"/>
        </w:rPr>
        <w:t> </w:t>
      </w:r>
      <w:r>
        <w:rPr/>
        <w:t>which</w:t>
      </w:r>
      <w:r>
        <w:rPr>
          <w:spacing w:val="-17"/>
        </w:rPr>
        <w:t> </w:t>
      </w:r>
      <w:r>
        <w:rPr/>
        <w:t>risks</w:t>
      </w:r>
      <w:r>
        <w:rPr>
          <w:spacing w:val="-17"/>
        </w:rPr>
        <w:t> </w:t>
      </w:r>
      <w:r>
        <w:rPr/>
        <w:t>are</w:t>
      </w:r>
      <w:r>
        <w:rPr>
          <w:spacing w:val="-17"/>
        </w:rPr>
        <w:t> </w:t>
      </w:r>
      <w:r>
        <w:rPr/>
        <w:t>being</w:t>
      </w:r>
      <w:r>
        <w:rPr>
          <w:spacing w:val="-17"/>
        </w:rPr>
        <w:t> </w:t>
      </w:r>
      <w:r>
        <w:rPr/>
        <w:t>managed</w:t>
      </w:r>
    </w:p>
    <w:p>
      <w:pPr>
        <w:pStyle w:val="BodyText"/>
      </w:pPr>
    </w:p>
    <w:p>
      <w:pPr>
        <w:pStyle w:val="BodyText"/>
      </w:pPr>
    </w:p>
    <w:p>
      <w:pPr>
        <w:pStyle w:val="BodyText"/>
        <w:spacing w:before="1"/>
        <w:rPr>
          <w:sz w:val="13"/>
        </w:rPr>
      </w:pPr>
    </w:p>
    <w:p>
      <w:pPr>
        <w:pStyle w:val="Heading8"/>
        <w:ind w:left="907" w:right="-16"/>
      </w:pPr>
      <w:r>
        <w:rPr>
          <w:w w:val="95"/>
        </w:rPr>
        <w:t>MANAGING RISKS AND CONTROLS</w:t>
      </w:r>
    </w:p>
    <w:p>
      <w:pPr>
        <w:pStyle w:val="BodyText"/>
        <w:spacing w:line="249" w:lineRule="auto" w:before="86"/>
        <w:ind w:left="907" w:right="28"/>
      </w:pPr>
      <w:r>
        <w:rPr/>
        <w:t>A structured process by which risks are identified, assessed, prioritised and treated/ controlled</w:t>
      </w:r>
    </w:p>
    <w:p>
      <w:pPr>
        <w:pStyle w:val="BodyText"/>
      </w:pPr>
    </w:p>
    <w:p>
      <w:pPr>
        <w:pStyle w:val="BodyText"/>
        <w:spacing w:before="7"/>
        <w:rPr>
          <w:sz w:val="12"/>
        </w:rPr>
      </w:pPr>
    </w:p>
    <w:p>
      <w:pPr>
        <w:pStyle w:val="Heading8"/>
        <w:spacing w:before="1"/>
        <w:ind w:left="907" w:right="-16"/>
      </w:pPr>
      <w:r>
        <w:rPr>
          <w:w w:val="95"/>
        </w:rPr>
        <w:t>MONITORING AND EVALUATION</w:t>
      </w:r>
    </w:p>
    <w:p>
      <w:pPr>
        <w:pStyle w:val="BodyText"/>
        <w:spacing w:line="249" w:lineRule="auto" w:before="86"/>
        <w:ind w:left="907" w:right="-2"/>
      </w:pPr>
      <w:r>
        <w:rPr/>
        <w:t>Systems/processes in place to track the progress</w:t>
      </w:r>
      <w:r>
        <w:rPr>
          <w:spacing w:val="-19"/>
        </w:rPr>
        <w:t> </w:t>
      </w:r>
      <w:r>
        <w:rPr/>
        <w:t>of</w:t>
      </w:r>
      <w:r>
        <w:rPr>
          <w:spacing w:val="-19"/>
        </w:rPr>
        <w:t> </w:t>
      </w:r>
      <w:r>
        <w:rPr/>
        <w:t>risk</w:t>
      </w:r>
      <w:r>
        <w:rPr>
          <w:spacing w:val="-19"/>
        </w:rPr>
        <w:t> </w:t>
      </w:r>
      <w:r>
        <w:rPr/>
        <w:t>treatment</w:t>
      </w:r>
      <w:r>
        <w:rPr>
          <w:spacing w:val="-19"/>
        </w:rPr>
        <w:t> </w:t>
      </w:r>
      <w:r>
        <w:rPr/>
        <w:t>tasks</w:t>
      </w:r>
      <w:r>
        <w:rPr>
          <w:spacing w:val="-19"/>
        </w:rPr>
        <w:t> </w:t>
      </w:r>
      <w:r>
        <w:rPr/>
        <w:t>and</w:t>
      </w:r>
      <w:r>
        <w:rPr>
          <w:spacing w:val="-19"/>
        </w:rPr>
        <w:t> </w:t>
      </w:r>
      <w:r>
        <w:rPr/>
        <w:t>to</w:t>
      </w:r>
      <w:r>
        <w:rPr>
          <w:spacing w:val="-19"/>
        </w:rPr>
        <w:t> </w:t>
      </w:r>
      <w:r>
        <w:rPr>
          <w:spacing w:val="2"/>
        </w:rPr>
        <w:t>assess </w:t>
      </w:r>
      <w:r>
        <w:rPr/>
        <w:t>the</w:t>
      </w:r>
      <w:r>
        <w:rPr>
          <w:spacing w:val="-17"/>
        </w:rPr>
        <w:t> </w:t>
      </w:r>
      <w:r>
        <w:rPr/>
        <w:t>effectiveness</w:t>
      </w:r>
      <w:r>
        <w:rPr>
          <w:spacing w:val="-17"/>
        </w:rPr>
        <w:t> </w:t>
      </w:r>
      <w:r>
        <w:rPr/>
        <w:t>of</w:t>
      </w:r>
      <w:r>
        <w:rPr>
          <w:spacing w:val="-17"/>
        </w:rPr>
        <w:t> </w:t>
      </w:r>
      <w:r>
        <w:rPr/>
        <w:t>the</w:t>
      </w:r>
      <w:r>
        <w:rPr>
          <w:spacing w:val="-17"/>
        </w:rPr>
        <w:t> </w:t>
      </w:r>
      <w:r>
        <w:rPr/>
        <w:t>treatment</w:t>
      </w:r>
      <w:r>
        <w:rPr>
          <w:spacing w:val="-17"/>
        </w:rPr>
        <w:t> </w:t>
      </w:r>
      <w:r>
        <w:rPr/>
        <w:t>actions</w:t>
      </w:r>
    </w:p>
    <w:p>
      <w:pPr>
        <w:pStyle w:val="Heading8"/>
        <w:spacing w:before="72"/>
        <w:ind w:left="252" w:right="99"/>
      </w:pPr>
      <w:r>
        <w:rPr>
          <w:b w:val="0"/>
        </w:rPr>
        <w:br w:type="column"/>
      </w:r>
      <w:r>
        <w:rPr>
          <w:w w:val="95"/>
        </w:rPr>
        <w:t>INTEGRATION AND REINFORCEMENT</w:t>
      </w:r>
    </w:p>
    <w:p>
      <w:pPr>
        <w:pStyle w:val="BodyText"/>
        <w:spacing w:line="249" w:lineRule="auto" w:before="86"/>
        <w:ind w:left="252" w:right="-14"/>
      </w:pPr>
      <w:r>
        <w:rPr>
          <w:spacing w:val="-5"/>
        </w:rPr>
        <w:t>To </w:t>
      </w:r>
      <w:r>
        <w:rPr/>
        <w:t>embed risk management into organisational business processes, functions and</w:t>
      </w:r>
      <w:r>
        <w:rPr>
          <w:spacing w:val="-18"/>
        </w:rPr>
        <w:t> </w:t>
      </w:r>
      <w:r>
        <w:rPr/>
        <w:t>operations.</w:t>
      </w:r>
      <w:r>
        <w:rPr>
          <w:spacing w:val="-18"/>
        </w:rPr>
        <w:t> </w:t>
      </w:r>
      <w:r>
        <w:rPr>
          <w:spacing w:val="-5"/>
        </w:rPr>
        <w:t>To</w:t>
      </w:r>
      <w:r>
        <w:rPr>
          <w:spacing w:val="-18"/>
        </w:rPr>
        <w:t> </w:t>
      </w:r>
      <w:r>
        <w:rPr/>
        <w:t>train</w:t>
      </w:r>
      <w:r>
        <w:rPr>
          <w:spacing w:val="-18"/>
        </w:rPr>
        <w:t> </w:t>
      </w:r>
      <w:r>
        <w:rPr/>
        <w:t>staff</w:t>
      </w:r>
      <w:r>
        <w:rPr>
          <w:spacing w:val="-18"/>
        </w:rPr>
        <w:t> </w:t>
      </w:r>
      <w:r>
        <w:rPr/>
        <w:t>to</w:t>
      </w:r>
      <w:r>
        <w:rPr>
          <w:spacing w:val="-18"/>
        </w:rPr>
        <w:t> </w:t>
      </w:r>
      <w:r>
        <w:rPr/>
        <w:t>improve</w:t>
      </w:r>
      <w:r>
        <w:rPr>
          <w:spacing w:val="-18"/>
        </w:rPr>
        <w:t> </w:t>
      </w:r>
      <w:r>
        <w:rPr/>
        <w:t>their understanding, skills and knowledge of risk management</w:t>
      </w:r>
    </w:p>
    <w:p>
      <w:pPr>
        <w:pStyle w:val="BodyText"/>
      </w:pPr>
    </w:p>
    <w:p>
      <w:pPr>
        <w:pStyle w:val="BodyText"/>
        <w:spacing w:before="7"/>
        <w:rPr>
          <w:sz w:val="12"/>
        </w:rPr>
      </w:pPr>
    </w:p>
    <w:p>
      <w:pPr>
        <w:pStyle w:val="Heading8"/>
        <w:spacing w:before="1"/>
        <w:ind w:left="252" w:right="99"/>
      </w:pPr>
      <w:r>
        <w:rPr>
          <w:w w:val="95"/>
        </w:rPr>
        <w:t>COMMON LANGUAGE</w:t>
      </w:r>
    </w:p>
    <w:p>
      <w:pPr>
        <w:pStyle w:val="BodyText"/>
        <w:spacing w:line="249" w:lineRule="auto" w:before="86"/>
        <w:ind w:left="252" w:right="304"/>
      </w:pPr>
      <w:r>
        <w:rPr/>
        <w:t>Using the same terminology, evaluation criteria and methodology across</w:t>
      </w:r>
    </w:p>
    <w:p>
      <w:pPr>
        <w:pStyle w:val="BodyText"/>
        <w:spacing w:line="249" w:lineRule="auto"/>
        <w:ind w:left="252" w:right="659"/>
      </w:pPr>
      <w:r>
        <w:rPr/>
        <w:t>the organisation for managing and communicating risk information</w:t>
      </w:r>
    </w:p>
    <w:p>
      <w:pPr>
        <w:pStyle w:val="Heading8"/>
        <w:spacing w:before="72"/>
        <w:ind w:left="278" w:right="735"/>
      </w:pPr>
      <w:r>
        <w:rPr>
          <w:b w:val="0"/>
        </w:rPr>
        <w:br w:type="column"/>
      </w:r>
      <w:r>
        <w:rPr/>
        <w:t>INFORMATION</w:t>
      </w:r>
    </w:p>
    <w:p>
      <w:pPr>
        <w:pStyle w:val="BodyText"/>
        <w:spacing w:line="249" w:lineRule="auto" w:before="86"/>
        <w:ind w:left="278" w:right="735"/>
      </w:pPr>
      <w:r>
        <w:rPr/>
        <w:t>A risk management system/database designed</w:t>
      </w:r>
      <w:r>
        <w:rPr>
          <w:spacing w:val="-20"/>
        </w:rPr>
        <w:t> </w:t>
      </w:r>
      <w:r>
        <w:rPr/>
        <w:t>to</w:t>
      </w:r>
      <w:r>
        <w:rPr>
          <w:spacing w:val="-20"/>
        </w:rPr>
        <w:t> </w:t>
      </w:r>
      <w:r>
        <w:rPr/>
        <w:t>capture,</w:t>
      </w:r>
      <w:r>
        <w:rPr>
          <w:spacing w:val="-20"/>
        </w:rPr>
        <w:t> </w:t>
      </w:r>
      <w:r>
        <w:rPr/>
        <w:t>analyse,</w:t>
      </w:r>
      <w:r>
        <w:rPr>
          <w:spacing w:val="-20"/>
        </w:rPr>
        <w:t> </w:t>
      </w:r>
      <w:r>
        <w:rPr/>
        <w:t>record</w:t>
      </w:r>
      <w:r>
        <w:rPr>
          <w:spacing w:val="-20"/>
        </w:rPr>
        <w:t> </w:t>
      </w:r>
      <w:r>
        <w:rPr/>
        <w:t>and report risk</w:t>
      </w:r>
      <w:r>
        <w:rPr>
          <w:spacing w:val="-24"/>
        </w:rPr>
        <w:t> </w:t>
      </w:r>
      <w:r>
        <w:rPr/>
        <w:t>data/information</w:t>
      </w:r>
    </w:p>
    <w:p>
      <w:pPr>
        <w:pStyle w:val="BodyText"/>
      </w:pPr>
    </w:p>
    <w:p>
      <w:pPr>
        <w:pStyle w:val="BodyText"/>
      </w:pPr>
    </w:p>
    <w:p>
      <w:pPr>
        <w:pStyle w:val="BodyText"/>
      </w:pPr>
    </w:p>
    <w:p>
      <w:pPr>
        <w:pStyle w:val="BodyText"/>
        <w:spacing w:before="6"/>
        <w:rPr>
          <w:sz w:val="13"/>
        </w:rPr>
      </w:pPr>
    </w:p>
    <w:p>
      <w:pPr>
        <w:pStyle w:val="Heading8"/>
        <w:ind w:left="278" w:right="735"/>
      </w:pPr>
      <w:r>
        <w:rPr/>
        <w:t>REVIEW</w:t>
      </w:r>
    </w:p>
    <w:p>
      <w:pPr>
        <w:pStyle w:val="BodyText"/>
        <w:spacing w:line="249" w:lineRule="auto" w:before="86"/>
        <w:ind w:left="278" w:right="360"/>
      </w:pPr>
      <w:r>
        <w:rPr>
          <w:spacing w:val="-5"/>
        </w:rPr>
        <w:t>To</w:t>
      </w:r>
      <w:r>
        <w:rPr>
          <w:spacing w:val="-18"/>
        </w:rPr>
        <w:t> </w:t>
      </w:r>
      <w:r>
        <w:rPr/>
        <w:t>provide</w:t>
      </w:r>
      <w:r>
        <w:rPr>
          <w:spacing w:val="-18"/>
        </w:rPr>
        <w:t> </w:t>
      </w:r>
      <w:r>
        <w:rPr/>
        <w:t>assurance</w:t>
      </w:r>
      <w:r>
        <w:rPr>
          <w:spacing w:val="-18"/>
        </w:rPr>
        <w:t> </w:t>
      </w:r>
      <w:r>
        <w:rPr/>
        <w:t>on</w:t>
      </w:r>
      <w:r>
        <w:rPr>
          <w:spacing w:val="-18"/>
        </w:rPr>
        <w:t> </w:t>
      </w:r>
      <w:r>
        <w:rPr/>
        <w:t>the</w:t>
      </w:r>
      <w:r>
        <w:rPr>
          <w:spacing w:val="-18"/>
        </w:rPr>
        <w:t> </w:t>
      </w:r>
      <w:r>
        <w:rPr/>
        <w:t>risk</w:t>
      </w:r>
      <w:r>
        <w:rPr>
          <w:spacing w:val="-18"/>
        </w:rPr>
        <w:t> </w:t>
      </w:r>
      <w:r>
        <w:rPr/>
        <w:t>management programs’ effectiveness, relevance and currency via regular reviews by senior management</w:t>
      </w:r>
      <w:r>
        <w:rPr>
          <w:spacing w:val="-25"/>
        </w:rPr>
        <w:t> </w:t>
      </w:r>
      <w:r>
        <w:rPr/>
        <w:t>and</w:t>
      </w:r>
      <w:r>
        <w:rPr>
          <w:spacing w:val="-25"/>
        </w:rPr>
        <w:t> </w:t>
      </w:r>
      <w:r>
        <w:rPr/>
        <w:t>independent</w:t>
      </w:r>
      <w:r>
        <w:rPr>
          <w:spacing w:val="-25"/>
        </w:rPr>
        <w:t> </w:t>
      </w:r>
      <w:r>
        <w:rPr>
          <w:spacing w:val="2"/>
        </w:rPr>
        <w:t>assessors</w:t>
      </w:r>
    </w:p>
    <w:p>
      <w:pPr>
        <w:spacing w:after="0" w:line="249" w:lineRule="auto"/>
        <w:sectPr>
          <w:type w:val="continuous"/>
          <w:pgSz w:w="11910" w:h="16840"/>
          <w:pgMar w:top="1580" w:bottom="280" w:left="0" w:right="580"/>
          <w:cols w:num="3" w:equalWidth="0">
            <w:col w:w="4054" w:space="40"/>
            <w:col w:w="3374" w:space="40"/>
            <w:col w:w="3822"/>
          </w:cols>
        </w:sectPr>
      </w:pPr>
    </w:p>
    <w:p>
      <w:pPr>
        <w:pStyle w:val="BodyText"/>
        <w:spacing w:before="7"/>
        <w:rPr>
          <w:sz w:val="28"/>
        </w:rPr>
      </w:pPr>
      <w:r>
        <w:rPr/>
        <w:pict>
          <v:group style="position:absolute;margin-left:34.015999pt;margin-top:45.355015pt;width:527.25pt;height:751.2pt;mso-position-horizontal-relative:page;mso-position-vertical-relative:page;z-index:-331984" coordorigin="680,907" coordsize="10545,15024">
            <v:rect style="position:absolute;left:680;top:907;width:10545;height:15024" filled="true" fillcolor="#e6e7e8" stroked="false">
              <v:fill type="solid"/>
            </v:rect>
            <v:line style="position:absolute" from="907,5238" to="10998,5238" stroked="true" strokeweight="1.5pt" strokecolor="#000000"/>
            <v:line style="position:absolute" from="907,7004" to="10998,7004" stroked="true" strokeweight="1.5pt" strokecolor="#000000"/>
            <v:line style="position:absolute" from="907,9879" to="10998,9879" stroked="true" strokeweight="1.5pt" strokecolor="#000000"/>
            <v:line style="position:absolute" from="907,12015" to="10998,12015" stroked="true" strokeweight="1.5pt" strokecolor="#000000"/>
            <w10:wrap type="none"/>
          </v:group>
        </w:pict>
      </w:r>
    </w:p>
    <w:p>
      <w:pPr>
        <w:pStyle w:val="Heading1"/>
      </w:pPr>
      <w:r>
        <w:rPr>
          <w:w w:val="95"/>
        </w:rPr>
        <w:t>APPENDIX 1</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6585"/>
      </w:pPr>
      <w:r>
        <w:rPr>
          <w:w w:val="95"/>
        </w:rPr>
        <w:t>BOARD OF TRUSTEES MEMBERS</w:t>
      </w:r>
    </w:p>
    <w:p>
      <w:pPr>
        <w:pStyle w:val="Heading8"/>
        <w:spacing w:before="215"/>
        <w:ind w:left="327" w:right="7611"/>
      </w:pPr>
      <w:r>
        <w:rPr>
          <w:w w:val="95"/>
        </w:rPr>
        <w:t>THREE OFFICIAL MEMBERS</w:t>
      </w:r>
    </w:p>
    <w:p>
      <w:pPr>
        <w:pStyle w:val="BodyText"/>
        <w:spacing w:line="460" w:lineRule="auto" w:before="86"/>
        <w:ind w:left="327" w:right="7478"/>
      </w:pPr>
      <w:r>
        <w:rPr/>
        <w:t>Professor Peter Shergold AC, Chancellor Professor Barney Glover, Vice-Chancellor</w:t>
      </w:r>
    </w:p>
    <w:p>
      <w:pPr>
        <w:pStyle w:val="BodyText"/>
        <w:spacing w:line="192" w:lineRule="exact"/>
        <w:ind w:left="327" w:right="5322"/>
      </w:pPr>
      <w:r>
        <w:rPr/>
        <w:t>Associate Professor Paul Wormell, Chair of Academic Senate</w:t>
      </w:r>
    </w:p>
    <w:p>
      <w:pPr>
        <w:pStyle w:val="BodyText"/>
      </w:pPr>
    </w:p>
    <w:p>
      <w:pPr>
        <w:pStyle w:val="BodyText"/>
      </w:pPr>
    </w:p>
    <w:p>
      <w:pPr>
        <w:pStyle w:val="BodyText"/>
        <w:spacing w:before="10"/>
        <w:rPr>
          <w:sz w:val="13"/>
        </w:rPr>
      </w:pPr>
    </w:p>
    <w:p>
      <w:pPr>
        <w:pStyle w:val="Heading8"/>
        <w:ind w:left="327" w:right="6585"/>
      </w:pPr>
      <w:r>
        <w:rPr>
          <w:w w:val="95"/>
        </w:rPr>
        <w:t>SIX APPOINTED MEMBERS (MINISTERIAL)</w:t>
      </w:r>
    </w:p>
    <w:p>
      <w:pPr>
        <w:pStyle w:val="BodyText"/>
        <w:spacing w:before="86"/>
        <w:ind w:left="327" w:right="7611"/>
      </w:pPr>
      <w:r>
        <w:rPr/>
        <w:t>Mr John Banks</w:t>
      </w:r>
    </w:p>
    <w:p>
      <w:pPr>
        <w:pStyle w:val="BodyText"/>
        <w:spacing w:before="7"/>
        <w:rPr>
          <w:sz w:val="14"/>
        </w:rPr>
      </w:pPr>
    </w:p>
    <w:p>
      <w:pPr>
        <w:pStyle w:val="BodyText"/>
        <w:spacing w:line="460" w:lineRule="auto" w:before="1"/>
        <w:ind w:left="327" w:right="7737"/>
      </w:pPr>
      <w:r>
        <w:rPr/>
        <w:t>Ms Elizabeth Dibbs (Pro Chancellor) Ms Genevieve Gregor</w:t>
      </w:r>
    </w:p>
    <w:p>
      <w:pPr>
        <w:pStyle w:val="BodyText"/>
        <w:spacing w:line="192" w:lineRule="exact"/>
        <w:ind w:left="327" w:right="7611"/>
      </w:pPr>
      <w:r>
        <w:rPr/>
        <w:t>Ms Vivienne James</w:t>
      </w:r>
    </w:p>
    <w:p>
      <w:pPr>
        <w:pStyle w:val="BodyText"/>
        <w:spacing w:before="7"/>
        <w:rPr>
          <w:sz w:val="14"/>
        </w:rPr>
      </w:pPr>
    </w:p>
    <w:p>
      <w:pPr>
        <w:pStyle w:val="BodyText"/>
        <w:spacing w:line="460" w:lineRule="auto" w:before="1"/>
        <w:ind w:left="327" w:right="7478"/>
      </w:pPr>
      <w:r>
        <w:rPr>
          <w:w w:val="96"/>
        </w:rPr>
        <w:t>Mr </w:t>
      </w:r>
      <w:r>
        <w:rPr>
          <w:w w:val="97"/>
        </w:rPr>
        <w:t>Paul </w:t>
      </w:r>
      <w:r>
        <w:rPr>
          <w:w w:val="97"/>
        </w:rPr>
        <w:t>Newman </w:t>
      </w:r>
      <w:r>
        <w:rPr>
          <w:w w:val="97"/>
        </w:rPr>
        <w:t>(resigned </w:t>
      </w:r>
      <w:r>
        <w:rPr>
          <w:w w:val="95"/>
        </w:rPr>
        <w:t>5 </w:t>
      </w:r>
      <w:r>
        <w:rPr>
          <w:w w:val="98"/>
        </w:rPr>
        <w:t>June </w:t>
      </w:r>
      <w:r>
        <w:rPr>
          <w:w w:val="90"/>
        </w:rPr>
        <w:t>2015) </w:t>
      </w:r>
      <w:r>
        <w:rPr/>
        <w:t>Mr Ian Stone</w:t>
      </w:r>
    </w:p>
    <w:p>
      <w:pPr>
        <w:pStyle w:val="BodyText"/>
      </w:pPr>
    </w:p>
    <w:p>
      <w:pPr>
        <w:pStyle w:val="BodyText"/>
        <w:spacing w:before="1"/>
        <w:rPr>
          <w:sz w:val="15"/>
        </w:rPr>
      </w:pPr>
    </w:p>
    <w:p>
      <w:pPr>
        <w:pStyle w:val="Heading8"/>
        <w:ind w:left="327" w:right="7611"/>
      </w:pPr>
      <w:r>
        <w:rPr>
          <w:w w:val="95"/>
        </w:rPr>
        <w:t>FOUR APPOINTED MEMBERS (BOARD)</w:t>
      </w:r>
    </w:p>
    <w:p>
      <w:pPr>
        <w:pStyle w:val="BodyText"/>
        <w:spacing w:before="86"/>
        <w:ind w:left="327" w:right="7611"/>
      </w:pPr>
      <w:r>
        <w:rPr/>
        <w:t>Mr Christopher Brown, AM</w:t>
      </w:r>
    </w:p>
    <w:p>
      <w:pPr>
        <w:pStyle w:val="BodyText"/>
        <w:spacing w:before="7"/>
        <w:rPr>
          <w:sz w:val="14"/>
        </w:rPr>
      </w:pPr>
    </w:p>
    <w:p>
      <w:pPr>
        <w:pStyle w:val="BodyText"/>
        <w:spacing w:line="460" w:lineRule="auto" w:before="1"/>
        <w:ind w:left="327" w:right="7627"/>
      </w:pPr>
      <w:r>
        <w:rPr/>
        <w:t>Mr Michael Pratt (Deputy Chancellor) Ms</w:t>
      </w:r>
      <w:r>
        <w:rPr>
          <w:spacing w:val="-17"/>
        </w:rPr>
        <w:t> </w:t>
      </w:r>
      <w:r>
        <w:rPr/>
        <w:t>Gillian</w:t>
      </w:r>
      <w:r>
        <w:rPr>
          <w:spacing w:val="-17"/>
        </w:rPr>
        <w:t> </w:t>
      </w:r>
      <w:r>
        <w:rPr/>
        <w:t>Shadwick</w:t>
      </w:r>
      <w:r>
        <w:rPr>
          <w:spacing w:val="-17"/>
        </w:rPr>
        <w:t> </w:t>
      </w:r>
      <w:r>
        <w:rPr/>
        <w:t>(Deputy</w:t>
      </w:r>
      <w:r>
        <w:rPr>
          <w:spacing w:val="-17"/>
        </w:rPr>
        <w:t> </w:t>
      </w:r>
      <w:r>
        <w:rPr/>
        <w:t>Chancellor) Ms</w:t>
      </w:r>
      <w:r>
        <w:rPr>
          <w:spacing w:val="-29"/>
        </w:rPr>
        <w:t> </w:t>
      </w:r>
      <w:r>
        <w:rPr/>
        <w:t>Gabrielle</w:t>
      </w:r>
      <w:r>
        <w:rPr>
          <w:spacing w:val="-29"/>
        </w:rPr>
        <w:t> </w:t>
      </w:r>
      <w:r>
        <w:rPr/>
        <w:t>Trainor</w:t>
      </w:r>
    </w:p>
    <w:p>
      <w:pPr>
        <w:pStyle w:val="BodyText"/>
      </w:pPr>
    </w:p>
    <w:p>
      <w:pPr>
        <w:pStyle w:val="BodyText"/>
        <w:spacing w:before="1"/>
        <w:rPr>
          <w:sz w:val="15"/>
        </w:rPr>
      </w:pPr>
    </w:p>
    <w:p>
      <w:pPr>
        <w:pStyle w:val="Heading8"/>
        <w:ind w:left="327" w:right="7611"/>
      </w:pPr>
      <w:r>
        <w:rPr>
          <w:w w:val="95"/>
        </w:rPr>
        <w:t>FIVE ELECTED MEMBERS</w:t>
      </w:r>
    </w:p>
    <w:p>
      <w:pPr>
        <w:pStyle w:val="BodyText"/>
        <w:spacing w:before="86"/>
        <w:ind w:left="327" w:right="7611"/>
      </w:pPr>
      <w:r>
        <w:rPr/>
        <w:t>Mr Tim Ferraro, graduate</w:t>
      </w:r>
    </w:p>
    <w:p>
      <w:pPr>
        <w:pStyle w:val="BodyText"/>
        <w:spacing w:before="7"/>
        <w:rPr>
          <w:sz w:val="14"/>
        </w:rPr>
      </w:pPr>
    </w:p>
    <w:p>
      <w:pPr>
        <w:pStyle w:val="BodyText"/>
        <w:spacing w:line="460" w:lineRule="auto" w:before="1"/>
        <w:ind w:left="327" w:right="5322"/>
      </w:pPr>
      <w:r>
        <w:rPr>
          <w:w w:val="96"/>
        </w:rPr>
        <w:t>Mr </w:t>
      </w:r>
      <w:r>
        <w:rPr>
          <w:w w:val="97"/>
        </w:rPr>
        <w:t>Elie </w:t>
      </w:r>
      <w:r>
        <w:rPr>
          <w:w w:val="92"/>
        </w:rPr>
        <w:t>Hammam, </w:t>
      </w:r>
      <w:r>
        <w:rPr>
          <w:w w:val="98"/>
        </w:rPr>
        <w:t>postgraduate </w:t>
      </w:r>
      <w:r>
        <w:rPr>
          <w:w w:val="98"/>
        </w:rPr>
        <w:t>student </w:t>
      </w:r>
      <w:r>
        <w:rPr>
          <w:w w:val="97"/>
        </w:rPr>
        <w:t>(term </w:t>
      </w:r>
      <w:r>
        <w:rPr>
          <w:w w:val="99"/>
        </w:rPr>
        <w:t>concluded </w:t>
      </w:r>
      <w:r>
        <w:rPr>
          <w:w w:val="102"/>
        </w:rPr>
        <w:t>30 </w:t>
      </w:r>
      <w:r>
        <w:rPr>
          <w:w w:val="98"/>
        </w:rPr>
        <w:t>June </w:t>
      </w:r>
      <w:r>
        <w:rPr>
          <w:w w:val="90"/>
        </w:rPr>
        <w:t>2015) </w:t>
      </w:r>
      <w:r>
        <w:rPr>
          <w:w w:val="96"/>
        </w:rPr>
        <w:t>Ms </w:t>
      </w:r>
      <w:r>
        <w:rPr>
          <w:w w:val="98"/>
        </w:rPr>
        <w:t>Sophie </w:t>
      </w:r>
      <w:r>
        <w:rPr>
          <w:w w:val="95"/>
        </w:rPr>
        <w:t>Kobuch, </w:t>
      </w:r>
      <w:r>
        <w:rPr>
          <w:w w:val="98"/>
        </w:rPr>
        <w:t>postgraduate </w:t>
      </w:r>
      <w:r>
        <w:rPr>
          <w:w w:val="98"/>
        </w:rPr>
        <w:t>student </w:t>
      </w:r>
      <w:r>
        <w:rPr>
          <w:w w:val="97"/>
        </w:rPr>
        <w:t>(term </w:t>
      </w:r>
      <w:r>
        <w:rPr>
          <w:w w:val="99"/>
        </w:rPr>
        <w:t>commenced </w:t>
      </w:r>
      <w:r>
        <w:rPr>
          <w:w w:val="54"/>
        </w:rPr>
        <w:t>1 </w:t>
      </w:r>
      <w:r>
        <w:rPr>
          <w:w w:val="100"/>
        </w:rPr>
        <w:t>July </w:t>
      </w:r>
      <w:r>
        <w:rPr>
          <w:w w:val="90"/>
        </w:rPr>
        <w:t>2015) </w:t>
      </w:r>
      <w:r>
        <w:rPr/>
        <w:t>Doctor George Morgan, academic staff</w:t>
      </w:r>
    </w:p>
    <w:p>
      <w:pPr>
        <w:pStyle w:val="BodyText"/>
        <w:spacing w:line="460" w:lineRule="auto"/>
        <w:ind w:left="327" w:right="7199"/>
      </w:pPr>
      <w:r>
        <w:rPr/>
        <w:t>Ms Taylor Macdonald, undergraduate student Ms Jenny Purcell, general staff</w:t>
      </w:r>
    </w:p>
    <w:p>
      <w:pPr>
        <w:spacing w:after="0" w:line="460" w:lineRule="auto"/>
        <w:sectPr>
          <w:footerReference w:type="even" r:id="rId65"/>
          <w:footerReference w:type="default" r:id="rId66"/>
          <w:pgSz w:w="11910" w:h="16840"/>
          <w:pgMar w:footer="473" w:header="494" w:top="680" w:bottom="660" w:left="580" w:right="580"/>
          <w:pgNumType w:start="82"/>
        </w:sectPr>
      </w:pPr>
    </w:p>
    <w:p>
      <w:pPr>
        <w:pStyle w:val="BodyText"/>
        <w:spacing w:before="7"/>
        <w:rPr>
          <w:sz w:val="28"/>
        </w:rPr>
      </w:pPr>
      <w:r>
        <w:rPr/>
        <w:pict>
          <v:rect style="position:absolute;margin-left:34.015999pt;margin-top:45.355015pt;width:527.244pt;height:751.181pt;mso-position-horizontal-relative:page;mso-position-vertical-relative:page;z-index:-331960" filled="true" fillcolor="#e6e7e8" stroked="false">
            <v:fill type="solid"/>
            <w10:wrap type="none"/>
          </v:rect>
        </w:pict>
      </w:r>
    </w:p>
    <w:p>
      <w:pPr>
        <w:pStyle w:val="Heading1"/>
      </w:pPr>
      <w:r>
        <w:rPr>
          <w:w w:val="95"/>
        </w:rPr>
        <w:t>APPENDIX 2</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10"/>
        <w:rPr>
          <w:rFonts w:ascii="Gotham Narrow Bold"/>
          <w:b/>
          <w:sz w:val="20"/>
        </w:rPr>
      </w:pPr>
    </w:p>
    <w:p>
      <w:pPr>
        <w:pStyle w:val="Heading5"/>
        <w:spacing w:before="58"/>
        <w:ind w:left="327" w:right="6585"/>
      </w:pPr>
      <w:r>
        <w:rPr>
          <w:w w:val="95"/>
        </w:rPr>
        <w:t>BOARD OF TRUSTEES MEETINGS</w:t>
      </w:r>
    </w:p>
    <w:p>
      <w:pPr>
        <w:pStyle w:val="BodyText"/>
        <w:spacing w:before="9" w:after="1"/>
        <w:rPr>
          <w:rFonts w:ascii="Gotham Narrow Bold"/>
          <w:b/>
          <w:sz w:val="13"/>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038"/>
        <w:gridCol w:w="584"/>
        <w:gridCol w:w="584"/>
        <w:gridCol w:w="584"/>
        <w:gridCol w:w="584"/>
        <w:gridCol w:w="601"/>
        <w:gridCol w:w="601"/>
        <w:gridCol w:w="584"/>
        <w:gridCol w:w="584"/>
        <w:gridCol w:w="584"/>
        <w:gridCol w:w="584"/>
        <w:gridCol w:w="584"/>
        <w:gridCol w:w="584"/>
      </w:tblGrid>
      <w:tr>
        <w:trPr>
          <w:trHeight w:val="301" w:hRule="exact"/>
        </w:trPr>
        <w:tc>
          <w:tcPr>
            <w:tcW w:w="3038" w:type="dxa"/>
            <w:vMerge w:val="restart"/>
            <w:tcBorders>
              <w:top w:val="nil"/>
              <w:left w:val="nil"/>
              <w:right w:val="single" w:sz="4" w:space="0" w:color="FFFFFF"/>
            </w:tcBorders>
            <w:shd w:val="clear" w:color="auto" w:fill="939598"/>
          </w:tcPr>
          <w:p>
            <w:pPr>
              <w:pStyle w:val="TableParagraph"/>
              <w:spacing w:before="58"/>
              <w:ind w:left="80" w:right="159"/>
              <w:jc w:val="left"/>
              <w:rPr>
                <w:rFonts w:ascii="Calibri"/>
                <w:sz w:val="16"/>
              </w:rPr>
            </w:pPr>
            <w:r>
              <w:rPr>
                <w:rFonts w:ascii="Calibri"/>
                <w:color w:val="FFFFFF"/>
                <w:w w:val="110"/>
                <w:sz w:val="16"/>
              </w:rPr>
              <w:t>A = Number of meetings attended</w:t>
            </w:r>
          </w:p>
          <w:p>
            <w:pPr>
              <w:pStyle w:val="TableParagraph"/>
              <w:spacing w:line="244" w:lineRule="auto" w:before="4"/>
              <w:ind w:left="80" w:right="159"/>
              <w:jc w:val="left"/>
              <w:rPr>
                <w:rFonts w:ascii="Calibri"/>
                <w:sz w:val="16"/>
              </w:rPr>
            </w:pPr>
            <w:r>
              <w:rPr>
                <w:rFonts w:ascii="Calibri"/>
                <w:color w:val="FFFFFF"/>
                <w:w w:val="105"/>
                <w:sz w:val="16"/>
              </w:rPr>
              <w:t>B = </w:t>
            </w:r>
            <w:r>
              <w:rPr>
                <w:rFonts w:ascii="Calibri"/>
                <w:color w:val="FFFFFF"/>
                <w:spacing w:val="2"/>
                <w:w w:val="105"/>
                <w:sz w:val="16"/>
              </w:rPr>
              <w:t>Number </w:t>
            </w:r>
            <w:r>
              <w:rPr>
                <w:rFonts w:ascii="Calibri"/>
                <w:color w:val="FFFFFF"/>
                <w:w w:val="105"/>
                <w:sz w:val="16"/>
              </w:rPr>
              <w:t>of meetings held during   the time the </w:t>
            </w:r>
            <w:r>
              <w:rPr>
                <w:rFonts w:ascii="Calibri"/>
                <w:color w:val="FFFFFF"/>
                <w:spacing w:val="2"/>
                <w:w w:val="105"/>
                <w:sz w:val="16"/>
              </w:rPr>
              <w:t>member </w:t>
            </w:r>
            <w:r>
              <w:rPr>
                <w:rFonts w:ascii="Calibri"/>
                <w:color w:val="FFFFFF"/>
                <w:w w:val="105"/>
                <w:sz w:val="16"/>
              </w:rPr>
              <w:t>held office or was a </w:t>
            </w:r>
            <w:r>
              <w:rPr>
                <w:rFonts w:ascii="Calibri"/>
                <w:color w:val="FFFFFF"/>
                <w:spacing w:val="2"/>
                <w:w w:val="105"/>
                <w:sz w:val="16"/>
              </w:rPr>
              <w:t>member </w:t>
            </w:r>
            <w:r>
              <w:rPr>
                <w:rFonts w:ascii="Calibri"/>
                <w:color w:val="FFFFFF"/>
                <w:w w:val="105"/>
                <w:sz w:val="16"/>
              </w:rPr>
              <w:t>of the committee during the year#</w:t>
            </w:r>
          </w:p>
        </w:tc>
        <w:tc>
          <w:tcPr>
            <w:tcW w:w="7041" w:type="dxa"/>
            <w:gridSpan w:val="12"/>
            <w:tcBorders>
              <w:top w:val="nil"/>
              <w:left w:val="single" w:sz="4" w:space="0" w:color="FFFFFF"/>
              <w:bottom w:val="single" w:sz="4" w:space="0" w:color="FFFFFF"/>
              <w:right w:val="nil"/>
            </w:tcBorders>
            <w:shd w:val="clear" w:color="auto" w:fill="939598"/>
          </w:tcPr>
          <w:p>
            <w:pPr>
              <w:pStyle w:val="TableParagraph"/>
              <w:spacing w:before="61"/>
              <w:ind w:left="2190"/>
              <w:jc w:val="left"/>
              <w:rPr>
                <w:rFonts w:ascii="Gotham Narrow Bold"/>
                <w:b/>
                <w:sz w:val="16"/>
              </w:rPr>
            </w:pPr>
            <w:r>
              <w:rPr>
                <w:rFonts w:ascii="Gotham Narrow Bold"/>
                <w:b/>
                <w:color w:val="FFFFFF"/>
                <w:sz w:val="16"/>
              </w:rPr>
              <w:t>Committees of the Board of Trustees</w:t>
            </w:r>
          </w:p>
        </w:tc>
      </w:tr>
      <w:tr>
        <w:trPr>
          <w:trHeight w:val="491" w:hRule="exact"/>
        </w:trPr>
        <w:tc>
          <w:tcPr>
            <w:tcW w:w="3038" w:type="dxa"/>
            <w:vMerge/>
            <w:tcBorders>
              <w:left w:val="nil"/>
              <w:right w:val="single" w:sz="4" w:space="0" w:color="FFFFFF"/>
            </w:tcBorders>
            <w:shd w:val="clear" w:color="auto" w:fill="939598"/>
          </w:tcPr>
          <w:p>
            <w:pP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39598"/>
          </w:tcPr>
          <w:p>
            <w:pPr>
              <w:pStyle w:val="TableParagraph"/>
              <w:spacing w:line="249" w:lineRule="auto" w:before="51"/>
              <w:ind w:left="272" w:right="89" w:hanging="6"/>
              <w:jc w:val="left"/>
              <w:rPr>
                <w:rFonts w:ascii="Gotham Narrow Bold"/>
                <w:b/>
                <w:sz w:val="16"/>
              </w:rPr>
            </w:pPr>
            <w:r>
              <w:rPr>
                <w:rFonts w:ascii="Gotham Narrow Bold"/>
                <w:b/>
                <w:color w:val="FFFFFF"/>
                <w:sz w:val="16"/>
              </w:rPr>
              <w:t>Board of </w:t>
            </w:r>
            <w:r>
              <w:rPr>
                <w:rFonts w:ascii="Gotham Narrow Bold"/>
                <w:b/>
                <w:color w:val="FFFFFF"/>
                <w:w w:val="95"/>
                <w:sz w:val="16"/>
              </w:rPr>
              <w:t>Trustees</w:t>
            </w: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39598"/>
          </w:tcPr>
          <w:p>
            <w:pPr>
              <w:pStyle w:val="TableParagraph"/>
              <w:spacing w:line="249" w:lineRule="auto" w:before="51"/>
              <w:ind w:left="105" w:right="89" w:firstLine="35"/>
              <w:jc w:val="left"/>
              <w:rPr>
                <w:rFonts w:ascii="Gotham Narrow Bold"/>
                <w:b/>
                <w:sz w:val="16"/>
              </w:rPr>
            </w:pPr>
            <w:r>
              <w:rPr>
                <w:rFonts w:ascii="Gotham Narrow Bold"/>
                <w:b/>
                <w:color w:val="FFFFFF"/>
                <w:sz w:val="16"/>
              </w:rPr>
              <w:t>Audit &amp; Risk </w:t>
            </w:r>
            <w:r>
              <w:rPr>
                <w:rFonts w:ascii="Gotham Narrow Bold"/>
                <w:b/>
                <w:color w:val="FFFFFF"/>
                <w:w w:val="95"/>
                <w:sz w:val="16"/>
              </w:rPr>
              <w:t>Management</w:t>
            </w:r>
          </w:p>
        </w:tc>
        <w:tc>
          <w:tcPr>
            <w:tcW w:w="1202" w:type="dxa"/>
            <w:gridSpan w:val="2"/>
            <w:tcBorders>
              <w:top w:val="single" w:sz="4" w:space="0" w:color="FFFFFF"/>
              <w:left w:val="single" w:sz="4" w:space="0" w:color="FFFFFF"/>
              <w:bottom w:val="single" w:sz="4" w:space="0" w:color="FFFFFF"/>
              <w:right w:val="single" w:sz="4" w:space="0" w:color="FFFFFF"/>
            </w:tcBorders>
            <w:shd w:val="clear" w:color="auto" w:fill="939598"/>
          </w:tcPr>
          <w:p>
            <w:pPr>
              <w:pStyle w:val="TableParagraph"/>
              <w:spacing w:line="249" w:lineRule="auto" w:before="51"/>
              <w:ind w:left="82" w:right="16" w:firstLine="14"/>
              <w:jc w:val="left"/>
              <w:rPr>
                <w:rFonts w:ascii="Gotham Narrow Bold"/>
                <w:b/>
                <w:sz w:val="16"/>
              </w:rPr>
            </w:pPr>
            <w:r>
              <w:rPr>
                <w:rFonts w:ascii="Gotham Narrow Bold"/>
                <w:b/>
                <w:color w:val="FFFFFF"/>
                <w:w w:val="95"/>
                <w:sz w:val="16"/>
              </w:rPr>
              <w:t>Remuneration &amp; Nominations</w:t>
            </w: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39598"/>
          </w:tcPr>
          <w:p>
            <w:pPr>
              <w:pStyle w:val="TableParagraph"/>
              <w:spacing w:line="249" w:lineRule="auto" w:before="51"/>
              <w:ind w:left="250" w:right="89" w:firstLine="108"/>
              <w:jc w:val="left"/>
              <w:rPr>
                <w:rFonts w:ascii="Gotham Narrow Bold"/>
                <w:b/>
                <w:sz w:val="16"/>
              </w:rPr>
            </w:pPr>
            <w:r>
              <w:rPr>
                <w:rFonts w:ascii="Gotham Narrow Bold"/>
                <w:b/>
                <w:color w:val="FFFFFF"/>
                <w:sz w:val="16"/>
              </w:rPr>
              <w:t>Board </w:t>
            </w:r>
            <w:r>
              <w:rPr>
                <w:rFonts w:ascii="Gotham Narrow Bold"/>
                <w:b/>
                <w:color w:val="FFFFFF"/>
                <w:w w:val="95"/>
                <w:sz w:val="16"/>
              </w:rPr>
              <w:t>Standing</w:t>
            </w: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39598"/>
          </w:tcPr>
          <w:p>
            <w:pPr>
              <w:pStyle w:val="TableParagraph"/>
              <w:spacing w:line="249" w:lineRule="auto" w:before="51"/>
              <w:ind w:left="83" w:right="74" w:firstLine="131"/>
              <w:jc w:val="left"/>
              <w:rPr>
                <w:rFonts w:ascii="Gotham Narrow Bold"/>
                <w:b/>
                <w:sz w:val="16"/>
              </w:rPr>
            </w:pPr>
            <w:r>
              <w:rPr>
                <w:rFonts w:ascii="Gotham Narrow Bold"/>
                <w:b/>
                <w:color w:val="FFFFFF"/>
                <w:sz w:val="16"/>
              </w:rPr>
              <w:t>University </w:t>
            </w:r>
            <w:r>
              <w:rPr>
                <w:rFonts w:ascii="Gotham Narrow Bold"/>
                <w:b/>
                <w:color w:val="FFFFFF"/>
                <w:w w:val="95"/>
                <w:sz w:val="16"/>
              </w:rPr>
              <w:t>Infrastructure</w:t>
            </w:r>
          </w:p>
        </w:tc>
        <w:tc>
          <w:tcPr>
            <w:tcW w:w="1168" w:type="dxa"/>
            <w:gridSpan w:val="2"/>
            <w:tcBorders>
              <w:top w:val="single" w:sz="4" w:space="0" w:color="FFFFFF"/>
              <w:left w:val="single" w:sz="4" w:space="0" w:color="FFFFFF"/>
              <w:bottom w:val="single" w:sz="4" w:space="0" w:color="FFFFFF"/>
              <w:right w:val="nil"/>
            </w:tcBorders>
            <w:shd w:val="clear" w:color="auto" w:fill="939598"/>
          </w:tcPr>
          <w:p>
            <w:pPr>
              <w:pStyle w:val="TableParagraph"/>
              <w:spacing w:line="249" w:lineRule="auto" w:before="51"/>
              <w:ind w:left="169" w:firstLine="58"/>
              <w:jc w:val="left"/>
              <w:rPr>
                <w:rFonts w:ascii="Gotham Narrow Bold"/>
                <w:b/>
                <w:sz w:val="16"/>
              </w:rPr>
            </w:pPr>
            <w:r>
              <w:rPr>
                <w:rFonts w:ascii="Gotham Narrow Bold"/>
                <w:b/>
                <w:color w:val="FFFFFF"/>
                <w:sz w:val="16"/>
              </w:rPr>
              <w:t>Finance &amp; </w:t>
            </w:r>
            <w:r>
              <w:rPr>
                <w:rFonts w:ascii="Gotham Narrow Bold"/>
                <w:b/>
                <w:color w:val="FFFFFF"/>
                <w:w w:val="95"/>
                <w:sz w:val="16"/>
              </w:rPr>
              <w:t>Investment</w:t>
            </w:r>
          </w:p>
        </w:tc>
      </w:tr>
      <w:tr>
        <w:trPr>
          <w:trHeight w:val="300" w:hRule="exact"/>
        </w:trPr>
        <w:tc>
          <w:tcPr>
            <w:tcW w:w="3038" w:type="dxa"/>
            <w:vMerge/>
            <w:tcBorders>
              <w:left w:val="nil"/>
              <w:bottom w:val="nil"/>
              <w:right w:val="single" w:sz="4" w:space="0" w:color="FFFFFF"/>
            </w:tcBorders>
            <w:shd w:val="clear" w:color="auto" w:fill="939598"/>
          </w:tcPr>
          <w:p>
            <w:pPr/>
          </w:p>
        </w:tc>
        <w:tc>
          <w:tcPr>
            <w:tcW w:w="584" w:type="dxa"/>
            <w:tcBorders>
              <w:top w:val="single" w:sz="4" w:space="0" w:color="FFFFFF"/>
              <w:left w:val="single" w:sz="4" w:space="0" w:color="FFFFFF"/>
              <w:bottom w:val="nil"/>
              <w:right w:val="single" w:sz="4" w:space="0" w:color="FFFFFF"/>
            </w:tcBorders>
            <w:shd w:val="clear" w:color="auto" w:fill="939598"/>
          </w:tcPr>
          <w:p>
            <w:pPr>
              <w:pStyle w:val="TableParagraph"/>
              <w:jc w:val="center"/>
              <w:rPr>
                <w:rFonts w:ascii="Gotham Narrow Bold"/>
                <w:b/>
                <w:sz w:val="16"/>
              </w:rPr>
            </w:pPr>
            <w:r>
              <w:rPr>
                <w:rFonts w:ascii="Gotham Narrow Bold"/>
                <w:b/>
                <w:color w:val="FFFFFF"/>
                <w:w w:val="96"/>
                <w:sz w:val="16"/>
              </w:rPr>
              <w:t>A</w:t>
            </w:r>
          </w:p>
        </w:tc>
        <w:tc>
          <w:tcPr>
            <w:tcW w:w="584" w:type="dxa"/>
            <w:tcBorders>
              <w:top w:val="single" w:sz="4" w:space="0" w:color="FFFFFF"/>
              <w:left w:val="single" w:sz="4" w:space="0" w:color="FFFFFF"/>
              <w:bottom w:val="nil"/>
              <w:right w:val="single" w:sz="4" w:space="0" w:color="FFFFFF"/>
            </w:tcBorders>
            <w:shd w:val="clear" w:color="auto" w:fill="939598"/>
          </w:tcPr>
          <w:p>
            <w:pPr>
              <w:pStyle w:val="TableParagraph"/>
              <w:jc w:val="center"/>
              <w:rPr>
                <w:rFonts w:ascii="Gotham Narrow Bold"/>
                <w:b/>
                <w:sz w:val="16"/>
              </w:rPr>
            </w:pPr>
            <w:r>
              <w:rPr>
                <w:rFonts w:ascii="Gotham Narrow Bold"/>
                <w:b/>
                <w:color w:val="FFFFFF"/>
                <w:w w:val="95"/>
                <w:sz w:val="16"/>
              </w:rPr>
              <w:t>B</w:t>
            </w:r>
          </w:p>
        </w:tc>
        <w:tc>
          <w:tcPr>
            <w:tcW w:w="584" w:type="dxa"/>
            <w:tcBorders>
              <w:top w:val="single" w:sz="4" w:space="0" w:color="FFFFFF"/>
              <w:left w:val="single" w:sz="4" w:space="0" w:color="FFFFFF"/>
              <w:bottom w:val="nil"/>
              <w:right w:val="single" w:sz="4" w:space="0" w:color="FFFFFF"/>
            </w:tcBorders>
            <w:shd w:val="clear" w:color="auto" w:fill="939598"/>
          </w:tcPr>
          <w:p>
            <w:pPr>
              <w:pStyle w:val="TableParagraph"/>
              <w:jc w:val="center"/>
              <w:rPr>
                <w:rFonts w:ascii="Gotham Narrow Bold"/>
                <w:b/>
                <w:sz w:val="16"/>
              </w:rPr>
            </w:pPr>
            <w:r>
              <w:rPr>
                <w:rFonts w:ascii="Gotham Narrow Bold"/>
                <w:b/>
                <w:color w:val="FFFFFF"/>
                <w:w w:val="96"/>
                <w:sz w:val="16"/>
              </w:rPr>
              <w:t>A</w:t>
            </w:r>
          </w:p>
        </w:tc>
        <w:tc>
          <w:tcPr>
            <w:tcW w:w="584" w:type="dxa"/>
            <w:tcBorders>
              <w:top w:val="single" w:sz="4" w:space="0" w:color="FFFFFF"/>
              <w:left w:val="single" w:sz="4" w:space="0" w:color="FFFFFF"/>
              <w:bottom w:val="nil"/>
              <w:right w:val="single" w:sz="4" w:space="0" w:color="FFFFFF"/>
            </w:tcBorders>
            <w:shd w:val="clear" w:color="auto" w:fill="939598"/>
          </w:tcPr>
          <w:p>
            <w:pPr>
              <w:pStyle w:val="TableParagraph"/>
              <w:ind w:left="237"/>
              <w:jc w:val="left"/>
              <w:rPr>
                <w:rFonts w:ascii="Gotham Narrow Bold"/>
                <w:b/>
                <w:sz w:val="16"/>
              </w:rPr>
            </w:pPr>
            <w:r>
              <w:rPr>
                <w:rFonts w:ascii="Gotham Narrow Bold"/>
                <w:b/>
                <w:color w:val="FFFFFF"/>
                <w:w w:val="95"/>
                <w:sz w:val="16"/>
              </w:rPr>
              <w:t>B</w:t>
            </w:r>
          </w:p>
        </w:tc>
        <w:tc>
          <w:tcPr>
            <w:tcW w:w="601" w:type="dxa"/>
            <w:tcBorders>
              <w:top w:val="single" w:sz="4" w:space="0" w:color="FFFFFF"/>
              <w:left w:val="single" w:sz="4" w:space="0" w:color="FFFFFF"/>
              <w:bottom w:val="nil"/>
              <w:right w:val="single" w:sz="4" w:space="0" w:color="FFFFFF"/>
            </w:tcBorders>
            <w:shd w:val="clear" w:color="auto" w:fill="939598"/>
          </w:tcPr>
          <w:p>
            <w:pPr>
              <w:pStyle w:val="TableParagraph"/>
              <w:jc w:val="center"/>
              <w:rPr>
                <w:rFonts w:ascii="Gotham Narrow Bold"/>
                <w:b/>
                <w:sz w:val="16"/>
              </w:rPr>
            </w:pPr>
            <w:r>
              <w:rPr>
                <w:rFonts w:ascii="Gotham Narrow Bold"/>
                <w:b/>
                <w:color w:val="FFFFFF"/>
                <w:w w:val="96"/>
                <w:sz w:val="16"/>
              </w:rPr>
              <w:t>A</w:t>
            </w:r>
          </w:p>
        </w:tc>
        <w:tc>
          <w:tcPr>
            <w:tcW w:w="601" w:type="dxa"/>
            <w:tcBorders>
              <w:top w:val="single" w:sz="4" w:space="0" w:color="FFFFFF"/>
              <w:left w:val="single" w:sz="4" w:space="0" w:color="FFFFFF"/>
              <w:bottom w:val="nil"/>
              <w:right w:val="single" w:sz="4" w:space="0" w:color="FFFFFF"/>
            </w:tcBorders>
            <w:shd w:val="clear" w:color="auto" w:fill="939598"/>
          </w:tcPr>
          <w:p>
            <w:pPr>
              <w:pStyle w:val="TableParagraph"/>
              <w:ind w:left="245"/>
              <w:jc w:val="left"/>
              <w:rPr>
                <w:rFonts w:ascii="Gotham Narrow Bold"/>
                <w:b/>
                <w:sz w:val="16"/>
              </w:rPr>
            </w:pPr>
            <w:r>
              <w:rPr>
                <w:rFonts w:ascii="Gotham Narrow Bold"/>
                <w:b/>
                <w:color w:val="FFFFFF"/>
                <w:w w:val="95"/>
                <w:sz w:val="16"/>
              </w:rPr>
              <w:t>B</w:t>
            </w:r>
          </w:p>
        </w:tc>
        <w:tc>
          <w:tcPr>
            <w:tcW w:w="584" w:type="dxa"/>
            <w:tcBorders>
              <w:top w:val="single" w:sz="4" w:space="0" w:color="FFFFFF"/>
              <w:left w:val="single" w:sz="4" w:space="0" w:color="FFFFFF"/>
              <w:bottom w:val="nil"/>
              <w:right w:val="single" w:sz="4" w:space="0" w:color="FFFFFF"/>
            </w:tcBorders>
            <w:shd w:val="clear" w:color="auto" w:fill="939598"/>
          </w:tcPr>
          <w:p>
            <w:pPr>
              <w:pStyle w:val="TableParagraph"/>
              <w:jc w:val="center"/>
              <w:rPr>
                <w:rFonts w:ascii="Gotham Narrow Bold"/>
                <w:b/>
                <w:sz w:val="16"/>
              </w:rPr>
            </w:pPr>
            <w:r>
              <w:rPr>
                <w:rFonts w:ascii="Gotham Narrow Bold"/>
                <w:b/>
                <w:color w:val="FFFFFF"/>
                <w:w w:val="96"/>
                <w:sz w:val="16"/>
              </w:rPr>
              <w:t>A</w:t>
            </w:r>
          </w:p>
        </w:tc>
        <w:tc>
          <w:tcPr>
            <w:tcW w:w="584" w:type="dxa"/>
            <w:tcBorders>
              <w:top w:val="single" w:sz="4" w:space="0" w:color="FFFFFF"/>
              <w:left w:val="single" w:sz="4" w:space="0" w:color="FFFFFF"/>
              <w:bottom w:val="nil"/>
              <w:right w:val="single" w:sz="4" w:space="0" w:color="FFFFFF"/>
            </w:tcBorders>
            <w:shd w:val="clear" w:color="auto" w:fill="939598"/>
          </w:tcPr>
          <w:p>
            <w:pPr>
              <w:pStyle w:val="TableParagraph"/>
              <w:jc w:val="center"/>
              <w:rPr>
                <w:rFonts w:ascii="Gotham Narrow Bold"/>
                <w:b/>
                <w:sz w:val="16"/>
              </w:rPr>
            </w:pPr>
            <w:r>
              <w:rPr>
                <w:rFonts w:ascii="Gotham Narrow Bold"/>
                <w:b/>
                <w:color w:val="FFFFFF"/>
                <w:w w:val="95"/>
                <w:sz w:val="16"/>
              </w:rPr>
              <w:t>B</w:t>
            </w:r>
          </w:p>
        </w:tc>
        <w:tc>
          <w:tcPr>
            <w:tcW w:w="584" w:type="dxa"/>
            <w:tcBorders>
              <w:top w:val="single" w:sz="4" w:space="0" w:color="FFFFFF"/>
              <w:left w:val="single" w:sz="4" w:space="0" w:color="FFFFFF"/>
              <w:bottom w:val="nil"/>
              <w:right w:val="single" w:sz="4" w:space="0" w:color="FFFFFF"/>
            </w:tcBorders>
            <w:shd w:val="clear" w:color="auto" w:fill="939598"/>
          </w:tcPr>
          <w:p>
            <w:pPr>
              <w:pStyle w:val="TableParagraph"/>
              <w:jc w:val="center"/>
              <w:rPr>
                <w:rFonts w:ascii="Gotham Narrow Bold"/>
                <w:b/>
                <w:sz w:val="16"/>
              </w:rPr>
            </w:pPr>
            <w:r>
              <w:rPr>
                <w:rFonts w:ascii="Gotham Narrow Bold"/>
                <w:b/>
                <w:color w:val="FFFFFF"/>
                <w:w w:val="96"/>
                <w:sz w:val="16"/>
              </w:rPr>
              <w:t>A</w:t>
            </w:r>
          </w:p>
        </w:tc>
        <w:tc>
          <w:tcPr>
            <w:tcW w:w="584" w:type="dxa"/>
            <w:tcBorders>
              <w:top w:val="single" w:sz="4" w:space="0" w:color="FFFFFF"/>
              <w:left w:val="single" w:sz="4" w:space="0" w:color="FFFFFF"/>
              <w:bottom w:val="nil"/>
              <w:right w:val="single" w:sz="4" w:space="0" w:color="FFFFFF"/>
            </w:tcBorders>
            <w:shd w:val="clear" w:color="auto" w:fill="939598"/>
          </w:tcPr>
          <w:p>
            <w:pPr>
              <w:pStyle w:val="TableParagraph"/>
              <w:jc w:val="center"/>
              <w:rPr>
                <w:rFonts w:ascii="Gotham Narrow Bold"/>
                <w:b/>
                <w:sz w:val="16"/>
              </w:rPr>
            </w:pPr>
            <w:r>
              <w:rPr>
                <w:rFonts w:ascii="Gotham Narrow Bold"/>
                <w:b/>
                <w:color w:val="FFFFFF"/>
                <w:w w:val="95"/>
                <w:sz w:val="16"/>
              </w:rPr>
              <w:t>B</w:t>
            </w:r>
          </w:p>
        </w:tc>
        <w:tc>
          <w:tcPr>
            <w:tcW w:w="584" w:type="dxa"/>
            <w:tcBorders>
              <w:top w:val="single" w:sz="4" w:space="0" w:color="FFFFFF"/>
              <w:left w:val="single" w:sz="4" w:space="0" w:color="FFFFFF"/>
              <w:bottom w:val="nil"/>
              <w:right w:val="single" w:sz="4" w:space="0" w:color="FFFFFF"/>
            </w:tcBorders>
            <w:shd w:val="clear" w:color="auto" w:fill="939598"/>
          </w:tcPr>
          <w:p>
            <w:pPr>
              <w:pStyle w:val="TableParagraph"/>
              <w:jc w:val="center"/>
              <w:rPr>
                <w:rFonts w:ascii="Gotham Narrow Bold"/>
                <w:b/>
                <w:sz w:val="16"/>
              </w:rPr>
            </w:pPr>
            <w:r>
              <w:rPr>
                <w:rFonts w:ascii="Gotham Narrow Bold"/>
                <w:b/>
                <w:color w:val="FFFFFF"/>
                <w:w w:val="96"/>
                <w:sz w:val="16"/>
              </w:rPr>
              <w:t>A</w:t>
            </w:r>
          </w:p>
        </w:tc>
        <w:tc>
          <w:tcPr>
            <w:tcW w:w="584" w:type="dxa"/>
            <w:tcBorders>
              <w:top w:val="single" w:sz="4" w:space="0" w:color="FFFFFF"/>
              <w:left w:val="single" w:sz="4" w:space="0" w:color="FFFFFF"/>
              <w:bottom w:val="nil"/>
              <w:right w:val="nil"/>
            </w:tcBorders>
            <w:shd w:val="clear" w:color="auto" w:fill="939598"/>
          </w:tcPr>
          <w:p>
            <w:pPr>
              <w:pStyle w:val="TableParagraph"/>
              <w:ind w:right="3"/>
              <w:jc w:val="center"/>
              <w:rPr>
                <w:rFonts w:ascii="Gotham Narrow Bold"/>
                <w:b/>
                <w:sz w:val="16"/>
              </w:rPr>
            </w:pPr>
            <w:r>
              <w:rPr>
                <w:rFonts w:ascii="Gotham Narrow Bold"/>
                <w:b/>
                <w:color w:val="FFFFFF"/>
                <w:w w:val="95"/>
                <w:sz w:val="16"/>
              </w:rPr>
              <w:t>B</w:t>
            </w:r>
          </w:p>
        </w:tc>
      </w:tr>
      <w:tr>
        <w:trPr>
          <w:trHeight w:val="277" w:hRule="exact"/>
        </w:trPr>
        <w:tc>
          <w:tcPr>
            <w:tcW w:w="3038" w:type="dxa"/>
            <w:tcBorders>
              <w:top w:val="nil"/>
            </w:tcBorders>
            <w:shd w:val="clear" w:color="auto" w:fill="E6E7E8"/>
          </w:tcPr>
          <w:p>
            <w:pPr>
              <w:pStyle w:val="TableParagraph"/>
              <w:spacing w:before="42"/>
              <w:ind w:left="74"/>
              <w:jc w:val="left"/>
              <w:rPr>
                <w:sz w:val="16"/>
              </w:rPr>
            </w:pPr>
            <w:r>
              <w:rPr>
                <w:sz w:val="16"/>
              </w:rPr>
              <w:t>Mr John Banks</w:t>
            </w:r>
          </w:p>
        </w:tc>
        <w:tc>
          <w:tcPr>
            <w:tcW w:w="584" w:type="dxa"/>
            <w:tcBorders>
              <w:top w:val="nil"/>
            </w:tcBorders>
            <w:shd w:val="clear" w:color="auto" w:fill="E6E7E8"/>
          </w:tcPr>
          <w:p>
            <w:pPr>
              <w:pStyle w:val="TableParagraph"/>
              <w:spacing w:before="42"/>
              <w:jc w:val="center"/>
              <w:rPr>
                <w:sz w:val="16"/>
              </w:rPr>
            </w:pPr>
            <w:r>
              <w:rPr>
                <w:w w:val="94"/>
                <w:sz w:val="16"/>
              </w:rPr>
              <w:t>3</w:t>
            </w:r>
          </w:p>
        </w:tc>
        <w:tc>
          <w:tcPr>
            <w:tcW w:w="584" w:type="dxa"/>
            <w:tcBorders>
              <w:top w:val="nil"/>
            </w:tcBorders>
            <w:shd w:val="clear" w:color="auto" w:fill="E6E7E8"/>
          </w:tcPr>
          <w:p>
            <w:pPr>
              <w:pStyle w:val="TableParagraph"/>
              <w:spacing w:before="42"/>
              <w:jc w:val="center"/>
              <w:rPr>
                <w:sz w:val="16"/>
              </w:rPr>
            </w:pPr>
            <w:r>
              <w:rPr>
                <w:w w:val="101"/>
                <w:sz w:val="16"/>
              </w:rPr>
              <w:t>6</w:t>
            </w:r>
          </w:p>
        </w:tc>
        <w:tc>
          <w:tcPr>
            <w:tcW w:w="584" w:type="dxa"/>
            <w:tcBorders>
              <w:top w:val="nil"/>
            </w:tcBorders>
            <w:shd w:val="clear" w:color="auto" w:fill="E6E7E8"/>
          </w:tcPr>
          <w:p>
            <w:pPr/>
          </w:p>
        </w:tc>
        <w:tc>
          <w:tcPr>
            <w:tcW w:w="584" w:type="dxa"/>
            <w:tcBorders>
              <w:top w:val="nil"/>
            </w:tcBorders>
            <w:shd w:val="clear" w:color="auto" w:fill="E6E7E8"/>
          </w:tcPr>
          <w:p>
            <w:pPr/>
          </w:p>
        </w:tc>
        <w:tc>
          <w:tcPr>
            <w:tcW w:w="601" w:type="dxa"/>
            <w:tcBorders>
              <w:top w:val="nil"/>
            </w:tcBorders>
            <w:shd w:val="clear" w:color="auto" w:fill="E6E7E8"/>
          </w:tcPr>
          <w:p>
            <w:pPr/>
          </w:p>
        </w:tc>
        <w:tc>
          <w:tcPr>
            <w:tcW w:w="601" w:type="dxa"/>
            <w:tcBorders>
              <w:top w:val="nil"/>
            </w:tcBorders>
            <w:shd w:val="clear" w:color="auto" w:fill="E6E7E8"/>
          </w:tcPr>
          <w:p>
            <w:pPr/>
          </w:p>
        </w:tc>
        <w:tc>
          <w:tcPr>
            <w:tcW w:w="584" w:type="dxa"/>
            <w:tcBorders>
              <w:top w:val="nil"/>
            </w:tcBorders>
            <w:shd w:val="clear" w:color="auto" w:fill="E6E7E8"/>
          </w:tcPr>
          <w:p>
            <w:pPr/>
          </w:p>
        </w:tc>
        <w:tc>
          <w:tcPr>
            <w:tcW w:w="584" w:type="dxa"/>
            <w:tcBorders>
              <w:top w:val="nil"/>
            </w:tcBorders>
            <w:shd w:val="clear" w:color="auto" w:fill="E6E7E8"/>
          </w:tcPr>
          <w:p>
            <w:pPr/>
          </w:p>
        </w:tc>
        <w:tc>
          <w:tcPr>
            <w:tcW w:w="584" w:type="dxa"/>
            <w:tcBorders>
              <w:top w:val="nil"/>
            </w:tcBorders>
            <w:shd w:val="clear" w:color="auto" w:fill="E6E7E8"/>
          </w:tcPr>
          <w:p>
            <w:pPr/>
          </w:p>
        </w:tc>
        <w:tc>
          <w:tcPr>
            <w:tcW w:w="584" w:type="dxa"/>
            <w:tcBorders>
              <w:top w:val="nil"/>
            </w:tcBorders>
            <w:shd w:val="clear" w:color="auto" w:fill="E6E7E8"/>
          </w:tcPr>
          <w:p>
            <w:pPr/>
          </w:p>
        </w:tc>
        <w:tc>
          <w:tcPr>
            <w:tcW w:w="584" w:type="dxa"/>
            <w:tcBorders>
              <w:top w:val="nil"/>
            </w:tcBorders>
            <w:shd w:val="clear" w:color="auto" w:fill="E6E7E8"/>
          </w:tcPr>
          <w:p>
            <w:pPr/>
          </w:p>
        </w:tc>
        <w:tc>
          <w:tcPr>
            <w:tcW w:w="584" w:type="dxa"/>
            <w:tcBorders>
              <w:top w:val="nil"/>
            </w:tcBorders>
            <w:shd w:val="clear" w:color="auto" w:fill="E6E7E8"/>
          </w:tcPr>
          <w:p>
            <w:pPr/>
          </w:p>
        </w:tc>
      </w:tr>
      <w:tr>
        <w:trPr>
          <w:trHeight w:val="277" w:hRule="exact"/>
        </w:trPr>
        <w:tc>
          <w:tcPr>
            <w:tcW w:w="3038" w:type="dxa"/>
            <w:shd w:val="clear" w:color="auto" w:fill="E6E7E8"/>
          </w:tcPr>
          <w:p>
            <w:pPr>
              <w:pStyle w:val="TableParagraph"/>
              <w:spacing w:before="37"/>
              <w:ind w:left="74"/>
              <w:jc w:val="left"/>
              <w:rPr>
                <w:sz w:val="16"/>
              </w:rPr>
            </w:pPr>
            <w:r>
              <w:rPr>
                <w:sz w:val="16"/>
              </w:rPr>
              <w:t>Mr Christopher Brown</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4"/>
              <w:jc w:val="left"/>
              <w:rPr>
                <w:sz w:val="16"/>
              </w:rPr>
            </w:pPr>
            <w:r>
              <w:rPr>
                <w:sz w:val="16"/>
              </w:rPr>
              <w:t>Ms Elizabeth Dibbs</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Style w:val="TableParagraph"/>
              <w:spacing w:before="37"/>
              <w:ind w:left="242"/>
              <w:jc w:val="left"/>
              <w:rPr>
                <w:sz w:val="16"/>
              </w:rPr>
            </w:pPr>
            <w:r>
              <w:rPr>
                <w:w w:val="101"/>
                <w:sz w:val="16"/>
              </w:rPr>
              <w:t>6</w:t>
            </w:r>
          </w:p>
        </w:tc>
        <w:tc>
          <w:tcPr>
            <w:tcW w:w="601" w:type="dxa"/>
            <w:shd w:val="clear" w:color="auto" w:fill="E6E7E8"/>
          </w:tcPr>
          <w:p>
            <w:pPr>
              <w:pStyle w:val="TableParagraph"/>
              <w:spacing w:before="37"/>
              <w:jc w:val="center"/>
              <w:rPr>
                <w:sz w:val="16"/>
              </w:rPr>
            </w:pPr>
            <w:r>
              <w:rPr>
                <w:w w:val="103"/>
                <w:sz w:val="16"/>
              </w:rPr>
              <w:t>4</w:t>
            </w:r>
          </w:p>
        </w:tc>
        <w:tc>
          <w:tcPr>
            <w:tcW w:w="601" w:type="dxa"/>
            <w:shd w:val="clear" w:color="auto" w:fill="E6E7E8"/>
          </w:tcPr>
          <w:p>
            <w:pPr>
              <w:pStyle w:val="TableParagraph"/>
              <w:spacing w:before="37"/>
              <w:ind w:left="250"/>
              <w:jc w:val="left"/>
              <w:rPr>
                <w:sz w:val="16"/>
              </w:rPr>
            </w:pPr>
            <w:r>
              <w:rPr>
                <w:w w:val="103"/>
                <w:sz w:val="16"/>
              </w:rPr>
              <w:t>4</w:t>
            </w:r>
          </w:p>
        </w:tc>
        <w:tc>
          <w:tcPr>
            <w:tcW w:w="584" w:type="dxa"/>
            <w:shd w:val="clear" w:color="auto" w:fill="E6E7E8"/>
          </w:tcPr>
          <w:p>
            <w:pPr>
              <w:pStyle w:val="TableParagraph"/>
              <w:spacing w:before="37"/>
              <w:jc w:val="center"/>
              <w:rPr>
                <w:sz w:val="16"/>
              </w:rPr>
            </w:pPr>
            <w:r>
              <w:rPr>
                <w:w w:val="95"/>
                <w:sz w:val="16"/>
              </w:rPr>
              <w:t>5</w:t>
            </w:r>
          </w:p>
        </w:tc>
        <w:tc>
          <w:tcPr>
            <w:tcW w:w="584" w:type="dxa"/>
            <w:shd w:val="clear" w:color="auto" w:fill="E6E7E8"/>
          </w:tcPr>
          <w:p>
            <w:pPr>
              <w:pStyle w:val="TableParagraph"/>
              <w:spacing w:before="37"/>
              <w:jc w:val="center"/>
              <w:rPr>
                <w:sz w:val="16"/>
              </w:rPr>
            </w:pPr>
            <w:r>
              <w:rPr>
                <w:w w:val="95"/>
                <w:sz w:val="16"/>
              </w:rPr>
              <w:t>5</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5"/>
              <w:jc w:val="left"/>
              <w:rPr>
                <w:sz w:val="16"/>
              </w:rPr>
            </w:pPr>
            <w:r>
              <w:rPr>
                <w:sz w:val="16"/>
              </w:rPr>
              <w:t>Mr John Fehon</w:t>
            </w: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jc w:val="center"/>
              <w:rPr>
                <w:sz w:val="16"/>
              </w:rPr>
            </w:pPr>
            <w:r>
              <w:rPr>
                <w:w w:val="95"/>
                <w:sz w:val="16"/>
              </w:rPr>
              <w:t>5</w:t>
            </w:r>
          </w:p>
        </w:tc>
        <w:tc>
          <w:tcPr>
            <w:tcW w:w="584" w:type="dxa"/>
            <w:shd w:val="clear" w:color="auto" w:fill="E6E7E8"/>
          </w:tcPr>
          <w:p>
            <w:pPr>
              <w:pStyle w:val="TableParagraph"/>
              <w:spacing w:before="37"/>
              <w:ind w:left="242"/>
              <w:jc w:val="left"/>
              <w:rPr>
                <w:sz w:val="16"/>
              </w:rPr>
            </w:pPr>
            <w:r>
              <w:rPr>
                <w:w w:val="101"/>
                <w:sz w:val="16"/>
              </w:rPr>
              <w:t>6</w:t>
            </w: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5"/>
              <w:jc w:val="left"/>
              <w:rPr>
                <w:sz w:val="16"/>
              </w:rPr>
            </w:pPr>
            <w:r>
              <w:rPr>
                <w:sz w:val="16"/>
              </w:rPr>
              <w:t>Mr Tim Ferraro</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5"/>
              <w:jc w:val="left"/>
              <w:rPr>
                <w:sz w:val="16"/>
              </w:rPr>
            </w:pPr>
            <w:r>
              <w:rPr>
                <w:sz w:val="16"/>
              </w:rPr>
              <w:t>Professor Barney Glover</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Style w:val="TableParagraph"/>
              <w:spacing w:before="37"/>
              <w:jc w:val="center"/>
              <w:rPr>
                <w:sz w:val="16"/>
              </w:rPr>
            </w:pPr>
            <w:r>
              <w:rPr>
                <w:w w:val="95"/>
                <w:sz w:val="16"/>
              </w:rPr>
              <w:t>5</w:t>
            </w:r>
          </w:p>
        </w:tc>
        <w:tc>
          <w:tcPr>
            <w:tcW w:w="601" w:type="dxa"/>
            <w:shd w:val="clear" w:color="auto" w:fill="E6E7E8"/>
          </w:tcPr>
          <w:p>
            <w:pPr>
              <w:pStyle w:val="TableParagraph"/>
              <w:spacing w:before="37"/>
              <w:ind w:left="254"/>
              <w:jc w:val="left"/>
              <w:rPr>
                <w:sz w:val="16"/>
              </w:rPr>
            </w:pPr>
            <w:r>
              <w:rPr>
                <w:w w:val="95"/>
                <w:sz w:val="16"/>
              </w:rPr>
              <w:t>5</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Style w:val="TableParagraph"/>
              <w:spacing w:before="37"/>
              <w:jc w:val="center"/>
              <w:rPr>
                <w:sz w:val="16"/>
              </w:rPr>
            </w:pPr>
            <w:r>
              <w:rPr>
                <w:w w:val="101"/>
                <w:sz w:val="16"/>
              </w:rPr>
              <w:t>6</w:t>
            </w:r>
          </w:p>
        </w:tc>
        <w:tc>
          <w:tcPr>
            <w:tcW w:w="584" w:type="dxa"/>
            <w:shd w:val="clear" w:color="auto" w:fill="E6E7E8"/>
          </w:tcPr>
          <w:p>
            <w:pPr>
              <w:pStyle w:val="TableParagraph"/>
              <w:spacing w:before="37"/>
              <w:ind w:left="1"/>
              <w:jc w:val="center"/>
              <w:rPr>
                <w:sz w:val="16"/>
              </w:rPr>
            </w:pPr>
            <w:r>
              <w:rPr>
                <w:w w:val="103"/>
                <w:sz w:val="16"/>
              </w:rPr>
              <w:t>4</w:t>
            </w:r>
          </w:p>
        </w:tc>
        <w:tc>
          <w:tcPr>
            <w:tcW w:w="584" w:type="dxa"/>
            <w:shd w:val="clear" w:color="auto" w:fill="E6E7E8"/>
          </w:tcPr>
          <w:p>
            <w:pPr>
              <w:pStyle w:val="TableParagraph"/>
              <w:spacing w:before="37"/>
              <w:ind w:left="1"/>
              <w:jc w:val="center"/>
              <w:rPr>
                <w:sz w:val="16"/>
              </w:rPr>
            </w:pPr>
            <w:r>
              <w:rPr>
                <w:w w:val="95"/>
                <w:sz w:val="16"/>
              </w:rPr>
              <w:t>5</w:t>
            </w:r>
          </w:p>
        </w:tc>
        <w:tc>
          <w:tcPr>
            <w:tcW w:w="584" w:type="dxa"/>
            <w:shd w:val="clear" w:color="auto" w:fill="E6E7E8"/>
          </w:tcPr>
          <w:p>
            <w:pPr>
              <w:pStyle w:val="TableParagraph"/>
              <w:spacing w:before="37"/>
              <w:ind w:left="1"/>
              <w:jc w:val="center"/>
              <w:rPr>
                <w:sz w:val="16"/>
              </w:rPr>
            </w:pPr>
            <w:r>
              <w:rPr>
                <w:w w:val="95"/>
                <w:sz w:val="16"/>
              </w:rPr>
              <w:t>5</w:t>
            </w:r>
          </w:p>
        </w:tc>
        <w:tc>
          <w:tcPr>
            <w:tcW w:w="584" w:type="dxa"/>
            <w:shd w:val="clear" w:color="auto" w:fill="E6E7E8"/>
          </w:tcPr>
          <w:p>
            <w:pPr>
              <w:pStyle w:val="TableParagraph"/>
              <w:spacing w:before="37"/>
              <w:ind w:left="1"/>
              <w:jc w:val="center"/>
              <w:rPr>
                <w:sz w:val="16"/>
              </w:rPr>
            </w:pPr>
            <w:r>
              <w:rPr>
                <w:w w:val="95"/>
                <w:sz w:val="16"/>
              </w:rPr>
              <w:t>5</w:t>
            </w:r>
          </w:p>
        </w:tc>
      </w:tr>
      <w:tr>
        <w:trPr>
          <w:trHeight w:val="277" w:hRule="exact"/>
        </w:trPr>
        <w:tc>
          <w:tcPr>
            <w:tcW w:w="3038" w:type="dxa"/>
            <w:shd w:val="clear" w:color="auto" w:fill="E6E7E8"/>
          </w:tcPr>
          <w:p>
            <w:pPr>
              <w:pStyle w:val="TableParagraph"/>
              <w:spacing w:before="37"/>
              <w:ind w:left="75"/>
              <w:jc w:val="left"/>
              <w:rPr>
                <w:sz w:val="16"/>
              </w:rPr>
            </w:pPr>
            <w:r>
              <w:rPr>
                <w:sz w:val="16"/>
              </w:rPr>
              <w:t>Mr Peter Graham</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ind w:left="1"/>
              <w:jc w:val="center"/>
              <w:rPr>
                <w:sz w:val="16"/>
              </w:rPr>
            </w:pPr>
            <w:r>
              <w:rPr>
                <w:w w:val="94"/>
                <w:sz w:val="16"/>
              </w:rPr>
              <w:t>3</w:t>
            </w:r>
          </w:p>
        </w:tc>
        <w:tc>
          <w:tcPr>
            <w:tcW w:w="584" w:type="dxa"/>
            <w:shd w:val="clear" w:color="auto" w:fill="E6E7E8"/>
          </w:tcPr>
          <w:p>
            <w:pPr>
              <w:pStyle w:val="TableParagraph"/>
              <w:spacing w:before="37"/>
              <w:ind w:left="1"/>
              <w:jc w:val="center"/>
              <w:rPr>
                <w:sz w:val="16"/>
              </w:rPr>
            </w:pPr>
            <w:r>
              <w:rPr>
                <w:w w:val="95"/>
                <w:sz w:val="16"/>
              </w:rPr>
              <w:t>5</w:t>
            </w: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5"/>
              <w:jc w:val="left"/>
              <w:rPr>
                <w:sz w:val="16"/>
              </w:rPr>
            </w:pPr>
            <w:r>
              <w:rPr>
                <w:sz w:val="16"/>
              </w:rPr>
              <w:t>Mr Michael Gration</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ind w:left="1"/>
              <w:jc w:val="center"/>
              <w:rPr>
                <w:sz w:val="16"/>
              </w:rPr>
            </w:pPr>
            <w:r>
              <w:rPr>
                <w:w w:val="93"/>
                <w:sz w:val="16"/>
              </w:rPr>
              <w:t>2</w:t>
            </w:r>
          </w:p>
        </w:tc>
        <w:tc>
          <w:tcPr>
            <w:tcW w:w="584" w:type="dxa"/>
            <w:shd w:val="clear" w:color="auto" w:fill="E6E7E8"/>
          </w:tcPr>
          <w:p>
            <w:pPr>
              <w:pStyle w:val="TableParagraph"/>
              <w:spacing w:before="37"/>
              <w:ind w:left="1"/>
              <w:jc w:val="center"/>
              <w:rPr>
                <w:sz w:val="16"/>
              </w:rPr>
            </w:pPr>
            <w:r>
              <w:rPr>
                <w:w w:val="95"/>
                <w:sz w:val="16"/>
              </w:rPr>
              <w:t>5</w:t>
            </w: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5"/>
              <w:jc w:val="left"/>
              <w:rPr>
                <w:sz w:val="16"/>
              </w:rPr>
            </w:pPr>
            <w:r>
              <w:rPr>
                <w:sz w:val="16"/>
              </w:rPr>
              <w:t>Ms Genevieve Gregor</w:t>
            </w:r>
          </w:p>
        </w:tc>
        <w:tc>
          <w:tcPr>
            <w:tcW w:w="584" w:type="dxa"/>
            <w:shd w:val="clear" w:color="auto" w:fill="E6E7E8"/>
          </w:tcPr>
          <w:p>
            <w:pPr>
              <w:pStyle w:val="TableParagraph"/>
              <w:spacing w:before="37"/>
              <w:ind w:left="1"/>
              <w:jc w:val="center"/>
              <w:rPr>
                <w:sz w:val="16"/>
              </w:rPr>
            </w:pPr>
            <w:r>
              <w:rPr>
                <w:w w:val="101"/>
                <w:sz w:val="16"/>
              </w:rPr>
              <w:t>6</w:t>
            </w:r>
          </w:p>
        </w:tc>
        <w:tc>
          <w:tcPr>
            <w:tcW w:w="584" w:type="dxa"/>
            <w:shd w:val="clear" w:color="auto" w:fill="E6E7E8"/>
          </w:tcPr>
          <w:p>
            <w:pPr>
              <w:pStyle w:val="TableParagraph"/>
              <w:spacing w:before="37"/>
              <w:ind w:left="1"/>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ind w:left="1"/>
              <w:jc w:val="center"/>
              <w:rPr>
                <w:sz w:val="16"/>
              </w:rPr>
            </w:pPr>
            <w:r>
              <w:rPr>
                <w:w w:val="95"/>
                <w:sz w:val="16"/>
              </w:rPr>
              <w:t>5</w:t>
            </w:r>
          </w:p>
        </w:tc>
        <w:tc>
          <w:tcPr>
            <w:tcW w:w="584" w:type="dxa"/>
            <w:shd w:val="clear" w:color="auto" w:fill="E6E7E8"/>
          </w:tcPr>
          <w:p>
            <w:pPr>
              <w:pStyle w:val="TableParagraph"/>
              <w:spacing w:before="37"/>
              <w:ind w:left="2"/>
              <w:jc w:val="center"/>
              <w:rPr>
                <w:sz w:val="16"/>
              </w:rPr>
            </w:pPr>
            <w:r>
              <w:rPr>
                <w:w w:val="95"/>
                <w:sz w:val="16"/>
              </w:rPr>
              <w:t>5</w:t>
            </w:r>
          </w:p>
        </w:tc>
      </w:tr>
      <w:tr>
        <w:trPr>
          <w:trHeight w:val="277" w:hRule="exact"/>
        </w:trPr>
        <w:tc>
          <w:tcPr>
            <w:tcW w:w="3038" w:type="dxa"/>
            <w:shd w:val="clear" w:color="auto" w:fill="E6E7E8"/>
          </w:tcPr>
          <w:p>
            <w:pPr>
              <w:pStyle w:val="TableParagraph"/>
              <w:spacing w:before="37"/>
              <w:ind w:left="75"/>
              <w:jc w:val="left"/>
              <w:rPr>
                <w:sz w:val="16"/>
              </w:rPr>
            </w:pPr>
            <w:r>
              <w:rPr>
                <w:sz w:val="16"/>
              </w:rPr>
              <w:t>Mr Elie Hammam</w:t>
            </w:r>
          </w:p>
        </w:tc>
        <w:tc>
          <w:tcPr>
            <w:tcW w:w="584" w:type="dxa"/>
            <w:shd w:val="clear" w:color="auto" w:fill="E6E7E8"/>
          </w:tcPr>
          <w:p>
            <w:pPr>
              <w:pStyle w:val="TableParagraph"/>
              <w:spacing w:before="37"/>
              <w:ind w:left="1"/>
              <w:jc w:val="center"/>
              <w:rPr>
                <w:sz w:val="16"/>
              </w:rPr>
            </w:pPr>
            <w:r>
              <w:rPr>
                <w:w w:val="103"/>
                <w:sz w:val="16"/>
              </w:rPr>
              <w:t>4</w:t>
            </w:r>
          </w:p>
        </w:tc>
        <w:tc>
          <w:tcPr>
            <w:tcW w:w="584" w:type="dxa"/>
            <w:shd w:val="clear" w:color="auto" w:fill="E6E7E8"/>
          </w:tcPr>
          <w:p>
            <w:pPr>
              <w:pStyle w:val="TableParagraph"/>
              <w:spacing w:before="37"/>
              <w:ind w:left="1"/>
              <w:jc w:val="center"/>
              <w:rPr>
                <w:sz w:val="16"/>
              </w:rPr>
            </w:pPr>
            <w:r>
              <w:rPr>
                <w:w w:val="103"/>
                <w:sz w:val="16"/>
              </w:rPr>
              <w:t>4</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5"/>
              <w:jc w:val="left"/>
              <w:rPr>
                <w:sz w:val="16"/>
              </w:rPr>
            </w:pPr>
            <w:r>
              <w:rPr>
                <w:sz w:val="16"/>
              </w:rPr>
              <w:t>Ms Susan Hartigan</w:t>
            </w: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ind w:left="2"/>
              <w:jc w:val="center"/>
              <w:rPr>
                <w:sz w:val="16"/>
              </w:rPr>
            </w:pPr>
            <w:r>
              <w:rPr>
                <w:w w:val="103"/>
                <w:sz w:val="16"/>
              </w:rPr>
              <w:t>4</w:t>
            </w:r>
          </w:p>
        </w:tc>
        <w:tc>
          <w:tcPr>
            <w:tcW w:w="584" w:type="dxa"/>
            <w:shd w:val="clear" w:color="auto" w:fill="E6E7E8"/>
          </w:tcPr>
          <w:p>
            <w:pPr>
              <w:pStyle w:val="TableParagraph"/>
              <w:spacing w:before="37"/>
              <w:ind w:left="243"/>
              <w:jc w:val="left"/>
              <w:rPr>
                <w:sz w:val="16"/>
              </w:rPr>
            </w:pPr>
            <w:r>
              <w:rPr>
                <w:w w:val="101"/>
                <w:sz w:val="16"/>
              </w:rPr>
              <w:t>6</w:t>
            </w: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6"/>
              <w:jc w:val="left"/>
              <w:rPr>
                <w:sz w:val="16"/>
              </w:rPr>
            </w:pPr>
            <w:r>
              <w:rPr>
                <w:sz w:val="16"/>
              </w:rPr>
              <w:t>Mr Damian Horton</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ind w:left="2"/>
              <w:jc w:val="center"/>
              <w:rPr>
                <w:sz w:val="16"/>
              </w:rPr>
            </w:pPr>
            <w:r>
              <w:rPr>
                <w:w w:val="94"/>
                <w:sz w:val="16"/>
              </w:rPr>
              <w:t>3</w:t>
            </w:r>
          </w:p>
        </w:tc>
        <w:tc>
          <w:tcPr>
            <w:tcW w:w="584" w:type="dxa"/>
            <w:shd w:val="clear" w:color="auto" w:fill="E6E7E8"/>
          </w:tcPr>
          <w:p>
            <w:pPr>
              <w:pStyle w:val="TableParagraph"/>
              <w:spacing w:before="37"/>
              <w:ind w:left="2"/>
              <w:jc w:val="center"/>
              <w:rPr>
                <w:sz w:val="16"/>
              </w:rPr>
            </w:pPr>
            <w:r>
              <w:rPr>
                <w:w w:val="103"/>
                <w:sz w:val="16"/>
              </w:rPr>
              <w:t>4</w:t>
            </w: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6"/>
              <w:jc w:val="left"/>
              <w:rPr>
                <w:sz w:val="16"/>
              </w:rPr>
            </w:pPr>
            <w:r>
              <w:rPr>
                <w:sz w:val="16"/>
              </w:rPr>
              <w:t>Mr Craig James</w:t>
            </w: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ind w:left="2"/>
              <w:jc w:val="center"/>
              <w:rPr>
                <w:sz w:val="16"/>
              </w:rPr>
            </w:pPr>
            <w:r>
              <w:rPr>
                <w:w w:val="101"/>
                <w:sz w:val="16"/>
              </w:rPr>
              <w:t>6</w:t>
            </w:r>
          </w:p>
        </w:tc>
        <w:tc>
          <w:tcPr>
            <w:tcW w:w="584" w:type="dxa"/>
            <w:shd w:val="clear" w:color="auto" w:fill="E6E7E8"/>
          </w:tcPr>
          <w:p>
            <w:pPr>
              <w:pStyle w:val="TableParagraph"/>
              <w:spacing w:before="37"/>
              <w:ind w:left="244"/>
              <w:jc w:val="left"/>
              <w:rPr>
                <w:sz w:val="16"/>
              </w:rPr>
            </w:pPr>
            <w:r>
              <w:rPr>
                <w:w w:val="101"/>
                <w:sz w:val="16"/>
              </w:rPr>
              <w:t>6</w:t>
            </w: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6"/>
              <w:jc w:val="left"/>
              <w:rPr>
                <w:sz w:val="16"/>
              </w:rPr>
            </w:pPr>
            <w:r>
              <w:rPr>
                <w:sz w:val="16"/>
              </w:rPr>
              <w:t>Ms Vivienne James</w:t>
            </w:r>
          </w:p>
        </w:tc>
        <w:tc>
          <w:tcPr>
            <w:tcW w:w="584" w:type="dxa"/>
            <w:shd w:val="clear" w:color="auto" w:fill="E6E7E8"/>
          </w:tcPr>
          <w:p>
            <w:pPr>
              <w:pStyle w:val="TableParagraph"/>
              <w:spacing w:before="37"/>
              <w:ind w:left="2"/>
              <w:jc w:val="center"/>
              <w:rPr>
                <w:sz w:val="16"/>
              </w:rPr>
            </w:pPr>
            <w:r>
              <w:rPr>
                <w:w w:val="101"/>
                <w:sz w:val="16"/>
              </w:rPr>
              <w:t>6</w:t>
            </w:r>
          </w:p>
        </w:tc>
        <w:tc>
          <w:tcPr>
            <w:tcW w:w="584" w:type="dxa"/>
            <w:shd w:val="clear" w:color="auto" w:fill="E6E7E8"/>
          </w:tcPr>
          <w:p>
            <w:pPr>
              <w:pStyle w:val="TableParagraph"/>
              <w:spacing w:before="37"/>
              <w:ind w:left="2"/>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6"/>
              <w:jc w:val="left"/>
              <w:rPr>
                <w:sz w:val="16"/>
              </w:rPr>
            </w:pPr>
            <w:r>
              <w:rPr>
                <w:sz w:val="16"/>
              </w:rPr>
              <w:t>Ms Sophie Kobuch</w:t>
            </w:r>
          </w:p>
        </w:tc>
        <w:tc>
          <w:tcPr>
            <w:tcW w:w="584" w:type="dxa"/>
            <w:shd w:val="clear" w:color="auto" w:fill="E6E7E8"/>
          </w:tcPr>
          <w:p>
            <w:pPr>
              <w:pStyle w:val="TableParagraph"/>
              <w:spacing w:before="37"/>
              <w:ind w:left="2"/>
              <w:jc w:val="center"/>
              <w:rPr>
                <w:sz w:val="16"/>
              </w:rPr>
            </w:pPr>
            <w:r>
              <w:rPr>
                <w:w w:val="93"/>
                <w:sz w:val="16"/>
              </w:rPr>
              <w:t>2</w:t>
            </w:r>
          </w:p>
        </w:tc>
        <w:tc>
          <w:tcPr>
            <w:tcW w:w="584" w:type="dxa"/>
            <w:shd w:val="clear" w:color="auto" w:fill="E6E7E8"/>
          </w:tcPr>
          <w:p>
            <w:pPr>
              <w:pStyle w:val="TableParagraph"/>
              <w:spacing w:before="37"/>
              <w:ind w:left="2"/>
              <w:jc w:val="center"/>
              <w:rPr>
                <w:sz w:val="16"/>
              </w:rPr>
            </w:pPr>
            <w:r>
              <w:rPr>
                <w:w w:val="93"/>
                <w:sz w:val="16"/>
              </w:rPr>
              <w:t>2</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6"/>
              <w:jc w:val="left"/>
              <w:rPr>
                <w:sz w:val="16"/>
              </w:rPr>
            </w:pPr>
            <w:r>
              <w:rPr>
                <w:sz w:val="16"/>
              </w:rPr>
              <w:t>Ms Georgia Lee</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ind w:left="2"/>
              <w:jc w:val="center"/>
              <w:rPr>
                <w:sz w:val="16"/>
              </w:rPr>
            </w:pPr>
            <w:r>
              <w:rPr>
                <w:w w:val="95"/>
                <w:sz w:val="16"/>
              </w:rPr>
              <w:t>5</w:t>
            </w:r>
          </w:p>
        </w:tc>
        <w:tc>
          <w:tcPr>
            <w:tcW w:w="584" w:type="dxa"/>
            <w:shd w:val="clear" w:color="auto" w:fill="E6E7E8"/>
          </w:tcPr>
          <w:p>
            <w:pPr>
              <w:pStyle w:val="TableParagraph"/>
              <w:spacing w:before="37"/>
              <w:ind w:left="3"/>
              <w:jc w:val="center"/>
              <w:rPr>
                <w:sz w:val="16"/>
              </w:rPr>
            </w:pPr>
            <w:r>
              <w:rPr>
                <w:w w:val="95"/>
                <w:sz w:val="16"/>
              </w:rPr>
              <w:t>5</w:t>
            </w: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6"/>
              <w:jc w:val="left"/>
              <w:rPr>
                <w:sz w:val="16"/>
              </w:rPr>
            </w:pPr>
            <w:r>
              <w:rPr>
                <w:sz w:val="16"/>
              </w:rPr>
              <w:t>Ms Taylor Macdonald</w:t>
            </w:r>
          </w:p>
        </w:tc>
        <w:tc>
          <w:tcPr>
            <w:tcW w:w="584" w:type="dxa"/>
            <w:shd w:val="clear" w:color="auto" w:fill="E6E7E8"/>
          </w:tcPr>
          <w:p>
            <w:pPr>
              <w:pStyle w:val="TableParagraph"/>
              <w:spacing w:before="37"/>
              <w:ind w:left="3"/>
              <w:jc w:val="center"/>
              <w:rPr>
                <w:sz w:val="16"/>
              </w:rPr>
            </w:pPr>
            <w:r>
              <w:rPr>
                <w:w w:val="95"/>
                <w:sz w:val="16"/>
              </w:rPr>
              <w:t>5</w:t>
            </w:r>
          </w:p>
        </w:tc>
        <w:tc>
          <w:tcPr>
            <w:tcW w:w="584" w:type="dxa"/>
            <w:shd w:val="clear" w:color="auto" w:fill="E6E7E8"/>
          </w:tcPr>
          <w:p>
            <w:pPr>
              <w:pStyle w:val="TableParagraph"/>
              <w:spacing w:before="37"/>
              <w:ind w:left="3"/>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6"/>
              <w:jc w:val="left"/>
              <w:rPr>
                <w:sz w:val="16"/>
              </w:rPr>
            </w:pPr>
            <w:r>
              <w:rPr>
                <w:sz w:val="16"/>
              </w:rPr>
              <w:t>Mr Alastair Metcalf</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ind w:left="3"/>
              <w:jc w:val="center"/>
              <w:rPr>
                <w:sz w:val="16"/>
              </w:rPr>
            </w:pPr>
            <w:r>
              <w:rPr>
                <w:w w:val="103"/>
                <w:sz w:val="16"/>
              </w:rPr>
              <w:t>4</w:t>
            </w:r>
          </w:p>
        </w:tc>
        <w:tc>
          <w:tcPr>
            <w:tcW w:w="584" w:type="dxa"/>
            <w:shd w:val="clear" w:color="auto" w:fill="E6E7E8"/>
          </w:tcPr>
          <w:p>
            <w:pPr>
              <w:pStyle w:val="TableParagraph"/>
              <w:spacing w:before="37"/>
              <w:ind w:left="3"/>
              <w:jc w:val="center"/>
              <w:rPr>
                <w:sz w:val="16"/>
              </w:rPr>
            </w:pPr>
            <w:r>
              <w:rPr>
                <w:w w:val="95"/>
                <w:sz w:val="16"/>
              </w:rPr>
              <w:t>5</w:t>
            </w:r>
          </w:p>
        </w:tc>
      </w:tr>
      <w:tr>
        <w:trPr>
          <w:trHeight w:val="277" w:hRule="exact"/>
        </w:trPr>
        <w:tc>
          <w:tcPr>
            <w:tcW w:w="3038" w:type="dxa"/>
            <w:shd w:val="clear" w:color="auto" w:fill="E6E7E8"/>
          </w:tcPr>
          <w:p>
            <w:pPr>
              <w:pStyle w:val="TableParagraph"/>
              <w:spacing w:before="37"/>
              <w:ind w:left="76"/>
              <w:jc w:val="left"/>
              <w:rPr>
                <w:sz w:val="16"/>
              </w:rPr>
            </w:pPr>
            <w:r>
              <w:rPr>
                <w:sz w:val="16"/>
              </w:rPr>
              <w:t>Doctor George Morgan</w:t>
            </w:r>
          </w:p>
        </w:tc>
        <w:tc>
          <w:tcPr>
            <w:tcW w:w="584" w:type="dxa"/>
            <w:shd w:val="clear" w:color="auto" w:fill="E6E7E8"/>
          </w:tcPr>
          <w:p>
            <w:pPr>
              <w:pStyle w:val="TableParagraph"/>
              <w:spacing w:before="37"/>
              <w:ind w:left="3"/>
              <w:jc w:val="center"/>
              <w:rPr>
                <w:sz w:val="16"/>
              </w:rPr>
            </w:pPr>
            <w:r>
              <w:rPr>
                <w:w w:val="101"/>
                <w:sz w:val="16"/>
              </w:rPr>
              <w:t>6</w:t>
            </w:r>
          </w:p>
        </w:tc>
        <w:tc>
          <w:tcPr>
            <w:tcW w:w="584" w:type="dxa"/>
            <w:shd w:val="clear" w:color="auto" w:fill="E6E7E8"/>
          </w:tcPr>
          <w:p>
            <w:pPr>
              <w:pStyle w:val="TableParagraph"/>
              <w:spacing w:before="37"/>
              <w:ind w:left="3"/>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6"/>
              <w:jc w:val="left"/>
              <w:rPr>
                <w:sz w:val="16"/>
              </w:rPr>
            </w:pPr>
            <w:r>
              <w:rPr>
                <w:sz w:val="16"/>
              </w:rPr>
              <w:t>Mr Paul Newman</w:t>
            </w:r>
          </w:p>
        </w:tc>
        <w:tc>
          <w:tcPr>
            <w:tcW w:w="584" w:type="dxa"/>
            <w:shd w:val="clear" w:color="auto" w:fill="E6E7E8"/>
          </w:tcPr>
          <w:p>
            <w:pPr>
              <w:pStyle w:val="TableParagraph"/>
              <w:spacing w:before="37"/>
              <w:ind w:left="3"/>
              <w:jc w:val="center"/>
              <w:rPr>
                <w:sz w:val="16"/>
              </w:rPr>
            </w:pPr>
            <w:r>
              <w:rPr>
                <w:w w:val="94"/>
                <w:sz w:val="16"/>
              </w:rPr>
              <w:t>3</w:t>
            </w:r>
          </w:p>
        </w:tc>
        <w:tc>
          <w:tcPr>
            <w:tcW w:w="584" w:type="dxa"/>
            <w:shd w:val="clear" w:color="auto" w:fill="E6E7E8"/>
          </w:tcPr>
          <w:p>
            <w:pPr>
              <w:pStyle w:val="TableParagraph"/>
              <w:spacing w:before="37"/>
              <w:ind w:left="3"/>
              <w:jc w:val="center"/>
              <w:rPr>
                <w:sz w:val="16"/>
              </w:rPr>
            </w:pPr>
            <w:r>
              <w:rPr>
                <w:w w:val="103"/>
                <w:sz w:val="16"/>
              </w:rPr>
              <w:t>4</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ind w:left="3"/>
              <w:jc w:val="center"/>
              <w:rPr>
                <w:sz w:val="16"/>
              </w:rPr>
            </w:pPr>
            <w:r>
              <w:rPr>
                <w:w w:val="111"/>
                <w:sz w:val="16"/>
              </w:rPr>
              <w:t>0</w:t>
            </w:r>
          </w:p>
        </w:tc>
        <w:tc>
          <w:tcPr>
            <w:tcW w:w="584" w:type="dxa"/>
            <w:shd w:val="clear" w:color="auto" w:fill="E6E7E8"/>
          </w:tcPr>
          <w:p>
            <w:pPr>
              <w:pStyle w:val="TableParagraph"/>
              <w:spacing w:before="37"/>
              <w:ind w:left="3"/>
              <w:jc w:val="center"/>
              <w:rPr>
                <w:sz w:val="16"/>
              </w:rPr>
            </w:pPr>
            <w:r>
              <w:rPr>
                <w:w w:val="93"/>
                <w:sz w:val="16"/>
              </w:rPr>
              <w:t>2</w:t>
            </w: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6"/>
              <w:jc w:val="left"/>
              <w:rPr>
                <w:sz w:val="16"/>
              </w:rPr>
            </w:pPr>
            <w:r>
              <w:rPr>
                <w:sz w:val="16"/>
              </w:rPr>
              <w:t>Mr Lee Pinder</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7"/>
              <w:ind w:left="3"/>
              <w:jc w:val="center"/>
              <w:rPr>
                <w:sz w:val="16"/>
              </w:rPr>
            </w:pPr>
            <w:r>
              <w:rPr>
                <w:w w:val="95"/>
                <w:sz w:val="16"/>
              </w:rPr>
              <w:t>5</w:t>
            </w:r>
          </w:p>
        </w:tc>
        <w:tc>
          <w:tcPr>
            <w:tcW w:w="584" w:type="dxa"/>
            <w:shd w:val="clear" w:color="auto" w:fill="E6E7E8"/>
          </w:tcPr>
          <w:p>
            <w:pPr>
              <w:pStyle w:val="TableParagraph"/>
              <w:spacing w:before="37"/>
              <w:ind w:left="3"/>
              <w:jc w:val="center"/>
              <w:rPr>
                <w:sz w:val="16"/>
              </w:rPr>
            </w:pPr>
            <w:r>
              <w:rPr>
                <w:w w:val="95"/>
                <w:sz w:val="16"/>
              </w:rPr>
              <w:t>5</w:t>
            </w: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6"/>
              <w:jc w:val="left"/>
              <w:rPr>
                <w:sz w:val="16"/>
              </w:rPr>
            </w:pPr>
            <w:r>
              <w:rPr>
                <w:sz w:val="16"/>
              </w:rPr>
              <w:t>Mr Michael Pratt</w:t>
            </w:r>
          </w:p>
        </w:tc>
        <w:tc>
          <w:tcPr>
            <w:tcW w:w="584" w:type="dxa"/>
            <w:shd w:val="clear" w:color="auto" w:fill="E6E7E8"/>
          </w:tcPr>
          <w:p>
            <w:pPr>
              <w:pStyle w:val="TableParagraph"/>
              <w:spacing w:before="37"/>
              <w:ind w:left="3"/>
              <w:jc w:val="center"/>
              <w:rPr>
                <w:sz w:val="16"/>
              </w:rPr>
            </w:pPr>
            <w:r>
              <w:rPr>
                <w:w w:val="95"/>
                <w:sz w:val="16"/>
              </w:rPr>
              <w:t>5</w:t>
            </w:r>
          </w:p>
        </w:tc>
        <w:tc>
          <w:tcPr>
            <w:tcW w:w="584" w:type="dxa"/>
            <w:shd w:val="clear" w:color="auto" w:fill="E6E7E8"/>
          </w:tcPr>
          <w:p>
            <w:pPr>
              <w:pStyle w:val="TableParagraph"/>
              <w:spacing w:before="37"/>
              <w:ind w:left="3"/>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Style w:val="TableParagraph"/>
              <w:spacing w:before="37"/>
              <w:ind w:left="3"/>
              <w:jc w:val="center"/>
              <w:rPr>
                <w:sz w:val="16"/>
              </w:rPr>
            </w:pPr>
            <w:r>
              <w:rPr>
                <w:w w:val="103"/>
                <w:sz w:val="16"/>
              </w:rPr>
              <w:t>4</w:t>
            </w:r>
          </w:p>
        </w:tc>
        <w:tc>
          <w:tcPr>
            <w:tcW w:w="601" w:type="dxa"/>
            <w:shd w:val="clear" w:color="auto" w:fill="E6E7E8"/>
          </w:tcPr>
          <w:p>
            <w:pPr>
              <w:pStyle w:val="TableParagraph"/>
              <w:spacing w:before="37"/>
              <w:ind w:left="255"/>
              <w:jc w:val="left"/>
              <w:rPr>
                <w:sz w:val="16"/>
              </w:rPr>
            </w:pPr>
            <w:r>
              <w:rPr>
                <w:w w:val="95"/>
                <w:sz w:val="16"/>
              </w:rPr>
              <w:t>5</w:t>
            </w:r>
          </w:p>
        </w:tc>
        <w:tc>
          <w:tcPr>
            <w:tcW w:w="584" w:type="dxa"/>
            <w:shd w:val="clear" w:color="auto" w:fill="E6E7E8"/>
          </w:tcPr>
          <w:p>
            <w:pPr>
              <w:pStyle w:val="TableParagraph"/>
              <w:spacing w:before="37"/>
              <w:ind w:left="3"/>
              <w:jc w:val="center"/>
              <w:rPr>
                <w:sz w:val="16"/>
              </w:rPr>
            </w:pPr>
            <w:r>
              <w:rPr>
                <w:w w:val="101"/>
                <w:sz w:val="16"/>
              </w:rPr>
              <w:t>6</w:t>
            </w:r>
          </w:p>
        </w:tc>
        <w:tc>
          <w:tcPr>
            <w:tcW w:w="584" w:type="dxa"/>
            <w:shd w:val="clear" w:color="auto" w:fill="E6E7E8"/>
          </w:tcPr>
          <w:p>
            <w:pPr>
              <w:pStyle w:val="TableParagraph"/>
              <w:spacing w:before="37"/>
              <w:ind w:left="3"/>
              <w:jc w:val="center"/>
              <w:rPr>
                <w:sz w:val="16"/>
              </w:rPr>
            </w:pPr>
            <w:r>
              <w:rPr>
                <w:w w:val="101"/>
                <w:sz w:val="16"/>
              </w:rPr>
              <w:t>6</w:t>
            </w:r>
          </w:p>
        </w:tc>
        <w:tc>
          <w:tcPr>
            <w:tcW w:w="584" w:type="dxa"/>
            <w:shd w:val="clear" w:color="auto" w:fill="E6E7E8"/>
          </w:tcPr>
          <w:p>
            <w:pPr>
              <w:pStyle w:val="TableParagraph"/>
              <w:spacing w:before="37"/>
              <w:ind w:left="3"/>
              <w:jc w:val="center"/>
              <w:rPr>
                <w:sz w:val="16"/>
              </w:rPr>
            </w:pPr>
            <w:r>
              <w:rPr>
                <w:w w:val="103"/>
                <w:sz w:val="16"/>
              </w:rPr>
              <w:t>4</w:t>
            </w:r>
          </w:p>
        </w:tc>
        <w:tc>
          <w:tcPr>
            <w:tcW w:w="584" w:type="dxa"/>
            <w:shd w:val="clear" w:color="auto" w:fill="E6E7E8"/>
          </w:tcPr>
          <w:p>
            <w:pPr>
              <w:pStyle w:val="TableParagraph"/>
              <w:spacing w:before="37"/>
              <w:ind w:left="4"/>
              <w:jc w:val="center"/>
              <w:rPr>
                <w:sz w:val="16"/>
              </w:rPr>
            </w:pPr>
            <w:r>
              <w:rPr>
                <w:w w:val="95"/>
                <w:sz w:val="16"/>
              </w:rPr>
              <w:t>5</w:t>
            </w: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7"/>
              <w:ind w:left="77"/>
              <w:jc w:val="left"/>
              <w:rPr>
                <w:sz w:val="16"/>
              </w:rPr>
            </w:pPr>
            <w:r>
              <w:rPr>
                <w:sz w:val="16"/>
              </w:rPr>
              <w:t>Ms Jenny Purcell</w:t>
            </w:r>
          </w:p>
        </w:tc>
        <w:tc>
          <w:tcPr>
            <w:tcW w:w="584" w:type="dxa"/>
            <w:shd w:val="clear" w:color="auto" w:fill="E6E7E8"/>
          </w:tcPr>
          <w:p>
            <w:pPr>
              <w:pStyle w:val="TableParagraph"/>
              <w:spacing w:before="37"/>
              <w:ind w:left="4"/>
              <w:jc w:val="center"/>
              <w:rPr>
                <w:sz w:val="16"/>
              </w:rPr>
            </w:pPr>
            <w:r>
              <w:rPr>
                <w:w w:val="101"/>
                <w:sz w:val="16"/>
              </w:rPr>
              <w:t>6</w:t>
            </w:r>
          </w:p>
        </w:tc>
        <w:tc>
          <w:tcPr>
            <w:tcW w:w="584" w:type="dxa"/>
            <w:shd w:val="clear" w:color="auto" w:fill="E6E7E8"/>
          </w:tcPr>
          <w:p>
            <w:pPr>
              <w:pStyle w:val="TableParagraph"/>
              <w:spacing w:before="37"/>
              <w:ind w:left="4"/>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6"/>
              <w:ind w:left="77"/>
              <w:jc w:val="left"/>
              <w:rPr>
                <w:sz w:val="16"/>
              </w:rPr>
            </w:pPr>
            <w:r>
              <w:rPr>
                <w:sz w:val="16"/>
              </w:rPr>
              <w:t>Mr Bob Sahota</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6"/>
              <w:ind w:left="4"/>
              <w:jc w:val="center"/>
              <w:rPr>
                <w:sz w:val="16"/>
              </w:rPr>
            </w:pPr>
            <w:r>
              <w:rPr>
                <w:w w:val="94"/>
                <w:sz w:val="16"/>
              </w:rPr>
              <w:t>3</w:t>
            </w:r>
          </w:p>
        </w:tc>
        <w:tc>
          <w:tcPr>
            <w:tcW w:w="584" w:type="dxa"/>
            <w:shd w:val="clear" w:color="auto" w:fill="E6E7E8"/>
          </w:tcPr>
          <w:p>
            <w:pPr>
              <w:pStyle w:val="TableParagraph"/>
              <w:spacing w:before="36"/>
              <w:ind w:left="4"/>
              <w:jc w:val="center"/>
              <w:rPr>
                <w:sz w:val="16"/>
              </w:rPr>
            </w:pPr>
            <w:r>
              <w:rPr>
                <w:w w:val="103"/>
                <w:sz w:val="16"/>
              </w:rPr>
              <w:t>4</w:t>
            </w:r>
          </w:p>
        </w:tc>
      </w:tr>
      <w:tr>
        <w:trPr>
          <w:trHeight w:val="277" w:hRule="exact"/>
        </w:trPr>
        <w:tc>
          <w:tcPr>
            <w:tcW w:w="3038" w:type="dxa"/>
            <w:shd w:val="clear" w:color="auto" w:fill="E6E7E8"/>
          </w:tcPr>
          <w:p>
            <w:pPr>
              <w:pStyle w:val="TableParagraph"/>
              <w:spacing w:before="36"/>
              <w:ind w:left="77"/>
              <w:jc w:val="left"/>
              <w:rPr>
                <w:sz w:val="16"/>
              </w:rPr>
            </w:pPr>
            <w:r>
              <w:rPr>
                <w:sz w:val="16"/>
              </w:rPr>
              <w:t>Ms Gillian Shadwick</w:t>
            </w:r>
          </w:p>
        </w:tc>
        <w:tc>
          <w:tcPr>
            <w:tcW w:w="584" w:type="dxa"/>
            <w:shd w:val="clear" w:color="auto" w:fill="E6E7E8"/>
          </w:tcPr>
          <w:p>
            <w:pPr>
              <w:pStyle w:val="TableParagraph"/>
              <w:spacing w:before="36"/>
              <w:ind w:left="4"/>
              <w:jc w:val="center"/>
              <w:rPr>
                <w:sz w:val="16"/>
              </w:rPr>
            </w:pPr>
            <w:r>
              <w:rPr>
                <w:w w:val="101"/>
                <w:sz w:val="16"/>
              </w:rPr>
              <w:t>6</w:t>
            </w:r>
          </w:p>
        </w:tc>
        <w:tc>
          <w:tcPr>
            <w:tcW w:w="584" w:type="dxa"/>
            <w:shd w:val="clear" w:color="auto" w:fill="E6E7E8"/>
          </w:tcPr>
          <w:p>
            <w:pPr>
              <w:pStyle w:val="TableParagraph"/>
              <w:spacing w:before="36"/>
              <w:ind w:left="4"/>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Style w:val="TableParagraph"/>
              <w:spacing w:before="36"/>
              <w:ind w:left="4"/>
              <w:jc w:val="center"/>
              <w:rPr>
                <w:sz w:val="16"/>
              </w:rPr>
            </w:pPr>
            <w:r>
              <w:rPr>
                <w:w w:val="95"/>
                <w:sz w:val="16"/>
              </w:rPr>
              <w:t>5</w:t>
            </w:r>
          </w:p>
        </w:tc>
        <w:tc>
          <w:tcPr>
            <w:tcW w:w="601" w:type="dxa"/>
            <w:shd w:val="clear" w:color="auto" w:fill="E6E7E8"/>
          </w:tcPr>
          <w:p>
            <w:pPr>
              <w:pStyle w:val="TableParagraph"/>
              <w:spacing w:before="36"/>
              <w:ind w:left="255"/>
              <w:jc w:val="left"/>
              <w:rPr>
                <w:sz w:val="16"/>
              </w:rPr>
            </w:pPr>
            <w:r>
              <w:rPr>
                <w:w w:val="95"/>
                <w:sz w:val="16"/>
              </w:rPr>
              <w:t>5</w:t>
            </w:r>
          </w:p>
        </w:tc>
        <w:tc>
          <w:tcPr>
            <w:tcW w:w="584" w:type="dxa"/>
            <w:shd w:val="clear" w:color="auto" w:fill="E6E7E8"/>
          </w:tcPr>
          <w:p>
            <w:pPr>
              <w:pStyle w:val="TableParagraph"/>
              <w:spacing w:before="36"/>
              <w:ind w:left="4"/>
              <w:jc w:val="center"/>
              <w:rPr>
                <w:sz w:val="16"/>
              </w:rPr>
            </w:pPr>
            <w:r>
              <w:rPr>
                <w:w w:val="101"/>
                <w:sz w:val="16"/>
              </w:rPr>
              <w:t>6</w:t>
            </w:r>
          </w:p>
        </w:tc>
        <w:tc>
          <w:tcPr>
            <w:tcW w:w="584" w:type="dxa"/>
            <w:shd w:val="clear" w:color="auto" w:fill="E6E7E8"/>
          </w:tcPr>
          <w:p>
            <w:pPr>
              <w:pStyle w:val="TableParagraph"/>
              <w:spacing w:before="36"/>
              <w:ind w:left="4"/>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6"/>
              <w:ind w:left="77"/>
              <w:jc w:val="left"/>
              <w:rPr>
                <w:sz w:val="16"/>
              </w:rPr>
            </w:pPr>
            <w:r>
              <w:rPr>
                <w:sz w:val="16"/>
              </w:rPr>
              <w:t>Professor Peter Shergold</w:t>
            </w:r>
          </w:p>
        </w:tc>
        <w:tc>
          <w:tcPr>
            <w:tcW w:w="584" w:type="dxa"/>
            <w:shd w:val="clear" w:color="auto" w:fill="E6E7E8"/>
          </w:tcPr>
          <w:p>
            <w:pPr>
              <w:pStyle w:val="TableParagraph"/>
              <w:spacing w:before="36"/>
              <w:ind w:left="4"/>
              <w:jc w:val="center"/>
              <w:rPr>
                <w:sz w:val="16"/>
              </w:rPr>
            </w:pPr>
            <w:r>
              <w:rPr>
                <w:w w:val="101"/>
                <w:sz w:val="16"/>
              </w:rPr>
              <w:t>6</w:t>
            </w:r>
          </w:p>
        </w:tc>
        <w:tc>
          <w:tcPr>
            <w:tcW w:w="584" w:type="dxa"/>
            <w:shd w:val="clear" w:color="auto" w:fill="E6E7E8"/>
          </w:tcPr>
          <w:p>
            <w:pPr>
              <w:pStyle w:val="TableParagraph"/>
              <w:spacing w:before="36"/>
              <w:ind w:left="4"/>
              <w:jc w:val="center"/>
              <w:rPr>
                <w:sz w:val="16"/>
              </w:rPr>
            </w:pPr>
            <w:r>
              <w:rPr>
                <w:w w:val="101"/>
                <w:sz w:val="16"/>
              </w:rPr>
              <w:t>6</w:t>
            </w:r>
          </w:p>
        </w:tc>
        <w:tc>
          <w:tcPr>
            <w:tcW w:w="584" w:type="dxa"/>
            <w:shd w:val="clear" w:color="auto" w:fill="E6E7E8"/>
          </w:tcPr>
          <w:p>
            <w:pPr>
              <w:pStyle w:val="TableParagraph"/>
              <w:spacing w:before="36"/>
              <w:ind w:left="4"/>
              <w:jc w:val="center"/>
              <w:rPr>
                <w:sz w:val="16"/>
              </w:rPr>
            </w:pPr>
            <w:r>
              <w:rPr>
                <w:w w:val="54"/>
                <w:sz w:val="16"/>
              </w:rPr>
              <w:t>1</w:t>
            </w:r>
          </w:p>
        </w:tc>
        <w:tc>
          <w:tcPr>
            <w:tcW w:w="584" w:type="dxa"/>
            <w:shd w:val="clear" w:color="auto" w:fill="E6E7E8"/>
          </w:tcPr>
          <w:p>
            <w:pPr>
              <w:pStyle w:val="TableParagraph"/>
              <w:spacing w:before="36"/>
              <w:ind w:left="265"/>
              <w:jc w:val="left"/>
              <w:rPr>
                <w:sz w:val="16"/>
              </w:rPr>
            </w:pPr>
            <w:r>
              <w:rPr>
                <w:w w:val="54"/>
                <w:sz w:val="16"/>
              </w:rPr>
              <w:t>1</w:t>
            </w:r>
          </w:p>
        </w:tc>
        <w:tc>
          <w:tcPr>
            <w:tcW w:w="601" w:type="dxa"/>
            <w:shd w:val="clear" w:color="auto" w:fill="E6E7E8"/>
          </w:tcPr>
          <w:p>
            <w:pPr>
              <w:pStyle w:val="TableParagraph"/>
              <w:spacing w:before="36"/>
              <w:ind w:left="4"/>
              <w:jc w:val="center"/>
              <w:rPr>
                <w:sz w:val="16"/>
              </w:rPr>
            </w:pPr>
            <w:r>
              <w:rPr>
                <w:w w:val="94"/>
                <w:sz w:val="16"/>
              </w:rPr>
              <w:t>3</w:t>
            </w:r>
          </w:p>
        </w:tc>
        <w:tc>
          <w:tcPr>
            <w:tcW w:w="601" w:type="dxa"/>
            <w:shd w:val="clear" w:color="auto" w:fill="E6E7E8"/>
          </w:tcPr>
          <w:p>
            <w:pPr>
              <w:pStyle w:val="TableParagraph"/>
              <w:spacing w:before="36"/>
              <w:ind w:left="256"/>
              <w:jc w:val="left"/>
              <w:rPr>
                <w:sz w:val="16"/>
              </w:rPr>
            </w:pPr>
            <w:r>
              <w:rPr>
                <w:w w:val="95"/>
                <w:sz w:val="16"/>
              </w:rPr>
              <w:t>5</w:t>
            </w:r>
          </w:p>
        </w:tc>
        <w:tc>
          <w:tcPr>
            <w:tcW w:w="584" w:type="dxa"/>
            <w:shd w:val="clear" w:color="auto" w:fill="E6E7E8"/>
          </w:tcPr>
          <w:p>
            <w:pPr>
              <w:pStyle w:val="TableParagraph"/>
              <w:spacing w:before="36"/>
              <w:ind w:left="4"/>
              <w:jc w:val="center"/>
              <w:rPr>
                <w:sz w:val="16"/>
              </w:rPr>
            </w:pPr>
            <w:r>
              <w:rPr>
                <w:w w:val="103"/>
                <w:sz w:val="16"/>
              </w:rPr>
              <w:t>4</w:t>
            </w:r>
          </w:p>
        </w:tc>
        <w:tc>
          <w:tcPr>
            <w:tcW w:w="584" w:type="dxa"/>
            <w:shd w:val="clear" w:color="auto" w:fill="E6E7E8"/>
          </w:tcPr>
          <w:p>
            <w:pPr>
              <w:pStyle w:val="TableParagraph"/>
              <w:spacing w:before="36"/>
              <w:ind w:left="5"/>
              <w:jc w:val="center"/>
              <w:rPr>
                <w:sz w:val="16"/>
              </w:rPr>
            </w:pPr>
            <w:r>
              <w:rPr>
                <w:w w:val="101"/>
                <w:sz w:val="16"/>
              </w:rPr>
              <w:t>6</w:t>
            </w:r>
          </w:p>
        </w:tc>
        <w:tc>
          <w:tcPr>
            <w:tcW w:w="584" w:type="dxa"/>
            <w:shd w:val="clear" w:color="auto" w:fill="E6E7E8"/>
          </w:tcPr>
          <w:p>
            <w:pPr>
              <w:pStyle w:val="TableParagraph"/>
              <w:spacing w:before="36"/>
              <w:ind w:left="5"/>
              <w:jc w:val="center"/>
              <w:rPr>
                <w:sz w:val="16"/>
              </w:rPr>
            </w:pPr>
            <w:r>
              <w:rPr>
                <w:w w:val="54"/>
                <w:sz w:val="16"/>
              </w:rPr>
              <w:t>1</w:t>
            </w:r>
          </w:p>
        </w:tc>
        <w:tc>
          <w:tcPr>
            <w:tcW w:w="584" w:type="dxa"/>
            <w:shd w:val="clear" w:color="auto" w:fill="E6E7E8"/>
          </w:tcPr>
          <w:p>
            <w:pPr>
              <w:pStyle w:val="TableParagraph"/>
              <w:spacing w:before="36"/>
              <w:ind w:left="5"/>
              <w:jc w:val="center"/>
              <w:rPr>
                <w:sz w:val="16"/>
              </w:rPr>
            </w:pPr>
            <w:r>
              <w:rPr>
                <w:w w:val="54"/>
                <w:sz w:val="16"/>
              </w:rPr>
              <w:t>1</w:t>
            </w:r>
          </w:p>
        </w:tc>
        <w:tc>
          <w:tcPr>
            <w:tcW w:w="584" w:type="dxa"/>
            <w:shd w:val="clear" w:color="auto" w:fill="E6E7E8"/>
          </w:tcPr>
          <w:p>
            <w:pPr>
              <w:pStyle w:val="TableParagraph"/>
              <w:spacing w:before="36"/>
              <w:ind w:left="5"/>
              <w:jc w:val="center"/>
              <w:rPr>
                <w:sz w:val="16"/>
              </w:rPr>
            </w:pPr>
            <w:r>
              <w:rPr>
                <w:w w:val="54"/>
                <w:sz w:val="16"/>
              </w:rPr>
              <w:t>1</w:t>
            </w:r>
          </w:p>
        </w:tc>
        <w:tc>
          <w:tcPr>
            <w:tcW w:w="584" w:type="dxa"/>
            <w:shd w:val="clear" w:color="auto" w:fill="E6E7E8"/>
          </w:tcPr>
          <w:p>
            <w:pPr>
              <w:pStyle w:val="TableParagraph"/>
              <w:spacing w:before="36"/>
              <w:ind w:left="5"/>
              <w:jc w:val="center"/>
              <w:rPr>
                <w:sz w:val="16"/>
              </w:rPr>
            </w:pPr>
            <w:r>
              <w:rPr>
                <w:w w:val="54"/>
                <w:sz w:val="16"/>
              </w:rPr>
              <w:t>1</w:t>
            </w:r>
          </w:p>
        </w:tc>
      </w:tr>
      <w:tr>
        <w:trPr>
          <w:trHeight w:val="277" w:hRule="exact"/>
        </w:trPr>
        <w:tc>
          <w:tcPr>
            <w:tcW w:w="3038" w:type="dxa"/>
            <w:shd w:val="clear" w:color="auto" w:fill="E6E7E8"/>
          </w:tcPr>
          <w:p>
            <w:pPr>
              <w:pStyle w:val="TableParagraph"/>
              <w:spacing w:before="36"/>
              <w:ind w:left="77"/>
              <w:jc w:val="left"/>
              <w:rPr>
                <w:sz w:val="16"/>
              </w:rPr>
            </w:pPr>
            <w:r>
              <w:rPr>
                <w:sz w:val="16"/>
              </w:rPr>
              <w:t>Ms Jodi Stanton</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6"/>
              <w:ind w:left="5"/>
              <w:jc w:val="center"/>
              <w:rPr>
                <w:sz w:val="16"/>
              </w:rPr>
            </w:pPr>
            <w:r>
              <w:rPr>
                <w:w w:val="93"/>
                <w:sz w:val="16"/>
              </w:rPr>
              <w:t>2</w:t>
            </w:r>
          </w:p>
        </w:tc>
        <w:tc>
          <w:tcPr>
            <w:tcW w:w="584" w:type="dxa"/>
            <w:shd w:val="clear" w:color="auto" w:fill="E6E7E8"/>
          </w:tcPr>
          <w:p>
            <w:pPr>
              <w:pStyle w:val="TableParagraph"/>
              <w:spacing w:before="36"/>
              <w:ind w:left="5"/>
              <w:jc w:val="center"/>
              <w:rPr>
                <w:sz w:val="16"/>
              </w:rPr>
            </w:pPr>
            <w:r>
              <w:rPr>
                <w:w w:val="94"/>
                <w:sz w:val="16"/>
              </w:rPr>
              <w:t>3</w:t>
            </w: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6"/>
              <w:ind w:left="77"/>
              <w:jc w:val="left"/>
              <w:rPr>
                <w:sz w:val="16"/>
              </w:rPr>
            </w:pPr>
            <w:r>
              <w:rPr>
                <w:sz w:val="16"/>
              </w:rPr>
              <w:t>Mr Ian Stone</w:t>
            </w:r>
          </w:p>
        </w:tc>
        <w:tc>
          <w:tcPr>
            <w:tcW w:w="584" w:type="dxa"/>
            <w:shd w:val="clear" w:color="auto" w:fill="E6E7E8"/>
          </w:tcPr>
          <w:p>
            <w:pPr>
              <w:pStyle w:val="TableParagraph"/>
              <w:spacing w:before="36"/>
              <w:ind w:left="5"/>
              <w:jc w:val="center"/>
              <w:rPr>
                <w:sz w:val="16"/>
              </w:rPr>
            </w:pPr>
            <w:r>
              <w:rPr>
                <w:w w:val="95"/>
                <w:sz w:val="16"/>
              </w:rPr>
              <w:t>5</w:t>
            </w:r>
          </w:p>
        </w:tc>
        <w:tc>
          <w:tcPr>
            <w:tcW w:w="584" w:type="dxa"/>
            <w:shd w:val="clear" w:color="auto" w:fill="E6E7E8"/>
          </w:tcPr>
          <w:p>
            <w:pPr>
              <w:pStyle w:val="TableParagraph"/>
              <w:spacing w:before="36"/>
              <w:ind w:left="5"/>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6"/>
              <w:ind w:left="5"/>
              <w:jc w:val="center"/>
              <w:rPr>
                <w:sz w:val="16"/>
              </w:rPr>
            </w:pPr>
            <w:r>
              <w:rPr>
                <w:w w:val="94"/>
                <w:sz w:val="16"/>
              </w:rPr>
              <w:t>3</w:t>
            </w:r>
          </w:p>
        </w:tc>
        <w:tc>
          <w:tcPr>
            <w:tcW w:w="584" w:type="dxa"/>
            <w:shd w:val="clear" w:color="auto" w:fill="E6E7E8"/>
          </w:tcPr>
          <w:p>
            <w:pPr>
              <w:pStyle w:val="TableParagraph"/>
              <w:spacing w:before="36"/>
              <w:ind w:left="5"/>
              <w:jc w:val="center"/>
              <w:rPr>
                <w:sz w:val="16"/>
              </w:rPr>
            </w:pPr>
            <w:r>
              <w:rPr>
                <w:w w:val="103"/>
                <w:sz w:val="16"/>
              </w:rPr>
              <w:t>4</w:t>
            </w:r>
          </w:p>
        </w:tc>
      </w:tr>
      <w:tr>
        <w:trPr>
          <w:trHeight w:val="277" w:hRule="exact"/>
        </w:trPr>
        <w:tc>
          <w:tcPr>
            <w:tcW w:w="3038" w:type="dxa"/>
            <w:shd w:val="clear" w:color="auto" w:fill="E6E7E8"/>
          </w:tcPr>
          <w:p>
            <w:pPr>
              <w:pStyle w:val="TableParagraph"/>
              <w:spacing w:before="36"/>
              <w:ind w:left="77"/>
              <w:jc w:val="left"/>
              <w:rPr>
                <w:sz w:val="16"/>
              </w:rPr>
            </w:pPr>
            <w:r>
              <w:rPr>
                <w:sz w:val="16"/>
              </w:rPr>
              <w:t>Ms Kerry Stubbs</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6"/>
              <w:ind w:left="5"/>
              <w:jc w:val="center"/>
              <w:rPr>
                <w:sz w:val="16"/>
              </w:rPr>
            </w:pPr>
            <w:r>
              <w:rPr>
                <w:w w:val="95"/>
                <w:sz w:val="16"/>
              </w:rPr>
              <w:t>5</w:t>
            </w:r>
          </w:p>
        </w:tc>
        <w:tc>
          <w:tcPr>
            <w:tcW w:w="584" w:type="dxa"/>
            <w:shd w:val="clear" w:color="auto" w:fill="E6E7E8"/>
          </w:tcPr>
          <w:p>
            <w:pPr>
              <w:pStyle w:val="TableParagraph"/>
              <w:spacing w:before="36"/>
              <w:ind w:left="5"/>
              <w:jc w:val="center"/>
              <w:rPr>
                <w:sz w:val="16"/>
              </w:rPr>
            </w:pPr>
            <w:r>
              <w:rPr>
                <w:w w:val="95"/>
                <w:sz w:val="16"/>
              </w:rPr>
              <w:t>5</w:t>
            </w:r>
          </w:p>
        </w:tc>
      </w:tr>
      <w:tr>
        <w:trPr>
          <w:trHeight w:val="277" w:hRule="exact"/>
        </w:trPr>
        <w:tc>
          <w:tcPr>
            <w:tcW w:w="3038" w:type="dxa"/>
            <w:shd w:val="clear" w:color="auto" w:fill="E6E7E8"/>
          </w:tcPr>
          <w:p>
            <w:pPr>
              <w:pStyle w:val="TableParagraph"/>
              <w:spacing w:before="36"/>
              <w:ind w:left="77"/>
              <w:jc w:val="left"/>
              <w:rPr>
                <w:sz w:val="16"/>
              </w:rPr>
            </w:pPr>
            <w:r>
              <w:rPr>
                <w:sz w:val="16"/>
              </w:rPr>
              <w:t>Ms Gabrielle Trainor</w:t>
            </w:r>
          </w:p>
        </w:tc>
        <w:tc>
          <w:tcPr>
            <w:tcW w:w="584" w:type="dxa"/>
            <w:shd w:val="clear" w:color="auto" w:fill="E6E7E8"/>
          </w:tcPr>
          <w:p>
            <w:pPr>
              <w:pStyle w:val="TableParagraph"/>
              <w:spacing w:before="36"/>
              <w:ind w:left="5"/>
              <w:jc w:val="center"/>
              <w:rPr>
                <w:sz w:val="16"/>
              </w:rPr>
            </w:pPr>
            <w:r>
              <w:rPr>
                <w:w w:val="95"/>
                <w:sz w:val="16"/>
              </w:rPr>
              <w:t>5</w:t>
            </w:r>
          </w:p>
        </w:tc>
        <w:tc>
          <w:tcPr>
            <w:tcW w:w="584" w:type="dxa"/>
            <w:shd w:val="clear" w:color="auto" w:fill="E6E7E8"/>
          </w:tcPr>
          <w:p>
            <w:pPr>
              <w:pStyle w:val="TableParagraph"/>
              <w:spacing w:before="36"/>
              <w:ind w:left="5"/>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6"/>
              <w:ind w:left="77"/>
              <w:jc w:val="left"/>
              <w:rPr>
                <w:sz w:val="16"/>
              </w:rPr>
            </w:pPr>
            <w:r>
              <w:rPr>
                <w:sz w:val="16"/>
              </w:rPr>
              <w:t>Ms Michelle Tredenick</w:t>
            </w: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6"/>
              <w:ind w:left="5"/>
              <w:jc w:val="center"/>
              <w:rPr>
                <w:sz w:val="16"/>
              </w:rPr>
            </w:pPr>
            <w:r>
              <w:rPr>
                <w:w w:val="111"/>
                <w:sz w:val="16"/>
              </w:rPr>
              <w:t>0</w:t>
            </w:r>
          </w:p>
        </w:tc>
        <w:tc>
          <w:tcPr>
            <w:tcW w:w="584" w:type="dxa"/>
            <w:shd w:val="clear" w:color="auto" w:fill="E6E7E8"/>
          </w:tcPr>
          <w:p>
            <w:pPr>
              <w:pStyle w:val="TableParagraph"/>
              <w:spacing w:before="36"/>
              <w:ind w:left="5"/>
              <w:jc w:val="center"/>
              <w:rPr>
                <w:sz w:val="16"/>
              </w:rPr>
            </w:pPr>
            <w:r>
              <w:rPr>
                <w:w w:val="54"/>
                <w:sz w:val="16"/>
              </w:rPr>
              <w:t>1</w:t>
            </w: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6"/>
              <w:ind w:left="77"/>
              <w:jc w:val="left"/>
              <w:rPr>
                <w:sz w:val="16"/>
              </w:rPr>
            </w:pPr>
            <w:r>
              <w:rPr>
                <w:sz w:val="16"/>
              </w:rPr>
              <w:t>Associate Professor Paul Wormell</w:t>
            </w:r>
          </w:p>
        </w:tc>
        <w:tc>
          <w:tcPr>
            <w:tcW w:w="584" w:type="dxa"/>
            <w:shd w:val="clear" w:color="auto" w:fill="E6E7E8"/>
          </w:tcPr>
          <w:p>
            <w:pPr>
              <w:pStyle w:val="TableParagraph"/>
              <w:spacing w:before="36"/>
              <w:ind w:left="5"/>
              <w:jc w:val="center"/>
              <w:rPr>
                <w:sz w:val="16"/>
              </w:rPr>
            </w:pPr>
            <w:r>
              <w:rPr>
                <w:w w:val="101"/>
                <w:sz w:val="16"/>
              </w:rPr>
              <w:t>6</w:t>
            </w:r>
          </w:p>
        </w:tc>
        <w:tc>
          <w:tcPr>
            <w:tcW w:w="584" w:type="dxa"/>
            <w:shd w:val="clear" w:color="auto" w:fill="E6E7E8"/>
          </w:tcPr>
          <w:p>
            <w:pPr>
              <w:pStyle w:val="TableParagraph"/>
              <w:spacing w:before="36"/>
              <w:ind w:left="5"/>
              <w:jc w:val="center"/>
              <w:rPr>
                <w:sz w:val="16"/>
              </w:rPr>
            </w:pPr>
            <w:r>
              <w:rPr>
                <w:w w:val="101"/>
                <w:sz w:val="16"/>
              </w:rPr>
              <w:t>6</w:t>
            </w:r>
          </w:p>
        </w:tc>
        <w:tc>
          <w:tcPr>
            <w:tcW w:w="584" w:type="dxa"/>
            <w:shd w:val="clear" w:color="auto" w:fill="E6E7E8"/>
          </w:tcPr>
          <w:p>
            <w:pPr/>
          </w:p>
        </w:tc>
        <w:tc>
          <w:tcPr>
            <w:tcW w:w="584" w:type="dxa"/>
            <w:shd w:val="clear" w:color="auto" w:fill="E6E7E8"/>
          </w:tcPr>
          <w:p>
            <w:pP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3038" w:type="dxa"/>
            <w:shd w:val="clear" w:color="auto" w:fill="E6E7E8"/>
          </w:tcPr>
          <w:p>
            <w:pPr>
              <w:pStyle w:val="TableParagraph"/>
              <w:spacing w:before="36"/>
              <w:ind w:left="77"/>
              <w:jc w:val="left"/>
              <w:rPr>
                <w:sz w:val="16"/>
              </w:rPr>
            </w:pPr>
            <w:r>
              <w:rPr>
                <w:sz w:val="16"/>
              </w:rPr>
              <w:t>Mr Alan Zammit</w:t>
            </w:r>
          </w:p>
        </w:tc>
        <w:tc>
          <w:tcPr>
            <w:tcW w:w="584" w:type="dxa"/>
            <w:shd w:val="clear" w:color="auto" w:fill="E6E7E8"/>
          </w:tcPr>
          <w:p>
            <w:pPr/>
          </w:p>
        </w:tc>
        <w:tc>
          <w:tcPr>
            <w:tcW w:w="584" w:type="dxa"/>
            <w:shd w:val="clear" w:color="auto" w:fill="E6E7E8"/>
          </w:tcPr>
          <w:p>
            <w:pPr/>
          </w:p>
        </w:tc>
        <w:tc>
          <w:tcPr>
            <w:tcW w:w="584" w:type="dxa"/>
            <w:shd w:val="clear" w:color="auto" w:fill="E6E7E8"/>
          </w:tcPr>
          <w:p>
            <w:pPr>
              <w:pStyle w:val="TableParagraph"/>
              <w:spacing w:before="36"/>
              <w:ind w:left="5"/>
              <w:jc w:val="center"/>
              <w:rPr>
                <w:sz w:val="16"/>
              </w:rPr>
            </w:pPr>
            <w:r>
              <w:rPr>
                <w:w w:val="95"/>
                <w:sz w:val="16"/>
              </w:rPr>
              <w:t>5</w:t>
            </w:r>
          </w:p>
        </w:tc>
        <w:tc>
          <w:tcPr>
            <w:tcW w:w="584" w:type="dxa"/>
            <w:shd w:val="clear" w:color="auto" w:fill="E6E7E8"/>
          </w:tcPr>
          <w:p>
            <w:pPr>
              <w:pStyle w:val="TableParagraph"/>
              <w:spacing w:before="36"/>
              <w:ind w:left="245"/>
              <w:jc w:val="left"/>
              <w:rPr>
                <w:sz w:val="16"/>
              </w:rPr>
            </w:pPr>
            <w:r>
              <w:rPr>
                <w:w w:val="101"/>
                <w:sz w:val="16"/>
              </w:rPr>
              <w:t>6</w:t>
            </w:r>
          </w:p>
        </w:tc>
        <w:tc>
          <w:tcPr>
            <w:tcW w:w="601" w:type="dxa"/>
            <w:shd w:val="clear" w:color="auto" w:fill="E6E7E8"/>
          </w:tcPr>
          <w:p>
            <w:pPr/>
          </w:p>
        </w:tc>
        <w:tc>
          <w:tcPr>
            <w:tcW w:w="601"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c>
          <w:tcPr>
            <w:tcW w:w="584" w:type="dxa"/>
            <w:shd w:val="clear" w:color="auto" w:fill="E6E7E8"/>
          </w:tcPr>
          <w:p>
            <w:pPr/>
          </w:p>
        </w:tc>
      </w:tr>
      <w:tr>
        <w:trPr>
          <w:trHeight w:val="277" w:hRule="exact"/>
        </w:trPr>
        <w:tc>
          <w:tcPr>
            <w:tcW w:w="10079" w:type="dxa"/>
            <w:gridSpan w:val="13"/>
            <w:shd w:val="clear" w:color="auto" w:fill="E6E7E8"/>
          </w:tcPr>
          <w:p>
            <w:pPr>
              <w:pStyle w:val="TableParagraph"/>
              <w:spacing w:before="36"/>
              <w:ind w:left="78"/>
              <w:jc w:val="left"/>
              <w:rPr>
                <w:sz w:val="16"/>
              </w:rPr>
            </w:pPr>
            <w:r>
              <w:rPr>
                <w:w w:val="83"/>
                <w:sz w:val="16"/>
              </w:rPr>
              <w:t>#</w:t>
            </w:r>
            <w:r>
              <w:rPr>
                <w:spacing w:val="-12"/>
                <w:sz w:val="16"/>
              </w:rPr>
              <w:t> </w:t>
            </w:r>
            <w:r>
              <w:rPr>
                <w:spacing w:val="2"/>
                <w:w w:val="64"/>
                <w:sz w:val="16"/>
              </w:rPr>
              <w:t>I</w:t>
            </w:r>
            <w:r>
              <w:rPr>
                <w:w w:val="95"/>
                <w:sz w:val="16"/>
              </w:rPr>
              <w:t>n</w:t>
            </w:r>
            <w:r>
              <w:rPr>
                <w:spacing w:val="-12"/>
                <w:sz w:val="16"/>
              </w:rPr>
              <w:t> </w:t>
            </w:r>
            <w:r>
              <w:rPr>
                <w:spacing w:val="2"/>
                <w:w w:val="93"/>
                <w:sz w:val="16"/>
              </w:rPr>
              <w:t>2</w:t>
            </w:r>
            <w:r>
              <w:rPr>
                <w:spacing w:val="1"/>
                <w:w w:val="111"/>
                <w:sz w:val="16"/>
              </w:rPr>
              <w:t>0</w:t>
            </w:r>
            <w:r>
              <w:rPr>
                <w:spacing w:val="2"/>
                <w:w w:val="54"/>
                <w:sz w:val="16"/>
              </w:rPr>
              <w:t>1</w:t>
            </w:r>
            <w:r>
              <w:rPr>
                <w:w w:val="95"/>
                <w:sz w:val="16"/>
              </w:rPr>
              <w:t>5</w:t>
            </w:r>
            <w:r>
              <w:rPr>
                <w:spacing w:val="-12"/>
                <w:sz w:val="16"/>
              </w:rPr>
              <w:t> </w:t>
            </w:r>
            <w:r>
              <w:rPr>
                <w:w w:val="102"/>
                <w:sz w:val="16"/>
              </w:rPr>
              <w:t>t</w:t>
            </w:r>
            <w:r>
              <w:rPr>
                <w:spacing w:val="2"/>
                <w:w w:val="95"/>
                <w:sz w:val="16"/>
              </w:rPr>
              <w:t>h</w:t>
            </w:r>
            <w:r>
              <w:rPr>
                <w:w w:val="95"/>
                <w:sz w:val="16"/>
              </w:rPr>
              <w:t>e</w:t>
            </w:r>
            <w:r>
              <w:rPr>
                <w:spacing w:val="-12"/>
                <w:sz w:val="16"/>
              </w:rPr>
              <w:t> </w:t>
            </w:r>
            <w:r>
              <w:rPr>
                <w:spacing w:val="3"/>
                <w:w w:val="104"/>
                <w:sz w:val="16"/>
              </w:rPr>
              <w:t>B</w:t>
            </w:r>
            <w:r>
              <w:rPr>
                <w:spacing w:val="2"/>
                <w:w w:val="100"/>
                <w:sz w:val="16"/>
              </w:rPr>
              <w:t>o</w:t>
            </w:r>
            <w:r>
              <w:rPr>
                <w:spacing w:val="2"/>
                <w:w w:val="94"/>
                <w:sz w:val="16"/>
              </w:rPr>
              <w:t>a</w:t>
            </w:r>
            <w:r>
              <w:rPr>
                <w:spacing w:val="-1"/>
                <w:w w:val="95"/>
                <w:sz w:val="16"/>
              </w:rPr>
              <w:t>r</w:t>
            </w:r>
            <w:r>
              <w:rPr>
                <w:w w:val="102"/>
                <w:sz w:val="16"/>
              </w:rPr>
              <w:t>d</w:t>
            </w:r>
            <w:r>
              <w:rPr>
                <w:spacing w:val="-12"/>
                <w:sz w:val="16"/>
              </w:rPr>
              <w:t> </w:t>
            </w:r>
            <w:r>
              <w:rPr>
                <w:spacing w:val="2"/>
                <w:w w:val="95"/>
                <w:sz w:val="16"/>
              </w:rPr>
              <w:t>h</w:t>
            </w:r>
            <w:r>
              <w:rPr>
                <w:spacing w:val="2"/>
                <w:w w:val="95"/>
                <w:sz w:val="16"/>
              </w:rPr>
              <w:t>e</w:t>
            </w:r>
            <w:r>
              <w:rPr>
                <w:spacing w:val="1"/>
                <w:w w:val="95"/>
                <w:sz w:val="16"/>
              </w:rPr>
              <w:t>l</w:t>
            </w:r>
            <w:r>
              <w:rPr>
                <w:w w:val="102"/>
                <w:sz w:val="16"/>
              </w:rPr>
              <w:t>d</w:t>
            </w:r>
            <w:r>
              <w:rPr>
                <w:spacing w:val="-12"/>
                <w:sz w:val="16"/>
              </w:rPr>
              <w:t> </w:t>
            </w:r>
            <w:r>
              <w:rPr>
                <w:w w:val="97"/>
                <w:sz w:val="16"/>
              </w:rPr>
              <w:t>f</w:t>
            </w:r>
            <w:r>
              <w:rPr>
                <w:spacing w:val="2"/>
                <w:w w:val="97"/>
                <w:sz w:val="16"/>
              </w:rPr>
              <w:t>i</w:t>
            </w:r>
            <w:r>
              <w:rPr>
                <w:spacing w:val="-1"/>
                <w:w w:val="101"/>
                <w:sz w:val="16"/>
              </w:rPr>
              <w:t>v</w:t>
            </w:r>
            <w:r>
              <w:rPr>
                <w:w w:val="95"/>
                <w:sz w:val="16"/>
              </w:rPr>
              <w:t>e</w:t>
            </w:r>
            <w:r>
              <w:rPr>
                <w:spacing w:val="-12"/>
                <w:sz w:val="16"/>
              </w:rPr>
              <w:t> </w:t>
            </w:r>
            <w:r>
              <w:rPr>
                <w:spacing w:val="-1"/>
                <w:w w:val="95"/>
                <w:sz w:val="16"/>
              </w:rPr>
              <w:t>r</w:t>
            </w:r>
            <w:r>
              <w:rPr>
                <w:spacing w:val="3"/>
                <w:w w:val="95"/>
                <w:sz w:val="16"/>
              </w:rPr>
              <w:t>e</w:t>
            </w:r>
            <w:r>
              <w:rPr>
                <w:spacing w:val="2"/>
                <w:w w:val="102"/>
                <w:sz w:val="16"/>
              </w:rPr>
              <w:t>g</w:t>
            </w:r>
            <w:r>
              <w:rPr>
                <w:spacing w:val="1"/>
                <w:w w:val="95"/>
                <w:sz w:val="16"/>
              </w:rPr>
              <w:t>u</w:t>
            </w:r>
            <w:r>
              <w:rPr>
                <w:spacing w:val="1"/>
                <w:w w:val="95"/>
                <w:sz w:val="16"/>
              </w:rPr>
              <w:t>l</w:t>
            </w:r>
            <w:r>
              <w:rPr>
                <w:spacing w:val="2"/>
                <w:w w:val="94"/>
                <w:sz w:val="16"/>
              </w:rPr>
              <w:t>a</w:t>
            </w:r>
            <w:r>
              <w:rPr>
                <w:w w:val="95"/>
                <w:sz w:val="16"/>
              </w:rPr>
              <w:t>r</w:t>
            </w:r>
            <w:r>
              <w:rPr>
                <w:spacing w:val="-12"/>
                <w:sz w:val="16"/>
              </w:rPr>
              <w:t> </w:t>
            </w:r>
            <w:r>
              <w:rPr>
                <w:spacing w:val="2"/>
                <w:w w:val="98"/>
                <w:sz w:val="16"/>
              </w:rPr>
              <w:t>m</w:t>
            </w:r>
            <w:r>
              <w:rPr>
                <w:spacing w:val="3"/>
                <w:w w:val="95"/>
                <w:sz w:val="16"/>
              </w:rPr>
              <w:t>e</w:t>
            </w:r>
            <w:r>
              <w:rPr>
                <w:w w:val="95"/>
                <w:sz w:val="16"/>
              </w:rPr>
              <w:t>e</w:t>
            </w:r>
            <w:r>
              <w:rPr>
                <w:w w:val="102"/>
                <w:sz w:val="16"/>
              </w:rPr>
              <w:t>t</w:t>
            </w:r>
            <w:r>
              <w:rPr>
                <w:spacing w:val="1"/>
                <w:w w:val="95"/>
                <w:sz w:val="16"/>
              </w:rPr>
              <w:t>i</w:t>
            </w:r>
            <w:r>
              <w:rPr>
                <w:spacing w:val="2"/>
                <w:w w:val="95"/>
                <w:sz w:val="16"/>
              </w:rPr>
              <w:t>n</w:t>
            </w:r>
            <w:r>
              <w:rPr>
                <w:spacing w:val="2"/>
                <w:w w:val="102"/>
                <w:sz w:val="16"/>
              </w:rPr>
              <w:t>g</w:t>
            </w:r>
            <w:r>
              <w:rPr>
                <w:w w:val="95"/>
                <w:sz w:val="16"/>
              </w:rPr>
              <w:t>s</w:t>
            </w:r>
            <w:r>
              <w:rPr>
                <w:spacing w:val="-12"/>
                <w:sz w:val="16"/>
              </w:rPr>
              <w:t> </w:t>
            </w:r>
            <w:r>
              <w:rPr>
                <w:spacing w:val="2"/>
                <w:w w:val="94"/>
                <w:sz w:val="16"/>
              </w:rPr>
              <w:t>a</w:t>
            </w:r>
            <w:r>
              <w:rPr>
                <w:spacing w:val="2"/>
                <w:w w:val="95"/>
                <w:sz w:val="16"/>
              </w:rPr>
              <w:t>n</w:t>
            </w:r>
            <w:r>
              <w:rPr>
                <w:w w:val="102"/>
                <w:sz w:val="16"/>
              </w:rPr>
              <w:t>d</w:t>
            </w:r>
            <w:r>
              <w:rPr>
                <w:spacing w:val="-12"/>
                <w:sz w:val="16"/>
              </w:rPr>
              <w:t> </w:t>
            </w:r>
            <w:r>
              <w:rPr>
                <w:spacing w:val="2"/>
                <w:w w:val="100"/>
                <w:sz w:val="16"/>
              </w:rPr>
              <w:t>o</w:t>
            </w:r>
            <w:r>
              <w:rPr>
                <w:spacing w:val="2"/>
                <w:w w:val="95"/>
                <w:sz w:val="16"/>
              </w:rPr>
              <w:t>n</w:t>
            </w:r>
            <w:r>
              <w:rPr>
                <w:w w:val="95"/>
                <w:sz w:val="16"/>
              </w:rPr>
              <w:t>e</w:t>
            </w:r>
            <w:r>
              <w:rPr>
                <w:spacing w:val="-12"/>
                <w:sz w:val="16"/>
              </w:rPr>
              <w:t> </w:t>
            </w:r>
            <w:r>
              <w:rPr>
                <w:spacing w:val="-1"/>
                <w:w w:val="98"/>
                <w:sz w:val="16"/>
              </w:rPr>
              <w:t>S</w:t>
            </w:r>
            <w:r>
              <w:rPr>
                <w:w w:val="102"/>
                <w:sz w:val="16"/>
              </w:rPr>
              <w:t>t</w:t>
            </w:r>
            <w:r>
              <w:rPr>
                <w:spacing w:val="2"/>
                <w:w w:val="95"/>
                <w:sz w:val="16"/>
              </w:rPr>
              <w:t>r</w:t>
            </w:r>
            <w:r>
              <w:rPr>
                <w:w w:val="94"/>
                <w:sz w:val="16"/>
              </w:rPr>
              <w:t>a</w:t>
            </w:r>
            <w:r>
              <w:rPr>
                <w:spacing w:val="-2"/>
                <w:w w:val="102"/>
                <w:sz w:val="16"/>
              </w:rPr>
              <w:t>t</w:t>
            </w:r>
            <w:r>
              <w:rPr>
                <w:spacing w:val="3"/>
                <w:w w:val="95"/>
                <w:sz w:val="16"/>
              </w:rPr>
              <w:t>e</w:t>
            </w:r>
            <w:r>
              <w:rPr>
                <w:spacing w:val="1"/>
                <w:w w:val="102"/>
                <w:sz w:val="16"/>
              </w:rPr>
              <w:t>g</w:t>
            </w:r>
            <w:r>
              <w:rPr>
                <w:w w:val="101"/>
                <w:sz w:val="16"/>
              </w:rPr>
              <w:t>y</w:t>
            </w:r>
            <w:r>
              <w:rPr>
                <w:spacing w:val="-12"/>
                <w:sz w:val="16"/>
              </w:rPr>
              <w:t> </w:t>
            </w:r>
            <w:r>
              <w:rPr>
                <w:spacing w:val="1"/>
                <w:w w:val="98"/>
                <w:sz w:val="16"/>
              </w:rPr>
              <w:t>D</w:t>
            </w:r>
            <w:r>
              <w:rPr>
                <w:spacing w:val="-1"/>
                <w:w w:val="94"/>
                <w:sz w:val="16"/>
              </w:rPr>
              <w:t>a</w:t>
            </w:r>
            <w:r>
              <w:rPr>
                <w:w w:val="101"/>
                <w:sz w:val="16"/>
              </w:rPr>
              <w:t>y</w:t>
            </w:r>
            <w:r>
              <w:rPr>
                <w:spacing w:val="-12"/>
                <w:sz w:val="16"/>
              </w:rPr>
              <w:t> </w:t>
            </w:r>
            <w:r>
              <w:rPr>
                <w:spacing w:val="2"/>
                <w:w w:val="98"/>
                <w:sz w:val="16"/>
              </w:rPr>
              <w:t>m</w:t>
            </w:r>
            <w:r>
              <w:rPr>
                <w:spacing w:val="3"/>
                <w:w w:val="95"/>
                <w:sz w:val="16"/>
              </w:rPr>
              <w:t>e</w:t>
            </w:r>
            <w:r>
              <w:rPr>
                <w:w w:val="95"/>
                <w:sz w:val="16"/>
              </w:rPr>
              <w:t>e</w:t>
            </w:r>
            <w:r>
              <w:rPr>
                <w:w w:val="102"/>
                <w:sz w:val="16"/>
              </w:rPr>
              <w:t>t</w:t>
            </w:r>
            <w:r>
              <w:rPr>
                <w:spacing w:val="1"/>
                <w:w w:val="95"/>
                <w:sz w:val="16"/>
              </w:rPr>
              <w:t>i</w:t>
            </w:r>
            <w:r>
              <w:rPr>
                <w:spacing w:val="2"/>
                <w:w w:val="95"/>
                <w:sz w:val="16"/>
              </w:rPr>
              <w:t>n</w:t>
            </w:r>
            <w:r>
              <w:rPr>
                <w:spacing w:val="3"/>
                <w:w w:val="102"/>
                <w:sz w:val="16"/>
              </w:rPr>
              <w:t>g</w:t>
            </w:r>
            <w:r>
              <w:rPr>
                <w:w w:val="68"/>
                <w:sz w:val="16"/>
              </w:rPr>
              <w:t>.</w:t>
            </w:r>
          </w:p>
        </w:tc>
      </w:tr>
    </w:tbl>
    <w:p>
      <w:pPr>
        <w:spacing w:after="0"/>
        <w:jc w:val="left"/>
        <w:rPr>
          <w:sz w:val="16"/>
        </w:rPr>
        <w:sectPr>
          <w:pgSz w:w="11910" w:h="16840"/>
          <w:pgMar w:header="494" w:footer="473" w:top="680" w:bottom="660" w:left="580" w:right="580"/>
        </w:sectPr>
      </w:pPr>
    </w:p>
    <w:p>
      <w:pPr>
        <w:pStyle w:val="BodyText"/>
        <w:spacing w:before="9"/>
        <w:rPr>
          <w:rFonts w:ascii="Gotham Narrow Bold"/>
          <w:b/>
          <w:sz w:val="28"/>
        </w:rPr>
      </w:pPr>
      <w:r>
        <w:rPr/>
        <w:pict>
          <v:group style="position:absolute;margin-left:34.015999pt;margin-top:45.355015pt;width:527.25pt;height:751.2pt;mso-position-horizontal-relative:page;mso-position-vertical-relative:page;z-index:-331936" coordorigin="680,907" coordsize="10545,15024">
            <v:rect style="position:absolute;left:680;top:907;width:10545;height:15024" filled="true" fillcolor="#e6e7e8" stroked="false">
              <v:fill type="solid"/>
            </v:rect>
            <v:line style="position:absolute" from="910,5347" to="6059,5347" stroked="true" strokeweight="1.5pt" strokecolor="#000000"/>
            <v:line style="position:absolute" from="6059,5347" to="10998,5347" stroked="true" strokeweight="1.5pt" strokecolor="#000000"/>
            <v:line style="position:absolute" from="910,5645" to="6059,5645" stroked="true" strokeweight=".5pt" strokecolor="#939598"/>
            <v:line style="position:absolute" from="6059,5645" to="10998,5645" stroked="true" strokeweight=".5pt" strokecolor="#939598"/>
            <v:line style="position:absolute" from="910,5933" to="6059,5933" stroked="true" strokeweight=".5pt" strokecolor="#939598"/>
            <v:line style="position:absolute" from="6059,5933" to="10998,5933" stroked="true" strokeweight=".5pt" strokecolor="#939598"/>
            <v:line style="position:absolute" from="910,6221" to="6059,6221" stroked="true" strokeweight=".5pt" strokecolor="#939598"/>
            <v:line style="position:absolute" from="6059,6221" to="10998,6221" stroked="true" strokeweight=".5pt" strokecolor="#939598"/>
            <v:line style="position:absolute" from="910,6509" to="6059,6509" stroked="true" strokeweight=".5pt" strokecolor="#939598"/>
            <v:line style="position:absolute" from="6059,6509" to="10998,6509" stroked="true" strokeweight=".5pt" strokecolor="#939598"/>
            <v:line style="position:absolute" from="910,6797" to="6059,6797" stroked="true" strokeweight=".5pt" strokecolor="#939598"/>
            <v:line style="position:absolute" from="6059,6797" to="10998,6797" stroked="true" strokeweight=".5pt" strokecolor="#939598"/>
            <v:line style="position:absolute" from="910,7085" to="6059,7085" stroked="true" strokeweight=".5pt" strokecolor="#939598"/>
            <v:line style="position:absolute" from="6059,7085" to="10998,7085" stroked="true" strokeweight=".5pt" strokecolor="#939598"/>
            <v:line style="position:absolute" from="910,7373" to="6059,7373" stroked="true" strokeweight=".5pt" strokecolor="#939598"/>
            <v:line style="position:absolute" from="6059,7373" to="10998,7373" stroked="true" strokeweight=".5pt" strokecolor="#939598"/>
            <v:line style="position:absolute" from="910,7933" to="6059,7933" stroked="true" strokeweight="1.5pt" strokecolor="#000000"/>
            <v:line style="position:absolute" from="6059,7933" to="10998,7933" stroked="true" strokeweight="1.5pt" strokecolor="#000000"/>
            <v:line style="position:absolute" from="910,8231" to="6059,8231" stroked="true" strokeweight=".5pt" strokecolor="#939598"/>
            <v:line style="position:absolute" from="6059,8231" to="10998,8231" stroked="true" strokeweight=".5pt" strokecolor="#939598"/>
            <v:line style="position:absolute" from="910,8529" to="6059,8529" stroked="true" strokeweight=".5pt" strokecolor="#939598"/>
            <v:line style="position:absolute" from="6059,8529" to="10998,8529" stroked="true" strokeweight=".5pt" strokecolor="#939598"/>
            <v:line style="position:absolute" from="910,8827" to="6059,8827" stroked="true" strokeweight=".5pt" strokecolor="#939598"/>
            <v:line style="position:absolute" from="6059,8827" to="10998,8827" stroked="true" strokeweight=".5pt" strokecolor="#939598"/>
            <w10:wrap type="none"/>
          </v:group>
        </w:pict>
      </w:r>
    </w:p>
    <w:p>
      <w:pPr>
        <w:spacing w:before="30"/>
        <w:ind w:left="330" w:right="7611" w:firstLine="0"/>
        <w:jc w:val="left"/>
        <w:rPr>
          <w:rFonts w:ascii="Gotham Narrow Bold"/>
          <w:b/>
          <w:sz w:val="40"/>
        </w:rPr>
      </w:pPr>
      <w:r>
        <w:rPr>
          <w:rFonts w:ascii="Gotham Narrow Bold"/>
          <w:b/>
          <w:w w:val="95"/>
          <w:sz w:val="40"/>
        </w:rPr>
        <w:t>APPENDIX 3</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spacing w:before="58"/>
        <w:ind w:left="330" w:right="411" w:firstLine="0"/>
        <w:jc w:val="left"/>
        <w:rPr>
          <w:rFonts w:ascii="Gotham Narrow Bold"/>
          <w:b/>
          <w:sz w:val="24"/>
        </w:rPr>
      </w:pPr>
      <w:r>
        <w:rPr>
          <w:rFonts w:ascii="Gotham Narrow Bold"/>
          <w:b/>
          <w:w w:val="95"/>
          <w:sz w:val="24"/>
        </w:rPr>
        <w:t>COMMITTEES AND OTHER BODIES ESTABLISHED BY THE BOARD OF TRUSTEES</w:t>
      </w:r>
    </w:p>
    <w:p>
      <w:pPr>
        <w:pStyle w:val="BodyText"/>
        <w:spacing w:before="11"/>
        <w:rPr>
          <w:rFonts w:ascii="Gotham Narrow Bold"/>
          <w:b/>
          <w:sz w:val="20"/>
        </w:rPr>
      </w:pPr>
    </w:p>
    <w:p>
      <w:pPr>
        <w:pStyle w:val="Heading8"/>
        <w:tabs>
          <w:tab w:pos="5479" w:val="left" w:leader="none"/>
        </w:tabs>
        <w:spacing w:before="72"/>
        <w:ind w:left="330" w:right="411"/>
      </w:pPr>
      <w:r>
        <w:rPr/>
        <w:t>BOARD</w:t>
      </w:r>
      <w:r>
        <w:rPr>
          <w:spacing w:val="-21"/>
        </w:rPr>
        <w:t> </w:t>
      </w:r>
      <w:r>
        <w:rPr/>
        <w:t>OF</w:t>
      </w:r>
      <w:r>
        <w:rPr>
          <w:spacing w:val="-21"/>
        </w:rPr>
        <w:t> </w:t>
      </w:r>
      <w:r>
        <w:rPr>
          <w:spacing w:val="2"/>
        </w:rPr>
        <w:t>TRUSTEES</w:t>
      </w:r>
      <w:r>
        <w:rPr>
          <w:spacing w:val="-21"/>
        </w:rPr>
        <w:t> </w:t>
      </w:r>
      <w:r>
        <w:rPr>
          <w:spacing w:val="2"/>
        </w:rPr>
        <w:t>COMMITTEES</w:t>
        <w:tab/>
      </w:r>
      <w:r>
        <w:rPr/>
        <w:t>CHAIR</w:t>
      </w:r>
    </w:p>
    <w:p>
      <w:pPr>
        <w:pStyle w:val="BodyText"/>
        <w:tabs>
          <w:tab w:pos="5479" w:val="left" w:leader="none"/>
        </w:tabs>
        <w:spacing w:before="94"/>
        <w:ind w:left="330" w:right="411"/>
      </w:pPr>
      <w:r>
        <w:rPr>
          <w:position w:val="-2"/>
        </w:rPr>
        <w:t>Academic</w:t>
      </w:r>
      <w:r>
        <w:rPr>
          <w:spacing w:val="-11"/>
          <w:position w:val="-2"/>
        </w:rPr>
        <w:t> </w:t>
      </w:r>
      <w:r>
        <w:rPr>
          <w:position w:val="-2"/>
        </w:rPr>
        <w:t>Senate</w:t>
        <w:tab/>
      </w:r>
      <w:r>
        <w:rPr/>
        <w:t>Associate Professor Paul</w:t>
      </w:r>
      <w:r>
        <w:rPr>
          <w:spacing w:val="-26"/>
        </w:rPr>
        <w:t> </w:t>
      </w:r>
      <w:r>
        <w:rPr/>
        <w:t>Wormell</w:t>
      </w:r>
    </w:p>
    <w:p>
      <w:pPr>
        <w:pStyle w:val="BodyText"/>
        <w:tabs>
          <w:tab w:pos="5479" w:val="left" w:leader="none"/>
        </w:tabs>
        <w:spacing w:before="60"/>
        <w:ind w:left="330" w:right="411"/>
      </w:pPr>
      <w:r>
        <w:rPr/>
        <w:t>Audit and</w:t>
      </w:r>
      <w:r>
        <w:rPr>
          <w:spacing w:val="-26"/>
        </w:rPr>
        <w:t> </w:t>
      </w:r>
      <w:r>
        <w:rPr/>
        <w:t>Risk</w:t>
      </w:r>
      <w:r>
        <w:rPr>
          <w:spacing w:val="-13"/>
        </w:rPr>
        <w:t> </w:t>
      </w:r>
      <w:r>
        <w:rPr/>
        <w:t>Management</w:t>
        <w:tab/>
      </w:r>
      <w:r>
        <w:rPr>
          <w:position w:val="3"/>
        </w:rPr>
        <w:t>Mr Alan</w:t>
      </w:r>
      <w:r>
        <w:rPr>
          <w:spacing w:val="-19"/>
          <w:position w:val="3"/>
        </w:rPr>
        <w:t> </w:t>
      </w:r>
      <w:r>
        <w:rPr>
          <w:position w:val="3"/>
        </w:rPr>
        <w:t>Zammit</w:t>
      </w:r>
    </w:p>
    <w:p>
      <w:pPr>
        <w:pStyle w:val="BodyText"/>
        <w:tabs>
          <w:tab w:pos="5479" w:val="left" w:leader="none"/>
        </w:tabs>
        <w:spacing w:before="69"/>
        <w:ind w:left="330" w:right="411"/>
      </w:pPr>
      <w:r>
        <w:rPr>
          <w:position w:val="-2"/>
        </w:rPr>
        <w:t>Board</w:t>
      </w:r>
      <w:r>
        <w:rPr>
          <w:spacing w:val="-11"/>
          <w:position w:val="-2"/>
        </w:rPr>
        <w:t> </w:t>
      </w:r>
      <w:r>
        <w:rPr>
          <w:position w:val="-2"/>
        </w:rPr>
        <w:t>Standing</w:t>
        <w:tab/>
      </w:r>
      <w:r>
        <w:rPr/>
        <w:t>Professor</w:t>
      </w:r>
      <w:r>
        <w:rPr>
          <w:spacing w:val="-14"/>
        </w:rPr>
        <w:t> </w:t>
      </w:r>
      <w:r>
        <w:rPr/>
        <w:t>Peter</w:t>
      </w:r>
      <w:r>
        <w:rPr>
          <w:spacing w:val="-14"/>
        </w:rPr>
        <w:t> </w:t>
      </w:r>
      <w:r>
        <w:rPr/>
        <w:t>Shergold,</w:t>
      </w:r>
      <w:r>
        <w:rPr>
          <w:spacing w:val="-14"/>
        </w:rPr>
        <w:t> </w:t>
      </w:r>
      <w:r>
        <w:rPr/>
        <w:t>AC</w:t>
      </w:r>
    </w:p>
    <w:p>
      <w:pPr>
        <w:pStyle w:val="BodyText"/>
        <w:tabs>
          <w:tab w:pos="5479" w:val="left" w:leader="none"/>
        </w:tabs>
        <w:spacing w:before="60"/>
        <w:ind w:left="330" w:right="411"/>
      </w:pPr>
      <w:r>
        <w:rPr/>
        <w:t>Finance</w:t>
      </w:r>
      <w:r>
        <w:rPr>
          <w:spacing w:val="-19"/>
        </w:rPr>
        <w:t> </w:t>
      </w:r>
      <w:r>
        <w:rPr/>
        <w:t>and</w:t>
      </w:r>
      <w:r>
        <w:rPr>
          <w:spacing w:val="-19"/>
        </w:rPr>
        <w:t> </w:t>
      </w:r>
      <w:r>
        <w:rPr/>
        <w:t>Investment</w:t>
        <w:tab/>
      </w:r>
      <w:r>
        <w:rPr>
          <w:position w:val="3"/>
        </w:rPr>
        <w:t>Ms Genevieve</w:t>
      </w:r>
      <w:r>
        <w:rPr>
          <w:spacing w:val="-38"/>
          <w:position w:val="3"/>
        </w:rPr>
        <w:t> </w:t>
      </w:r>
      <w:r>
        <w:rPr>
          <w:position w:val="3"/>
        </w:rPr>
        <w:t>Gregor</w:t>
      </w:r>
    </w:p>
    <w:p>
      <w:pPr>
        <w:pStyle w:val="BodyText"/>
        <w:tabs>
          <w:tab w:pos="5479" w:val="left" w:leader="none"/>
        </w:tabs>
        <w:spacing w:before="65"/>
        <w:ind w:left="330" w:right="411"/>
      </w:pPr>
      <w:r>
        <w:rPr/>
        <w:t>Remuneration</w:t>
      </w:r>
      <w:r>
        <w:rPr>
          <w:spacing w:val="-16"/>
        </w:rPr>
        <w:t> </w:t>
      </w:r>
      <w:r>
        <w:rPr/>
        <w:t>and</w:t>
      </w:r>
      <w:r>
        <w:rPr>
          <w:spacing w:val="-16"/>
        </w:rPr>
        <w:t> </w:t>
      </w:r>
      <w:r>
        <w:rPr/>
        <w:t>Nominations</w:t>
        <w:tab/>
      </w:r>
      <w:r>
        <w:rPr>
          <w:position w:val="3"/>
        </w:rPr>
        <w:t>Professor</w:t>
      </w:r>
      <w:r>
        <w:rPr>
          <w:spacing w:val="-14"/>
          <w:position w:val="3"/>
        </w:rPr>
        <w:t> </w:t>
      </w:r>
      <w:r>
        <w:rPr>
          <w:position w:val="3"/>
        </w:rPr>
        <w:t>Peter</w:t>
      </w:r>
      <w:r>
        <w:rPr>
          <w:spacing w:val="-14"/>
          <w:position w:val="3"/>
        </w:rPr>
        <w:t> </w:t>
      </w:r>
      <w:r>
        <w:rPr>
          <w:position w:val="3"/>
        </w:rPr>
        <w:t>Shergold,</w:t>
      </w:r>
      <w:r>
        <w:rPr>
          <w:spacing w:val="-14"/>
          <w:position w:val="3"/>
        </w:rPr>
        <w:t> </w:t>
      </w:r>
      <w:r>
        <w:rPr>
          <w:position w:val="3"/>
        </w:rPr>
        <w:t>AC</w:t>
      </w:r>
    </w:p>
    <w:p>
      <w:pPr>
        <w:pStyle w:val="BodyText"/>
        <w:tabs>
          <w:tab w:pos="5479" w:val="left" w:leader="none"/>
        </w:tabs>
        <w:spacing w:before="65"/>
        <w:ind w:left="330" w:right="411"/>
      </w:pPr>
      <w:r>
        <w:rPr/>
        <w:t>University</w:t>
      </w:r>
      <w:r>
        <w:rPr>
          <w:spacing w:val="-20"/>
        </w:rPr>
        <w:t> </w:t>
      </w:r>
      <w:r>
        <w:rPr/>
        <w:t>Infrastructure</w:t>
        <w:tab/>
      </w:r>
      <w:r>
        <w:rPr>
          <w:position w:val="3"/>
        </w:rPr>
        <w:t>Mr Michael</w:t>
      </w:r>
      <w:r>
        <w:rPr>
          <w:spacing w:val="-26"/>
          <w:position w:val="3"/>
        </w:rPr>
        <w:t> </w:t>
      </w:r>
      <w:r>
        <w:rPr>
          <w:position w:val="3"/>
        </w:rPr>
        <w:t>Pratt</w:t>
      </w:r>
    </w:p>
    <w:p>
      <w:pPr>
        <w:pStyle w:val="BodyText"/>
        <w:rPr>
          <w:sz w:val="20"/>
        </w:rPr>
      </w:pPr>
    </w:p>
    <w:p>
      <w:pPr>
        <w:pStyle w:val="BodyText"/>
        <w:spacing w:before="1"/>
        <w:rPr>
          <w:sz w:val="27"/>
        </w:rPr>
      </w:pPr>
    </w:p>
    <w:p>
      <w:pPr>
        <w:pStyle w:val="Heading8"/>
        <w:spacing w:before="72"/>
        <w:ind w:left="330" w:right="7611"/>
      </w:pPr>
      <w:r>
        <w:rPr>
          <w:w w:val="95"/>
        </w:rPr>
        <w:t>UNIVERSITY BODIES</w:t>
      </w:r>
    </w:p>
    <w:p>
      <w:pPr>
        <w:pStyle w:val="BodyText"/>
        <w:tabs>
          <w:tab w:pos="5479" w:val="left" w:leader="none"/>
        </w:tabs>
        <w:spacing w:before="128"/>
        <w:ind w:left="330" w:right="411"/>
      </w:pPr>
      <w:r>
        <w:rPr/>
        <w:t>Aboriginal</w:t>
      </w:r>
      <w:r>
        <w:rPr>
          <w:spacing w:val="-15"/>
        </w:rPr>
        <w:t> </w:t>
      </w:r>
      <w:r>
        <w:rPr/>
        <w:t>and</w:t>
      </w:r>
      <w:r>
        <w:rPr>
          <w:spacing w:val="-15"/>
        </w:rPr>
        <w:t> </w:t>
      </w:r>
      <w:r>
        <w:rPr/>
        <w:t>Torres</w:t>
      </w:r>
      <w:r>
        <w:rPr>
          <w:spacing w:val="-15"/>
        </w:rPr>
        <w:t> </w:t>
      </w:r>
      <w:r>
        <w:rPr/>
        <w:t>Strait</w:t>
      </w:r>
      <w:r>
        <w:rPr>
          <w:spacing w:val="-15"/>
        </w:rPr>
        <w:t> </w:t>
      </w:r>
      <w:r>
        <w:rPr/>
        <w:t>Islander</w:t>
      </w:r>
      <w:r>
        <w:rPr>
          <w:spacing w:val="-15"/>
        </w:rPr>
        <w:t> </w:t>
      </w:r>
      <w:r>
        <w:rPr/>
        <w:t>Advisory</w:t>
      </w:r>
      <w:r>
        <w:rPr>
          <w:spacing w:val="-15"/>
        </w:rPr>
        <w:t> </w:t>
      </w:r>
      <w:r>
        <w:rPr/>
        <w:t>Council</w:t>
        <w:tab/>
        <w:t>Professor Denise</w:t>
      </w:r>
      <w:r>
        <w:rPr>
          <w:spacing w:val="-30"/>
        </w:rPr>
        <w:t> </w:t>
      </w:r>
      <w:r>
        <w:rPr/>
        <w:t>Kirkpatrick</w:t>
      </w:r>
    </w:p>
    <w:p>
      <w:pPr>
        <w:pStyle w:val="BodyText"/>
        <w:tabs>
          <w:tab w:pos="5479" w:val="left" w:leader="none"/>
        </w:tabs>
        <w:spacing w:before="105"/>
        <w:ind w:left="330" w:right="411"/>
      </w:pPr>
      <w:r>
        <w:rPr/>
        <w:t>Foundation</w:t>
      </w:r>
      <w:r>
        <w:rPr>
          <w:spacing w:val="-11"/>
        </w:rPr>
        <w:t> </w:t>
      </w:r>
      <w:r>
        <w:rPr/>
        <w:t>Council</w:t>
        <w:tab/>
        <w:t>Mr</w:t>
      </w:r>
      <w:r>
        <w:rPr>
          <w:spacing w:val="-16"/>
        </w:rPr>
        <w:t> </w:t>
      </w:r>
      <w:r>
        <w:rPr/>
        <w:t>Danny</w:t>
      </w:r>
      <w:r>
        <w:rPr>
          <w:spacing w:val="-16"/>
        </w:rPr>
        <w:t> </w:t>
      </w:r>
      <w:r>
        <w:rPr/>
        <w:t>Gilbert,</w:t>
      </w:r>
      <w:r>
        <w:rPr>
          <w:spacing w:val="-16"/>
        </w:rPr>
        <w:t> </w:t>
      </w:r>
      <w:r>
        <w:rPr/>
        <w:t>AM</w:t>
      </w:r>
    </w:p>
    <w:p>
      <w:pPr>
        <w:spacing w:after="0"/>
        <w:sectPr>
          <w:pgSz w:w="11910" w:h="16840"/>
          <w:pgMar w:header="494" w:footer="473" w:top="680" w:bottom="660" w:left="580" w:right="580"/>
        </w:sectPr>
      </w:pPr>
    </w:p>
    <w:p>
      <w:pPr>
        <w:pStyle w:val="BodyText"/>
        <w:spacing w:before="7"/>
        <w:rPr>
          <w:sz w:val="28"/>
        </w:rPr>
      </w:pPr>
    </w:p>
    <w:p>
      <w:pPr>
        <w:pStyle w:val="Heading1"/>
      </w:pPr>
      <w:r>
        <w:rPr>
          <w:w w:val="95"/>
        </w:rPr>
        <w:t>APPENDIX 4</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spacing w:before="58"/>
        <w:ind w:left="327" w:right="411" w:firstLine="0"/>
        <w:jc w:val="left"/>
        <w:rPr>
          <w:rFonts w:ascii="Gotham Narrow Bold"/>
          <w:b/>
          <w:sz w:val="20"/>
        </w:rPr>
      </w:pPr>
      <w:r>
        <w:rPr>
          <w:rFonts w:ascii="Gotham Narrow Bold"/>
          <w:b/>
          <w:w w:val="95"/>
          <w:sz w:val="24"/>
        </w:rPr>
        <w:t>ACADEMIC SENATE MEMBERSHIP </w:t>
      </w:r>
      <w:r>
        <w:rPr>
          <w:rFonts w:ascii="Gotham Narrow Bold"/>
          <w:b/>
          <w:w w:val="95"/>
          <w:sz w:val="20"/>
        </w:rPr>
        <w:t>(as at 15 July, 2015)</w:t>
      </w:r>
    </w:p>
    <w:p>
      <w:pPr>
        <w:pStyle w:val="BodyText"/>
        <w:spacing w:before="7"/>
        <w:rPr>
          <w:rFonts w:ascii="Gotham Narrow Bold"/>
          <w:b/>
          <w:sz w:val="18"/>
        </w:rPr>
      </w:pPr>
    </w:p>
    <w:p>
      <w:pPr>
        <w:spacing w:after="0"/>
        <w:rPr>
          <w:rFonts w:ascii="Gotham Narrow Bold"/>
          <w:sz w:val="18"/>
        </w:rPr>
        <w:sectPr>
          <w:pgSz w:w="11910" w:h="16840"/>
          <w:pgMar w:header="494" w:footer="473" w:top="680" w:bottom="660" w:left="580" w:right="580"/>
        </w:sectPr>
      </w:pPr>
    </w:p>
    <w:p>
      <w:pPr>
        <w:pStyle w:val="Heading8"/>
        <w:spacing w:before="77"/>
        <w:ind w:left="327" w:right="85"/>
      </w:pPr>
      <w:r>
        <w:rPr/>
        <w:t>EX-OFFICIO</w:t>
      </w:r>
    </w:p>
    <w:p>
      <w:pPr>
        <w:pStyle w:val="BodyText"/>
        <w:spacing w:line="244" w:lineRule="auto" w:before="85"/>
        <w:ind w:left="553" w:right="85" w:hanging="227"/>
      </w:pPr>
      <w:r>
        <w:rPr>
          <w:rFonts w:ascii="Century Gothic" w:hAnsi="Century Gothic"/>
          <w:b/>
          <w:w w:val="115"/>
        </w:rPr>
        <w:t>≥</w:t>
      </w:r>
      <w:r>
        <w:rPr>
          <w:rFonts w:ascii="Century Gothic" w:hAnsi="Century Gothic"/>
          <w:b/>
          <w:spacing w:val="-5"/>
          <w:w w:val="115"/>
        </w:rPr>
        <w:t> </w:t>
      </w:r>
      <w:r>
        <w:rPr>
          <w:w w:val="105"/>
        </w:rPr>
        <w:t>Professor</w:t>
      </w:r>
      <w:r>
        <w:rPr>
          <w:spacing w:val="-35"/>
          <w:w w:val="105"/>
        </w:rPr>
        <w:t> </w:t>
      </w:r>
      <w:r>
        <w:rPr>
          <w:w w:val="105"/>
        </w:rPr>
        <w:t>Barney</w:t>
      </w:r>
      <w:r>
        <w:rPr>
          <w:spacing w:val="-35"/>
          <w:w w:val="105"/>
        </w:rPr>
        <w:t> </w:t>
      </w:r>
      <w:r>
        <w:rPr>
          <w:w w:val="105"/>
        </w:rPr>
        <w:t>Glover,</w:t>
      </w:r>
      <w:r>
        <w:rPr>
          <w:spacing w:val="-35"/>
          <w:w w:val="105"/>
        </w:rPr>
        <w:t> </w:t>
      </w:r>
      <w:r>
        <w:rPr>
          <w:w w:val="105"/>
        </w:rPr>
        <w:t>Vice-Chancellor </w:t>
      </w:r>
      <w:r>
        <w:rPr/>
        <w:t>and</w:t>
      </w:r>
      <w:r>
        <w:rPr>
          <w:spacing w:val="-17"/>
        </w:rPr>
        <w:t> </w:t>
      </w:r>
      <w:r>
        <w:rPr/>
        <w:t>President</w:t>
      </w:r>
    </w:p>
    <w:p>
      <w:pPr>
        <w:pStyle w:val="BodyText"/>
        <w:spacing w:line="244" w:lineRule="auto" w:before="58"/>
        <w:ind w:left="553" w:right="-6" w:hanging="227"/>
      </w:pPr>
      <w:r>
        <w:rPr>
          <w:rFonts w:ascii="Century Gothic" w:hAnsi="Century Gothic"/>
          <w:b/>
          <w:w w:val="115"/>
        </w:rPr>
        <w:t>≥</w:t>
      </w:r>
      <w:r>
        <w:rPr>
          <w:rFonts w:ascii="Century Gothic" w:hAnsi="Century Gothic"/>
          <w:b/>
          <w:spacing w:val="6"/>
          <w:w w:val="115"/>
        </w:rPr>
        <w:t> </w:t>
      </w:r>
      <w:r>
        <w:rPr>
          <w:w w:val="105"/>
        </w:rPr>
        <w:t>Professor</w:t>
      </w:r>
      <w:r>
        <w:rPr>
          <w:spacing w:val="-31"/>
          <w:w w:val="105"/>
        </w:rPr>
        <w:t> </w:t>
      </w:r>
      <w:r>
        <w:rPr>
          <w:w w:val="105"/>
        </w:rPr>
        <w:t>Denise</w:t>
      </w:r>
      <w:r>
        <w:rPr>
          <w:spacing w:val="-31"/>
          <w:w w:val="105"/>
        </w:rPr>
        <w:t> </w:t>
      </w:r>
      <w:r>
        <w:rPr>
          <w:w w:val="105"/>
        </w:rPr>
        <w:t>Kirkpatrick,</w:t>
      </w:r>
      <w:r>
        <w:rPr>
          <w:spacing w:val="-31"/>
          <w:w w:val="105"/>
        </w:rPr>
        <w:t> </w:t>
      </w:r>
      <w:r>
        <w:rPr>
          <w:w w:val="105"/>
        </w:rPr>
        <w:t>Deputy</w:t>
      </w:r>
      <w:r>
        <w:rPr>
          <w:spacing w:val="-31"/>
          <w:w w:val="105"/>
        </w:rPr>
        <w:t> </w:t>
      </w:r>
      <w:r>
        <w:rPr>
          <w:w w:val="105"/>
        </w:rPr>
        <w:t>Vice- </w:t>
      </w:r>
      <w:r>
        <w:rPr/>
        <w:t>Chancellor and Vice-President</w:t>
      </w:r>
      <w:r>
        <w:rPr>
          <w:spacing w:val="-24"/>
        </w:rPr>
        <w:t> </w:t>
      </w:r>
      <w:r>
        <w:rPr/>
        <w:t>(Academic)</w:t>
      </w:r>
    </w:p>
    <w:p>
      <w:pPr>
        <w:pStyle w:val="BodyText"/>
        <w:spacing w:line="247" w:lineRule="auto" w:before="58"/>
        <w:ind w:left="553" w:right="-6" w:hanging="227"/>
      </w:pPr>
      <w:r>
        <w:rPr>
          <w:rFonts w:ascii="Century Gothic" w:hAnsi="Century Gothic"/>
          <w:b/>
          <w:w w:val="115"/>
        </w:rPr>
        <w:t>≥ </w:t>
      </w:r>
      <w:r>
        <w:rPr>
          <w:w w:val="105"/>
        </w:rPr>
        <w:t>Professor Scott Holmes, Deputy Vice- </w:t>
      </w:r>
      <w:r>
        <w:rPr/>
        <w:t>Chancellor and Vice-President (Research and Development)</w:t>
      </w:r>
    </w:p>
    <w:p>
      <w:pPr>
        <w:pStyle w:val="BodyText"/>
        <w:spacing w:line="244" w:lineRule="auto" w:before="57"/>
        <w:ind w:left="553" w:right="12" w:hanging="227"/>
      </w:pPr>
      <w:r>
        <w:rPr>
          <w:rFonts w:ascii="Century Gothic" w:hAnsi="Century Gothic"/>
          <w:b/>
          <w:w w:val="115"/>
        </w:rPr>
        <w:t>≥</w:t>
      </w:r>
      <w:r>
        <w:rPr>
          <w:rFonts w:ascii="Century Gothic" w:hAnsi="Century Gothic"/>
          <w:b/>
          <w:spacing w:val="4"/>
          <w:w w:val="115"/>
        </w:rPr>
        <w:t> </w:t>
      </w:r>
      <w:r>
        <w:rPr>
          <w:w w:val="105"/>
        </w:rPr>
        <w:t>Vacant,</w:t>
      </w:r>
      <w:r>
        <w:rPr>
          <w:spacing w:val="-31"/>
          <w:w w:val="105"/>
        </w:rPr>
        <w:t> </w:t>
      </w:r>
      <w:r>
        <w:rPr>
          <w:w w:val="105"/>
        </w:rPr>
        <w:t>Pro</w:t>
      </w:r>
      <w:r>
        <w:rPr>
          <w:spacing w:val="-31"/>
          <w:w w:val="105"/>
        </w:rPr>
        <w:t> </w:t>
      </w:r>
      <w:r>
        <w:rPr>
          <w:w w:val="105"/>
        </w:rPr>
        <w:t>Vice-Chancellor</w:t>
      </w:r>
      <w:r>
        <w:rPr>
          <w:spacing w:val="-31"/>
          <w:w w:val="105"/>
        </w:rPr>
        <w:t> </w:t>
      </w:r>
      <w:r>
        <w:rPr>
          <w:w w:val="105"/>
        </w:rPr>
        <w:t>(Strategy</w:t>
      </w:r>
      <w:r>
        <w:rPr>
          <w:spacing w:val="-31"/>
          <w:w w:val="105"/>
        </w:rPr>
        <w:t> </w:t>
      </w:r>
      <w:r>
        <w:rPr>
          <w:w w:val="105"/>
        </w:rPr>
        <w:t>and Performance)</w:t>
      </w:r>
    </w:p>
    <w:p>
      <w:pPr>
        <w:pStyle w:val="BodyText"/>
        <w:spacing w:line="244" w:lineRule="auto" w:before="70"/>
        <w:ind w:left="458" w:right="-18" w:hanging="227"/>
      </w:pPr>
      <w:r>
        <w:rPr/>
        <w:br w:type="column"/>
      </w:r>
      <w:r>
        <w:rPr>
          <w:rFonts w:ascii="Century Gothic" w:hAnsi="Century Gothic"/>
          <w:b/>
          <w:w w:val="115"/>
        </w:rPr>
        <w:t>≥ </w:t>
      </w:r>
      <w:r>
        <w:rPr>
          <w:w w:val="105"/>
        </w:rPr>
        <w:t>Doctor Alphia Possamai-Inesedy, </w:t>
      </w:r>
      <w:r>
        <w:rPr/>
        <w:t>Associate Pro Vice-Chancellor (Education)</w:t>
      </w:r>
    </w:p>
    <w:p>
      <w:pPr>
        <w:pStyle w:val="BodyText"/>
        <w:spacing w:line="244" w:lineRule="auto" w:before="58"/>
        <w:ind w:left="458" w:right="104" w:hanging="227"/>
      </w:pPr>
      <w:r>
        <w:rPr>
          <w:rFonts w:ascii="Century Gothic" w:hAnsi="Century Gothic"/>
          <w:b/>
          <w:w w:val="115"/>
        </w:rPr>
        <w:t>≥</w:t>
      </w:r>
      <w:r>
        <w:rPr>
          <w:rFonts w:ascii="Century Gothic" w:hAnsi="Century Gothic"/>
          <w:b/>
          <w:spacing w:val="10"/>
          <w:w w:val="115"/>
        </w:rPr>
        <w:t> </w:t>
      </w:r>
      <w:r>
        <w:rPr>
          <w:w w:val="105"/>
        </w:rPr>
        <w:t>Associate</w:t>
      </w:r>
      <w:r>
        <w:rPr>
          <w:spacing w:val="-29"/>
          <w:w w:val="105"/>
        </w:rPr>
        <w:t> </w:t>
      </w:r>
      <w:r>
        <w:rPr>
          <w:w w:val="105"/>
        </w:rPr>
        <w:t>Professor</w:t>
      </w:r>
      <w:r>
        <w:rPr>
          <w:spacing w:val="-29"/>
          <w:w w:val="105"/>
        </w:rPr>
        <w:t> </w:t>
      </w:r>
      <w:r>
        <w:rPr>
          <w:w w:val="105"/>
        </w:rPr>
        <w:t>Craig</w:t>
      </w:r>
      <w:r>
        <w:rPr>
          <w:spacing w:val="-29"/>
          <w:w w:val="105"/>
        </w:rPr>
        <w:t> </w:t>
      </w:r>
      <w:r>
        <w:rPr>
          <w:w w:val="105"/>
        </w:rPr>
        <w:t>Ellis,</w:t>
      </w:r>
      <w:r>
        <w:rPr>
          <w:spacing w:val="-29"/>
          <w:w w:val="105"/>
        </w:rPr>
        <w:t> </w:t>
      </w:r>
      <w:r>
        <w:rPr>
          <w:w w:val="105"/>
        </w:rPr>
        <w:t>Associate </w:t>
      </w:r>
      <w:r>
        <w:rPr/>
        <w:t>Pro Vice-Chancellor</w:t>
      </w:r>
      <w:r>
        <w:rPr>
          <w:spacing w:val="-13"/>
        </w:rPr>
        <w:t> </w:t>
      </w:r>
      <w:r>
        <w:rPr/>
        <w:t>(Education)</w:t>
      </w:r>
    </w:p>
    <w:p>
      <w:pPr>
        <w:pStyle w:val="BodyText"/>
        <w:spacing w:line="244" w:lineRule="auto" w:before="58"/>
        <w:ind w:left="458" w:right="52" w:hanging="227"/>
      </w:pPr>
      <w:r>
        <w:rPr>
          <w:rFonts w:ascii="Century Gothic" w:hAnsi="Century Gothic"/>
          <w:b/>
          <w:w w:val="115"/>
        </w:rPr>
        <w:t>≥ </w:t>
      </w:r>
      <w:r>
        <w:rPr>
          <w:w w:val="105"/>
        </w:rPr>
        <w:t>Associate Professor Betty Gill, Associate </w:t>
      </w:r>
      <w:r>
        <w:rPr/>
        <w:t>Pro Vice-Chancellor (Education)</w:t>
      </w:r>
    </w:p>
    <w:p>
      <w:pPr>
        <w:pStyle w:val="BodyText"/>
        <w:spacing w:line="244" w:lineRule="auto" w:before="58"/>
        <w:ind w:left="458" w:right="502" w:hanging="227"/>
      </w:pPr>
      <w:r>
        <w:rPr>
          <w:rFonts w:ascii="Century Gothic" w:hAnsi="Century Gothic"/>
          <w:b/>
          <w:w w:val="115"/>
        </w:rPr>
        <w:t>≥ </w:t>
      </w:r>
      <w:r>
        <w:rPr>
          <w:w w:val="105"/>
        </w:rPr>
        <w:t>Ms</w:t>
      </w:r>
      <w:r>
        <w:rPr>
          <w:spacing w:val="-33"/>
          <w:w w:val="105"/>
        </w:rPr>
        <w:t> </w:t>
      </w:r>
      <w:r>
        <w:rPr>
          <w:w w:val="105"/>
        </w:rPr>
        <w:t>Shaneen</w:t>
      </w:r>
      <w:r>
        <w:rPr>
          <w:spacing w:val="-33"/>
          <w:w w:val="105"/>
        </w:rPr>
        <w:t> </w:t>
      </w:r>
      <w:r>
        <w:rPr>
          <w:w w:val="105"/>
        </w:rPr>
        <w:t>McGlinchey,</w:t>
      </w:r>
      <w:r>
        <w:rPr>
          <w:spacing w:val="-33"/>
          <w:w w:val="105"/>
        </w:rPr>
        <w:t> </w:t>
      </w:r>
      <w:r>
        <w:rPr>
          <w:w w:val="105"/>
        </w:rPr>
        <w:t>Academic Registrar</w:t>
      </w:r>
    </w:p>
    <w:p>
      <w:pPr>
        <w:pStyle w:val="BodyText"/>
        <w:spacing w:before="58"/>
        <w:ind w:left="232" w:right="-18"/>
      </w:pPr>
      <w:r>
        <w:rPr>
          <w:rFonts w:ascii="Century Gothic" w:hAnsi="Century Gothic"/>
          <w:b/>
          <w:w w:val="115"/>
        </w:rPr>
        <w:t>≥ </w:t>
      </w:r>
      <w:r>
        <w:rPr>
          <w:w w:val="105"/>
        </w:rPr>
        <w:t>Ms Sue Craig, University Librarian</w:t>
      </w:r>
    </w:p>
    <w:p>
      <w:pPr>
        <w:pStyle w:val="BodyText"/>
        <w:spacing w:line="244" w:lineRule="auto" w:before="70"/>
        <w:ind w:left="461" w:right="178" w:hanging="227"/>
      </w:pPr>
      <w:r>
        <w:rPr/>
        <w:br w:type="column"/>
      </w:r>
      <w:r>
        <w:rPr>
          <w:rFonts w:ascii="Century Gothic" w:hAnsi="Century Gothic"/>
          <w:b/>
          <w:w w:val="115"/>
        </w:rPr>
        <w:t>≥ </w:t>
      </w:r>
      <w:r>
        <w:rPr/>
        <w:t>Professor Janette Perz, Academic Staff, Centre</w:t>
      </w:r>
      <w:r>
        <w:rPr>
          <w:spacing w:val="-17"/>
        </w:rPr>
        <w:t> </w:t>
      </w:r>
      <w:r>
        <w:rPr/>
        <w:t>for</w:t>
      </w:r>
      <w:r>
        <w:rPr>
          <w:spacing w:val="-17"/>
        </w:rPr>
        <w:t> </w:t>
      </w:r>
      <w:r>
        <w:rPr/>
        <w:t>Health</w:t>
      </w:r>
      <w:r>
        <w:rPr>
          <w:spacing w:val="-17"/>
        </w:rPr>
        <w:t> </w:t>
      </w:r>
      <w:r>
        <w:rPr/>
        <w:t>Research</w:t>
      </w:r>
      <w:r>
        <w:rPr>
          <w:spacing w:val="-17"/>
        </w:rPr>
        <w:t> </w:t>
      </w:r>
      <w:r>
        <w:rPr/>
        <w:t>(Level</w:t>
      </w:r>
      <w:r>
        <w:rPr>
          <w:spacing w:val="-17"/>
        </w:rPr>
        <w:t> </w:t>
      </w:r>
      <w:r>
        <w:rPr/>
        <w:t>D</w:t>
      </w:r>
      <w:r>
        <w:rPr>
          <w:spacing w:val="-17"/>
        </w:rPr>
        <w:t> </w:t>
      </w:r>
      <w:r>
        <w:rPr/>
        <w:t>or</w:t>
      </w:r>
      <w:r>
        <w:rPr>
          <w:spacing w:val="-17"/>
        </w:rPr>
        <w:t> </w:t>
      </w:r>
      <w:r>
        <w:rPr/>
        <w:t>E)</w:t>
      </w:r>
    </w:p>
    <w:p>
      <w:pPr>
        <w:pStyle w:val="BodyText"/>
        <w:spacing w:line="244" w:lineRule="auto" w:before="58"/>
        <w:ind w:left="461" w:right="178" w:hanging="227"/>
      </w:pPr>
      <w:r>
        <w:rPr>
          <w:rFonts w:ascii="Century Gothic" w:hAnsi="Century Gothic"/>
          <w:b/>
          <w:w w:val="115"/>
        </w:rPr>
        <w:t>≥ </w:t>
      </w:r>
      <w:r>
        <w:rPr/>
        <w:t>Ms Maxine Veale, Academic Staff, School of Nursing and Midwifery (Level A, B or C)</w:t>
      </w:r>
    </w:p>
    <w:p>
      <w:pPr>
        <w:pStyle w:val="BodyText"/>
        <w:spacing w:line="247" w:lineRule="auto" w:before="58"/>
        <w:ind w:left="461" w:right="385" w:hanging="227"/>
      </w:pPr>
      <w:r>
        <w:rPr>
          <w:rFonts w:ascii="Century Gothic" w:hAnsi="Century Gothic"/>
          <w:b/>
          <w:w w:val="115"/>
        </w:rPr>
        <w:t>≥ </w:t>
      </w:r>
      <w:r>
        <w:rPr/>
        <w:t>Professor Sheree Smith, Academic Staff, School of Nursing and Midwifery (Level D or E)</w:t>
      </w:r>
    </w:p>
    <w:p>
      <w:pPr>
        <w:pStyle w:val="BodyText"/>
        <w:spacing w:line="247" w:lineRule="auto" w:before="57"/>
        <w:ind w:left="461" w:right="434" w:hanging="227"/>
      </w:pPr>
      <w:r>
        <w:rPr>
          <w:rFonts w:ascii="Century Gothic" w:hAnsi="Century Gothic"/>
          <w:b/>
          <w:w w:val="115"/>
        </w:rPr>
        <w:t>≥ </w:t>
      </w:r>
      <w:r>
        <w:rPr/>
        <w:t>Doctor Cindy Kersaitis, Academic Staff, School of Science and Health (Level A, B or C)</w:t>
      </w:r>
    </w:p>
    <w:p>
      <w:pPr>
        <w:spacing w:after="0" w:line="247" w:lineRule="auto"/>
        <w:sectPr>
          <w:type w:val="continuous"/>
          <w:pgSz w:w="11910" w:h="16840"/>
          <w:pgMar w:top="1580" w:bottom="280" w:left="580" w:right="580"/>
          <w:cols w:num="3" w:equalWidth="0">
            <w:col w:w="3495" w:space="40"/>
            <w:col w:w="3397" w:space="40"/>
            <w:col w:w="3778"/>
          </w:cols>
        </w:sectPr>
      </w:pPr>
    </w:p>
    <w:p>
      <w:pPr>
        <w:pStyle w:val="BodyText"/>
        <w:tabs>
          <w:tab w:pos="3766" w:val="left" w:leader="none"/>
          <w:tab w:pos="6978" w:val="left" w:leader="none"/>
        </w:tabs>
        <w:spacing w:line="145" w:lineRule="exact" w:before="58"/>
        <w:ind w:left="327"/>
      </w:pPr>
      <w:r>
        <w:rPr>
          <w:rFonts w:ascii="Century Gothic" w:hAnsi="Century Gothic"/>
          <w:b/>
          <w:w w:val="115"/>
        </w:rPr>
        <w:t>≥</w:t>
      </w:r>
      <w:r>
        <w:rPr>
          <w:rFonts w:ascii="Century Gothic" w:hAnsi="Century Gothic"/>
          <w:b/>
          <w:spacing w:val="17"/>
          <w:w w:val="115"/>
        </w:rPr>
        <w:t> </w:t>
      </w:r>
      <w:r>
        <w:rPr>
          <w:w w:val="105"/>
        </w:rPr>
        <w:t>Mrs</w:t>
      </w:r>
      <w:r>
        <w:rPr>
          <w:spacing w:val="-26"/>
          <w:w w:val="105"/>
        </w:rPr>
        <w:t> </w:t>
      </w:r>
      <w:r>
        <w:rPr>
          <w:w w:val="105"/>
        </w:rPr>
        <w:t>Ellen</w:t>
      </w:r>
      <w:r>
        <w:rPr>
          <w:spacing w:val="-26"/>
          <w:w w:val="105"/>
        </w:rPr>
        <w:t> </w:t>
      </w:r>
      <w:r>
        <w:rPr>
          <w:w w:val="105"/>
        </w:rPr>
        <w:t>Brackenreg,</w:t>
      </w:r>
      <w:r>
        <w:rPr>
          <w:spacing w:val="-26"/>
          <w:w w:val="105"/>
        </w:rPr>
        <w:t> </w:t>
      </w:r>
      <w:r>
        <w:rPr>
          <w:w w:val="105"/>
        </w:rPr>
        <w:t>Acting</w:t>
      </w:r>
      <w:r>
        <w:rPr>
          <w:spacing w:val="-26"/>
          <w:w w:val="105"/>
        </w:rPr>
        <w:t> </w:t>
      </w:r>
      <w:r>
        <w:rPr>
          <w:w w:val="105"/>
        </w:rPr>
        <w:t>Pro</w:t>
      </w:r>
      <w:r>
        <w:rPr>
          <w:spacing w:val="-26"/>
          <w:w w:val="105"/>
        </w:rPr>
        <w:t> </w:t>
      </w:r>
      <w:r>
        <w:rPr>
          <w:w w:val="105"/>
        </w:rPr>
        <w:t>Vice-</w:t>
      </w:r>
      <w:r>
        <w:rPr/>
        <w:tab/>
      </w:r>
      <w:r>
        <w:rPr>
          <w:w w:val="76"/>
          <w:u w:val="thick"/>
        </w:rPr>
        <w:t> </w:t>
      </w:r>
      <w:r>
        <w:rPr>
          <w:u w:val="thick"/>
        </w:rPr>
        <w:tab/>
      </w:r>
    </w:p>
    <w:p>
      <w:pPr>
        <w:pStyle w:val="BodyText"/>
        <w:spacing w:line="170" w:lineRule="exact"/>
        <w:ind w:left="186" w:right="96"/>
      </w:pPr>
      <w:r>
        <w:rPr/>
        <w:br w:type="column"/>
      </w:r>
      <w:r>
        <w:rPr>
          <w:rFonts w:ascii="Century Gothic" w:hAnsi="Century Gothic"/>
          <w:b/>
          <w:w w:val="115"/>
        </w:rPr>
        <w:t>≥ </w:t>
      </w:r>
      <w:r>
        <w:rPr>
          <w:w w:val="105"/>
        </w:rPr>
        <w:t>Professor Janice Aldrich-Wright, Academic</w:t>
      </w:r>
    </w:p>
    <w:p>
      <w:pPr>
        <w:spacing w:after="0" w:line="170" w:lineRule="exact"/>
        <w:sectPr>
          <w:type w:val="continuous"/>
          <w:pgSz w:w="11910" w:h="16840"/>
          <w:pgMar w:top="1580" w:bottom="280" w:left="580" w:right="580"/>
          <w:cols w:num="2" w:equalWidth="0">
            <w:col w:w="6980" w:space="40"/>
            <w:col w:w="3730"/>
          </w:cols>
        </w:sectPr>
      </w:pPr>
    </w:p>
    <w:p>
      <w:pPr>
        <w:pStyle w:val="BodyText"/>
        <w:spacing w:before="56"/>
        <w:ind w:left="553" w:right="297"/>
      </w:pPr>
      <w:r>
        <w:rPr/>
        <w:pict>
          <v:group style="position:absolute;margin-left:34.015999pt;margin-top:45.355015pt;width:527.25pt;height:751.2pt;mso-position-horizontal-relative:page;mso-position-vertical-relative:page;z-index:-331912" coordorigin="680,907" coordsize="10545,15024">
            <v:rect style="position:absolute;left:680;top:907;width:10545;height:15024" filled="true" fillcolor="#e6e7e8" stroked="false">
              <v:fill type="solid"/>
            </v:rect>
            <v:line style="position:absolute" from="907,5323" to="4120,5323" stroked="true" strokeweight="1.5pt" strokecolor="#000000"/>
            <v:line style="position:absolute" from="7786,12744" to="10998,12744" stroked="true" strokeweight="1.5pt" strokecolor="#000000"/>
            <w10:wrap type="none"/>
          </v:group>
        </w:pict>
      </w:r>
      <w:r>
        <w:rPr/>
        <w:t>Chancellor (Students)</w:t>
      </w:r>
    </w:p>
    <w:p>
      <w:pPr>
        <w:pStyle w:val="BodyText"/>
        <w:spacing w:line="244" w:lineRule="auto" w:before="62"/>
        <w:ind w:left="553" w:right="297" w:hanging="227"/>
      </w:pPr>
      <w:r>
        <w:rPr>
          <w:rFonts w:ascii="Century Gothic" w:hAnsi="Century Gothic"/>
          <w:b/>
          <w:w w:val="115"/>
        </w:rPr>
        <w:t>≥</w:t>
      </w:r>
      <w:r>
        <w:rPr>
          <w:rFonts w:ascii="Century Gothic" w:hAnsi="Century Gothic"/>
          <w:b/>
          <w:spacing w:val="13"/>
          <w:w w:val="115"/>
        </w:rPr>
        <w:t> </w:t>
      </w:r>
      <w:r>
        <w:rPr>
          <w:w w:val="105"/>
        </w:rPr>
        <w:t>Associate</w:t>
      </w:r>
      <w:r>
        <w:rPr>
          <w:spacing w:val="-28"/>
          <w:w w:val="105"/>
        </w:rPr>
        <w:t> </w:t>
      </w:r>
      <w:r>
        <w:rPr>
          <w:w w:val="105"/>
        </w:rPr>
        <w:t>Professor</w:t>
      </w:r>
      <w:r>
        <w:rPr>
          <w:spacing w:val="-28"/>
          <w:w w:val="105"/>
        </w:rPr>
        <w:t> </w:t>
      </w:r>
      <w:r>
        <w:rPr>
          <w:w w:val="105"/>
        </w:rPr>
        <w:t>Bronwyn</w:t>
      </w:r>
      <w:r>
        <w:rPr>
          <w:spacing w:val="-28"/>
          <w:w w:val="105"/>
        </w:rPr>
        <w:t> </w:t>
      </w:r>
      <w:r>
        <w:rPr>
          <w:w w:val="105"/>
        </w:rPr>
        <w:t>Cole,</w:t>
      </w:r>
      <w:r>
        <w:rPr>
          <w:spacing w:val="-28"/>
          <w:w w:val="105"/>
        </w:rPr>
        <w:t> </w:t>
      </w:r>
      <w:r>
        <w:rPr>
          <w:w w:val="105"/>
        </w:rPr>
        <w:t>Pro </w:t>
      </w:r>
      <w:r>
        <w:rPr/>
        <w:t>Vice-Chancellor</w:t>
      </w:r>
      <w:r>
        <w:rPr>
          <w:spacing w:val="-4"/>
        </w:rPr>
        <w:t> </w:t>
      </w:r>
      <w:r>
        <w:rPr/>
        <w:t>(Education)</w:t>
      </w:r>
    </w:p>
    <w:p>
      <w:pPr>
        <w:pStyle w:val="BodyText"/>
        <w:spacing w:line="244" w:lineRule="auto" w:before="58"/>
        <w:ind w:left="553" w:right="31" w:hanging="227"/>
      </w:pPr>
      <w:r>
        <w:rPr>
          <w:rFonts w:ascii="Century Gothic" w:hAnsi="Century Gothic"/>
          <w:b/>
          <w:w w:val="115"/>
        </w:rPr>
        <w:t>≥ </w:t>
      </w:r>
      <w:r>
        <w:rPr/>
        <w:t>Associate Professor Linda Taylor, Pro Vice- </w:t>
      </w:r>
      <w:r>
        <w:rPr>
          <w:w w:val="95"/>
        </w:rPr>
        <w:t>Chancellor (International)</w:t>
      </w:r>
    </w:p>
    <w:p>
      <w:pPr>
        <w:pStyle w:val="BodyText"/>
        <w:spacing w:line="244" w:lineRule="auto" w:before="58"/>
        <w:ind w:left="553" w:right="297" w:hanging="227"/>
      </w:pPr>
      <w:r>
        <w:rPr>
          <w:rFonts w:ascii="Century Gothic" w:hAnsi="Century Gothic"/>
          <w:b/>
          <w:w w:val="115"/>
        </w:rPr>
        <w:t>≥ </w:t>
      </w:r>
      <w:r>
        <w:rPr/>
        <w:t>Professor Deborah Sweeney, Pro Vice- Chancellor (Research &amp; Innovation)</w:t>
      </w:r>
    </w:p>
    <w:p>
      <w:pPr>
        <w:pStyle w:val="BodyText"/>
        <w:spacing w:line="244" w:lineRule="auto" w:before="58"/>
        <w:ind w:left="553" w:right="191" w:hanging="227"/>
      </w:pPr>
      <w:r>
        <w:rPr>
          <w:rFonts w:ascii="Century Gothic" w:hAnsi="Century Gothic"/>
          <w:b/>
          <w:w w:val="115"/>
        </w:rPr>
        <w:t>≥ </w:t>
      </w:r>
      <w:r>
        <w:rPr>
          <w:w w:val="105"/>
        </w:rPr>
        <w:t>Professor</w:t>
      </w:r>
      <w:r>
        <w:rPr>
          <w:spacing w:val="-33"/>
          <w:w w:val="105"/>
        </w:rPr>
        <w:t> </w:t>
      </w:r>
      <w:r>
        <w:rPr>
          <w:w w:val="105"/>
        </w:rPr>
        <w:t>Scott</w:t>
      </w:r>
      <w:r>
        <w:rPr>
          <w:spacing w:val="-33"/>
          <w:w w:val="105"/>
        </w:rPr>
        <w:t> </w:t>
      </w:r>
      <w:r>
        <w:rPr>
          <w:spacing w:val="2"/>
          <w:w w:val="105"/>
        </w:rPr>
        <w:t>Holmes,</w:t>
      </w:r>
      <w:r>
        <w:rPr>
          <w:spacing w:val="-33"/>
          <w:w w:val="105"/>
        </w:rPr>
        <w:t> </w:t>
      </w:r>
      <w:r>
        <w:rPr>
          <w:spacing w:val="2"/>
          <w:w w:val="105"/>
        </w:rPr>
        <w:t>Dean,</w:t>
      </w:r>
      <w:r>
        <w:rPr>
          <w:spacing w:val="-33"/>
          <w:w w:val="105"/>
        </w:rPr>
        <w:t> </w:t>
      </w:r>
      <w:r>
        <w:rPr>
          <w:w w:val="105"/>
        </w:rPr>
        <w:t>School</w:t>
      </w:r>
      <w:r>
        <w:rPr>
          <w:spacing w:val="-33"/>
          <w:w w:val="105"/>
        </w:rPr>
        <w:t> </w:t>
      </w:r>
      <w:r>
        <w:rPr>
          <w:w w:val="105"/>
        </w:rPr>
        <w:t>of Business</w:t>
      </w:r>
    </w:p>
    <w:p>
      <w:pPr>
        <w:pStyle w:val="BodyText"/>
        <w:spacing w:line="244" w:lineRule="auto" w:before="58"/>
        <w:ind w:left="553" w:right="3" w:hanging="227"/>
      </w:pPr>
      <w:r>
        <w:rPr>
          <w:rFonts w:ascii="Century Gothic" w:hAnsi="Century Gothic"/>
          <w:b/>
          <w:w w:val="115"/>
        </w:rPr>
        <w:t>≥ </w:t>
      </w:r>
      <w:r>
        <w:rPr/>
        <w:t>Professor Simeon Simoff, Dean, School of Computing, Engineering and Mathematics</w:t>
      </w:r>
    </w:p>
    <w:p>
      <w:pPr>
        <w:pStyle w:val="BodyText"/>
        <w:spacing w:line="244" w:lineRule="auto" w:before="58"/>
        <w:ind w:left="553" w:right="48" w:hanging="227"/>
      </w:pPr>
      <w:r>
        <w:rPr>
          <w:rFonts w:ascii="Century Gothic" w:hAnsi="Century Gothic"/>
          <w:b/>
          <w:w w:val="115"/>
        </w:rPr>
        <w:t>≥</w:t>
      </w:r>
      <w:r>
        <w:rPr>
          <w:rFonts w:ascii="Century Gothic" w:hAnsi="Century Gothic"/>
          <w:b/>
          <w:spacing w:val="-3"/>
          <w:w w:val="115"/>
        </w:rPr>
        <w:t> </w:t>
      </w:r>
      <w:r>
        <w:rPr>
          <w:w w:val="105"/>
        </w:rPr>
        <w:t>Professor</w:t>
      </w:r>
      <w:r>
        <w:rPr>
          <w:spacing w:val="-34"/>
          <w:w w:val="105"/>
        </w:rPr>
        <w:t> </w:t>
      </w:r>
      <w:r>
        <w:rPr>
          <w:w w:val="105"/>
        </w:rPr>
        <w:t>Michele</w:t>
      </w:r>
      <w:r>
        <w:rPr>
          <w:spacing w:val="-34"/>
          <w:w w:val="105"/>
        </w:rPr>
        <w:t> </w:t>
      </w:r>
      <w:r>
        <w:rPr>
          <w:w w:val="105"/>
        </w:rPr>
        <w:t>Simons,</w:t>
      </w:r>
      <w:r>
        <w:rPr>
          <w:spacing w:val="-34"/>
          <w:w w:val="105"/>
        </w:rPr>
        <w:t> </w:t>
      </w:r>
      <w:r>
        <w:rPr>
          <w:spacing w:val="2"/>
          <w:w w:val="105"/>
        </w:rPr>
        <w:t>Dean,</w:t>
      </w:r>
      <w:r>
        <w:rPr>
          <w:spacing w:val="-34"/>
          <w:w w:val="105"/>
        </w:rPr>
        <w:t> </w:t>
      </w:r>
      <w:r>
        <w:rPr>
          <w:w w:val="105"/>
        </w:rPr>
        <w:t>School</w:t>
      </w:r>
      <w:r>
        <w:rPr>
          <w:spacing w:val="-34"/>
          <w:w w:val="105"/>
        </w:rPr>
        <w:t> </w:t>
      </w:r>
      <w:r>
        <w:rPr>
          <w:w w:val="105"/>
        </w:rPr>
        <w:t>of Education</w:t>
      </w:r>
    </w:p>
    <w:p>
      <w:pPr>
        <w:pStyle w:val="BodyText"/>
        <w:spacing w:line="244" w:lineRule="auto" w:before="58"/>
        <w:ind w:left="553" w:right="3" w:hanging="227"/>
      </w:pPr>
      <w:r>
        <w:rPr>
          <w:rFonts w:ascii="Century Gothic" w:hAnsi="Century Gothic"/>
          <w:b/>
          <w:w w:val="115"/>
        </w:rPr>
        <w:t>≥ </w:t>
      </w:r>
      <w:r>
        <w:rPr/>
        <w:t>Professor Peter Hutchings, Dean, School of Humanities and Communication Arts</w:t>
      </w:r>
    </w:p>
    <w:p>
      <w:pPr>
        <w:pStyle w:val="BodyText"/>
        <w:spacing w:line="244" w:lineRule="auto" w:before="58"/>
        <w:ind w:left="553" w:right="247" w:hanging="227"/>
      </w:pPr>
      <w:r>
        <w:rPr>
          <w:rFonts w:ascii="Century Gothic" w:hAnsi="Century Gothic"/>
          <w:b/>
          <w:w w:val="115"/>
        </w:rPr>
        <w:t>≥</w:t>
      </w:r>
      <w:r>
        <w:rPr>
          <w:rFonts w:ascii="Century Gothic" w:hAnsi="Century Gothic"/>
          <w:b/>
          <w:spacing w:val="-3"/>
          <w:w w:val="115"/>
        </w:rPr>
        <w:t> </w:t>
      </w:r>
      <w:r>
        <w:rPr>
          <w:w w:val="105"/>
        </w:rPr>
        <w:t>Professor</w:t>
      </w:r>
      <w:r>
        <w:rPr>
          <w:spacing w:val="-34"/>
          <w:w w:val="105"/>
        </w:rPr>
        <w:t> </w:t>
      </w:r>
      <w:r>
        <w:rPr>
          <w:w w:val="105"/>
        </w:rPr>
        <w:t>Michael</w:t>
      </w:r>
      <w:r>
        <w:rPr>
          <w:spacing w:val="-34"/>
          <w:w w:val="105"/>
        </w:rPr>
        <w:t> </w:t>
      </w:r>
      <w:r>
        <w:rPr>
          <w:w w:val="105"/>
        </w:rPr>
        <w:t>Adams,</w:t>
      </w:r>
      <w:r>
        <w:rPr>
          <w:spacing w:val="-34"/>
          <w:w w:val="105"/>
        </w:rPr>
        <w:t> </w:t>
      </w:r>
      <w:r>
        <w:rPr>
          <w:spacing w:val="2"/>
          <w:w w:val="105"/>
        </w:rPr>
        <w:t>Dean,</w:t>
      </w:r>
      <w:r>
        <w:rPr>
          <w:spacing w:val="-34"/>
          <w:w w:val="105"/>
        </w:rPr>
        <w:t> </w:t>
      </w:r>
      <w:r>
        <w:rPr>
          <w:w w:val="105"/>
        </w:rPr>
        <w:t>School of</w:t>
      </w:r>
      <w:r>
        <w:rPr>
          <w:spacing w:val="-34"/>
          <w:w w:val="105"/>
        </w:rPr>
        <w:t> </w:t>
      </w:r>
      <w:r>
        <w:rPr>
          <w:w w:val="105"/>
        </w:rPr>
        <w:t>Law</w:t>
      </w:r>
    </w:p>
    <w:p>
      <w:pPr>
        <w:pStyle w:val="BodyText"/>
        <w:spacing w:line="244" w:lineRule="auto" w:before="58"/>
        <w:ind w:left="553" w:right="336" w:hanging="227"/>
      </w:pPr>
      <w:r>
        <w:rPr>
          <w:rFonts w:ascii="Century Gothic" w:hAnsi="Century Gothic"/>
          <w:b/>
          <w:w w:val="110"/>
        </w:rPr>
        <w:t>≥</w:t>
      </w:r>
      <w:r>
        <w:rPr>
          <w:rFonts w:ascii="Century Gothic" w:hAnsi="Century Gothic"/>
          <w:b/>
          <w:spacing w:val="-16"/>
          <w:w w:val="110"/>
        </w:rPr>
        <w:t> </w:t>
      </w:r>
      <w:r>
        <w:rPr>
          <w:w w:val="105"/>
        </w:rPr>
        <w:t>Professor</w:t>
      </w:r>
      <w:r>
        <w:rPr>
          <w:spacing w:val="-40"/>
          <w:w w:val="105"/>
        </w:rPr>
        <w:t> </w:t>
      </w:r>
      <w:r>
        <w:rPr>
          <w:w w:val="105"/>
        </w:rPr>
        <w:t>Annemarie</w:t>
      </w:r>
      <w:r>
        <w:rPr>
          <w:spacing w:val="-40"/>
          <w:w w:val="105"/>
        </w:rPr>
        <w:t> </w:t>
      </w:r>
      <w:r>
        <w:rPr>
          <w:w w:val="105"/>
        </w:rPr>
        <w:t>Hennessy,</w:t>
      </w:r>
      <w:r>
        <w:rPr>
          <w:spacing w:val="-40"/>
          <w:w w:val="105"/>
        </w:rPr>
        <w:t> </w:t>
      </w:r>
      <w:r>
        <w:rPr>
          <w:spacing w:val="2"/>
          <w:w w:val="105"/>
        </w:rPr>
        <w:t>Dean, </w:t>
      </w:r>
      <w:r>
        <w:rPr/>
        <w:t>School of</w:t>
      </w:r>
      <w:r>
        <w:rPr>
          <w:spacing w:val="-20"/>
        </w:rPr>
        <w:t> </w:t>
      </w:r>
      <w:r>
        <w:rPr/>
        <w:t>Medicine</w:t>
      </w:r>
    </w:p>
    <w:p>
      <w:pPr>
        <w:pStyle w:val="BodyText"/>
        <w:spacing w:line="244" w:lineRule="auto" w:before="58"/>
        <w:ind w:left="553" w:right="-10" w:hanging="227"/>
      </w:pPr>
      <w:r>
        <w:rPr>
          <w:rFonts w:ascii="Century Gothic" w:hAnsi="Century Gothic"/>
          <w:b/>
          <w:w w:val="115"/>
        </w:rPr>
        <w:t>≥</w:t>
      </w:r>
      <w:r>
        <w:rPr>
          <w:rFonts w:ascii="Century Gothic" w:hAnsi="Century Gothic"/>
          <w:b/>
          <w:spacing w:val="-3"/>
          <w:w w:val="115"/>
        </w:rPr>
        <w:t> </w:t>
      </w:r>
      <w:r>
        <w:rPr>
          <w:w w:val="105"/>
        </w:rPr>
        <w:t>Professor</w:t>
      </w:r>
      <w:r>
        <w:rPr>
          <w:spacing w:val="-34"/>
          <w:w w:val="105"/>
        </w:rPr>
        <w:t> </w:t>
      </w:r>
      <w:r>
        <w:rPr>
          <w:w w:val="105"/>
        </w:rPr>
        <w:t>Rhonda</w:t>
      </w:r>
      <w:r>
        <w:rPr>
          <w:spacing w:val="-34"/>
          <w:w w:val="105"/>
        </w:rPr>
        <w:t> </w:t>
      </w:r>
      <w:r>
        <w:rPr>
          <w:w w:val="105"/>
        </w:rPr>
        <w:t>Griffiths,</w:t>
      </w:r>
      <w:r>
        <w:rPr>
          <w:spacing w:val="-34"/>
          <w:w w:val="105"/>
        </w:rPr>
        <w:t> </w:t>
      </w:r>
      <w:r>
        <w:rPr>
          <w:spacing w:val="2"/>
          <w:w w:val="105"/>
        </w:rPr>
        <w:t>Dean,</w:t>
      </w:r>
      <w:r>
        <w:rPr>
          <w:spacing w:val="-34"/>
          <w:w w:val="105"/>
        </w:rPr>
        <w:t> </w:t>
      </w:r>
      <w:r>
        <w:rPr>
          <w:w w:val="105"/>
        </w:rPr>
        <w:t>School</w:t>
      </w:r>
      <w:r>
        <w:rPr>
          <w:spacing w:val="-34"/>
          <w:w w:val="105"/>
        </w:rPr>
        <w:t> </w:t>
      </w:r>
      <w:r>
        <w:rPr>
          <w:w w:val="105"/>
        </w:rPr>
        <w:t>of </w:t>
      </w:r>
      <w:r>
        <w:rPr/>
        <w:t>Nursing and</w:t>
      </w:r>
      <w:r>
        <w:rPr>
          <w:spacing w:val="-27"/>
        </w:rPr>
        <w:t> </w:t>
      </w:r>
      <w:r>
        <w:rPr/>
        <w:t>Midwifery</w:t>
      </w:r>
    </w:p>
    <w:p>
      <w:pPr>
        <w:pStyle w:val="BodyText"/>
        <w:spacing w:line="244" w:lineRule="auto" w:before="58"/>
        <w:ind w:left="553" w:right="231" w:hanging="227"/>
      </w:pPr>
      <w:r>
        <w:rPr>
          <w:rFonts w:ascii="Century Gothic" w:hAnsi="Century Gothic"/>
          <w:b/>
          <w:w w:val="115"/>
        </w:rPr>
        <w:t>≥</w:t>
      </w:r>
      <w:r>
        <w:rPr>
          <w:rFonts w:ascii="Century Gothic" w:hAnsi="Century Gothic"/>
          <w:b/>
          <w:spacing w:val="7"/>
          <w:w w:val="115"/>
        </w:rPr>
        <w:t> </w:t>
      </w:r>
      <w:r>
        <w:rPr>
          <w:w w:val="105"/>
        </w:rPr>
        <w:t>Professor</w:t>
      </w:r>
      <w:r>
        <w:rPr>
          <w:spacing w:val="-30"/>
          <w:w w:val="105"/>
        </w:rPr>
        <w:t> </w:t>
      </w:r>
      <w:r>
        <w:rPr>
          <w:w w:val="105"/>
        </w:rPr>
        <w:t>Gregory</w:t>
      </w:r>
      <w:r>
        <w:rPr>
          <w:spacing w:val="-30"/>
          <w:w w:val="105"/>
        </w:rPr>
        <w:t> </w:t>
      </w:r>
      <w:r>
        <w:rPr>
          <w:w w:val="105"/>
        </w:rPr>
        <w:t>Kolt,</w:t>
      </w:r>
      <w:r>
        <w:rPr>
          <w:spacing w:val="-30"/>
          <w:w w:val="105"/>
        </w:rPr>
        <w:t> </w:t>
      </w:r>
      <w:r>
        <w:rPr>
          <w:spacing w:val="2"/>
          <w:w w:val="105"/>
        </w:rPr>
        <w:t>Dean,</w:t>
      </w:r>
      <w:r>
        <w:rPr>
          <w:spacing w:val="-30"/>
          <w:w w:val="105"/>
        </w:rPr>
        <w:t> </w:t>
      </w:r>
      <w:r>
        <w:rPr>
          <w:w w:val="105"/>
        </w:rPr>
        <w:t>School</w:t>
      </w:r>
      <w:r>
        <w:rPr>
          <w:spacing w:val="-30"/>
          <w:w w:val="105"/>
        </w:rPr>
        <w:t> </w:t>
      </w:r>
      <w:r>
        <w:rPr>
          <w:w w:val="105"/>
        </w:rPr>
        <w:t>of </w:t>
      </w:r>
      <w:r>
        <w:rPr/>
        <w:t>Science and</w:t>
      </w:r>
      <w:r>
        <w:rPr>
          <w:spacing w:val="-36"/>
        </w:rPr>
        <w:t> </w:t>
      </w:r>
      <w:r>
        <w:rPr/>
        <w:t>Health</w:t>
      </w:r>
    </w:p>
    <w:p>
      <w:pPr>
        <w:pStyle w:val="BodyText"/>
        <w:spacing w:line="244" w:lineRule="auto" w:before="58"/>
        <w:ind w:left="553" w:right="31" w:hanging="227"/>
      </w:pPr>
      <w:r>
        <w:rPr>
          <w:rFonts w:ascii="Century Gothic" w:hAnsi="Century Gothic"/>
          <w:b/>
          <w:w w:val="115"/>
        </w:rPr>
        <w:t>≥ </w:t>
      </w:r>
      <w:r>
        <w:rPr/>
        <w:t>Professor Kevin Dunn, Dean, School of Social Sciences and Psychology</w:t>
      </w:r>
    </w:p>
    <w:p>
      <w:pPr>
        <w:pStyle w:val="BodyText"/>
        <w:spacing w:line="244" w:lineRule="auto" w:before="58"/>
        <w:ind w:left="553" w:right="297" w:hanging="227"/>
      </w:pPr>
      <w:r>
        <w:rPr>
          <w:rFonts w:ascii="Century Gothic" w:hAnsi="Century Gothic"/>
          <w:b/>
          <w:w w:val="115"/>
        </w:rPr>
        <w:t>≥ </w:t>
      </w:r>
      <w:r>
        <w:rPr/>
        <w:t>Professor James Arvanitakis, Dean, Graduate Studies</w:t>
      </w:r>
    </w:p>
    <w:p>
      <w:pPr>
        <w:pStyle w:val="BodyText"/>
        <w:spacing w:before="58"/>
        <w:ind w:left="327" w:right="297"/>
      </w:pPr>
      <w:r>
        <w:rPr>
          <w:rFonts w:ascii="Century Gothic" w:hAnsi="Century Gothic"/>
          <w:b/>
          <w:w w:val="115"/>
        </w:rPr>
        <w:t>≥ </w:t>
      </w:r>
      <w:r>
        <w:rPr>
          <w:w w:val="105"/>
        </w:rPr>
        <w:t>Professor Greg Whateley, Dean,</w:t>
      </w:r>
    </w:p>
    <w:p>
      <w:pPr>
        <w:pStyle w:val="BodyText"/>
        <w:spacing w:before="4"/>
        <w:ind w:left="553" w:right="297"/>
      </w:pPr>
      <w:r>
        <w:rPr>
          <w:rFonts w:ascii="Calibri"/>
        </w:rPr>
        <w:t>UWS</w:t>
      </w:r>
      <w:r>
        <w:rPr/>
        <w:t>College</w:t>
      </w:r>
    </w:p>
    <w:p>
      <w:pPr>
        <w:pStyle w:val="BodyText"/>
        <w:spacing w:line="247" w:lineRule="auto" w:before="52"/>
        <w:ind w:left="553" w:right="4" w:hanging="227"/>
      </w:pPr>
      <w:r>
        <w:rPr>
          <w:rFonts w:ascii="Century Gothic" w:hAnsi="Century Gothic"/>
          <w:b/>
          <w:w w:val="115"/>
        </w:rPr>
        <w:t>≥ </w:t>
      </w:r>
      <w:r>
        <w:rPr/>
        <w:t>Professor Kate Stevens, Director (Research and Engagement), MARCS Institute, or nominee</w:t>
      </w:r>
    </w:p>
    <w:p>
      <w:pPr>
        <w:pStyle w:val="BodyText"/>
        <w:spacing w:line="247" w:lineRule="auto" w:before="57"/>
        <w:ind w:left="553" w:right="187" w:hanging="227"/>
      </w:pPr>
      <w:r>
        <w:rPr>
          <w:rFonts w:ascii="Century Gothic" w:hAnsi="Century Gothic"/>
          <w:b/>
          <w:w w:val="115"/>
        </w:rPr>
        <w:t>≥ </w:t>
      </w:r>
      <w:r>
        <w:rPr/>
        <w:t>Professor Ian </w:t>
      </w:r>
      <w:r>
        <w:rPr>
          <w:spacing w:val="2"/>
        </w:rPr>
        <w:t>Anderson, </w:t>
      </w:r>
      <w:r>
        <w:rPr/>
        <w:t>Director (Research),</w:t>
      </w:r>
      <w:r>
        <w:rPr>
          <w:spacing w:val="-28"/>
        </w:rPr>
        <w:t> </w:t>
      </w:r>
      <w:r>
        <w:rPr/>
        <w:t>Hawkesbury</w:t>
      </w:r>
      <w:r>
        <w:rPr>
          <w:spacing w:val="-28"/>
        </w:rPr>
        <w:t> </w:t>
      </w:r>
      <w:r>
        <w:rPr/>
        <w:t>Institute</w:t>
      </w:r>
      <w:r>
        <w:rPr>
          <w:spacing w:val="-28"/>
        </w:rPr>
        <w:t> </w:t>
      </w:r>
      <w:r>
        <w:rPr/>
        <w:t>for</w:t>
      </w:r>
      <w:r>
        <w:rPr>
          <w:spacing w:val="-28"/>
        </w:rPr>
        <w:t> </w:t>
      </w:r>
      <w:r>
        <w:rPr/>
        <w:t>the Environment,</w:t>
      </w:r>
      <w:r>
        <w:rPr>
          <w:spacing w:val="-27"/>
        </w:rPr>
        <w:t> </w:t>
      </w:r>
      <w:r>
        <w:rPr/>
        <w:t>or</w:t>
      </w:r>
      <w:r>
        <w:rPr>
          <w:spacing w:val="-27"/>
        </w:rPr>
        <w:t> </w:t>
      </w:r>
      <w:r>
        <w:rPr/>
        <w:t>nominee</w:t>
      </w:r>
    </w:p>
    <w:p>
      <w:pPr>
        <w:pStyle w:val="Heading8"/>
        <w:spacing w:before="117"/>
        <w:ind w:left="188" w:right="-11"/>
      </w:pPr>
      <w:r>
        <w:rPr>
          <w:b w:val="0"/>
        </w:rPr>
        <w:br w:type="column"/>
      </w:r>
      <w:r>
        <w:rPr/>
        <w:t>ELECTED</w:t>
      </w:r>
    </w:p>
    <w:p>
      <w:pPr>
        <w:pStyle w:val="BodyText"/>
        <w:spacing w:line="249" w:lineRule="auto" w:before="1"/>
        <w:ind w:left="188" w:right="-11"/>
      </w:pPr>
      <w:r>
        <w:rPr>
          <w:w w:val="97"/>
        </w:rPr>
        <w:t>(term </w:t>
      </w:r>
      <w:r>
        <w:rPr>
          <w:w w:val="101"/>
        </w:rPr>
        <w:t>to </w:t>
      </w:r>
      <w:r>
        <w:rPr>
          <w:w w:val="74"/>
        </w:rPr>
        <w:t>31 </w:t>
      </w:r>
      <w:r>
        <w:rPr>
          <w:w w:val="98"/>
        </w:rPr>
        <w:t>December </w:t>
      </w:r>
      <w:r>
        <w:rPr>
          <w:w w:val="84"/>
        </w:rPr>
        <w:t>2015, </w:t>
      </w:r>
      <w:r>
        <w:rPr>
          <w:w w:val="95"/>
        </w:rPr>
        <w:t>unless </w:t>
      </w:r>
      <w:r>
        <w:rPr>
          <w:w w:val="97"/>
        </w:rPr>
        <w:t>otherwise </w:t>
      </w:r>
      <w:r>
        <w:rPr/>
        <w:t>indicated)</w:t>
      </w:r>
    </w:p>
    <w:p>
      <w:pPr>
        <w:pStyle w:val="BodyText"/>
        <w:spacing w:line="244" w:lineRule="auto" w:before="83"/>
        <w:ind w:left="415" w:right="174" w:hanging="227"/>
      </w:pPr>
      <w:r>
        <w:rPr>
          <w:rFonts w:ascii="Century Gothic" w:hAnsi="Century Gothic"/>
          <w:b/>
          <w:w w:val="115"/>
        </w:rPr>
        <w:t>≥ </w:t>
      </w:r>
      <w:r>
        <w:rPr/>
        <w:t>Associate Professor Paul Wormell, Chair, </w:t>
      </w:r>
      <w:r>
        <w:rPr>
          <w:w w:val="100"/>
        </w:rPr>
        <w:t>Academic </w:t>
      </w:r>
      <w:r>
        <w:rPr>
          <w:w w:val="97"/>
        </w:rPr>
        <w:t>Senate </w:t>
      </w:r>
      <w:r>
        <w:rPr>
          <w:w w:val="81"/>
        </w:rPr>
        <w:t>(31 </w:t>
      </w:r>
      <w:r>
        <w:rPr>
          <w:w w:val="98"/>
        </w:rPr>
        <w:t>January </w:t>
      </w:r>
      <w:r>
        <w:rPr>
          <w:w w:val="91"/>
        </w:rPr>
        <w:t>2016)</w:t>
      </w:r>
    </w:p>
    <w:p>
      <w:pPr>
        <w:pStyle w:val="BodyText"/>
        <w:spacing w:line="244" w:lineRule="auto" w:before="58"/>
        <w:ind w:left="415" w:right="221" w:hanging="227"/>
      </w:pPr>
      <w:r>
        <w:rPr>
          <w:rFonts w:ascii="Century Gothic" w:hAnsi="Century Gothic"/>
          <w:b/>
          <w:w w:val="115"/>
        </w:rPr>
        <w:t>≥ </w:t>
      </w:r>
      <w:r>
        <w:rPr/>
        <w:t>Doctor Elfriede Sangkuhl, Deputy Chair, </w:t>
      </w:r>
      <w:r>
        <w:rPr>
          <w:w w:val="100"/>
        </w:rPr>
        <w:t>Academic </w:t>
      </w:r>
      <w:r>
        <w:rPr>
          <w:w w:val="97"/>
        </w:rPr>
        <w:t>Senate </w:t>
      </w:r>
      <w:r>
        <w:rPr>
          <w:w w:val="81"/>
        </w:rPr>
        <w:t>(31 </w:t>
      </w:r>
      <w:r>
        <w:rPr>
          <w:w w:val="98"/>
        </w:rPr>
        <w:t>January </w:t>
      </w:r>
      <w:r>
        <w:rPr>
          <w:w w:val="91"/>
        </w:rPr>
        <w:t>2016)</w:t>
      </w:r>
    </w:p>
    <w:p>
      <w:pPr>
        <w:pStyle w:val="BodyText"/>
        <w:spacing w:line="244" w:lineRule="auto" w:before="58"/>
        <w:ind w:left="415" w:right="-11" w:hanging="227"/>
      </w:pPr>
      <w:r>
        <w:rPr>
          <w:rFonts w:ascii="Century Gothic" w:hAnsi="Century Gothic"/>
          <w:b/>
          <w:w w:val="115"/>
        </w:rPr>
        <w:t>≥ </w:t>
      </w:r>
      <w:r>
        <w:rPr/>
        <w:t>Doctor Terri Mylett, Academic Staff, School of Business (Level A, B or C)</w:t>
      </w:r>
    </w:p>
    <w:p>
      <w:pPr>
        <w:pStyle w:val="BodyText"/>
        <w:spacing w:line="244" w:lineRule="auto" w:before="58"/>
        <w:ind w:left="415" w:right="-11" w:hanging="227"/>
      </w:pPr>
      <w:r>
        <w:rPr>
          <w:rFonts w:ascii="Century Gothic" w:hAnsi="Century Gothic"/>
          <w:b/>
          <w:w w:val="115"/>
        </w:rPr>
        <w:t>≥ </w:t>
      </w:r>
      <w:r>
        <w:rPr/>
        <w:t>Associate Professor Terry Sloan, Academic Staff, School of Business (Level D or E)</w:t>
      </w:r>
    </w:p>
    <w:p>
      <w:pPr>
        <w:pStyle w:val="BodyText"/>
        <w:spacing w:line="247" w:lineRule="auto" w:before="58"/>
        <w:ind w:left="415" w:right="302" w:hanging="227"/>
        <w:jc w:val="both"/>
      </w:pPr>
      <w:r>
        <w:rPr>
          <w:rFonts w:ascii="Century Gothic" w:hAnsi="Century Gothic"/>
          <w:b/>
          <w:w w:val="115"/>
        </w:rPr>
        <w:t>≥</w:t>
      </w:r>
      <w:r>
        <w:rPr>
          <w:rFonts w:ascii="Century Gothic" w:hAnsi="Century Gothic"/>
          <w:b/>
          <w:spacing w:val="13"/>
          <w:w w:val="115"/>
        </w:rPr>
        <w:t> </w:t>
      </w:r>
      <w:r>
        <w:rPr/>
        <w:t>Doctor Qinghua Zeng, Academic Staff, School</w:t>
      </w:r>
      <w:r>
        <w:rPr>
          <w:spacing w:val="-13"/>
        </w:rPr>
        <w:t> </w:t>
      </w:r>
      <w:r>
        <w:rPr/>
        <w:t>of</w:t>
      </w:r>
      <w:r>
        <w:rPr>
          <w:spacing w:val="-13"/>
        </w:rPr>
        <w:t> </w:t>
      </w:r>
      <w:r>
        <w:rPr/>
        <w:t>Computing,</w:t>
      </w:r>
      <w:r>
        <w:rPr>
          <w:spacing w:val="-13"/>
        </w:rPr>
        <w:t> </w:t>
      </w:r>
      <w:r>
        <w:rPr/>
        <w:t>Engineering</w:t>
      </w:r>
      <w:r>
        <w:rPr>
          <w:spacing w:val="-13"/>
        </w:rPr>
        <w:t> </w:t>
      </w:r>
      <w:r>
        <w:rPr/>
        <w:t>and Mathematics</w:t>
      </w:r>
      <w:r>
        <w:rPr>
          <w:spacing w:val="-14"/>
        </w:rPr>
        <w:t> </w:t>
      </w:r>
      <w:r>
        <w:rPr/>
        <w:t>(Level</w:t>
      </w:r>
      <w:r>
        <w:rPr>
          <w:spacing w:val="-14"/>
        </w:rPr>
        <w:t> </w:t>
      </w:r>
      <w:r>
        <w:rPr>
          <w:spacing w:val="3"/>
        </w:rPr>
        <w:t>A,</w:t>
      </w:r>
      <w:r>
        <w:rPr>
          <w:spacing w:val="-14"/>
        </w:rPr>
        <w:t> </w:t>
      </w:r>
      <w:r>
        <w:rPr/>
        <w:t>B</w:t>
      </w:r>
      <w:r>
        <w:rPr>
          <w:spacing w:val="-14"/>
        </w:rPr>
        <w:t> </w:t>
      </w:r>
      <w:r>
        <w:rPr/>
        <w:t>or</w:t>
      </w:r>
      <w:r>
        <w:rPr>
          <w:spacing w:val="-14"/>
        </w:rPr>
        <w:t> </w:t>
      </w:r>
      <w:r>
        <w:rPr/>
        <w:t>C)</w:t>
      </w:r>
    </w:p>
    <w:p>
      <w:pPr>
        <w:pStyle w:val="BodyText"/>
        <w:spacing w:line="247" w:lineRule="auto" w:before="57"/>
        <w:ind w:left="415" w:right="-11" w:hanging="227"/>
      </w:pPr>
      <w:r>
        <w:rPr>
          <w:rFonts w:ascii="Century Gothic" w:hAnsi="Century Gothic"/>
          <w:b/>
          <w:w w:val="115"/>
        </w:rPr>
        <w:t>≥ </w:t>
      </w:r>
      <w:r>
        <w:rPr/>
        <w:t>Associate Professor Leanne Rylands, Academic Staff, School of Computing, Engineering</w:t>
      </w:r>
      <w:r>
        <w:rPr>
          <w:spacing w:val="-27"/>
        </w:rPr>
        <w:t> </w:t>
      </w:r>
      <w:r>
        <w:rPr/>
        <w:t>and</w:t>
      </w:r>
      <w:r>
        <w:rPr>
          <w:spacing w:val="-27"/>
        </w:rPr>
        <w:t> </w:t>
      </w:r>
      <w:r>
        <w:rPr/>
        <w:t>Mathematics</w:t>
      </w:r>
      <w:r>
        <w:rPr>
          <w:spacing w:val="-27"/>
        </w:rPr>
        <w:t> </w:t>
      </w:r>
      <w:r>
        <w:rPr/>
        <w:t>(Level</w:t>
      </w:r>
      <w:r>
        <w:rPr>
          <w:spacing w:val="-27"/>
        </w:rPr>
        <w:t> </w:t>
      </w:r>
      <w:r>
        <w:rPr/>
        <w:t>D</w:t>
      </w:r>
      <w:r>
        <w:rPr>
          <w:spacing w:val="-27"/>
        </w:rPr>
        <w:t> </w:t>
      </w:r>
      <w:r>
        <w:rPr/>
        <w:t>or</w:t>
      </w:r>
      <w:r>
        <w:rPr>
          <w:spacing w:val="-27"/>
        </w:rPr>
        <w:t> </w:t>
      </w:r>
      <w:r>
        <w:rPr/>
        <w:t>E)</w:t>
      </w:r>
    </w:p>
    <w:p>
      <w:pPr>
        <w:pStyle w:val="BodyText"/>
        <w:spacing w:line="247" w:lineRule="auto" w:before="57"/>
        <w:ind w:left="415" w:right="1" w:hanging="227"/>
      </w:pPr>
      <w:r>
        <w:rPr>
          <w:rFonts w:ascii="Century Gothic" w:hAnsi="Century Gothic"/>
          <w:b/>
          <w:w w:val="115"/>
        </w:rPr>
        <w:t>≥ </w:t>
      </w:r>
      <w:r>
        <w:rPr/>
        <w:t>Associate Professor Catherine Attard, Academic</w:t>
      </w:r>
      <w:r>
        <w:rPr>
          <w:spacing w:val="-13"/>
        </w:rPr>
        <w:t> </w:t>
      </w:r>
      <w:r>
        <w:rPr/>
        <w:t>Staff,</w:t>
      </w:r>
      <w:r>
        <w:rPr>
          <w:spacing w:val="-13"/>
        </w:rPr>
        <w:t> </w:t>
      </w:r>
      <w:r>
        <w:rPr/>
        <w:t>School</w:t>
      </w:r>
      <w:r>
        <w:rPr>
          <w:spacing w:val="-13"/>
        </w:rPr>
        <w:t> </w:t>
      </w:r>
      <w:r>
        <w:rPr/>
        <w:t>of</w:t>
      </w:r>
      <w:r>
        <w:rPr>
          <w:spacing w:val="-13"/>
        </w:rPr>
        <w:t> </w:t>
      </w:r>
      <w:r>
        <w:rPr/>
        <w:t>Education</w:t>
      </w:r>
      <w:r>
        <w:rPr>
          <w:spacing w:val="-13"/>
        </w:rPr>
        <w:t> </w:t>
      </w:r>
      <w:r>
        <w:rPr/>
        <w:t>(Level </w:t>
      </w:r>
      <w:r>
        <w:rPr>
          <w:spacing w:val="3"/>
        </w:rPr>
        <w:t>A, </w:t>
      </w:r>
      <w:r>
        <w:rPr/>
        <w:t>B or</w:t>
      </w:r>
      <w:r>
        <w:rPr>
          <w:spacing w:val="-36"/>
        </w:rPr>
        <w:t> </w:t>
      </w:r>
      <w:r>
        <w:rPr/>
        <w:t>C)</w:t>
      </w:r>
    </w:p>
    <w:p>
      <w:pPr>
        <w:pStyle w:val="BodyText"/>
        <w:spacing w:line="247" w:lineRule="auto" w:before="57"/>
        <w:ind w:left="415" w:right="2" w:hanging="227"/>
      </w:pPr>
      <w:r>
        <w:rPr>
          <w:rFonts w:ascii="Century Gothic" w:hAnsi="Century Gothic"/>
          <w:b/>
          <w:w w:val="115"/>
        </w:rPr>
        <w:t>≥  </w:t>
      </w:r>
      <w:r>
        <w:rPr/>
        <w:t>Associate Professor Anne Power, Academic</w:t>
      </w:r>
      <w:r>
        <w:rPr>
          <w:spacing w:val="-13"/>
        </w:rPr>
        <w:t> </w:t>
      </w:r>
      <w:r>
        <w:rPr/>
        <w:t>Staff,</w:t>
      </w:r>
      <w:r>
        <w:rPr>
          <w:spacing w:val="-13"/>
        </w:rPr>
        <w:t> </w:t>
      </w:r>
      <w:r>
        <w:rPr/>
        <w:t>School</w:t>
      </w:r>
      <w:r>
        <w:rPr>
          <w:spacing w:val="-13"/>
        </w:rPr>
        <w:t> </w:t>
      </w:r>
      <w:r>
        <w:rPr/>
        <w:t>of</w:t>
      </w:r>
      <w:r>
        <w:rPr>
          <w:spacing w:val="-13"/>
        </w:rPr>
        <w:t> </w:t>
      </w:r>
      <w:r>
        <w:rPr/>
        <w:t>Education</w:t>
      </w:r>
      <w:r>
        <w:rPr>
          <w:spacing w:val="-13"/>
        </w:rPr>
        <w:t> </w:t>
      </w:r>
      <w:r>
        <w:rPr/>
        <w:t>(Level D or</w:t>
      </w:r>
      <w:r>
        <w:rPr>
          <w:spacing w:val="-24"/>
        </w:rPr>
        <w:t> </w:t>
      </w:r>
      <w:r>
        <w:rPr/>
        <w:t>E)</w:t>
      </w:r>
    </w:p>
    <w:p>
      <w:pPr>
        <w:pStyle w:val="BodyText"/>
        <w:spacing w:line="247" w:lineRule="auto" w:before="57"/>
        <w:ind w:left="415" w:right="-11" w:hanging="227"/>
      </w:pPr>
      <w:r>
        <w:rPr>
          <w:rFonts w:ascii="Century Gothic" w:hAnsi="Century Gothic"/>
          <w:b/>
          <w:w w:val="115"/>
        </w:rPr>
        <w:t>≥ </w:t>
      </w:r>
      <w:r>
        <w:rPr/>
        <w:t>Doctor Christopher Peterson, Academic Staff, School of Humanities and Communication Arts (Level A, B or C)</w:t>
      </w:r>
    </w:p>
    <w:p>
      <w:pPr>
        <w:pStyle w:val="BodyText"/>
        <w:spacing w:line="247" w:lineRule="auto" w:before="57"/>
        <w:ind w:left="415" w:right="79" w:hanging="227"/>
      </w:pPr>
      <w:r>
        <w:rPr>
          <w:rFonts w:ascii="Century Gothic" w:hAnsi="Century Gothic"/>
          <w:b/>
          <w:w w:val="115"/>
        </w:rPr>
        <w:t>≥ </w:t>
      </w:r>
      <w:r>
        <w:rPr/>
        <w:t>Associate Professor Alana Lentin, Academic</w:t>
      </w:r>
      <w:r>
        <w:rPr>
          <w:spacing w:val="-15"/>
        </w:rPr>
        <w:t> </w:t>
      </w:r>
      <w:r>
        <w:rPr/>
        <w:t>Staff,</w:t>
      </w:r>
      <w:r>
        <w:rPr>
          <w:spacing w:val="-15"/>
        </w:rPr>
        <w:t> </w:t>
      </w:r>
      <w:r>
        <w:rPr/>
        <w:t>School</w:t>
      </w:r>
      <w:r>
        <w:rPr>
          <w:spacing w:val="-15"/>
        </w:rPr>
        <w:t> </w:t>
      </w:r>
      <w:r>
        <w:rPr/>
        <w:t>of</w:t>
      </w:r>
      <w:r>
        <w:rPr>
          <w:spacing w:val="-15"/>
        </w:rPr>
        <w:t> </w:t>
      </w:r>
      <w:r>
        <w:rPr/>
        <w:t>Humanities</w:t>
      </w:r>
      <w:r>
        <w:rPr>
          <w:spacing w:val="-15"/>
        </w:rPr>
        <w:t> </w:t>
      </w:r>
      <w:r>
        <w:rPr/>
        <w:t>and Communication</w:t>
      </w:r>
      <w:r>
        <w:rPr>
          <w:spacing w:val="-11"/>
        </w:rPr>
        <w:t> </w:t>
      </w:r>
      <w:r>
        <w:rPr>
          <w:spacing w:val="2"/>
        </w:rPr>
        <w:t>Arts</w:t>
      </w:r>
      <w:r>
        <w:rPr>
          <w:spacing w:val="-11"/>
        </w:rPr>
        <w:t> </w:t>
      </w:r>
      <w:r>
        <w:rPr/>
        <w:t>(Level</w:t>
      </w:r>
      <w:r>
        <w:rPr>
          <w:spacing w:val="-11"/>
        </w:rPr>
        <w:t> </w:t>
      </w:r>
      <w:r>
        <w:rPr/>
        <w:t>D</w:t>
      </w:r>
      <w:r>
        <w:rPr>
          <w:spacing w:val="-11"/>
        </w:rPr>
        <w:t> </w:t>
      </w:r>
      <w:r>
        <w:rPr/>
        <w:t>or</w:t>
      </w:r>
      <w:r>
        <w:rPr>
          <w:spacing w:val="-11"/>
        </w:rPr>
        <w:t> </w:t>
      </w:r>
      <w:r>
        <w:rPr/>
        <w:t>E)</w:t>
      </w:r>
    </w:p>
    <w:p>
      <w:pPr>
        <w:pStyle w:val="BodyText"/>
        <w:spacing w:line="244" w:lineRule="auto" w:before="57"/>
        <w:ind w:left="415" w:right="79" w:hanging="227"/>
      </w:pPr>
      <w:r>
        <w:rPr>
          <w:rFonts w:ascii="Century Gothic" w:hAnsi="Century Gothic"/>
          <w:b/>
          <w:w w:val="115"/>
        </w:rPr>
        <w:t>≥ </w:t>
      </w:r>
      <w:r>
        <w:rPr/>
        <w:t>Mr John Juriansz, Academic Staff, School of Law (Level A, B or C)</w:t>
      </w:r>
    </w:p>
    <w:p>
      <w:pPr>
        <w:pStyle w:val="BodyText"/>
        <w:spacing w:line="244" w:lineRule="auto" w:before="58"/>
        <w:ind w:left="415" w:right="-11" w:hanging="227"/>
      </w:pPr>
      <w:r>
        <w:rPr>
          <w:rFonts w:ascii="Century Gothic" w:hAnsi="Century Gothic"/>
          <w:b/>
          <w:w w:val="115"/>
        </w:rPr>
        <w:t>≥ </w:t>
      </w:r>
      <w:r>
        <w:rPr/>
        <w:t>Professor Donna Craig, Academic Staff, School of Law (Level D or E)</w:t>
      </w:r>
    </w:p>
    <w:p>
      <w:pPr>
        <w:pStyle w:val="BodyText"/>
        <w:spacing w:line="244" w:lineRule="auto" w:before="58"/>
        <w:ind w:left="415" w:right="-11" w:hanging="227"/>
      </w:pPr>
      <w:r>
        <w:rPr>
          <w:rFonts w:ascii="Century Gothic" w:hAnsi="Century Gothic"/>
          <w:b/>
          <w:w w:val="115"/>
        </w:rPr>
        <w:t>≥ </w:t>
      </w:r>
      <w:r>
        <w:rPr/>
        <w:t>Doctor David Mahns, Academic Staff, School of Medicine (Level A, B or C)</w:t>
      </w:r>
    </w:p>
    <w:p>
      <w:pPr>
        <w:pStyle w:val="BodyText"/>
        <w:spacing w:line="164" w:lineRule="exact"/>
        <w:ind w:left="427" w:right="296"/>
      </w:pPr>
      <w:r>
        <w:rPr/>
        <w:br w:type="column"/>
      </w:r>
      <w:r>
        <w:rPr/>
        <w:t>Staff, School of Science and Health (Level</w:t>
      </w:r>
    </w:p>
    <w:p>
      <w:pPr>
        <w:pStyle w:val="BodyText"/>
        <w:spacing w:before="7"/>
        <w:ind w:left="427" w:right="296"/>
      </w:pPr>
      <w:r>
        <w:rPr/>
        <w:t>D or E)</w:t>
      </w:r>
    </w:p>
    <w:p>
      <w:pPr>
        <w:pStyle w:val="BodyText"/>
        <w:spacing w:line="247" w:lineRule="auto" w:before="62"/>
        <w:ind w:left="427" w:right="296" w:hanging="227"/>
      </w:pPr>
      <w:r>
        <w:rPr>
          <w:rFonts w:ascii="Century Gothic" w:hAnsi="Century Gothic"/>
          <w:b/>
          <w:w w:val="115"/>
        </w:rPr>
        <w:t>≥ </w:t>
      </w:r>
      <w:r>
        <w:rPr/>
        <w:t>Doctor Awais Piracha, Academic Staff, School of Social Sciences and Psychology (Level A, B or C)</w:t>
      </w:r>
    </w:p>
    <w:p>
      <w:pPr>
        <w:pStyle w:val="BodyText"/>
        <w:spacing w:line="247" w:lineRule="auto" w:before="57"/>
        <w:ind w:left="427" w:right="296" w:hanging="227"/>
      </w:pPr>
      <w:r>
        <w:rPr>
          <w:rFonts w:ascii="Century Gothic" w:hAnsi="Century Gothic"/>
          <w:b/>
          <w:w w:val="115"/>
        </w:rPr>
        <w:t>≥ </w:t>
      </w:r>
      <w:r>
        <w:rPr/>
        <w:t>Associate Professor Jane Mears, Academic Staff, School of Social Sciences and Psychology (Level D or E)</w:t>
      </w:r>
    </w:p>
    <w:p>
      <w:pPr>
        <w:pStyle w:val="BodyText"/>
        <w:spacing w:line="244" w:lineRule="auto" w:before="57"/>
        <w:ind w:left="427" w:right="296" w:hanging="227"/>
      </w:pPr>
      <w:r>
        <w:rPr>
          <w:rFonts w:ascii="Century Gothic" w:hAnsi="Century Gothic"/>
          <w:b/>
          <w:w w:val="115"/>
        </w:rPr>
        <w:t>≥ </w:t>
      </w:r>
      <w:r>
        <w:rPr/>
        <w:t>Vacant, Academic Staff, Badanami Centre for Indigenous Education</w:t>
      </w:r>
    </w:p>
    <w:p>
      <w:pPr>
        <w:pStyle w:val="BodyText"/>
        <w:spacing w:line="244" w:lineRule="auto" w:before="58"/>
        <w:ind w:left="427" w:right="333" w:hanging="227"/>
      </w:pPr>
      <w:r>
        <w:rPr>
          <w:rFonts w:ascii="Century Gothic" w:hAnsi="Century Gothic"/>
          <w:b/>
          <w:w w:val="115"/>
        </w:rPr>
        <w:t>≥ </w:t>
      </w:r>
      <w:r>
        <w:rPr/>
        <w:t>Doctor Matthias Boer, Academic Staff, Hawkesbury Institute for the Environment</w:t>
      </w:r>
    </w:p>
    <w:p>
      <w:pPr>
        <w:pStyle w:val="BodyText"/>
        <w:spacing w:line="244" w:lineRule="auto" w:before="58"/>
        <w:ind w:left="427" w:right="296" w:hanging="227"/>
      </w:pPr>
      <w:r>
        <w:rPr>
          <w:rFonts w:ascii="Century Gothic" w:hAnsi="Century Gothic"/>
          <w:b/>
          <w:w w:val="115"/>
        </w:rPr>
        <w:t>≥ </w:t>
      </w:r>
      <w:r>
        <w:rPr/>
        <w:t>Mr Jarrod Bradley, one of two </w:t>
      </w:r>
      <w:r>
        <w:rPr>
          <w:w w:val="97"/>
        </w:rPr>
        <w:t>undergraduate </w:t>
      </w:r>
      <w:r>
        <w:rPr>
          <w:w w:val="97"/>
        </w:rPr>
        <w:t>students </w:t>
      </w:r>
      <w:r>
        <w:rPr>
          <w:w w:val="99"/>
        </w:rPr>
        <w:t>(to </w:t>
      </w:r>
      <w:r>
        <w:rPr>
          <w:w w:val="74"/>
        </w:rPr>
        <w:t>31 </w:t>
      </w:r>
      <w:r>
        <w:rPr>
          <w:w w:val="90"/>
        </w:rPr>
        <w:t>May, </w:t>
      </w:r>
      <w:r>
        <w:rPr>
          <w:w w:val="89"/>
        </w:rPr>
        <w:t>2017)</w:t>
      </w:r>
    </w:p>
    <w:p>
      <w:pPr>
        <w:pStyle w:val="BodyText"/>
        <w:spacing w:line="244" w:lineRule="auto" w:before="58"/>
        <w:ind w:left="427" w:right="296" w:hanging="227"/>
      </w:pPr>
      <w:r>
        <w:rPr>
          <w:rFonts w:ascii="Century Gothic" w:hAnsi="Century Gothic"/>
          <w:b/>
          <w:w w:val="115"/>
        </w:rPr>
        <w:t>≥ </w:t>
      </w:r>
      <w:r>
        <w:rPr/>
        <w:t>Mr Mitchell Klievens, two of two </w:t>
      </w:r>
      <w:r>
        <w:rPr>
          <w:w w:val="97"/>
        </w:rPr>
        <w:t>undergraduate </w:t>
      </w:r>
      <w:r>
        <w:rPr>
          <w:w w:val="97"/>
        </w:rPr>
        <w:t>students </w:t>
      </w:r>
      <w:r>
        <w:rPr>
          <w:w w:val="99"/>
        </w:rPr>
        <w:t>(to </w:t>
      </w:r>
      <w:r>
        <w:rPr>
          <w:w w:val="74"/>
        </w:rPr>
        <w:t>31 </w:t>
      </w:r>
      <w:r>
        <w:rPr>
          <w:w w:val="90"/>
        </w:rPr>
        <w:t>May, </w:t>
      </w:r>
      <w:r>
        <w:rPr>
          <w:w w:val="89"/>
        </w:rPr>
        <w:t>2017)</w:t>
      </w:r>
    </w:p>
    <w:p>
      <w:pPr>
        <w:pStyle w:val="BodyText"/>
        <w:spacing w:line="244" w:lineRule="auto" w:before="58"/>
        <w:ind w:left="427" w:right="559" w:hanging="227"/>
      </w:pPr>
      <w:r>
        <w:rPr>
          <w:rFonts w:ascii="Century Gothic" w:hAnsi="Century Gothic"/>
          <w:b/>
          <w:w w:val="115"/>
        </w:rPr>
        <w:t>≥ </w:t>
      </w:r>
      <w:r>
        <w:rPr/>
        <w:t>Mr Murray Robertson, one of two </w:t>
      </w:r>
      <w:r>
        <w:rPr>
          <w:w w:val="98"/>
        </w:rPr>
        <w:t>postgraduate </w:t>
      </w:r>
      <w:r>
        <w:rPr>
          <w:w w:val="97"/>
        </w:rPr>
        <w:t>students </w:t>
      </w:r>
      <w:r>
        <w:rPr>
          <w:w w:val="99"/>
        </w:rPr>
        <w:t>(to </w:t>
      </w:r>
      <w:r>
        <w:rPr>
          <w:w w:val="74"/>
        </w:rPr>
        <w:t>31 </w:t>
      </w:r>
      <w:r>
        <w:rPr>
          <w:w w:val="90"/>
        </w:rPr>
        <w:t>May, </w:t>
      </w:r>
      <w:r>
        <w:rPr>
          <w:w w:val="89"/>
        </w:rPr>
        <w:t>2017)</w:t>
      </w:r>
    </w:p>
    <w:p>
      <w:pPr>
        <w:pStyle w:val="BodyText"/>
        <w:spacing w:line="244" w:lineRule="auto" w:before="58"/>
        <w:ind w:left="427" w:right="421" w:hanging="227"/>
      </w:pPr>
      <w:r>
        <w:rPr>
          <w:rFonts w:ascii="Century Gothic" w:hAnsi="Century Gothic"/>
          <w:b/>
          <w:w w:val="115"/>
        </w:rPr>
        <w:t>≥ </w:t>
      </w:r>
      <w:r>
        <w:rPr/>
        <w:t>Mrs Ushi Ghoorah Hurrychurn, two of two </w:t>
      </w:r>
      <w:r>
        <w:rPr>
          <w:w w:val="98"/>
        </w:rPr>
        <w:t>postgraduate </w:t>
      </w:r>
      <w:r>
        <w:rPr>
          <w:w w:val="97"/>
        </w:rPr>
        <w:t>students </w:t>
      </w:r>
      <w:r>
        <w:rPr>
          <w:w w:val="99"/>
        </w:rPr>
        <w:t>(to </w:t>
      </w:r>
      <w:r>
        <w:rPr>
          <w:w w:val="74"/>
        </w:rPr>
        <w:t>31 </w:t>
      </w:r>
      <w:r>
        <w:rPr>
          <w:w w:val="90"/>
        </w:rPr>
        <w:t>May, </w:t>
      </w:r>
      <w:r>
        <w:rPr>
          <w:w w:val="89"/>
        </w:rPr>
        <w:t>2017)</w:t>
      </w:r>
    </w:p>
    <w:p>
      <w:pPr>
        <w:pStyle w:val="BodyText"/>
      </w:pPr>
    </w:p>
    <w:p>
      <w:pPr>
        <w:pStyle w:val="BodyText"/>
      </w:pPr>
    </w:p>
    <w:p>
      <w:pPr>
        <w:pStyle w:val="BodyText"/>
        <w:spacing w:before="6"/>
        <w:rPr>
          <w:sz w:val="13"/>
        </w:rPr>
      </w:pPr>
    </w:p>
    <w:p>
      <w:pPr>
        <w:pStyle w:val="Heading8"/>
        <w:ind w:left="201" w:right="296"/>
      </w:pPr>
      <w:r>
        <w:rPr/>
        <w:t>APPOINTED</w:t>
      </w:r>
    </w:p>
    <w:p>
      <w:pPr>
        <w:pStyle w:val="BodyText"/>
        <w:spacing w:line="244" w:lineRule="auto" w:before="85"/>
        <w:ind w:left="427" w:right="296" w:hanging="227"/>
      </w:pPr>
      <w:r>
        <w:rPr>
          <w:rFonts w:ascii="Century Gothic" w:hAnsi="Century Gothic"/>
          <w:b/>
          <w:w w:val="115"/>
        </w:rPr>
        <w:t>≥ </w:t>
      </w:r>
      <w:r>
        <w:rPr/>
        <w:t>Professor James Arvanitakis, Head of The Academy</w:t>
      </w:r>
    </w:p>
    <w:p>
      <w:pPr>
        <w:pStyle w:val="BodyText"/>
        <w:spacing w:line="244" w:lineRule="auto" w:before="58"/>
        <w:ind w:left="427" w:right="296" w:hanging="227"/>
      </w:pPr>
      <w:r>
        <w:rPr>
          <w:rFonts w:ascii="Century Gothic" w:hAnsi="Century Gothic"/>
          <w:b/>
          <w:w w:val="115"/>
        </w:rPr>
        <w:t>≥ </w:t>
      </w:r>
      <w:r>
        <w:rPr/>
        <w:t>Professor Donald McNeill, ARC Future Fellow,</w:t>
      </w:r>
      <w:r>
        <w:rPr>
          <w:spacing w:val="-21"/>
        </w:rPr>
        <w:t> </w:t>
      </w:r>
      <w:r>
        <w:rPr/>
        <w:t>Institute</w:t>
      </w:r>
      <w:r>
        <w:rPr>
          <w:spacing w:val="-21"/>
        </w:rPr>
        <w:t> </w:t>
      </w:r>
      <w:r>
        <w:rPr/>
        <w:t>for</w:t>
      </w:r>
      <w:r>
        <w:rPr>
          <w:spacing w:val="-21"/>
        </w:rPr>
        <w:t> </w:t>
      </w:r>
      <w:r>
        <w:rPr/>
        <w:t>Culture</w:t>
      </w:r>
      <w:r>
        <w:rPr>
          <w:spacing w:val="-21"/>
        </w:rPr>
        <w:t> </w:t>
      </w:r>
      <w:r>
        <w:rPr/>
        <w:t>and</w:t>
      </w:r>
      <w:r>
        <w:rPr>
          <w:spacing w:val="-21"/>
        </w:rPr>
        <w:t> </w:t>
      </w:r>
      <w:r>
        <w:rPr/>
        <w:t>Society</w:t>
      </w:r>
    </w:p>
    <w:p>
      <w:pPr>
        <w:pStyle w:val="BodyText"/>
        <w:spacing w:line="244" w:lineRule="auto" w:before="58"/>
        <w:ind w:left="427" w:right="296" w:hanging="227"/>
      </w:pPr>
      <w:r>
        <w:rPr>
          <w:rFonts w:ascii="Century Gothic" w:hAnsi="Century Gothic"/>
          <w:b/>
          <w:w w:val="115"/>
        </w:rPr>
        <w:t>≥ </w:t>
      </w:r>
      <w:r>
        <w:rPr/>
        <w:t>Professor Zhong Tao, Institute for </w:t>
      </w:r>
      <w:r>
        <w:rPr>
          <w:w w:val="95"/>
        </w:rPr>
        <w:t>Infrastructure  Engineering</w:t>
      </w:r>
    </w:p>
    <w:p>
      <w:pPr>
        <w:spacing w:after="0" w:line="244" w:lineRule="auto"/>
        <w:sectPr>
          <w:type w:val="continuous"/>
          <w:pgSz w:w="11910" w:h="16840"/>
          <w:pgMar w:top="1580" w:bottom="280" w:left="580" w:right="580"/>
          <w:cols w:num="3" w:equalWidth="0">
            <w:col w:w="3538" w:space="40"/>
            <w:col w:w="3387" w:space="40"/>
            <w:col w:w="3745"/>
          </w:cols>
        </w:sectPr>
      </w:pPr>
    </w:p>
    <w:p>
      <w:pPr>
        <w:pStyle w:val="BodyText"/>
        <w:spacing w:before="7"/>
        <w:rPr>
          <w:sz w:val="28"/>
        </w:rPr>
      </w:pPr>
    </w:p>
    <w:p>
      <w:pPr>
        <w:pStyle w:val="Heading1"/>
      </w:pPr>
      <w:r>
        <w:rPr>
          <w:w w:val="95"/>
        </w:rPr>
        <w:t>APPENDIX 5</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6585"/>
      </w:pPr>
      <w:r>
        <w:rPr>
          <w:w w:val="95"/>
        </w:rPr>
        <w:t>BOARD OF TRUSTEES REPORT</w:t>
      </w:r>
    </w:p>
    <w:p>
      <w:pPr>
        <w:pStyle w:val="BodyText"/>
        <w:rPr>
          <w:rFonts w:ascii="Gotham Narrow Bold"/>
          <w:b/>
          <w:sz w:val="19"/>
        </w:rPr>
      </w:pPr>
    </w:p>
    <w:p>
      <w:pPr>
        <w:spacing w:after="0"/>
        <w:rPr>
          <w:rFonts w:ascii="Gotham Narrow Bold"/>
          <w:sz w:val="19"/>
        </w:rPr>
        <w:sectPr>
          <w:pgSz w:w="11910" w:h="16840"/>
          <w:pgMar w:header="494" w:footer="473" w:top="680" w:bottom="660" w:left="580" w:right="580"/>
        </w:sectPr>
      </w:pPr>
    </w:p>
    <w:p>
      <w:pPr>
        <w:pStyle w:val="Heading8"/>
        <w:spacing w:before="72"/>
        <w:ind w:left="327" w:right="-2"/>
      </w:pPr>
      <w:r>
        <w:rPr/>
        <w:pict>
          <v:rect style="position:absolute;margin-left:34.015999pt;margin-top:45.355015pt;width:527.244pt;height:751.181pt;mso-position-horizontal-relative:page;mso-position-vertical-relative:page;z-index:-331888" filled="true" fillcolor="#e6e7e8" stroked="false">
            <v:fill type="solid"/>
            <w10:wrap type="none"/>
          </v:rect>
        </w:pict>
      </w:r>
      <w:r>
        <w:rPr/>
        <w:t>MEMBERS</w:t>
      </w:r>
    </w:p>
    <w:p>
      <w:pPr>
        <w:pStyle w:val="BodyText"/>
        <w:spacing w:line="249" w:lineRule="auto" w:before="86"/>
        <w:ind w:left="327" w:right="23"/>
      </w:pPr>
      <w:r>
        <w:rPr/>
        <w:t>The members of the Board of Trustees of the University are detailed in Appendix 1, on page 82.</w:t>
      </w:r>
    </w:p>
    <w:p>
      <w:pPr>
        <w:pStyle w:val="BodyText"/>
        <w:spacing w:before="7"/>
        <w:rPr>
          <w:sz w:val="21"/>
        </w:rPr>
      </w:pPr>
    </w:p>
    <w:p>
      <w:pPr>
        <w:pStyle w:val="Heading8"/>
        <w:ind w:left="327" w:right="-2"/>
      </w:pPr>
      <w:r>
        <w:rPr>
          <w:w w:val="95"/>
        </w:rPr>
        <w:t>MEETINGS OF MEMBERS</w:t>
      </w:r>
    </w:p>
    <w:p>
      <w:pPr>
        <w:pStyle w:val="BodyText"/>
        <w:spacing w:line="249" w:lineRule="auto" w:before="86"/>
        <w:ind w:left="327" w:right="-2"/>
      </w:pPr>
      <w:r>
        <w:rPr/>
        <w:t>Meetings</w:t>
      </w:r>
      <w:r>
        <w:rPr>
          <w:spacing w:val="-17"/>
        </w:rPr>
        <w:t> </w:t>
      </w:r>
      <w:r>
        <w:rPr/>
        <w:t>of</w:t>
      </w:r>
      <w:r>
        <w:rPr>
          <w:spacing w:val="-17"/>
        </w:rPr>
        <w:t> </w:t>
      </w:r>
      <w:r>
        <w:rPr/>
        <w:t>Members</w:t>
      </w:r>
      <w:r>
        <w:rPr>
          <w:spacing w:val="-17"/>
        </w:rPr>
        <w:t> </w:t>
      </w:r>
      <w:r>
        <w:rPr/>
        <w:t>of</w:t>
      </w:r>
      <w:r>
        <w:rPr>
          <w:spacing w:val="-17"/>
        </w:rPr>
        <w:t> </w:t>
      </w:r>
      <w:r>
        <w:rPr/>
        <w:t>the</w:t>
      </w:r>
      <w:r>
        <w:rPr>
          <w:spacing w:val="-17"/>
        </w:rPr>
        <w:t> </w:t>
      </w:r>
      <w:r>
        <w:rPr/>
        <w:t>Board</w:t>
      </w:r>
      <w:r>
        <w:rPr>
          <w:spacing w:val="-17"/>
        </w:rPr>
        <w:t> </w:t>
      </w:r>
      <w:r>
        <w:rPr/>
        <w:t>of</w:t>
      </w:r>
      <w:r>
        <w:rPr>
          <w:spacing w:val="-17"/>
        </w:rPr>
        <w:t> </w:t>
      </w:r>
      <w:r>
        <w:rPr/>
        <w:t>Trustees of the University are detailed in Appendix 2, on</w:t>
      </w:r>
      <w:r>
        <w:rPr>
          <w:spacing w:val="-23"/>
        </w:rPr>
        <w:t> </w:t>
      </w:r>
      <w:r>
        <w:rPr/>
        <w:t>page</w:t>
      </w:r>
      <w:r>
        <w:rPr>
          <w:spacing w:val="-23"/>
        </w:rPr>
        <w:t> </w:t>
      </w:r>
      <w:r>
        <w:rPr>
          <w:spacing w:val="3"/>
        </w:rPr>
        <w:t>83.</w:t>
      </w:r>
    </w:p>
    <w:p>
      <w:pPr>
        <w:pStyle w:val="BodyText"/>
        <w:spacing w:before="7"/>
        <w:rPr>
          <w:sz w:val="21"/>
        </w:rPr>
      </w:pPr>
    </w:p>
    <w:p>
      <w:pPr>
        <w:pStyle w:val="Heading8"/>
        <w:ind w:left="327" w:right="-2"/>
      </w:pPr>
      <w:r>
        <w:rPr>
          <w:w w:val="95"/>
        </w:rPr>
        <w:t>PRINCIPAL ACTIVITIES</w:t>
      </w:r>
    </w:p>
    <w:p>
      <w:pPr>
        <w:pStyle w:val="BodyText"/>
        <w:spacing w:line="247" w:lineRule="auto" w:before="86"/>
        <w:ind w:left="327" w:right="3"/>
        <w:rPr>
          <w:rFonts w:ascii="Century Gothic" w:hAnsi="Century Gothic"/>
          <w:i/>
        </w:rPr>
      </w:pPr>
      <w:r>
        <w:rPr/>
        <w:t>The principal activities of the University are the provision of university-level education and research through a wide range of undergraduate</w:t>
      </w:r>
      <w:r>
        <w:rPr>
          <w:spacing w:val="-17"/>
        </w:rPr>
        <w:t> </w:t>
      </w:r>
      <w:r>
        <w:rPr/>
        <w:t>and</w:t>
      </w:r>
      <w:r>
        <w:rPr>
          <w:spacing w:val="-17"/>
        </w:rPr>
        <w:t> </w:t>
      </w:r>
      <w:r>
        <w:rPr/>
        <w:t>postgraduate</w:t>
      </w:r>
      <w:r>
        <w:rPr>
          <w:spacing w:val="-17"/>
        </w:rPr>
        <w:t> </w:t>
      </w:r>
      <w:r>
        <w:rPr/>
        <w:t>courses</w:t>
      </w:r>
      <w:r>
        <w:rPr>
          <w:spacing w:val="-17"/>
        </w:rPr>
        <w:t> </w:t>
      </w:r>
      <w:r>
        <w:rPr/>
        <w:t>and research</w:t>
      </w:r>
      <w:r>
        <w:rPr>
          <w:spacing w:val="-17"/>
        </w:rPr>
        <w:t> </w:t>
      </w:r>
      <w:r>
        <w:rPr/>
        <w:t>programs,</w:t>
      </w:r>
      <w:r>
        <w:rPr>
          <w:spacing w:val="-17"/>
        </w:rPr>
        <w:t> </w:t>
      </w:r>
      <w:r>
        <w:rPr/>
        <w:t>with</w:t>
      </w:r>
      <w:r>
        <w:rPr>
          <w:spacing w:val="-17"/>
        </w:rPr>
        <w:t> </w:t>
      </w:r>
      <w:r>
        <w:rPr/>
        <w:t>a</w:t>
      </w:r>
      <w:r>
        <w:rPr>
          <w:spacing w:val="-17"/>
        </w:rPr>
        <w:t> </w:t>
      </w:r>
      <w:r>
        <w:rPr/>
        <w:t>particular</w:t>
      </w:r>
      <w:r>
        <w:rPr>
          <w:spacing w:val="-17"/>
        </w:rPr>
        <w:t> </w:t>
      </w:r>
      <w:r>
        <w:rPr/>
        <w:t>focus</w:t>
      </w:r>
      <w:r>
        <w:rPr>
          <w:spacing w:val="-17"/>
        </w:rPr>
        <w:t> </w:t>
      </w:r>
      <w:r>
        <w:rPr/>
        <w:t>on Western Sydney. The University’s functions and the authorities of the Board of Trustees are prescribed by the </w:t>
      </w:r>
      <w:r>
        <w:rPr>
          <w:rFonts w:ascii="Century Gothic" w:hAnsi="Century Gothic"/>
          <w:i/>
        </w:rPr>
        <w:t>University of Western </w:t>
      </w:r>
      <w:r>
        <w:rPr>
          <w:rFonts w:ascii="Century Gothic" w:hAnsi="Century Gothic"/>
          <w:i/>
          <w:w w:val="90"/>
        </w:rPr>
        <w:t>Sydney</w:t>
      </w:r>
      <w:r>
        <w:rPr>
          <w:rFonts w:ascii="Century Gothic" w:hAnsi="Century Gothic"/>
          <w:i/>
          <w:spacing w:val="-28"/>
          <w:w w:val="90"/>
        </w:rPr>
        <w:t> </w:t>
      </w:r>
      <w:r>
        <w:rPr>
          <w:rFonts w:ascii="Century Gothic" w:hAnsi="Century Gothic"/>
          <w:i/>
          <w:w w:val="90"/>
        </w:rPr>
        <w:t>Act</w:t>
      </w:r>
      <w:r>
        <w:rPr>
          <w:rFonts w:ascii="Century Gothic" w:hAnsi="Century Gothic"/>
          <w:i/>
          <w:spacing w:val="-28"/>
          <w:w w:val="90"/>
        </w:rPr>
        <w:t> </w:t>
      </w:r>
      <w:r>
        <w:rPr>
          <w:rFonts w:ascii="Century Gothic" w:hAnsi="Century Gothic"/>
          <w:i/>
          <w:w w:val="90"/>
        </w:rPr>
        <w:t>1997.</w:t>
      </w:r>
    </w:p>
    <w:p>
      <w:pPr>
        <w:pStyle w:val="BodyText"/>
        <w:spacing w:before="9"/>
        <w:rPr>
          <w:rFonts w:ascii="Century Gothic"/>
          <w:i/>
          <w:sz w:val="13"/>
        </w:rPr>
      </w:pPr>
    </w:p>
    <w:p>
      <w:pPr>
        <w:pStyle w:val="BodyText"/>
        <w:spacing w:line="249" w:lineRule="auto"/>
        <w:ind w:left="327" w:right="-2"/>
      </w:pPr>
      <w:r>
        <w:rPr/>
        <w:t>The University also has a number of controlled entities that undertake specific activities aligned with the mission of the University. Details of these entities are provided on page 80.</w:t>
      </w:r>
    </w:p>
    <w:p>
      <w:pPr>
        <w:pStyle w:val="BodyText"/>
        <w:spacing w:before="7"/>
        <w:rPr>
          <w:sz w:val="21"/>
        </w:rPr>
      </w:pPr>
    </w:p>
    <w:p>
      <w:pPr>
        <w:pStyle w:val="Heading8"/>
        <w:ind w:left="327" w:right="-2"/>
      </w:pPr>
      <w:r>
        <w:rPr>
          <w:w w:val="95"/>
        </w:rPr>
        <w:t>REVIEW OF OPERATIONS</w:t>
      </w:r>
    </w:p>
    <w:p>
      <w:pPr>
        <w:pStyle w:val="BodyText"/>
        <w:spacing w:line="249" w:lineRule="auto" w:before="86"/>
        <w:ind w:left="327" w:right="-2"/>
      </w:pPr>
      <w:r>
        <w:rPr/>
        <w:t>The</w:t>
      </w:r>
      <w:r>
        <w:rPr>
          <w:spacing w:val="-16"/>
        </w:rPr>
        <w:t> </w:t>
      </w:r>
      <w:r>
        <w:rPr/>
        <w:t>operations</w:t>
      </w:r>
      <w:r>
        <w:rPr>
          <w:spacing w:val="-16"/>
        </w:rPr>
        <w:t> </w:t>
      </w:r>
      <w:r>
        <w:rPr/>
        <w:t>and</w:t>
      </w:r>
      <w:r>
        <w:rPr>
          <w:spacing w:val="-16"/>
        </w:rPr>
        <w:t> </w:t>
      </w:r>
      <w:r>
        <w:rPr/>
        <w:t>activities</w:t>
      </w:r>
      <w:r>
        <w:rPr>
          <w:spacing w:val="-16"/>
        </w:rPr>
        <w:t> </w:t>
      </w:r>
      <w:r>
        <w:rPr/>
        <w:t>of</w:t>
      </w:r>
      <w:r>
        <w:rPr>
          <w:spacing w:val="-16"/>
        </w:rPr>
        <w:t> </w:t>
      </w:r>
      <w:r>
        <w:rPr/>
        <w:t>the</w:t>
      </w:r>
      <w:r>
        <w:rPr>
          <w:spacing w:val="-16"/>
        </w:rPr>
        <w:t> </w:t>
      </w:r>
      <w:r>
        <w:rPr/>
        <w:t>University are outlined in detail in this Annual Report and, in particular, in the sections Learning and</w:t>
      </w:r>
      <w:r>
        <w:rPr>
          <w:spacing w:val="-22"/>
        </w:rPr>
        <w:t> </w:t>
      </w:r>
      <w:r>
        <w:rPr/>
        <w:t>Teaching,</w:t>
      </w:r>
      <w:r>
        <w:rPr>
          <w:spacing w:val="-22"/>
        </w:rPr>
        <w:t> </w:t>
      </w:r>
      <w:r>
        <w:rPr/>
        <w:t>Research</w:t>
      </w:r>
      <w:r>
        <w:rPr>
          <w:spacing w:val="-22"/>
        </w:rPr>
        <w:t> </w:t>
      </w:r>
      <w:r>
        <w:rPr/>
        <w:t>and</w:t>
      </w:r>
      <w:r>
        <w:rPr>
          <w:spacing w:val="-22"/>
        </w:rPr>
        <w:t> </w:t>
      </w:r>
      <w:r>
        <w:rPr/>
        <w:t>Community,</w:t>
      </w:r>
      <w:r>
        <w:rPr>
          <w:spacing w:val="-22"/>
        </w:rPr>
        <w:t> </w:t>
      </w:r>
      <w:r>
        <w:rPr/>
        <w:t>and Regional</w:t>
      </w:r>
      <w:r>
        <w:rPr>
          <w:spacing w:val="-27"/>
        </w:rPr>
        <w:t> </w:t>
      </w:r>
      <w:r>
        <w:rPr/>
        <w:t>Engagement.</w:t>
      </w:r>
    </w:p>
    <w:p>
      <w:pPr>
        <w:pStyle w:val="BodyText"/>
        <w:spacing w:before="7"/>
        <w:rPr>
          <w:sz w:val="21"/>
        </w:rPr>
      </w:pPr>
    </w:p>
    <w:p>
      <w:pPr>
        <w:pStyle w:val="Heading8"/>
        <w:spacing w:line="249" w:lineRule="auto"/>
        <w:ind w:left="327" w:right="411"/>
      </w:pPr>
      <w:r>
        <w:rPr/>
        <w:t>SIGNIFICANT CHANGES IN STATE OF AFFAIRS</w:t>
      </w:r>
    </w:p>
    <w:p>
      <w:pPr>
        <w:pStyle w:val="BodyText"/>
        <w:spacing w:line="249" w:lineRule="auto" w:before="79"/>
        <w:ind w:left="327" w:right="-2"/>
      </w:pPr>
      <w:r>
        <w:rPr/>
        <w:t>There</w:t>
      </w:r>
      <w:r>
        <w:rPr>
          <w:spacing w:val="-19"/>
        </w:rPr>
        <w:t> </w:t>
      </w:r>
      <w:r>
        <w:rPr/>
        <w:t>were</w:t>
      </w:r>
      <w:r>
        <w:rPr>
          <w:spacing w:val="-19"/>
        </w:rPr>
        <w:t> </w:t>
      </w:r>
      <w:r>
        <w:rPr/>
        <w:t>no</w:t>
      </w:r>
      <w:r>
        <w:rPr>
          <w:spacing w:val="-19"/>
        </w:rPr>
        <w:t> </w:t>
      </w:r>
      <w:r>
        <w:rPr/>
        <w:t>significant</w:t>
      </w:r>
      <w:r>
        <w:rPr>
          <w:spacing w:val="-19"/>
        </w:rPr>
        <w:t> </w:t>
      </w:r>
      <w:r>
        <w:rPr/>
        <w:t>changes</w:t>
      </w:r>
      <w:r>
        <w:rPr>
          <w:spacing w:val="-19"/>
        </w:rPr>
        <w:t> </w:t>
      </w:r>
      <w:r>
        <w:rPr/>
        <w:t>in</w:t>
      </w:r>
      <w:r>
        <w:rPr>
          <w:spacing w:val="-19"/>
        </w:rPr>
        <w:t> </w:t>
      </w:r>
      <w:r>
        <w:rPr/>
        <w:t>the</w:t>
      </w:r>
      <w:r>
        <w:rPr>
          <w:spacing w:val="-19"/>
        </w:rPr>
        <w:t> </w:t>
      </w:r>
      <w:r>
        <w:rPr/>
        <w:t>state of</w:t>
      </w:r>
      <w:r>
        <w:rPr>
          <w:spacing w:val="-19"/>
        </w:rPr>
        <w:t> </w:t>
      </w:r>
      <w:r>
        <w:rPr/>
        <w:t>affairs</w:t>
      </w:r>
      <w:r>
        <w:rPr>
          <w:spacing w:val="-19"/>
        </w:rPr>
        <w:t> </w:t>
      </w:r>
      <w:r>
        <w:rPr/>
        <w:t>of</w:t>
      </w:r>
      <w:r>
        <w:rPr>
          <w:spacing w:val="-19"/>
        </w:rPr>
        <w:t> </w:t>
      </w:r>
      <w:r>
        <w:rPr/>
        <w:t>the</w:t>
      </w:r>
      <w:r>
        <w:rPr>
          <w:spacing w:val="-19"/>
        </w:rPr>
        <w:t> </w:t>
      </w:r>
      <w:r>
        <w:rPr/>
        <w:t>University</w:t>
      </w:r>
      <w:r>
        <w:rPr>
          <w:spacing w:val="-19"/>
        </w:rPr>
        <w:t> </w:t>
      </w:r>
      <w:r>
        <w:rPr/>
        <w:t>during</w:t>
      </w:r>
      <w:r>
        <w:rPr>
          <w:spacing w:val="-19"/>
        </w:rPr>
        <w:t> </w:t>
      </w:r>
      <w:r>
        <w:rPr/>
        <w:t>the</w:t>
      </w:r>
      <w:r>
        <w:rPr>
          <w:spacing w:val="-19"/>
        </w:rPr>
        <w:t> </w:t>
      </w:r>
      <w:r>
        <w:rPr/>
        <w:t>year.</w:t>
      </w:r>
    </w:p>
    <w:p>
      <w:pPr>
        <w:pStyle w:val="Heading8"/>
        <w:spacing w:line="249" w:lineRule="auto" w:before="72"/>
        <w:ind w:left="218" w:right="168"/>
      </w:pPr>
      <w:r>
        <w:rPr>
          <w:b w:val="0"/>
        </w:rPr>
        <w:br w:type="column"/>
      </w:r>
      <w:r>
        <w:rPr/>
        <w:t>MATTERS SUBSEQUENT TO THE END OF </w:t>
      </w:r>
      <w:r>
        <w:rPr>
          <w:w w:val="95"/>
        </w:rPr>
        <w:t>THE FINANCIAL YEAR</w:t>
      </w:r>
    </w:p>
    <w:p>
      <w:pPr>
        <w:pStyle w:val="BodyText"/>
        <w:spacing w:line="249" w:lineRule="auto" w:before="79"/>
        <w:ind w:left="218" w:right="-12"/>
      </w:pPr>
      <w:r>
        <w:rPr/>
        <w:t>Other than the developments described in this</w:t>
      </w:r>
      <w:r>
        <w:rPr>
          <w:spacing w:val="-15"/>
        </w:rPr>
        <w:t> </w:t>
      </w:r>
      <w:r>
        <w:rPr/>
        <w:t>report,</w:t>
      </w:r>
      <w:r>
        <w:rPr>
          <w:spacing w:val="-15"/>
        </w:rPr>
        <w:t> </w:t>
      </w:r>
      <w:r>
        <w:rPr/>
        <w:t>the</w:t>
      </w:r>
      <w:r>
        <w:rPr>
          <w:spacing w:val="-15"/>
        </w:rPr>
        <w:t> </w:t>
      </w:r>
      <w:r>
        <w:rPr/>
        <w:t>Board</w:t>
      </w:r>
      <w:r>
        <w:rPr>
          <w:spacing w:val="-15"/>
        </w:rPr>
        <w:t> </w:t>
      </w:r>
      <w:r>
        <w:rPr/>
        <w:t>is</w:t>
      </w:r>
      <w:r>
        <w:rPr>
          <w:spacing w:val="-15"/>
        </w:rPr>
        <w:t> </w:t>
      </w:r>
      <w:r>
        <w:rPr/>
        <w:t>of</w:t>
      </w:r>
      <w:r>
        <w:rPr>
          <w:spacing w:val="-15"/>
        </w:rPr>
        <w:t> </w:t>
      </w:r>
      <w:r>
        <w:rPr/>
        <w:t>the</w:t>
      </w:r>
      <w:r>
        <w:rPr>
          <w:spacing w:val="-15"/>
        </w:rPr>
        <w:t> </w:t>
      </w:r>
      <w:r>
        <w:rPr/>
        <w:t>opinion</w:t>
      </w:r>
      <w:r>
        <w:rPr>
          <w:spacing w:val="-15"/>
        </w:rPr>
        <w:t> </w:t>
      </w:r>
      <w:r>
        <w:rPr/>
        <w:t>that</w:t>
      </w:r>
      <w:r>
        <w:rPr>
          <w:spacing w:val="-15"/>
        </w:rPr>
        <w:t> </w:t>
      </w:r>
      <w:r>
        <w:rPr/>
        <w:t>no other</w:t>
      </w:r>
      <w:r>
        <w:rPr>
          <w:spacing w:val="-16"/>
        </w:rPr>
        <w:t> </w:t>
      </w:r>
      <w:r>
        <w:rPr/>
        <w:t>matter</w:t>
      </w:r>
      <w:r>
        <w:rPr>
          <w:spacing w:val="-16"/>
        </w:rPr>
        <w:t> </w:t>
      </w:r>
      <w:r>
        <w:rPr/>
        <w:t>or</w:t>
      </w:r>
      <w:r>
        <w:rPr>
          <w:spacing w:val="-16"/>
        </w:rPr>
        <w:t> </w:t>
      </w:r>
      <w:r>
        <w:rPr/>
        <w:t>circumstance</w:t>
      </w:r>
      <w:r>
        <w:rPr>
          <w:spacing w:val="-16"/>
        </w:rPr>
        <w:t> </w:t>
      </w:r>
      <w:r>
        <w:rPr/>
        <w:t>will</w:t>
      </w:r>
      <w:r>
        <w:rPr>
          <w:spacing w:val="-16"/>
        </w:rPr>
        <w:t> </w:t>
      </w:r>
      <w:r>
        <w:rPr/>
        <w:t>significantly affect the operations or activities of the University.</w:t>
      </w:r>
    </w:p>
    <w:p>
      <w:pPr>
        <w:pStyle w:val="BodyText"/>
        <w:spacing w:before="7"/>
        <w:rPr>
          <w:sz w:val="21"/>
        </w:rPr>
      </w:pPr>
    </w:p>
    <w:p>
      <w:pPr>
        <w:pStyle w:val="Heading8"/>
        <w:spacing w:line="249" w:lineRule="auto"/>
        <w:ind w:left="218" w:right="-12"/>
      </w:pPr>
      <w:r>
        <w:rPr>
          <w:w w:val="95"/>
        </w:rPr>
        <w:t>LIKELY DEVELOPMENTS AND EXPECTED RESULTS OF OPERATIONS</w:t>
      </w:r>
    </w:p>
    <w:p>
      <w:pPr>
        <w:pStyle w:val="BodyText"/>
        <w:spacing w:line="249" w:lineRule="auto" w:before="79"/>
        <w:ind w:left="218" w:right="-12"/>
      </w:pPr>
      <w:r>
        <w:rPr>
          <w:w w:val="107"/>
        </w:rPr>
        <w:t>At </w:t>
      </w:r>
      <w:r>
        <w:rPr>
          <w:w w:val="97"/>
        </w:rPr>
        <w:t>the </w:t>
      </w:r>
      <w:r>
        <w:rPr>
          <w:w w:val="97"/>
        </w:rPr>
        <w:t>end </w:t>
      </w:r>
      <w:r>
        <w:rPr>
          <w:w w:val="99"/>
        </w:rPr>
        <w:t>of </w:t>
      </w:r>
      <w:r>
        <w:rPr>
          <w:w w:val="84"/>
        </w:rPr>
        <w:t>2015, </w:t>
      </w:r>
      <w:r>
        <w:rPr>
          <w:w w:val="97"/>
        </w:rPr>
        <w:t>the </w:t>
      </w:r>
      <w:r>
        <w:rPr>
          <w:w w:val="97"/>
        </w:rPr>
        <w:t>University </w:t>
      </w:r>
      <w:r>
        <w:rPr>
          <w:w w:val="97"/>
        </w:rPr>
        <w:t>had </w:t>
      </w:r>
      <w:r>
        <w:rPr/>
        <w:t>approved the sale of the residential lots on the Westmead campus. Work will continue </w:t>
      </w:r>
      <w:r>
        <w:rPr>
          <w:w w:val="98"/>
        </w:rPr>
        <w:t>throughout </w:t>
      </w:r>
      <w:r>
        <w:rPr>
          <w:w w:val="90"/>
        </w:rPr>
        <w:t>2016 </w:t>
      </w:r>
      <w:r>
        <w:rPr>
          <w:w w:val="101"/>
        </w:rPr>
        <w:t>to </w:t>
      </w:r>
      <w:r>
        <w:rPr>
          <w:w w:val="95"/>
        </w:rPr>
        <w:t>finalise </w:t>
      </w:r>
      <w:r>
        <w:rPr>
          <w:w w:val="97"/>
        </w:rPr>
        <w:t>this </w:t>
      </w:r>
      <w:r>
        <w:rPr>
          <w:w w:val="97"/>
        </w:rPr>
        <w:t>transaction </w:t>
      </w:r>
      <w:r>
        <w:rPr/>
        <w:t>and to implement the strategic plan for the remaining lots on the Westmead campus.</w:t>
      </w:r>
    </w:p>
    <w:p>
      <w:pPr>
        <w:pStyle w:val="BodyText"/>
        <w:spacing w:before="7"/>
        <w:rPr>
          <w:sz w:val="21"/>
        </w:rPr>
      </w:pPr>
    </w:p>
    <w:p>
      <w:pPr>
        <w:pStyle w:val="Heading8"/>
        <w:spacing w:line="249" w:lineRule="auto"/>
        <w:ind w:left="218"/>
        <w:jc w:val="both"/>
      </w:pPr>
      <w:r>
        <w:rPr/>
        <w:t>COMPLIANCE</w:t>
      </w:r>
      <w:r>
        <w:rPr>
          <w:spacing w:val="-27"/>
        </w:rPr>
        <w:t> </w:t>
      </w:r>
      <w:r>
        <w:rPr/>
        <w:t>WITH</w:t>
      </w:r>
      <w:r>
        <w:rPr>
          <w:spacing w:val="-27"/>
        </w:rPr>
        <w:t> </w:t>
      </w:r>
      <w:r>
        <w:rPr>
          <w:spacing w:val="2"/>
        </w:rPr>
        <w:t>THE</w:t>
      </w:r>
      <w:r>
        <w:rPr>
          <w:spacing w:val="-27"/>
        </w:rPr>
        <w:t> </w:t>
      </w:r>
      <w:r>
        <w:rPr/>
        <w:t>VOLUNTARY</w:t>
      </w:r>
      <w:r>
        <w:rPr>
          <w:spacing w:val="-27"/>
        </w:rPr>
        <w:t> </w:t>
      </w:r>
      <w:r>
        <w:rPr/>
        <w:t>CODE OF</w:t>
      </w:r>
      <w:r>
        <w:rPr>
          <w:spacing w:val="-27"/>
        </w:rPr>
        <w:t> </w:t>
      </w:r>
      <w:r>
        <w:rPr>
          <w:spacing w:val="2"/>
        </w:rPr>
        <w:t>BEST</w:t>
      </w:r>
      <w:r>
        <w:rPr>
          <w:spacing w:val="-27"/>
        </w:rPr>
        <w:t> </w:t>
      </w:r>
      <w:r>
        <w:rPr>
          <w:spacing w:val="2"/>
        </w:rPr>
        <w:t>PRACTICE</w:t>
      </w:r>
      <w:r>
        <w:rPr>
          <w:spacing w:val="-27"/>
        </w:rPr>
        <w:t> </w:t>
      </w:r>
      <w:r>
        <w:rPr/>
        <w:t>FOR</w:t>
      </w:r>
      <w:r>
        <w:rPr>
          <w:spacing w:val="-27"/>
        </w:rPr>
        <w:t> </w:t>
      </w:r>
      <w:r>
        <w:rPr>
          <w:spacing w:val="2"/>
        </w:rPr>
        <w:t>THE</w:t>
      </w:r>
      <w:r>
        <w:rPr>
          <w:spacing w:val="-27"/>
        </w:rPr>
        <w:t> </w:t>
      </w:r>
      <w:r>
        <w:rPr>
          <w:spacing w:val="2"/>
        </w:rPr>
        <w:t>GOVERNANCE </w:t>
      </w:r>
      <w:r>
        <w:rPr>
          <w:w w:val="95"/>
        </w:rPr>
        <w:t>OF </w:t>
      </w:r>
      <w:r>
        <w:rPr>
          <w:spacing w:val="2"/>
          <w:w w:val="95"/>
        </w:rPr>
        <w:t>AUSTRALIAN</w:t>
      </w:r>
      <w:r>
        <w:rPr>
          <w:spacing w:val="15"/>
          <w:w w:val="95"/>
        </w:rPr>
        <w:t> </w:t>
      </w:r>
      <w:r>
        <w:rPr>
          <w:spacing w:val="2"/>
          <w:w w:val="95"/>
        </w:rPr>
        <w:t>UNIVERSITIES</w:t>
      </w:r>
    </w:p>
    <w:p>
      <w:pPr>
        <w:pStyle w:val="BodyText"/>
        <w:spacing w:line="249" w:lineRule="auto" w:before="79"/>
        <w:ind w:left="218" w:right="9"/>
      </w:pPr>
      <w:r>
        <w:rPr/>
        <w:t>The</w:t>
      </w:r>
      <w:r>
        <w:rPr>
          <w:spacing w:val="-15"/>
        </w:rPr>
        <w:t> </w:t>
      </w:r>
      <w:r>
        <w:rPr/>
        <w:t>Board</w:t>
      </w:r>
      <w:r>
        <w:rPr>
          <w:spacing w:val="-15"/>
        </w:rPr>
        <w:t> </w:t>
      </w:r>
      <w:r>
        <w:rPr/>
        <w:t>of</w:t>
      </w:r>
      <w:r>
        <w:rPr>
          <w:spacing w:val="-15"/>
        </w:rPr>
        <w:t> </w:t>
      </w:r>
      <w:r>
        <w:rPr/>
        <w:t>Trustees</w:t>
      </w:r>
      <w:r>
        <w:rPr>
          <w:spacing w:val="-15"/>
        </w:rPr>
        <w:t> </w:t>
      </w:r>
      <w:r>
        <w:rPr/>
        <w:t>adopted</w:t>
      </w:r>
      <w:r>
        <w:rPr>
          <w:spacing w:val="-15"/>
        </w:rPr>
        <w:t> </w:t>
      </w:r>
      <w:r>
        <w:rPr/>
        <w:t>the</w:t>
      </w:r>
      <w:r>
        <w:rPr>
          <w:spacing w:val="-15"/>
        </w:rPr>
        <w:t> </w:t>
      </w:r>
      <w:r>
        <w:rPr/>
        <w:t>code</w:t>
      </w:r>
      <w:r>
        <w:rPr>
          <w:spacing w:val="-15"/>
        </w:rPr>
        <w:t> </w:t>
      </w:r>
      <w:r>
        <w:rPr/>
        <w:t>from </w:t>
      </w:r>
      <w:r>
        <w:rPr>
          <w:w w:val="97"/>
        </w:rPr>
        <w:t>the </w:t>
      </w:r>
      <w:r>
        <w:rPr>
          <w:spacing w:val="1"/>
          <w:w w:val="97"/>
        </w:rPr>
        <w:t>beginning</w:t>
      </w:r>
      <w:r>
        <w:rPr>
          <w:w w:val="97"/>
        </w:rPr>
        <w:t> </w:t>
      </w:r>
      <w:r>
        <w:rPr>
          <w:w w:val="99"/>
        </w:rPr>
        <w:t>of </w:t>
      </w:r>
      <w:r>
        <w:rPr>
          <w:spacing w:val="1"/>
          <w:w w:val="88"/>
        </w:rPr>
        <w:t>2012</w:t>
      </w:r>
      <w:r>
        <w:rPr>
          <w:w w:val="88"/>
        </w:rPr>
        <w:t> </w:t>
      </w:r>
      <w:r>
        <w:rPr>
          <w:spacing w:val="1"/>
          <w:w w:val="97"/>
        </w:rPr>
        <w:t>and</w:t>
      </w:r>
      <w:r>
        <w:rPr>
          <w:w w:val="97"/>
        </w:rPr>
        <w:t> </w:t>
      </w:r>
      <w:r>
        <w:rPr>
          <w:spacing w:val="1"/>
          <w:w w:val="97"/>
        </w:rPr>
        <w:t>resolved</w:t>
      </w:r>
      <w:r>
        <w:rPr>
          <w:w w:val="97"/>
        </w:rPr>
        <w:t> </w:t>
      </w:r>
      <w:r>
        <w:rPr>
          <w:spacing w:val="-1"/>
          <w:w w:val="101"/>
        </w:rPr>
        <w:t>to</w:t>
      </w:r>
      <w:r>
        <w:rPr>
          <w:w w:val="101"/>
        </w:rPr>
        <w:t> </w:t>
      </w:r>
      <w:r>
        <w:rPr>
          <w:spacing w:val="-1"/>
          <w:w w:val="97"/>
        </w:rPr>
        <w:t>review</w:t>
      </w:r>
      <w:r>
        <w:rPr>
          <w:w w:val="97"/>
        </w:rPr>
        <w:t> </w:t>
      </w:r>
      <w:r>
        <w:rPr/>
        <w:t>the University’s compliance with the code at </w:t>
      </w:r>
      <w:r>
        <w:rPr>
          <w:spacing w:val="1"/>
          <w:w w:val="97"/>
        </w:rPr>
        <w:t>its</w:t>
      </w:r>
      <w:r>
        <w:rPr>
          <w:w w:val="97"/>
        </w:rPr>
        <w:t> </w:t>
      </w:r>
      <w:r>
        <w:rPr>
          <w:spacing w:val="1"/>
          <w:w w:val="97"/>
        </w:rPr>
        <w:t>first</w:t>
      </w:r>
      <w:r>
        <w:rPr>
          <w:w w:val="97"/>
        </w:rPr>
        <w:t> </w:t>
      </w:r>
      <w:r>
        <w:rPr>
          <w:spacing w:val="1"/>
          <w:w w:val="98"/>
        </w:rPr>
        <w:t>meeting</w:t>
      </w:r>
      <w:r>
        <w:rPr>
          <w:w w:val="98"/>
        </w:rPr>
        <w:t> </w:t>
      </w:r>
      <w:r>
        <w:rPr>
          <w:spacing w:val="1"/>
          <w:w w:val="97"/>
        </w:rPr>
        <w:t>each</w:t>
      </w:r>
      <w:r>
        <w:rPr>
          <w:w w:val="97"/>
        </w:rPr>
        <w:t> </w:t>
      </w:r>
      <w:r>
        <w:rPr>
          <w:spacing w:val="-1"/>
          <w:w w:val="91"/>
        </w:rPr>
        <w:t>year.</w:t>
      </w:r>
      <w:r>
        <w:rPr>
          <w:w w:val="91"/>
        </w:rPr>
        <w:t> </w:t>
      </w:r>
      <w:r>
        <w:rPr>
          <w:spacing w:val="1"/>
          <w:w w:val="80"/>
        </w:rPr>
        <w:t>In</w:t>
      </w:r>
      <w:r>
        <w:rPr>
          <w:w w:val="80"/>
        </w:rPr>
        <w:t> </w:t>
      </w:r>
      <w:r>
        <w:rPr>
          <w:spacing w:val="1"/>
          <w:w w:val="84"/>
        </w:rPr>
        <w:t>2015,</w:t>
      </w:r>
      <w:r>
        <w:rPr>
          <w:w w:val="84"/>
        </w:rPr>
        <w:t> </w:t>
      </w:r>
      <w:r>
        <w:rPr>
          <w:w w:val="97"/>
        </w:rPr>
        <w:t>the </w:t>
      </w:r>
      <w:r>
        <w:rPr>
          <w:spacing w:val="1"/>
          <w:w w:val="99"/>
        </w:rPr>
        <w:t>Board</w:t>
      </w:r>
      <w:r>
        <w:rPr>
          <w:w w:val="99"/>
        </w:rPr>
        <w:t> </w:t>
      </w:r>
      <w:r>
        <w:rPr/>
        <w:t>noted the report evidencing compliance with the</w:t>
      </w:r>
      <w:r>
        <w:rPr>
          <w:spacing w:val="-25"/>
        </w:rPr>
        <w:t> </w:t>
      </w:r>
      <w:r>
        <w:rPr/>
        <w:t>code.</w:t>
      </w:r>
    </w:p>
    <w:p>
      <w:pPr>
        <w:pStyle w:val="BodyText"/>
        <w:spacing w:before="7"/>
        <w:rPr>
          <w:sz w:val="21"/>
        </w:rPr>
      </w:pPr>
    </w:p>
    <w:p>
      <w:pPr>
        <w:pStyle w:val="Heading8"/>
        <w:ind w:left="218" w:right="-12"/>
      </w:pPr>
      <w:r>
        <w:rPr>
          <w:w w:val="95"/>
        </w:rPr>
        <w:t>ENVIRONMENTAL  REGULATION</w:t>
      </w:r>
    </w:p>
    <w:p>
      <w:pPr>
        <w:pStyle w:val="BodyText"/>
        <w:spacing w:line="249" w:lineRule="auto" w:before="86"/>
        <w:ind w:left="218" w:right="28"/>
      </w:pPr>
      <w:r>
        <w:rPr/>
        <w:t>The University is subject to various Commonwealth, state and local government statutes and requirements related to environmental matters. The University </w:t>
      </w:r>
      <w:r>
        <w:rPr>
          <w:spacing w:val="2"/>
        </w:rPr>
        <w:t>has </w:t>
      </w:r>
      <w:r>
        <w:rPr/>
        <w:t>not incurred any significant environmental liabilities</w:t>
      </w:r>
      <w:r>
        <w:rPr>
          <w:spacing w:val="-24"/>
        </w:rPr>
        <w:t> </w:t>
      </w:r>
      <w:r>
        <w:rPr/>
        <w:t>under</w:t>
      </w:r>
      <w:r>
        <w:rPr>
          <w:spacing w:val="-24"/>
        </w:rPr>
        <w:t> </w:t>
      </w:r>
      <w:r>
        <w:rPr/>
        <w:t>any</w:t>
      </w:r>
      <w:r>
        <w:rPr>
          <w:spacing w:val="-24"/>
        </w:rPr>
        <w:t> </w:t>
      </w:r>
      <w:r>
        <w:rPr/>
        <w:t>environmental</w:t>
      </w:r>
      <w:r>
        <w:rPr>
          <w:spacing w:val="-24"/>
        </w:rPr>
        <w:t> </w:t>
      </w:r>
      <w:r>
        <w:rPr/>
        <w:t>legislation. Details of the University’s general activities related</w:t>
      </w:r>
      <w:r>
        <w:rPr>
          <w:spacing w:val="-17"/>
        </w:rPr>
        <w:t> </w:t>
      </w:r>
      <w:r>
        <w:rPr/>
        <w:t>to</w:t>
      </w:r>
      <w:r>
        <w:rPr>
          <w:spacing w:val="-17"/>
        </w:rPr>
        <w:t> </w:t>
      </w:r>
      <w:r>
        <w:rPr/>
        <w:t>environmental</w:t>
      </w:r>
      <w:r>
        <w:rPr>
          <w:spacing w:val="-17"/>
        </w:rPr>
        <w:t> </w:t>
      </w:r>
      <w:r>
        <w:rPr/>
        <w:t>issues</w:t>
      </w:r>
      <w:r>
        <w:rPr>
          <w:spacing w:val="-17"/>
        </w:rPr>
        <w:t> </w:t>
      </w:r>
      <w:r>
        <w:rPr/>
        <w:t>are</w:t>
      </w:r>
      <w:r>
        <w:rPr>
          <w:spacing w:val="-17"/>
        </w:rPr>
        <w:t> </w:t>
      </w:r>
      <w:r>
        <w:rPr/>
        <w:t>provided on</w:t>
      </w:r>
      <w:r>
        <w:rPr>
          <w:spacing w:val="-22"/>
        </w:rPr>
        <w:t> </w:t>
      </w:r>
      <w:r>
        <w:rPr/>
        <w:t>page</w:t>
      </w:r>
      <w:r>
        <w:rPr>
          <w:spacing w:val="-22"/>
        </w:rPr>
        <w:t> </w:t>
      </w:r>
      <w:r>
        <w:rPr/>
        <w:t>79.</w:t>
      </w:r>
    </w:p>
    <w:p>
      <w:pPr>
        <w:pStyle w:val="Heading8"/>
        <w:spacing w:before="72"/>
        <w:ind w:left="227" w:right="381"/>
      </w:pPr>
      <w:r>
        <w:rPr>
          <w:b w:val="0"/>
        </w:rPr>
        <w:br w:type="column"/>
      </w:r>
      <w:r>
        <w:rPr>
          <w:w w:val="95"/>
        </w:rPr>
        <w:t>INSURANCE OF OFFICERS</w:t>
      </w:r>
    </w:p>
    <w:p>
      <w:pPr>
        <w:pStyle w:val="BodyText"/>
        <w:spacing w:line="247" w:lineRule="auto" w:before="85"/>
        <w:ind w:left="227" w:right="381"/>
      </w:pPr>
      <w:r>
        <w:rPr/>
        <w:t>Clause 5 of Schedule </w:t>
      </w:r>
      <w:r>
        <w:rPr>
          <w:w w:val="95"/>
        </w:rPr>
        <w:t>1 </w:t>
      </w:r>
      <w:r>
        <w:rPr/>
        <w:t>of the </w:t>
      </w:r>
      <w:r>
        <w:rPr>
          <w:rFonts w:ascii="Century Gothic"/>
          <w:i/>
        </w:rPr>
        <w:t>University of </w:t>
      </w:r>
      <w:r>
        <w:rPr>
          <w:rFonts w:ascii="Century Gothic"/>
          <w:i/>
        </w:rPr>
        <w:t>Western</w:t>
      </w:r>
      <w:r>
        <w:rPr>
          <w:rFonts w:ascii="Century Gothic"/>
          <w:i/>
          <w:spacing w:val="-29"/>
        </w:rPr>
        <w:t> </w:t>
      </w:r>
      <w:r>
        <w:rPr>
          <w:rFonts w:ascii="Century Gothic"/>
          <w:i/>
        </w:rPr>
        <w:t>Sydney</w:t>
      </w:r>
      <w:r>
        <w:rPr>
          <w:rFonts w:ascii="Century Gothic"/>
          <w:i/>
          <w:spacing w:val="-29"/>
        </w:rPr>
        <w:t> </w:t>
      </w:r>
      <w:r>
        <w:rPr>
          <w:rFonts w:ascii="Century Gothic"/>
          <w:i/>
        </w:rPr>
        <w:t>Act</w:t>
      </w:r>
      <w:r>
        <w:rPr>
          <w:rFonts w:ascii="Century Gothic"/>
          <w:i/>
          <w:spacing w:val="-29"/>
        </w:rPr>
        <w:t> </w:t>
      </w:r>
      <w:r>
        <w:rPr>
          <w:rFonts w:ascii="Century Gothic"/>
          <w:i/>
        </w:rPr>
        <w:t>1997</w:t>
      </w:r>
      <w:r>
        <w:rPr>
          <w:rFonts w:ascii="Century Gothic"/>
          <w:i/>
          <w:spacing w:val="-29"/>
        </w:rPr>
        <w:t> </w:t>
      </w:r>
      <w:r>
        <w:rPr/>
        <w:t>provides</w:t>
      </w:r>
      <w:r>
        <w:rPr>
          <w:spacing w:val="-35"/>
        </w:rPr>
        <w:t> </w:t>
      </w:r>
      <w:r>
        <w:rPr/>
        <w:t>a</w:t>
      </w:r>
      <w:r>
        <w:rPr>
          <w:spacing w:val="-35"/>
        </w:rPr>
        <w:t> </w:t>
      </w:r>
      <w:r>
        <w:rPr/>
        <w:t>degree of</w:t>
      </w:r>
      <w:r>
        <w:rPr>
          <w:spacing w:val="-11"/>
        </w:rPr>
        <w:t> </w:t>
      </w:r>
      <w:r>
        <w:rPr/>
        <w:t>protection</w:t>
      </w:r>
      <w:r>
        <w:rPr>
          <w:spacing w:val="-11"/>
        </w:rPr>
        <w:t> </w:t>
      </w:r>
      <w:r>
        <w:rPr/>
        <w:t>from</w:t>
      </w:r>
      <w:r>
        <w:rPr>
          <w:spacing w:val="-11"/>
        </w:rPr>
        <w:t> </w:t>
      </w:r>
      <w:r>
        <w:rPr/>
        <w:t>personal</w:t>
      </w:r>
      <w:r>
        <w:rPr>
          <w:spacing w:val="-11"/>
        </w:rPr>
        <w:t> </w:t>
      </w:r>
      <w:r>
        <w:rPr/>
        <w:t>liability</w:t>
      </w:r>
      <w:r>
        <w:rPr>
          <w:spacing w:val="-11"/>
        </w:rPr>
        <w:t> </w:t>
      </w:r>
      <w:r>
        <w:rPr/>
        <w:t>for</w:t>
      </w:r>
      <w:r>
        <w:rPr>
          <w:spacing w:val="-11"/>
        </w:rPr>
        <w:t> </w:t>
      </w:r>
      <w:r>
        <w:rPr/>
        <w:t>Board members and officers of the University. The University also has Directors and Officers Liability</w:t>
      </w:r>
      <w:r>
        <w:rPr>
          <w:spacing w:val="-23"/>
        </w:rPr>
        <w:t> </w:t>
      </w:r>
      <w:r>
        <w:rPr/>
        <w:t>insurance</w:t>
      </w:r>
      <w:r>
        <w:rPr>
          <w:spacing w:val="-23"/>
        </w:rPr>
        <w:t> </w:t>
      </w:r>
      <w:r>
        <w:rPr/>
        <w:t>with</w:t>
      </w:r>
      <w:r>
        <w:rPr>
          <w:spacing w:val="-23"/>
        </w:rPr>
        <w:t> </w:t>
      </w:r>
      <w:r>
        <w:rPr/>
        <w:t>Unimutual.</w:t>
      </w:r>
    </w:p>
    <w:p>
      <w:pPr>
        <w:pStyle w:val="BodyText"/>
        <w:spacing w:before="9"/>
        <w:rPr>
          <w:sz w:val="21"/>
        </w:rPr>
      </w:pPr>
    </w:p>
    <w:p>
      <w:pPr>
        <w:pStyle w:val="Heading8"/>
        <w:spacing w:line="249" w:lineRule="auto"/>
        <w:ind w:left="227" w:right="381"/>
      </w:pPr>
      <w:r>
        <w:rPr/>
        <w:t>LEGAL PROCEEDINGS ON BEHALF OF THE UNIVERSITY</w:t>
      </w:r>
    </w:p>
    <w:p>
      <w:pPr>
        <w:pStyle w:val="BodyText"/>
        <w:spacing w:line="249" w:lineRule="auto" w:before="79"/>
        <w:ind w:left="227" w:right="342"/>
      </w:pPr>
      <w:r>
        <w:rPr>
          <w:w w:val="80"/>
        </w:rPr>
        <w:t>In </w:t>
      </w:r>
      <w:r>
        <w:rPr>
          <w:w w:val="84"/>
        </w:rPr>
        <w:t>2015, </w:t>
      </w:r>
      <w:r>
        <w:rPr>
          <w:w w:val="97"/>
        </w:rPr>
        <w:t>the </w:t>
      </w:r>
      <w:r>
        <w:rPr>
          <w:w w:val="97"/>
        </w:rPr>
        <w:t>University </w:t>
      </w:r>
      <w:r>
        <w:rPr>
          <w:w w:val="96"/>
        </w:rPr>
        <w:t>was </w:t>
      </w:r>
      <w:r>
        <w:rPr>
          <w:w w:val="97"/>
        </w:rPr>
        <w:t>served </w:t>
      </w:r>
      <w:r>
        <w:rPr>
          <w:w w:val="98"/>
        </w:rPr>
        <w:t>with </w:t>
      </w:r>
      <w:r>
        <w:rPr>
          <w:w w:val="94"/>
        </w:rPr>
        <w:t>a </w:t>
      </w:r>
      <w:r>
        <w:rPr>
          <w:w w:val="97"/>
        </w:rPr>
        <w:t>claim </w:t>
      </w:r>
      <w:r>
        <w:rPr/>
        <w:t>in relation to a dust-related condition of a former employee of the former Hawkesbury Agricultural College. The claim was settled.</w:t>
      </w:r>
    </w:p>
    <w:p>
      <w:pPr>
        <w:pStyle w:val="BodyText"/>
        <w:rPr>
          <w:sz w:val="14"/>
        </w:rPr>
      </w:pPr>
    </w:p>
    <w:p>
      <w:pPr>
        <w:pStyle w:val="BodyText"/>
        <w:spacing w:line="249" w:lineRule="auto"/>
        <w:ind w:left="227" w:right="821"/>
      </w:pPr>
      <w:r>
        <w:rPr/>
        <w:t>This</w:t>
      </w:r>
      <w:r>
        <w:rPr>
          <w:spacing w:val="-15"/>
        </w:rPr>
        <w:t> </w:t>
      </w:r>
      <w:r>
        <w:rPr/>
        <w:t>report</w:t>
      </w:r>
      <w:r>
        <w:rPr>
          <w:spacing w:val="-15"/>
        </w:rPr>
        <w:t> </w:t>
      </w:r>
      <w:r>
        <w:rPr/>
        <w:t>is</w:t>
      </w:r>
      <w:r>
        <w:rPr>
          <w:spacing w:val="-15"/>
        </w:rPr>
        <w:t> </w:t>
      </w:r>
      <w:r>
        <w:rPr/>
        <w:t>made</w:t>
      </w:r>
      <w:r>
        <w:rPr>
          <w:spacing w:val="-15"/>
        </w:rPr>
        <w:t> </w:t>
      </w:r>
      <w:r>
        <w:rPr/>
        <w:t>in</w:t>
      </w:r>
      <w:r>
        <w:rPr>
          <w:spacing w:val="-15"/>
        </w:rPr>
        <w:t> </w:t>
      </w:r>
      <w:r>
        <w:rPr/>
        <w:t>accordance</w:t>
      </w:r>
      <w:r>
        <w:rPr>
          <w:spacing w:val="-15"/>
        </w:rPr>
        <w:t> </w:t>
      </w:r>
      <w:r>
        <w:rPr/>
        <w:t>with a</w:t>
      </w:r>
      <w:r>
        <w:rPr>
          <w:spacing w:val="-17"/>
        </w:rPr>
        <w:t> </w:t>
      </w:r>
      <w:r>
        <w:rPr/>
        <w:t>resolution</w:t>
      </w:r>
      <w:r>
        <w:rPr>
          <w:spacing w:val="-17"/>
        </w:rPr>
        <w:t> </w:t>
      </w:r>
      <w:r>
        <w:rPr/>
        <w:t>of</w:t>
      </w:r>
      <w:r>
        <w:rPr>
          <w:spacing w:val="-17"/>
        </w:rPr>
        <w:t> </w:t>
      </w:r>
      <w:r>
        <w:rPr/>
        <w:t>the</w:t>
      </w:r>
      <w:r>
        <w:rPr>
          <w:spacing w:val="-17"/>
        </w:rPr>
        <w:t> </w:t>
      </w:r>
      <w:r>
        <w:rPr/>
        <w:t>Board</w:t>
      </w:r>
      <w:r>
        <w:rPr>
          <w:spacing w:val="-17"/>
        </w:rPr>
        <w:t> </w:t>
      </w:r>
      <w:r>
        <w:rPr/>
        <w:t>of</w:t>
      </w:r>
      <w:r>
        <w:rPr>
          <w:spacing w:val="-17"/>
        </w:rPr>
        <w:t> </w:t>
      </w:r>
      <w:r>
        <w:rPr/>
        <w:t>Trustees</w:t>
      </w:r>
      <w:r>
        <w:rPr>
          <w:spacing w:val="-17"/>
        </w:rPr>
        <w:t> </w:t>
      </w:r>
      <w:r>
        <w:rPr/>
        <w:t>on </w:t>
      </w:r>
      <w:r>
        <w:rPr>
          <w:w w:val="101"/>
        </w:rPr>
        <w:t>6 </w:t>
      </w:r>
      <w:r>
        <w:rPr>
          <w:spacing w:val="1"/>
          <w:w w:val="100"/>
        </w:rPr>
        <w:t>April</w:t>
      </w:r>
      <w:r>
        <w:rPr>
          <w:spacing w:val="-8"/>
          <w:w w:val="100"/>
        </w:rPr>
        <w:t> </w:t>
      </w:r>
      <w:r>
        <w:rPr>
          <w:spacing w:val="1"/>
          <w:w w:val="84"/>
        </w:rPr>
        <w:t>2015.</w:t>
      </w:r>
    </w:p>
    <w:p>
      <w:pPr>
        <w:pStyle w:val="BodyText"/>
        <w:spacing w:before="7"/>
        <w:rPr>
          <w:sz w:val="14"/>
        </w:rPr>
      </w:pPr>
    </w:p>
    <w:p>
      <w:pPr>
        <w:pStyle w:val="BodyText"/>
        <w:spacing w:line="194" w:lineRule="exact" w:before="1"/>
        <w:ind w:left="227" w:right="381"/>
        <w:rPr>
          <w:rFonts w:ascii="Calibri"/>
        </w:rPr>
      </w:pPr>
      <w:r>
        <w:rPr>
          <w:rFonts w:ascii="Calibri"/>
          <w:w w:val="110"/>
        </w:rPr>
        <w:t>Professor Peter Shergold, AC</w:t>
      </w:r>
    </w:p>
    <w:p>
      <w:pPr>
        <w:pStyle w:val="BodyText"/>
        <w:spacing w:line="192" w:lineRule="exact"/>
        <w:ind w:left="227" w:right="381"/>
      </w:pPr>
      <w:r>
        <w:rPr/>
        <w:t>Chancellor</w:t>
      </w:r>
    </w:p>
    <w:p>
      <w:pPr>
        <w:spacing w:after="0" w:line="192" w:lineRule="exact"/>
        <w:sectPr>
          <w:type w:val="continuous"/>
          <w:pgSz w:w="11910" w:h="16840"/>
          <w:pgMar w:top="1580" w:bottom="280" w:left="580" w:right="580"/>
          <w:cols w:num="3" w:equalWidth="0">
            <w:col w:w="3508" w:space="40"/>
            <w:col w:w="3391" w:space="40"/>
            <w:col w:w="3771"/>
          </w:cols>
        </w:sectPr>
      </w:pPr>
    </w:p>
    <w:p>
      <w:pPr>
        <w:pStyle w:val="BodyText"/>
        <w:spacing w:before="7"/>
        <w:rPr>
          <w:sz w:val="28"/>
        </w:rPr>
      </w:pPr>
    </w:p>
    <w:p>
      <w:pPr>
        <w:pStyle w:val="Heading1"/>
      </w:pPr>
      <w:r>
        <w:rPr>
          <w:w w:val="95"/>
        </w:rPr>
        <w:t>APPENDIX 6</w:t>
      </w: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rPr>
          <w:rFonts w:ascii="Gotham Narrow Bold"/>
          <w:b/>
          <w:sz w:val="40"/>
        </w:rPr>
      </w:pPr>
    </w:p>
    <w:p>
      <w:pPr>
        <w:pStyle w:val="BodyText"/>
        <w:spacing w:before="4"/>
        <w:rPr>
          <w:rFonts w:ascii="Gotham Narrow Bold"/>
          <w:b/>
          <w:sz w:val="30"/>
        </w:rPr>
      </w:pPr>
    </w:p>
    <w:p>
      <w:pPr>
        <w:pStyle w:val="Heading5"/>
        <w:spacing w:before="1"/>
        <w:ind w:left="327" w:right="411"/>
      </w:pPr>
      <w:r>
        <w:rPr>
          <w:spacing w:val="-3"/>
          <w:w w:val="95"/>
        </w:rPr>
        <w:t>EXECUTIVE REMUNERATION </w:t>
      </w:r>
      <w:r>
        <w:rPr>
          <w:w w:val="95"/>
        </w:rPr>
        <w:t>AND </w:t>
      </w:r>
      <w:r>
        <w:rPr>
          <w:spacing w:val="-3"/>
          <w:w w:val="95"/>
        </w:rPr>
        <w:t>PERFORMANCE </w:t>
      </w:r>
      <w:r>
        <w:rPr>
          <w:spacing w:val="-12"/>
          <w:w w:val="95"/>
        </w:rPr>
        <w:t>DATA</w:t>
      </w:r>
    </w:p>
    <w:p>
      <w:pPr>
        <w:pStyle w:val="BodyText"/>
        <w:spacing w:before="11"/>
        <w:rPr>
          <w:rFonts w:ascii="Gotham Narrow Bold"/>
          <w:b/>
          <w:sz w:val="11"/>
        </w:rPr>
      </w:pPr>
    </w:p>
    <w:p>
      <w:pPr>
        <w:spacing w:after="0"/>
        <w:rPr>
          <w:rFonts w:ascii="Gotham Narrow Bold"/>
          <w:sz w:val="11"/>
        </w:rPr>
        <w:sectPr>
          <w:pgSz w:w="11910" w:h="16840"/>
          <w:pgMar w:header="494" w:footer="473" w:top="680" w:bottom="660" w:left="580" w:right="580"/>
        </w:sectPr>
      </w:pPr>
    </w:p>
    <w:p>
      <w:pPr>
        <w:pStyle w:val="Heading8"/>
        <w:spacing w:before="72"/>
        <w:ind w:left="327"/>
      </w:pPr>
      <w:r>
        <w:rPr>
          <w:w w:val="95"/>
        </w:rPr>
        <w:t>PROFESSOR BARNEY GLOVER</w:t>
      </w:r>
    </w:p>
    <w:p>
      <w:pPr>
        <w:pStyle w:val="BodyText"/>
        <w:tabs>
          <w:tab w:pos="3766" w:val="left" w:leader="none"/>
        </w:tabs>
        <w:spacing w:before="94"/>
        <w:ind w:left="327"/>
      </w:pPr>
      <w:r>
        <w:rPr/>
        <w:t>POSITION</w:t>
        <w:tab/>
        <w:t>Vice-Chancellor &amp;</w:t>
      </w:r>
      <w:r>
        <w:rPr>
          <w:spacing w:val="-24"/>
        </w:rPr>
        <w:t> </w:t>
      </w:r>
      <w:r>
        <w:rPr/>
        <w:t>President</w:t>
      </w:r>
    </w:p>
    <w:p>
      <w:pPr>
        <w:pStyle w:val="BodyText"/>
        <w:tabs>
          <w:tab w:pos="3766" w:val="left" w:leader="none"/>
        </w:tabs>
        <w:spacing w:before="95"/>
        <w:ind w:left="327"/>
      </w:pPr>
      <w:r>
        <w:rPr>
          <w:spacing w:val="-3"/>
        </w:rPr>
        <w:t>TOTAL </w:t>
      </w:r>
      <w:r>
        <w:rPr/>
        <w:t>REMUNERATION</w:t>
      </w:r>
      <w:r>
        <w:rPr>
          <w:spacing w:val="-3"/>
        </w:rPr>
        <w:t> </w:t>
      </w:r>
      <w:r>
        <w:rPr/>
        <w:t>PACKAGE</w:t>
        <w:tab/>
      </w:r>
      <w:r>
        <w:rPr>
          <w:spacing w:val="2"/>
        </w:rPr>
        <w:t>$830,000</w:t>
      </w:r>
    </w:p>
    <w:p>
      <w:pPr>
        <w:pStyle w:val="BodyText"/>
        <w:tabs>
          <w:tab w:pos="3766" w:val="left" w:leader="none"/>
        </w:tabs>
        <w:spacing w:before="95"/>
        <w:ind w:left="327"/>
      </w:pPr>
      <w:r>
        <w:rPr/>
        <w:t>PERIOD</w:t>
      </w:r>
      <w:r>
        <w:rPr>
          <w:spacing w:val="-24"/>
        </w:rPr>
        <w:t> </w:t>
      </w:r>
      <w:r>
        <w:rPr/>
        <w:t>IN</w:t>
      </w:r>
      <w:r>
        <w:rPr>
          <w:spacing w:val="-24"/>
        </w:rPr>
        <w:t> </w:t>
      </w:r>
      <w:r>
        <w:rPr/>
        <w:t>POSITION</w:t>
        <w:tab/>
        <w:t>Full</w:t>
      </w:r>
      <w:r>
        <w:rPr>
          <w:spacing w:val="-21"/>
        </w:rPr>
        <w:t> </w:t>
      </w:r>
      <w:r>
        <w:rPr/>
        <w:t>year</w:t>
      </w:r>
    </w:p>
    <w:p>
      <w:pPr>
        <w:pStyle w:val="BodyText"/>
        <w:tabs>
          <w:tab w:pos="3766" w:val="left" w:leader="none"/>
        </w:tabs>
        <w:spacing w:before="95"/>
        <w:ind w:left="327"/>
      </w:pPr>
      <w:r>
        <w:rPr/>
        <w:t>RESULTS</w:t>
        <w:tab/>
        <w:t>Met all</w:t>
      </w:r>
      <w:r>
        <w:rPr>
          <w:spacing w:val="-35"/>
        </w:rPr>
        <w:t> </w:t>
      </w:r>
      <w:r>
        <w:rPr/>
        <w:t>objectives</w:t>
      </w:r>
    </w:p>
    <w:p>
      <w:pPr>
        <w:pStyle w:val="Heading8"/>
        <w:spacing w:line="249" w:lineRule="auto" w:before="74"/>
        <w:ind w:left="327" w:right="1204"/>
      </w:pPr>
      <w:r>
        <w:rPr>
          <w:b w:val="0"/>
        </w:rPr>
        <w:br w:type="column"/>
      </w:r>
      <w:r>
        <w:rPr>
          <w:w w:val="95"/>
        </w:rPr>
        <w:t>SENIOR EXECUTIVES EMPLOYED AND GENDER</w:t>
      </w:r>
    </w:p>
    <w:p>
      <w:pPr>
        <w:tabs>
          <w:tab w:pos="1827" w:val="left" w:leader="none"/>
        </w:tabs>
        <w:spacing w:before="93"/>
        <w:ind w:left="327" w:right="0" w:firstLine="0"/>
        <w:jc w:val="left"/>
        <w:rPr>
          <w:rFonts w:ascii="Gotham Narrow Bold"/>
          <w:b/>
          <w:sz w:val="16"/>
        </w:rPr>
      </w:pPr>
      <w:r>
        <w:rPr>
          <w:rFonts w:ascii="Gotham Narrow Bold"/>
          <w:b/>
          <w:sz w:val="16"/>
        </w:rPr>
        <w:t>2014</w:t>
        <w:tab/>
        <w:t>2015</w:t>
      </w:r>
    </w:p>
    <w:p>
      <w:pPr>
        <w:pStyle w:val="BodyText"/>
        <w:tabs>
          <w:tab w:pos="1827" w:val="left" w:leader="none"/>
        </w:tabs>
        <w:spacing w:before="89"/>
        <w:ind w:left="327"/>
      </w:pPr>
      <w:r>
        <w:rPr/>
        <w:t>Males:</w:t>
      </w:r>
      <w:r>
        <w:rPr>
          <w:spacing w:val="-22"/>
        </w:rPr>
        <w:t> </w:t>
      </w:r>
      <w:r>
        <w:rPr/>
        <w:t>3</w:t>
        <w:tab/>
        <w:t>Males:</w:t>
      </w:r>
      <w:r>
        <w:rPr>
          <w:spacing w:val="-37"/>
        </w:rPr>
        <w:t> </w:t>
      </w:r>
      <w:r>
        <w:rPr/>
        <w:t>4</w:t>
      </w:r>
    </w:p>
    <w:p>
      <w:pPr>
        <w:pStyle w:val="BodyText"/>
        <w:tabs>
          <w:tab w:pos="1827" w:val="left" w:leader="none"/>
        </w:tabs>
        <w:spacing w:before="95"/>
        <w:ind w:left="327"/>
      </w:pPr>
      <w:r>
        <w:rPr>
          <w:w w:val="95"/>
        </w:rPr>
        <w:t>Females:</w:t>
      </w:r>
      <w:r>
        <w:rPr>
          <w:spacing w:val="-8"/>
          <w:w w:val="95"/>
        </w:rPr>
        <w:t> </w:t>
      </w:r>
      <w:r>
        <w:rPr>
          <w:w w:val="95"/>
        </w:rPr>
        <w:t>3</w:t>
        <w:tab/>
      </w:r>
      <w:r>
        <w:rPr>
          <w:w w:val="90"/>
        </w:rPr>
        <w:t>Females:</w:t>
      </w:r>
      <w:r>
        <w:rPr>
          <w:spacing w:val="2"/>
          <w:w w:val="90"/>
        </w:rPr>
        <w:t> </w:t>
      </w:r>
      <w:r>
        <w:rPr>
          <w:w w:val="90"/>
        </w:rPr>
        <w:t>1</w:t>
      </w:r>
    </w:p>
    <w:p>
      <w:pPr>
        <w:spacing w:after="0"/>
        <w:sectPr>
          <w:type w:val="continuous"/>
          <w:pgSz w:w="11910" w:h="16840"/>
          <w:pgMar w:top="1580" w:bottom="280" w:left="580" w:right="580"/>
          <w:cols w:num="2" w:equalWidth="0">
            <w:col w:w="5700" w:space="1179"/>
            <w:col w:w="3871"/>
          </w:cols>
        </w:sectPr>
      </w:pPr>
    </w:p>
    <w:p>
      <w:pPr>
        <w:pStyle w:val="BodyText"/>
        <w:rPr>
          <w:sz w:val="26"/>
        </w:rPr>
      </w:pPr>
    </w:p>
    <w:p>
      <w:pPr>
        <w:spacing w:after="0"/>
        <w:rPr>
          <w:sz w:val="26"/>
        </w:rPr>
        <w:sectPr>
          <w:type w:val="continuous"/>
          <w:pgSz w:w="11910" w:h="16840"/>
          <w:pgMar w:top="1580" w:bottom="280" w:left="580" w:right="580"/>
        </w:sectPr>
      </w:pPr>
    </w:p>
    <w:p>
      <w:pPr>
        <w:pStyle w:val="Heading8"/>
        <w:spacing w:before="77"/>
        <w:ind w:left="327"/>
      </w:pPr>
      <w:r>
        <w:rPr>
          <w:w w:val="95"/>
        </w:rPr>
        <w:t>PROFESSOR SCOTT HOLMES</w:t>
      </w:r>
    </w:p>
    <w:p>
      <w:pPr>
        <w:pStyle w:val="BodyText"/>
        <w:tabs>
          <w:tab w:pos="3766" w:val="left" w:leader="none"/>
        </w:tabs>
        <w:spacing w:line="249" w:lineRule="auto" w:before="89"/>
        <w:ind w:left="3766" w:hanging="3440"/>
      </w:pPr>
      <w:r>
        <w:rPr/>
        <w:t>POSITION</w:t>
        <w:tab/>
        <w:t>Deputy Vice-Chancellor</w:t>
      </w:r>
      <w:r>
        <w:rPr>
          <w:spacing w:val="-8"/>
        </w:rPr>
        <w:t> </w:t>
      </w:r>
      <w:r>
        <w:rPr/>
        <w:t>&amp;</w:t>
      </w:r>
      <w:r>
        <w:rPr>
          <w:spacing w:val="-4"/>
        </w:rPr>
        <w:t> </w:t>
      </w:r>
      <w:r>
        <w:rPr/>
        <w:t>Vice-President</w:t>
      </w:r>
      <w:r>
        <w:rPr>
          <w:w w:val="102"/>
        </w:rPr>
        <w:t> </w:t>
      </w:r>
      <w:r>
        <w:rPr/>
        <w:t>(Research</w:t>
      </w:r>
      <w:r>
        <w:rPr>
          <w:spacing w:val="-23"/>
        </w:rPr>
        <w:t> </w:t>
      </w:r>
      <w:r>
        <w:rPr/>
        <w:t>and</w:t>
      </w:r>
      <w:r>
        <w:rPr>
          <w:spacing w:val="-23"/>
        </w:rPr>
        <w:t> </w:t>
      </w:r>
      <w:r>
        <w:rPr/>
        <w:t>Development)</w:t>
      </w:r>
    </w:p>
    <w:p>
      <w:pPr>
        <w:pStyle w:val="BodyText"/>
        <w:tabs>
          <w:tab w:pos="3766" w:val="left" w:leader="none"/>
        </w:tabs>
        <w:spacing w:before="87"/>
        <w:ind w:left="327"/>
      </w:pPr>
      <w:r>
        <w:rPr>
          <w:spacing w:val="-3"/>
        </w:rPr>
        <w:t>TOTAL </w:t>
      </w:r>
      <w:r>
        <w:rPr/>
        <w:t>REMUNERATION</w:t>
      </w:r>
      <w:r>
        <w:rPr>
          <w:spacing w:val="-3"/>
        </w:rPr>
        <w:t> </w:t>
      </w:r>
      <w:r>
        <w:rPr/>
        <w:t>PACKAGE</w:t>
        <w:tab/>
      </w:r>
      <w:r>
        <w:rPr>
          <w:spacing w:val="2"/>
        </w:rPr>
        <w:t>$493,319</w:t>
      </w:r>
    </w:p>
    <w:p>
      <w:pPr>
        <w:pStyle w:val="BodyText"/>
        <w:tabs>
          <w:tab w:pos="3766" w:val="left" w:leader="none"/>
        </w:tabs>
        <w:spacing w:before="95"/>
        <w:ind w:left="327"/>
      </w:pPr>
      <w:r>
        <w:rPr/>
        <w:t>PERIOD</w:t>
      </w:r>
      <w:r>
        <w:rPr>
          <w:spacing w:val="-24"/>
        </w:rPr>
        <w:t> </w:t>
      </w:r>
      <w:r>
        <w:rPr/>
        <w:t>IN</w:t>
      </w:r>
      <w:r>
        <w:rPr>
          <w:spacing w:val="-24"/>
        </w:rPr>
        <w:t> </w:t>
      </w:r>
      <w:r>
        <w:rPr/>
        <w:t>POSITION</w:t>
        <w:tab/>
        <w:t>Full</w:t>
      </w:r>
      <w:r>
        <w:rPr>
          <w:spacing w:val="-21"/>
        </w:rPr>
        <w:t> </w:t>
      </w:r>
      <w:r>
        <w:rPr/>
        <w:t>year</w:t>
      </w:r>
    </w:p>
    <w:p>
      <w:pPr>
        <w:pStyle w:val="BodyText"/>
        <w:tabs>
          <w:tab w:pos="3766" w:val="left" w:leader="none"/>
        </w:tabs>
        <w:spacing w:before="95"/>
        <w:ind w:left="327"/>
      </w:pPr>
      <w:r>
        <w:rPr/>
        <w:t>RESULTS</w:t>
        <w:tab/>
        <w:t>Met all</w:t>
      </w:r>
      <w:r>
        <w:rPr>
          <w:spacing w:val="-35"/>
        </w:rPr>
        <w:t> </w:t>
      </w:r>
      <w:r>
        <w:rPr/>
        <w:t>objectives</w:t>
      </w:r>
    </w:p>
    <w:p>
      <w:pPr>
        <w:pStyle w:val="Heading8"/>
        <w:spacing w:line="249" w:lineRule="auto" w:before="72"/>
        <w:ind w:left="327" w:right="429"/>
      </w:pPr>
      <w:r>
        <w:rPr>
          <w:b w:val="0"/>
        </w:rPr>
        <w:br w:type="column"/>
      </w:r>
      <w:r>
        <w:rPr>
          <w:w w:val="95"/>
        </w:rPr>
        <w:t>AVERAGE TOTAL REMUNERATION PACKAGE OF EXECUTIVES</w:t>
      </w:r>
    </w:p>
    <w:p>
      <w:pPr>
        <w:tabs>
          <w:tab w:pos="1827" w:val="left" w:leader="none"/>
        </w:tabs>
        <w:spacing w:before="82"/>
        <w:ind w:left="327" w:right="429" w:firstLine="0"/>
        <w:jc w:val="left"/>
        <w:rPr>
          <w:sz w:val="16"/>
        </w:rPr>
      </w:pPr>
      <w:r>
        <w:rPr>
          <w:rFonts w:ascii="Gotham Narrow Bold"/>
          <w:b/>
          <w:sz w:val="16"/>
        </w:rPr>
        <w:t>2014:</w:t>
      </w:r>
      <w:r>
        <w:rPr>
          <w:rFonts w:ascii="Gotham Narrow Bold"/>
          <w:b/>
          <w:spacing w:val="-10"/>
          <w:sz w:val="16"/>
        </w:rPr>
        <w:t> </w:t>
      </w:r>
      <w:r>
        <w:rPr>
          <w:spacing w:val="2"/>
          <w:sz w:val="16"/>
        </w:rPr>
        <w:t>$492,686</w:t>
        <w:tab/>
      </w:r>
      <w:r>
        <w:rPr>
          <w:rFonts w:ascii="Gotham Narrow Bold"/>
          <w:b/>
          <w:w w:val="95"/>
          <w:sz w:val="16"/>
        </w:rPr>
        <w:t>2015:</w:t>
      </w:r>
      <w:r>
        <w:rPr>
          <w:rFonts w:ascii="Gotham Narrow Bold"/>
          <w:b/>
          <w:spacing w:val="12"/>
          <w:w w:val="95"/>
          <w:sz w:val="16"/>
        </w:rPr>
        <w:t> </w:t>
      </w:r>
      <w:r>
        <w:rPr>
          <w:spacing w:val="2"/>
          <w:w w:val="95"/>
          <w:sz w:val="16"/>
        </w:rPr>
        <w:t>$492,922</w:t>
      </w:r>
    </w:p>
    <w:p>
      <w:pPr>
        <w:pStyle w:val="BodyText"/>
      </w:pPr>
    </w:p>
    <w:p>
      <w:pPr>
        <w:pStyle w:val="BodyText"/>
        <w:spacing w:before="10"/>
      </w:pPr>
    </w:p>
    <w:p>
      <w:pPr>
        <w:pStyle w:val="Heading8"/>
        <w:spacing w:line="249" w:lineRule="auto" w:before="1"/>
        <w:ind w:left="327" w:right="429"/>
      </w:pPr>
      <w:r>
        <w:rPr>
          <w:w w:val="95"/>
        </w:rPr>
        <w:t>PERCENTAGE OF TOTAL EMPLOYEE- RELATED EXPENDITURE</w:t>
      </w:r>
    </w:p>
    <w:p>
      <w:pPr>
        <w:tabs>
          <w:tab w:pos="1827" w:val="left" w:leader="none"/>
        </w:tabs>
        <w:spacing w:before="82"/>
        <w:ind w:left="327" w:right="429" w:firstLine="0"/>
        <w:jc w:val="left"/>
        <w:rPr>
          <w:sz w:val="16"/>
        </w:rPr>
      </w:pPr>
      <w:r>
        <w:rPr>
          <w:rFonts w:ascii="Gotham Narrow Bold"/>
          <w:b/>
          <w:w w:val="95"/>
          <w:sz w:val="16"/>
        </w:rPr>
        <w:t>2014: </w:t>
      </w:r>
      <w:r>
        <w:rPr>
          <w:w w:val="95"/>
          <w:sz w:val="16"/>
        </w:rPr>
        <w:t>&lt; 1</w:t>
      </w:r>
      <w:r>
        <w:rPr>
          <w:spacing w:val="-34"/>
          <w:w w:val="95"/>
          <w:sz w:val="16"/>
        </w:rPr>
        <w:t> </w:t>
      </w:r>
      <w:r>
        <w:rPr>
          <w:w w:val="95"/>
          <w:sz w:val="16"/>
        </w:rPr>
        <w:t>per</w:t>
      </w:r>
      <w:r>
        <w:rPr>
          <w:spacing w:val="-15"/>
          <w:w w:val="95"/>
          <w:sz w:val="16"/>
        </w:rPr>
        <w:t> </w:t>
      </w:r>
      <w:r>
        <w:rPr>
          <w:w w:val="95"/>
          <w:sz w:val="16"/>
        </w:rPr>
        <w:t>cent</w:t>
        <w:tab/>
      </w:r>
      <w:r>
        <w:rPr>
          <w:rFonts w:ascii="Gotham Narrow Bold"/>
          <w:b/>
          <w:w w:val="95"/>
          <w:sz w:val="16"/>
        </w:rPr>
        <w:t>2015:</w:t>
      </w:r>
      <w:r>
        <w:rPr>
          <w:rFonts w:ascii="Gotham Narrow Bold"/>
          <w:b/>
          <w:spacing w:val="-12"/>
          <w:w w:val="95"/>
          <w:sz w:val="16"/>
        </w:rPr>
        <w:t> </w:t>
      </w:r>
      <w:r>
        <w:rPr>
          <w:w w:val="95"/>
          <w:sz w:val="16"/>
        </w:rPr>
        <w:t>&lt;1</w:t>
      </w:r>
      <w:r>
        <w:rPr>
          <w:spacing w:val="-20"/>
          <w:w w:val="95"/>
          <w:sz w:val="16"/>
        </w:rPr>
        <w:t> </w:t>
      </w:r>
      <w:r>
        <w:rPr>
          <w:w w:val="95"/>
          <w:sz w:val="16"/>
        </w:rPr>
        <w:t>per</w:t>
      </w:r>
      <w:r>
        <w:rPr>
          <w:spacing w:val="-20"/>
          <w:w w:val="95"/>
          <w:sz w:val="16"/>
        </w:rPr>
        <w:t> </w:t>
      </w:r>
      <w:r>
        <w:rPr>
          <w:w w:val="95"/>
          <w:sz w:val="16"/>
        </w:rPr>
        <w:t>cent</w:t>
      </w:r>
    </w:p>
    <w:p>
      <w:pPr>
        <w:spacing w:after="0"/>
        <w:jc w:val="left"/>
        <w:rPr>
          <w:sz w:val="16"/>
        </w:rPr>
        <w:sectPr>
          <w:type w:val="continuous"/>
          <w:pgSz w:w="11910" w:h="16840"/>
          <w:pgMar w:top="1580" w:bottom="280" w:left="580" w:right="580"/>
          <w:cols w:num="2" w:equalWidth="0">
            <w:col w:w="6617" w:space="261"/>
            <w:col w:w="3872"/>
          </w:cols>
        </w:sectPr>
      </w:pPr>
    </w:p>
    <w:p>
      <w:pPr>
        <w:pStyle w:val="BodyText"/>
        <w:spacing w:before="10"/>
        <w:rPr>
          <w:sz w:val="8"/>
        </w:rPr>
      </w:pPr>
      <w:r>
        <w:rPr/>
        <w:pict>
          <v:group style="position:absolute;margin-left:34.015999pt;margin-top:45.355015pt;width:527.25pt;height:751.2pt;mso-position-horizontal-relative:page;mso-position-vertical-relative:page;z-index:-331864" coordorigin="680,907" coordsize="10545,15024">
            <v:rect style="position:absolute;left:680;top:907;width:10545;height:15024" filled="true" fillcolor="#e6e7e8" stroked="false">
              <v:fill type="solid"/>
            </v:rect>
            <v:line style="position:absolute" from="907,5238" to="7559,5238" stroked="true" strokeweight="1.5pt" strokecolor="#000000"/>
            <v:line style="position:absolute" from="907,7267" to="4346,7267" stroked="true" strokeweight=".5pt" strokecolor="#939598"/>
            <v:line style="position:absolute" from="4346,7267" to="7559,7267" stroked="true" strokeweight=".5pt" strokecolor="#939598"/>
            <v:line style="position:absolute" from="907,7755" to="4346,7755" stroked="true" strokeweight=".5pt" strokecolor="#939598"/>
            <v:line style="position:absolute" from="4346,7755" to="7559,7755" stroked="true" strokeweight=".5pt" strokecolor="#939598"/>
            <v:line style="position:absolute" from="907,8043" to="4346,8043" stroked="true" strokeweight=".5pt" strokecolor="#939598"/>
            <v:line style="position:absolute" from="4346,8043" to="7559,8043" stroked="true" strokeweight=".5pt" strokecolor="#939598"/>
            <v:line style="position:absolute" from="907,8331" to="4346,8331" stroked="true" strokeweight=".5pt" strokecolor="#939598"/>
            <v:line style="position:absolute" from="4346,8331" to="7559,8331" stroked="true" strokeweight=".5pt" strokecolor="#939598"/>
            <v:line style="position:absolute" from="907,8619" to="4346,8619" stroked="true" strokeweight=".5pt" strokecolor="#939598"/>
            <v:line style="position:absolute" from="4346,8619" to="7559,8619" stroked="true" strokeweight=".5pt" strokecolor="#939598"/>
            <v:line style="position:absolute" from="907,9197" to="4346,9197" stroked="true" strokeweight=".5pt" strokecolor="#939598"/>
            <v:line style="position:absolute" from="4346,9197" to="7559,9197" stroked="true" strokeweight=".5pt" strokecolor="#939598"/>
            <v:line style="position:absolute" from="907,9685" to="4346,9685" stroked="true" strokeweight=".5pt" strokecolor="#939598"/>
            <v:line style="position:absolute" from="4346,9685" to="7559,9685" stroked="true" strokeweight=".5pt" strokecolor="#939598"/>
            <v:line style="position:absolute" from="907,9973" to="4346,9973" stroked="true" strokeweight=".5pt" strokecolor="#939598"/>
            <v:line style="position:absolute" from="4346,9973" to="7559,9973" stroked="true" strokeweight=".5pt" strokecolor="#939598"/>
            <v:line style="position:absolute" from="907,11127" to="4346,11127" stroked="true" strokeweight=".5pt" strokecolor="#939598"/>
            <v:line style="position:absolute" from="4346,11127" to="7559,11127" stroked="true" strokeweight=".5pt" strokecolor="#939598"/>
            <v:line style="position:absolute" from="907,11415" to="4346,11415" stroked="true" strokeweight=".5pt" strokecolor="#939598"/>
            <v:line style="position:absolute" from="4346,11415" to="7559,11415" stroked="true" strokeweight=".5pt" strokecolor="#939598"/>
            <v:line style="position:absolute" from="907,11703" to="4346,11703" stroked="true" strokeweight=".5pt" strokecolor="#939598"/>
            <v:line style="position:absolute" from="4346,11703" to="7559,11703" stroked="true" strokeweight=".5pt" strokecolor="#939598"/>
            <v:line style="position:absolute" from="907,12857" to="4346,12857" stroked="true" strokeweight=".5pt" strokecolor="#939598"/>
            <v:line style="position:absolute" from="4346,12857" to="7559,12857" stroked="true" strokeweight=".5pt" strokecolor="#939598"/>
            <v:line style="position:absolute" from="907,13145" to="4346,13145" stroked="true" strokeweight=".5pt" strokecolor="#939598"/>
            <v:line style="position:absolute" from="4346,13145" to="7559,13145" stroked="true" strokeweight=".5pt" strokecolor="#939598"/>
            <v:line style="position:absolute" from="907,13433" to="4346,13433" stroked="true" strokeweight=".5pt" strokecolor="#939598"/>
            <v:line style="position:absolute" from="4346,13433" to="7559,13433" stroked="true" strokeweight=".5pt" strokecolor="#939598"/>
            <v:line style="position:absolute" from="907,13721" to="4346,13721" stroked="true" strokeweight=".5pt" strokecolor="#939598"/>
            <v:line style="position:absolute" from="4346,13721" to="7559,13721" stroked="true" strokeweight=".5pt" strokecolor="#939598"/>
            <v:line style="position:absolute" from="907,5537" to="4346,5537" stroked="true" strokeweight=".5pt" strokecolor="#939598"/>
            <v:line style="position:absolute" from="4346,5537" to="7559,5537" stroked="true" strokeweight=".5pt" strokecolor="#939598"/>
            <v:line style="position:absolute" from="907,5825" to="4346,5825" stroked="true" strokeweight=".5pt" strokecolor="#939598"/>
            <v:line style="position:absolute" from="4346,5825" to="7559,5825" stroked="true" strokeweight=".5pt" strokecolor="#939598"/>
            <v:line style="position:absolute" from="907,6113" to="4346,6113" stroked="true" strokeweight=".5pt" strokecolor="#939598"/>
            <v:line style="position:absolute" from="4346,6113" to="7559,6113" stroked="true" strokeweight=".5pt" strokecolor="#939598"/>
            <v:line style="position:absolute" from="907,6401" to="4346,6401" stroked="true" strokeweight=".5pt" strokecolor="#939598"/>
            <v:line style="position:absolute" from="4346,6401" to="7559,6401" stroked="true" strokeweight=".5pt" strokecolor="#939598"/>
            <v:line style="position:absolute" from="907,6689" to="4346,6689" stroked="true" strokeweight=".5pt" strokecolor="#939598"/>
            <v:line style="position:absolute" from="4346,6689" to="7559,6689" stroked="true" strokeweight=".5pt" strokecolor="#939598"/>
            <v:line style="position:absolute" from="907,10261" to="4346,10261" stroked="true" strokeweight=".5pt" strokecolor="#939598"/>
            <v:line style="position:absolute" from="4346,10261" to="7559,10261" stroked="true" strokeweight=".5pt" strokecolor="#939598"/>
            <v:line style="position:absolute" from="907,10549" to="4346,10549" stroked="true" strokeweight=".5pt" strokecolor="#939598"/>
            <v:line style="position:absolute" from="4346,10549" to="7559,10549" stroked="true" strokeweight=".5pt" strokecolor="#939598"/>
            <v:line style="position:absolute" from="907,11991" to="4346,11991" stroked="true" strokeweight=".5pt" strokecolor="#939598"/>
            <v:line style="position:absolute" from="4346,11991" to="7559,11991" stroked="true" strokeweight=".5pt" strokecolor="#939598"/>
            <v:line style="position:absolute" from="907,12279" to="4346,12279" stroked="true" strokeweight=".5pt" strokecolor="#939598"/>
            <v:line style="position:absolute" from="4346,12279" to="7559,12279" stroked="true" strokeweight=".5pt" strokecolor="#939598"/>
            <v:line style="position:absolute" from="907,14009" to="4346,14009" stroked="true" strokeweight=".5pt" strokecolor="#939598"/>
            <v:line style="position:absolute" from="4346,14009" to="7559,14009" stroked="true" strokeweight=".5pt" strokecolor="#939598"/>
            <v:line style="position:absolute" from="907,6973" to="7559,6973" stroked="true" strokeweight="1.5pt" strokecolor="#000000"/>
            <v:line style="position:absolute" from="907,8904" to="7559,8904" stroked="true" strokeweight="1.5pt" strokecolor="#000000"/>
            <v:line style="position:absolute" from="907,10834" to="7479,10834" stroked="true" strokeweight="1.5pt" strokecolor="#000000"/>
            <v:line style="position:absolute" from="907,12564" to="7479,12564" stroked="true" strokeweight="1.5pt" strokecolor="#000000"/>
            <v:line style="position:absolute" from="7786,5240" to="10786,5240" stroked="true" strokeweight="1.5pt" strokecolor="#000000"/>
            <v:line style="position:absolute" from="7786,6973" to="9286,6973" stroked="true" strokeweight=".5pt" strokecolor="#000000"/>
            <v:line style="position:absolute" from="9286,6973" to="10786,6973" stroked="true" strokeweight=".5pt" strokecolor="#000000"/>
            <v:line style="position:absolute" from="7786,8050" to="9286,8050" stroked="true" strokeweight=".5pt" strokecolor="#000000"/>
            <v:line style="position:absolute" from="9286,8050" to="10786,8050" stroked="true" strokeweight=".5pt" strokecolor="#000000"/>
            <v:line style="position:absolute" from="7786,5739" to="9286,5739" stroked="true" strokeweight=".5pt" strokecolor="#939598"/>
            <v:line style="position:absolute" from="9286,5739" to="10786,5739" stroked="true" strokeweight=".5pt" strokecolor="#939598"/>
            <v:line style="position:absolute" from="7786,6027" to="9286,6027" stroked="true" strokeweight=".5pt" strokecolor="#939598"/>
            <v:line style="position:absolute" from="9286,6027" to="10786,6027" stroked="true" strokeweight=".5pt" strokecolor="#939598"/>
            <v:line style="position:absolute" from="7786,6315" to="9286,6315" stroked="true" strokeweight=".5pt" strokecolor="#939598"/>
            <v:line style="position:absolute" from="9286,6315" to="10786,6315" stroked="true" strokeweight=".5pt" strokecolor="#939598"/>
            <v:line style="position:absolute" from="7786,6603" to="9286,6603" stroked="true" strokeweight=".5pt" strokecolor="#939598"/>
            <v:line style="position:absolute" from="9286,6603" to="10786,6603" stroked="true" strokeweight=".5pt" strokecolor="#939598"/>
            <v:line style="position:absolute" from="7786,7461" to="9286,7461" stroked="true" strokeweight=".5pt" strokecolor="#939598"/>
            <v:line style="position:absolute" from="9286,7461" to="10786,7461" stroked="true" strokeweight=".5pt" strokecolor="#939598"/>
            <v:line style="position:absolute" from="7786,7749" to="9286,7749" stroked="true" strokeweight=".5pt" strokecolor="#939598"/>
            <v:line style="position:absolute" from="9286,7749" to="10786,7749" stroked="true" strokeweight=".5pt" strokecolor="#939598"/>
            <v:line style="position:absolute" from="7786,8538" to="9286,8538" stroked="true" strokeweight=".5pt" strokecolor="#939598"/>
            <v:line style="position:absolute" from="9286,8538" to="10786,8538" stroked="true" strokeweight=".5pt" strokecolor="#939598"/>
            <v:line style="position:absolute" from="7786,8826" to="9286,8826" stroked="true" strokeweight=".5pt" strokecolor="#939598"/>
            <v:line style="position:absolute" from="9286,8826" to="10786,8826" stroked="true" strokeweight=".5pt" strokecolor="#939598"/>
            <v:line style="position:absolute" from="7786,6968" to="10786,6968" stroked="true" strokeweight="1.5pt" strokecolor="#000000"/>
            <v:line style="position:absolute" from="7786,8045" to="10786,8045" stroked="true" strokeweight="1.5pt" strokecolor="#000000"/>
            <w10:wrap type="none"/>
          </v:group>
        </w:pict>
      </w:r>
    </w:p>
    <w:p>
      <w:pPr>
        <w:pStyle w:val="Heading8"/>
        <w:spacing w:before="72"/>
        <w:ind w:left="327" w:right="7611"/>
      </w:pPr>
      <w:r>
        <w:rPr>
          <w:w w:val="95"/>
        </w:rPr>
        <w:t>PROFESSOR DENISE KIRKPATRICK</w:t>
      </w:r>
    </w:p>
    <w:p>
      <w:pPr>
        <w:pStyle w:val="BodyText"/>
        <w:tabs>
          <w:tab w:pos="3766" w:val="left" w:leader="none"/>
        </w:tabs>
        <w:spacing w:line="249" w:lineRule="auto" w:before="89"/>
        <w:ind w:left="3766" w:right="4126" w:hanging="3440"/>
      </w:pPr>
      <w:r>
        <w:rPr/>
        <w:t>POSITION</w:t>
        <w:tab/>
        <w:t>Deputy Vice-Chancellor</w:t>
      </w:r>
      <w:r>
        <w:rPr>
          <w:spacing w:val="-8"/>
        </w:rPr>
        <w:t> </w:t>
      </w:r>
      <w:r>
        <w:rPr/>
        <w:t>&amp;</w:t>
      </w:r>
      <w:r>
        <w:rPr>
          <w:spacing w:val="-4"/>
        </w:rPr>
        <w:t> </w:t>
      </w:r>
      <w:r>
        <w:rPr/>
        <w:t>Vice-President</w:t>
      </w:r>
      <w:r>
        <w:rPr>
          <w:w w:val="102"/>
        </w:rPr>
        <w:t> </w:t>
      </w:r>
      <w:r>
        <w:rPr/>
        <w:t>(Academic)</w:t>
      </w:r>
    </w:p>
    <w:p>
      <w:pPr>
        <w:pStyle w:val="BodyText"/>
        <w:tabs>
          <w:tab w:pos="3766" w:val="left" w:leader="none"/>
        </w:tabs>
        <w:spacing w:before="87"/>
        <w:ind w:left="327" w:right="5322"/>
      </w:pPr>
      <w:r>
        <w:rPr>
          <w:spacing w:val="-3"/>
        </w:rPr>
        <w:t>TOTAL </w:t>
      </w:r>
      <w:r>
        <w:rPr/>
        <w:t>REMUNERATION</w:t>
      </w:r>
      <w:r>
        <w:rPr>
          <w:spacing w:val="-3"/>
        </w:rPr>
        <w:t> </w:t>
      </w:r>
      <w:r>
        <w:rPr/>
        <w:t>PACKAGE</w:t>
        <w:tab/>
      </w:r>
      <w:r>
        <w:rPr>
          <w:spacing w:val="2"/>
        </w:rPr>
        <w:t>$493,319</w:t>
      </w:r>
    </w:p>
    <w:p>
      <w:pPr>
        <w:pStyle w:val="BodyText"/>
        <w:tabs>
          <w:tab w:pos="3766" w:val="left" w:leader="none"/>
        </w:tabs>
        <w:spacing w:before="95"/>
        <w:ind w:left="327" w:right="5322"/>
      </w:pPr>
      <w:r>
        <w:rPr>
          <w:w w:val="95"/>
        </w:rPr>
        <w:t>PERIOD</w:t>
      </w:r>
      <w:r>
        <w:rPr>
          <w:spacing w:val="-5"/>
          <w:w w:val="95"/>
        </w:rPr>
        <w:t> </w:t>
      </w:r>
      <w:r>
        <w:rPr>
          <w:w w:val="95"/>
        </w:rPr>
        <w:t>IN</w:t>
      </w:r>
      <w:r>
        <w:rPr>
          <w:spacing w:val="-5"/>
          <w:w w:val="95"/>
        </w:rPr>
        <w:t> </w:t>
      </w:r>
      <w:r>
        <w:rPr>
          <w:w w:val="95"/>
        </w:rPr>
        <w:t>POSITION</w:t>
        <w:tab/>
      </w:r>
      <w:r>
        <w:rPr>
          <w:w w:val="90"/>
        </w:rPr>
        <w:t>11</w:t>
      </w:r>
      <w:r>
        <w:rPr>
          <w:spacing w:val="-20"/>
          <w:w w:val="90"/>
        </w:rPr>
        <w:t> </w:t>
      </w:r>
      <w:r>
        <w:rPr>
          <w:w w:val="90"/>
        </w:rPr>
        <w:t>months</w:t>
      </w:r>
    </w:p>
    <w:p>
      <w:pPr>
        <w:pStyle w:val="BodyText"/>
        <w:tabs>
          <w:tab w:pos="3766" w:val="left" w:leader="none"/>
        </w:tabs>
        <w:spacing w:before="95"/>
        <w:ind w:left="327" w:right="5322"/>
      </w:pPr>
      <w:r>
        <w:rPr/>
        <w:t>RESULTS</w:t>
        <w:tab/>
        <w:t>Met all</w:t>
      </w:r>
      <w:r>
        <w:rPr>
          <w:spacing w:val="-35"/>
        </w:rPr>
        <w:t> </w:t>
      </w:r>
      <w:r>
        <w:rPr/>
        <w:t>objectives</w:t>
      </w:r>
    </w:p>
    <w:p>
      <w:pPr>
        <w:pStyle w:val="BodyText"/>
        <w:spacing w:before="5"/>
        <w:rPr>
          <w:sz w:val="26"/>
        </w:rPr>
      </w:pPr>
    </w:p>
    <w:p>
      <w:pPr>
        <w:pStyle w:val="Heading8"/>
        <w:spacing w:before="72"/>
        <w:ind w:left="327" w:right="7611"/>
      </w:pPr>
      <w:r>
        <w:rPr>
          <w:w w:val="95"/>
        </w:rPr>
        <w:t>MR PETER PICKERING</w:t>
      </w:r>
    </w:p>
    <w:p>
      <w:pPr>
        <w:pStyle w:val="BodyText"/>
        <w:tabs>
          <w:tab w:pos="3766" w:val="left" w:leader="none"/>
        </w:tabs>
        <w:spacing w:before="89"/>
        <w:ind w:left="327" w:right="411"/>
      </w:pPr>
      <w:r>
        <w:rPr/>
        <w:t>POSITION</w:t>
        <w:tab/>
        <w:t>Vice-President</w:t>
      </w:r>
      <w:r>
        <w:rPr>
          <w:spacing w:val="-18"/>
        </w:rPr>
        <w:t> </w:t>
      </w:r>
      <w:r>
        <w:rPr/>
        <w:t>(Finance</w:t>
      </w:r>
      <w:r>
        <w:rPr>
          <w:spacing w:val="-18"/>
        </w:rPr>
        <w:t> </w:t>
      </w:r>
      <w:r>
        <w:rPr/>
        <w:t>&amp;</w:t>
      </w:r>
      <w:r>
        <w:rPr>
          <w:spacing w:val="-18"/>
        </w:rPr>
        <w:t> </w:t>
      </w:r>
      <w:r>
        <w:rPr/>
        <w:t>Resources)</w:t>
      </w:r>
    </w:p>
    <w:p>
      <w:pPr>
        <w:pStyle w:val="BodyText"/>
        <w:tabs>
          <w:tab w:pos="3766" w:val="left" w:leader="none"/>
        </w:tabs>
        <w:spacing w:before="95"/>
        <w:ind w:left="327" w:right="5322"/>
      </w:pPr>
      <w:r>
        <w:rPr>
          <w:spacing w:val="-3"/>
        </w:rPr>
        <w:t>TOTAL </w:t>
      </w:r>
      <w:r>
        <w:rPr/>
        <w:t>REMUNERATION</w:t>
      </w:r>
      <w:r>
        <w:rPr>
          <w:spacing w:val="-3"/>
        </w:rPr>
        <w:t> </w:t>
      </w:r>
      <w:r>
        <w:rPr/>
        <w:t>PACKAGE</w:t>
        <w:tab/>
      </w:r>
      <w:r>
        <w:rPr>
          <w:spacing w:val="2"/>
        </w:rPr>
        <w:t>$443,987</w:t>
      </w:r>
    </w:p>
    <w:p>
      <w:pPr>
        <w:pStyle w:val="BodyText"/>
        <w:tabs>
          <w:tab w:pos="3766" w:val="left" w:leader="none"/>
        </w:tabs>
        <w:spacing w:before="95"/>
        <w:ind w:left="327" w:right="5322"/>
      </w:pPr>
      <w:r>
        <w:rPr/>
        <w:t>PERIOD</w:t>
      </w:r>
      <w:r>
        <w:rPr>
          <w:spacing w:val="-24"/>
        </w:rPr>
        <w:t> </w:t>
      </w:r>
      <w:r>
        <w:rPr/>
        <w:t>IN</w:t>
      </w:r>
      <w:r>
        <w:rPr>
          <w:spacing w:val="-24"/>
        </w:rPr>
        <w:t> </w:t>
      </w:r>
      <w:r>
        <w:rPr/>
        <w:t>POSITION</w:t>
        <w:tab/>
        <w:t>Full</w:t>
      </w:r>
      <w:r>
        <w:rPr>
          <w:spacing w:val="-21"/>
        </w:rPr>
        <w:t> </w:t>
      </w:r>
      <w:r>
        <w:rPr/>
        <w:t>year</w:t>
      </w:r>
    </w:p>
    <w:p>
      <w:pPr>
        <w:pStyle w:val="BodyText"/>
        <w:tabs>
          <w:tab w:pos="3766" w:val="left" w:leader="none"/>
        </w:tabs>
        <w:spacing w:before="95"/>
        <w:ind w:left="327" w:right="5322"/>
      </w:pPr>
      <w:r>
        <w:rPr/>
        <w:t>RESULTS</w:t>
        <w:tab/>
        <w:t>Met all</w:t>
      </w:r>
      <w:r>
        <w:rPr>
          <w:spacing w:val="-35"/>
        </w:rPr>
        <w:t> </w:t>
      </w:r>
      <w:r>
        <w:rPr/>
        <w:t>objectives</w:t>
      </w:r>
    </w:p>
    <w:p>
      <w:pPr>
        <w:pStyle w:val="BodyText"/>
        <w:spacing w:before="5"/>
        <w:rPr>
          <w:sz w:val="26"/>
        </w:rPr>
      </w:pPr>
    </w:p>
    <w:p>
      <w:pPr>
        <w:pStyle w:val="Heading8"/>
        <w:spacing w:before="72"/>
        <w:ind w:left="327" w:right="7611"/>
      </w:pPr>
      <w:r>
        <w:rPr>
          <w:w w:val="95"/>
        </w:rPr>
        <w:t>MR ANGELO KOURTIS</w:t>
      </w:r>
    </w:p>
    <w:p>
      <w:pPr>
        <w:pStyle w:val="BodyText"/>
        <w:tabs>
          <w:tab w:pos="3766" w:val="left" w:leader="none"/>
        </w:tabs>
        <w:spacing w:before="89"/>
        <w:ind w:left="327" w:right="411"/>
      </w:pPr>
      <w:r>
        <w:rPr/>
        <w:t>POSITION</w:t>
        <w:tab/>
        <w:t>Vice-President (People and</w:t>
      </w:r>
      <w:r>
        <w:rPr>
          <w:spacing w:val="-15"/>
        </w:rPr>
        <w:t> </w:t>
      </w:r>
      <w:r>
        <w:rPr/>
        <w:t>Advancement)</w:t>
      </w:r>
    </w:p>
    <w:p>
      <w:pPr>
        <w:pStyle w:val="BodyText"/>
        <w:tabs>
          <w:tab w:pos="3766" w:val="left" w:leader="none"/>
        </w:tabs>
        <w:spacing w:before="95"/>
        <w:ind w:left="327" w:right="5322"/>
      </w:pPr>
      <w:r>
        <w:rPr>
          <w:spacing w:val="-3"/>
        </w:rPr>
        <w:t>TOTAL </w:t>
      </w:r>
      <w:r>
        <w:rPr/>
        <w:t>REMUNERATION</w:t>
      </w:r>
      <w:r>
        <w:rPr>
          <w:spacing w:val="-3"/>
        </w:rPr>
        <w:t> </w:t>
      </w:r>
      <w:r>
        <w:rPr/>
        <w:t>PACKAGE</w:t>
        <w:tab/>
        <w:t>$421,787</w:t>
      </w:r>
    </w:p>
    <w:p>
      <w:pPr>
        <w:pStyle w:val="BodyText"/>
        <w:tabs>
          <w:tab w:pos="3766" w:val="left" w:leader="none"/>
        </w:tabs>
        <w:spacing w:before="95"/>
        <w:ind w:left="327" w:right="5322"/>
      </w:pPr>
      <w:r>
        <w:rPr>
          <w:spacing w:val="2"/>
          <w:w w:val="104"/>
        </w:rPr>
        <w:t>P</w:t>
      </w:r>
      <w:r>
        <w:rPr>
          <w:spacing w:val="1"/>
          <w:w w:val="100"/>
        </w:rPr>
        <w:t>E</w:t>
      </w:r>
      <w:r>
        <w:rPr>
          <w:spacing w:val="2"/>
          <w:w w:val="99"/>
        </w:rPr>
        <w:t>R</w:t>
      </w:r>
      <w:r>
        <w:rPr>
          <w:spacing w:val="3"/>
          <w:w w:val="64"/>
        </w:rPr>
        <w:t>I</w:t>
      </w:r>
      <w:r>
        <w:rPr>
          <w:spacing w:val="3"/>
          <w:w w:val="100"/>
        </w:rPr>
        <w:t>O</w:t>
      </w:r>
      <w:r>
        <w:rPr>
          <w:w w:val="98"/>
        </w:rPr>
        <w:t>D</w:t>
      </w:r>
      <w:r>
        <w:rPr>
          <w:spacing w:val="-12"/>
        </w:rPr>
        <w:t> </w:t>
      </w:r>
      <w:r>
        <w:rPr>
          <w:spacing w:val="3"/>
          <w:w w:val="64"/>
        </w:rPr>
        <w:t>I</w:t>
      </w:r>
      <w:r>
        <w:rPr>
          <w:w w:val="101"/>
        </w:rPr>
        <w:t>N</w:t>
      </w:r>
      <w:r>
        <w:rPr>
          <w:spacing w:val="-12"/>
        </w:rPr>
        <w:t> </w:t>
      </w:r>
      <w:r>
        <w:rPr>
          <w:spacing w:val="4"/>
          <w:w w:val="104"/>
        </w:rPr>
        <w:t>P</w:t>
      </w:r>
      <w:r>
        <w:rPr>
          <w:spacing w:val="1"/>
          <w:w w:val="100"/>
        </w:rPr>
        <w:t>O</w:t>
      </w:r>
      <w:r>
        <w:rPr>
          <w:spacing w:val="2"/>
          <w:w w:val="98"/>
        </w:rPr>
        <w:t>S</w:t>
      </w:r>
      <w:r>
        <w:rPr>
          <w:spacing w:val="1"/>
          <w:w w:val="64"/>
        </w:rPr>
        <w:t>I</w:t>
      </w:r>
      <w:r>
        <w:rPr>
          <w:spacing w:val="2"/>
          <w:w w:val="92"/>
        </w:rPr>
        <w:t>T</w:t>
      </w:r>
      <w:r>
        <w:rPr>
          <w:spacing w:val="3"/>
          <w:w w:val="64"/>
        </w:rPr>
        <w:t>I</w:t>
      </w:r>
      <w:r>
        <w:rPr>
          <w:spacing w:val="3"/>
          <w:w w:val="100"/>
        </w:rPr>
        <w:t>O</w:t>
      </w:r>
      <w:r>
        <w:rPr>
          <w:w w:val="101"/>
        </w:rPr>
        <w:t>N</w:t>
      </w:r>
      <w:r>
        <w:rPr/>
        <w:tab/>
      </w:r>
      <w:r>
        <w:rPr>
          <w:spacing w:val="4"/>
          <w:w w:val="54"/>
        </w:rPr>
        <w:t>1</w:t>
      </w:r>
      <w:r>
        <w:rPr>
          <w:w w:val="111"/>
        </w:rPr>
        <w:t>0</w:t>
      </w:r>
      <w:r>
        <w:rPr>
          <w:spacing w:val="-12"/>
        </w:rPr>
        <w:t> </w:t>
      </w:r>
      <w:r>
        <w:rPr>
          <w:spacing w:val="2"/>
          <w:w w:val="98"/>
        </w:rPr>
        <w:t>m</w:t>
      </w:r>
      <w:r>
        <w:rPr>
          <w:spacing w:val="2"/>
          <w:w w:val="100"/>
        </w:rPr>
        <w:t>o</w:t>
      </w:r>
      <w:r>
        <w:rPr>
          <w:w w:val="95"/>
        </w:rPr>
        <w:t>n</w:t>
      </w:r>
      <w:r>
        <w:rPr>
          <w:w w:val="102"/>
        </w:rPr>
        <w:t>t</w:t>
      </w:r>
      <w:r>
        <w:rPr>
          <w:spacing w:val="2"/>
          <w:w w:val="95"/>
        </w:rPr>
        <w:t>h</w:t>
      </w:r>
      <w:r>
        <w:rPr>
          <w:w w:val="95"/>
        </w:rPr>
        <w:t>s</w:t>
      </w:r>
    </w:p>
    <w:p>
      <w:pPr>
        <w:pStyle w:val="BodyText"/>
        <w:tabs>
          <w:tab w:pos="3766" w:val="left" w:leader="none"/>
        </w:tabs>
        <w:spacing w:before="95"/>
        <w:ind w:left="327" w:right="5322"/>
      </w:pPr>
      <w:r>
        <w:rPr/>
        <w:t>RESULTS</w:t>
        <w:tab/>
        <w:t>Met all</w:t>
      </w:r>
      <w:r>
        <w:rPr>
          <w:spacing w:val="-35"/>
        </w:rPr>
        <w:t> </w:t>
      </w:r>
      <w:r>
        <w:rPr/>
        <w:t>objectives</w:t>
      </w:r>
    </w:p>
    <w:p>
      <w:pPr>
        <w:spacing w:after="0"/>
        <w:sectPr>
          <w:type w:val="continuous"/>
          <w:pgSz w:w="11910" w:h="16840"/>
          <w:pgMar w:top="1580" w:bottom="280" w:left="580" w:right="580"/>
        </w:sectPr>
      </w:pPr>
    </w:p>
    <w:p>
      <w:pPr>
        <w:pStyle w:val="BodyText"/>
        <w:spacing w:before="7"/>
        <w:rPr>
          <w:sz w:val="28"/>
        </w:rPr>
      </w:pPr>
    </w:p>
    <w:p>
      <w:pPr>
        <w:pStyle w:val="Heading1"/>
        <w:ind w:left="318"/>
      </w:pPr>
      <w:r>
        <w:rPr>
          <w:w w:val="95"/>
        </w:rPr>
        <w:t>APPENDIX 7</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5322"/>
      </w:pPr>
      <w:r>
        <w:rPr>
          <w:w w:val="95"/>
        </w:rPr>
        <w:t>PRINCIPAL OFFICERS OF THE UNIVERSITY</w:t>
      </w:r>
    </w:p>
    <w:p>
      <w:pPr>
        <w:pStyle w:val="BodyText"/>
        <w:spacing w:before="11"/>
        <w:rPr>
          <w:rFonts w:ascii="Gotham Narrow Bold"/>
          <w:b/>
          <w:sz w:val="11"/>
        </w:rPr>
      </w:pPr>
    </w:p>
    <w:p>
      <w:pPr>
        <w:spacing w:after="0"/>
        <w:rPr>
          <w:rFonts w:ascii="Gotham Narrow Bold"/>
          <w:sz w:val="11"/>
        </w:rPr>
        <w:sectPr>
          <w:pgSz w:w="11910" w:h="16840"/>
          <w:pgMar w:header="494" w:footer="473" w:top="680" w:bottom="660" w:left="580" w:right="580"/>
        </w:sectPr>
      </w:pPr>
    </w:p>
    <w:p>
      <w:pPr>
        <w:pStyle w:val="Heading8"/>
        <w:spacing w:before="72"/>
        <w:ind w:left="327"/>
      </w:pPr>
      <w:r>
        <w:rPr/>
        <w:pict>
          <v:group style="position:absolute;margin-left:34.015999pt;margin-top:45.355015pt;width:527.25pt;height:751.2pt;mso-position-horizontal-relative:page;mso-position-vertical-relative:page;z-index:-331840" coordorigin="680,907" coordsize="10545,15024">
            <v:rect style="position:absolute;left:680;top:907;width:10545;height:15024" filled="true" fillcolor="#e6e7e8" stroked="false">
              <v:fill type="solid"/>
            </v:rect>
            <v:line style="position:absolute" from="907,5238" to="4120,5238" stroked="true" strokeweight="1.5pt" strokecolor="#000000"/>
            <v:line style="position:absolute" from="907,6264" to="4120,6264" stroked="true" strokeweight="1.5pt" strokecolor="#000000"/>
            <v:line style="position:absolute" from="907,7689" to="4120,7689" stroked="true" strokeweight="1.5pt" strokecolor="#000000"/>
            <v:line style="position:absolute" from="4346,5238" to="7559,5238" stroked="true" strokeweight="1.5pt" strokecolor="#000000"/>
            <v:line style="position:absolute" from="4346,7064" to="7559,7064" stroked="true" strokeweight="1.5pt" strokecolor="#000000"/>
            <v:line style="position:absolute" from="7786,5238" to="10998,5238" stroked="true" strokeweight="1.5pt" strokecolor="#000000"/>
            <v:line style="position:absolute" from="7786,6464" to="10998,6464" stroked="true" strokeweight="1.5pt" strokecolor="#000000"/>
            <w10:wrap type="none"/>
          </v:group>
        </w:pict>
      </w:r>
      <w:r>
        <w:rPr/>
        <w:t>CHANCELLOR</w:t>
      </w:r>
    </w:p>
    <w:p>
      <w:pPr>
        <w:pStyle w:val="BodyText"/>
        <w:spacing w:line="193" w:lineRule="exact" w:before="94"/>
        <w:ind w:left="327"/>
        <w:rPr>
          <w:rFonts w:ascii="Calibri"/>
        </w:rPr>
      </w:pPr>
      <w:r>
        <w:rPr>
          <w:rFonts w:ascii="Calibri"/>
          <w:w w:val="110"/>
        </w:rPr>
        <w:t>Professor Peter Shergold AC</w:t>
      </w:r>
    </w:p>
    <w:p>
      <w:pPr>
        <w:spacing w:line="194" w:lineRule="exact" w:before="0"/>
        <w:ind w:left="327" w:right="-8" w:firstLine="0"/>
        <w:jc w:val="left"/>
        <w:rPr>
          <w:sz w:val="16"/>
        </w:rPr>
      </w:pPr>
      <w:r>
        <w:rPr>
          <w:sz w:val="16"/>
        </w:rPr>
        <w:t>BA</w:t>
      </w:r>
      <w:r>
        <w:rPr>
          <w:spacing w:val="-11"/>
          <w:sz w:val="16"/>
        </w:rPr>
        <w:t> </w:t>
      </w:r>
      <w:r>
        <w:rPr>
          <w:sz w:val="16"/>
        </w:rPr>
        <w:t>(Hons)</w:t>
      </w:r>
      <w:r>
        <w:rPr>
          <w:spacing w:val="-11"/>
          <w:sz w:val="16"/>
        </w:rPr>
        <w:t> </w:t>
      </w:r>
      <w:r>
        <w:rPr>
          <w:rFonts w:ascii="Century Gothic"/>
          <w:i/>
          <w:sz w:val="16"/>
        </w:rPr>
        <w:t>Hull</w:t>
      </w:r>
      <w:r>
        <w:rPr>
          <w:sz w:val="16"/>
        </w:rPr>
        <w:t>,</w:t>
      </w:r>
      <w:r>
        <w:rPr>
          <w:spacing w:val="-11"/>
          <w:sz w:val="16"/>
        </w:rPr>
        <w:t> </w:t>
      </w:r>
      <w:r>
        <w:rPr>
          <w:sz w:val="16"/>
        </w:rPr>
        <w:t>MA</w:t>
      </w:r>
      <w:r>
        <w:rPr>
          <w:spacing w:val="-11"/>
          <w:sz w:val="16"/>
        </w:rPr>
        <w:t> </w:t>
      </w:r>
      <w:r>
        <w:rPr>
          <w:rFonts w:ascii="Century Gothic"/>
          <w:i/>
          <w:sz w:val="16"/>
        </w:rPr>
        <w:t>Illinois</w:t>
      </w:r>
      <w:r>
        <w:rPr>
          <w:sz w:val="16"/>
        </w:rPr>
        <w:t>,</w:t>
      </w:r>
      <w:r>
        <w:rPr>
          <w:spacing w:val="-11"/>
          <w:sz w:val="16"/>
        </w:rPr>
        <w:t> </w:t>
      </w:r>
      <w:r>
        <w:rPr>
          <w:sz w:val="16"/>
        </w:rPr>
        <w:t>PhD</w:t>
      </w:r>
      <w:r>
        <w:rPr>
          <w:spacing w:val="-11"/>
          <w:sz w:val="16"/>
        </w:rPr>
        <w:t> </w:t>
      </w:r>
      <w:r>
        <w:rPr>
          <w:rFonts w:ascii="Century Gothic"/>
          <w:i/>
          <w:sz w:val="16"/>
        </w:rPr>
        <w:t>LSE</w:t>
      </w:r>
      <w:r>
        <w:rPr>
          <w:sz w:val="16"/>
        </w:rPr>
        <w:t>,</w:t>
      </w:r>
      <w:r>
        <w:rPr>
          <w:spacing w:val="-11"/>
          <w:sz w:val="16"/>
        </w:rPr>
        <w:t> </w:t>
      </w:r>
      <w:r>
        <w:rPr>
          <w:sz w:val="16"/>
        </w:rPr>
        <w:t>FASSA</w:t>
      </w:r>
    </w:p>
    <w:p>
      <w:pPr>
        <w:pStyle w:val="BodyText"/>
      </w:pPr>
    </w:p>
    <w:p>
      <w:pPr>
        <w:pStyle w:val="BodyText"/>
        <w:spacing w:before="1"/>
        <w:rPr>
          <w:sz w:val="13"/>
        </w:rPr>
      </w:pPr>
    </w:p>
    <w:p>
      <w:pPr>
        <w:pStyle w:val="Heading8"/>
        <w:ind w:left="327"/>
      </w:pPr>
      <w:r>
        <w:rPr/>
        <w:t>VICE-CHANCELLOR</w:t>
      </w:r>
    </w:p>
    <w:p>
      <w:pPr>
        <w:pStyle w:val="BodyText"/>
        <w:spacing w:line="193" w:lineRule="exact" w:before="94"/>
        <w:ind w:left="327"/>
        <w:rPr>
          <w:rFonts w:ascii="Calibri"/>
        </w:rPr>
      </w:pPr>
      <w:r>
        <w:rPr>
          <w:rFonts w:ascii="Calibri"/>
          <w:w w:val="110"/>
        </w:rPr>
        <w:t>Professor Barney Glover</w:t>
      </w:r>
    </w:p>
    <w:p>
      <w:pPr>
        <w:spacing w:line="244" w:lineRule="auto" w:before="0"/>
        <w:ind w:left="327" w:right="0" w:firstLine="0"/>
        <w:jc w:val="left"/>
        <w:rPr>
          <w:sz w:val="16"/>
        </w:rPr>
      </w:pPr>
      <w:r>
        <w:rPr>
          <w:sz w:val="16"/>
        </w:rPr>
        <w:t>PhD </w:t>
      </w:r>
      <w:r>
        <w:rPr>
          <w:rFonts w:ascii="Century Gothic"/>
          <w:i/>
          <w:sz w:val="16"/>
        </w:rPr>
        <w:t>Melbourne</w:t>
      </w:r>
      <w:r>
        <w:rPr>
          <w:sz w:val="16"/>
        </w:rPr>
        <w:t>, MSc </w:t>
      </w:r>
      <w:r>
        <w:rPr>
          <w:rFonts w:ascii="Century Gothic"/>
          <w:i/>
          <w:sz w:val="16"/>
        </w:rPr>
        <w:t>Melbourne</w:t>
      </w:r>
      <w:r>
        <w:rPr>
          <w:sz w:val="16"/>
        </w:rPr>
        <w:t>, BSc </w:t>
      </w:r>
      <w:r>
        <w:rPr>
          <w:w w:val="90"/>
          <w:sz w:val="16"/>
        </w:rPr>
        <w:t>(Honours) </w:t>
      </w:r>
      <w:r>
        <w:rPr>
          <w:rFonts w:ascii="Century Gothic"/>
          <w:i/>
          <w:w w:val="90"/>
          <w:sz w:val="16"/>
        </w:rPr>
        <w:t>Melbourne</w:t>
      </w:r>
      <w:r>
        <w:rPr>
          <w:w w:val="90"/>
          <w:sz w:val="16"/>
        </w:rPr>
        <w:t>, Dip Ed </w:t>
      </w:r>
      <w:r>
        <w:rPr>
          <w:rFonts w:ascii="Century Gothic"/>
          <w:i/>
          <w:w w:val="90"/>
          <w:sz w:val="16"/>
        </w:rPr>
        <w:t>Melbourne</w:t>
      </w:r>
      <w:r>
        <w:rPr>
          <w:w w:val="90"/>
          <w:sz w:val="16"/>
        </w:rPr>
        <w:t>, </w:t>
      </w:r>
      <w:r>
        <w:rPr>
          <w:sz w:val="16"/>
        </w:rPr>
        <w:t>MAICD</w:t>
      </w:r>
    </w:p>
    <w:p>
      <w:pPr>
        <w:pStyle w:val="BodyText"/>
      </w:pPr>
    </w:p>
    <w:p>
      <w:pPr>
        <w:pStyle w:val="BodyText"/>
        <w:spacing w:before="11"/>
        <w:rPr>
          <w:sz w:val="12"/>
        </w:rPr>
      </w:pPr>
    </w:p>
    <w:p>
      <w:pPr>
        <w:pStyle w:val="Heading8"/>
        <w:ind w:left="327"/>
      </w:pPr>
      <w:r>
        <w:rPr>
          <w:w w:val="95"/>
        </w:rPr>
        <w:t>CHAIR, ACADEMIC SENATE</w:t>
      </w:r>
    </w:p>
    <w:p>
      <w:pPr>
        <w:pStyle w:val="BodyText"/>
        <w:spacing w:line="193" w:lineRule="exact" w:before="94"/>
        <w:ind w:left="327"/>
        <w:rPr>
          <w:rFonts w:ascii="Calibri"/>
        </w:rPr>
      </w:pPr>
      <w:r>
        <w:rPr>
          <w:rFonts w:ascii="Calibri"/>
          <w:w w:val="110"/>
        </w:rPr>
        <w:t>Associate Professor Paul Wormell</w:t>
      </w:r>
    </w:p>
    <w:p>
      <w:pPr>
        <w:pStyle w:val="BodyText"/>
        <w:spacing w:line="194" w:lineRule="exact"/>
        <w:ind w:left="327"/>
      </w:pPr>
      <w:r>
        <w:rPr/>
        <w:t>BSc </w:t>
      </w:r>
      <w:r>
        <w:rPr>
          <w:rFonts w:ascii="Century Gothic"/>
          <w:i/>
        </w:rPr>
        <w:t>Syd</w:t>
      </w:r>
      <w:r>
        <w:rPr/>
        <w:t>, PhD </w:t>
      </w:r>
      <w:r>
        <w:rPr>
          <w:rFonts w:ascii="Century Gothic"/>
          <w:i/>
        </w:rPr>
        <w:t>Syd</w:t>
      </w:r>
      <w:r>
        <w:rPr/>
        <w:t>, FRACI, CChem</w:t>
      </w:r>
    </w:p>
    <w:p>
      <w:pPr>
        <w:pStyle w:val="Heading8"/>
        <w:spacing w:line="249" w:lineRule="auto" w:before="72"/>
        <w:ind w:left="327" w:right="838"/>
      </w:pPr>
      <w:r>
        <w:rPr>
          <w:b w:val="0"/>
        </w:rPr>
        <w:br w:type="column"/>
      </w:r>
      <w:r>
        <w:rPr>
          <w:w w:val="95"/>
        </w:rPr>
        <w:t>DEPUTY VICE-CHANCELLOR AND </w:t>
      </w:r>
      <w:r>
        <w:rPr/>
        <w:t>VICE-PRESIDENT (ACADEMIC) </w:t>
      </w:r>
      <w:r>
        <w:rPr>
          <w:w w:val="95"/>
        </w:rPr>
        <w:t>(FROM 12 JANUARY 2015)</w:t>
      </w:r>
    </w:p>
    <w:p>
      <w:pPr>
        <w:pStyle w:val="BodyText"/>
        <w:spacing w:line="193" w:lineRule="exact" w:before="86"/>
        <w:ind w:left="327" w:right="-1"/>
        <w:rPr>
          <w:rFonts w:ascii="Calibri"/>
        </w:rPr>
      </w:pPr>
      <w:r>
        <w:rPr>
          <w:rFonts w:ascii="Calibri"/>
          <w:w w:val="110"/>
        </w:rPr>
        <w:t>Professor Denise Kirkpatrick</w:t>
      </w:r>
    </w:p>
    <w:p>
      <w:pPr>
        <w:spacing w:line="244" w:lineRule="auto" w:before="0"/>
        <w:ind w:left="327" w:right="0" w:firstLine="0"/>
        <w:jc w:val="both"/>
        <w:rPr>
          <w:rFonts w:ascii="Century Gothic"/>
          <w:i/>
          <w:sz w:val="16"/>
        </w:rPr>
      </w:pPr>
      <w:r>
        <w:rPr>
          <w:w w:val="95"/>
          <w:sz w:val="16"/>
        </w:rPr>
        <w:t>PhD</w:t>
      </w:r>
      <w:r>
        <w:rPr>
          <w:spacing w:val="-19"/>
          <w:w w:val="95"/>
          <w:sz w:val="16"/>
        </w:rPr>
        <w:t> </w:t>
      </w:r>
      <w:r>
        <w:rPr>
          <w:rFonts w:ascii="Century Gothic"/>
          <w:i/>
          <w:w w:val="95"/>
          <w:sz w:val="16"/>
        </w:rPr>
        <w:t>ECU</w:t>
      </w:r>
      <w:r>
        <w:rPr>
          <w:w w:val="95"/>
          <w:sz w:val="16"/>
        </w:rPr>
        <w:t>,</w:t>
      </w:r>
      <w:r>
        <w:rPr>
          <w:spacing w:val="-19"/>
          <w:w w:val="95"/>
          <w:sz w:val="16"/>
        </w:rPr>
        <w:t> </w:t>
      </w:r>
      <w:r>
        <w:rPr>
          <w:spacing w:val="2"/>
          <w:w w:val="95"/>
          <w:sz w:val="16"/>
        </w:rPr>
        <w:t>M.Ed</w:t>
      </w:r>
      <w:r>
        <w:rPr>
          <w:spacing w:val="-19"/>
          <w:w w:val="95"/>
          <w:sz w:val="16"/>
        </w:rPr>
        <w:t> </w:t>
      </w:r>
      <w:r>
        <w:rPr>
          <w:rFonts w:ascii="Century Gothic"/>
          <w:i/>
          <w:w w:val="95"/>
          <w:sz w:val="16"/>
        </w:rPr>
        <w:t>UWA</w:t>
      </w:r>
      <w:r>
        <w:rPr>
          <w:w w:val="95"/>
          <w:sz w:val="16"/>
        </w:rPr>
        <w:t>,</w:t>
      </w:r>
      <w:r>
        <w:rPr>
          <w:spacing w:val="-19"/>
          <w:w w:val="95"/>
          <w:sz w:val="16"/>
        </w:rPr>
        <w:t> </w:t>
      </w:r>
      <w:r>
        <w:rPr>
          <w:spacing w:val="2"/>
          <w:w w:val="95"/>
          <w:sz w:val="16"/>
        </w:rPr>
        <w:t>B.Ed</w:t>
      </w:r>
      <w:r>
        <w:rPr>
          <w:spacing w:val="-19"/>
          <w:w w:val="95"/>
          <w:sz w:val="16"/>
        </w:rPr>
        <w:t> </w:t>
      </w:r>
      <w:r>
        <w:rPr>
          <w:rFonts w:ascii="Century Gothic"/>
          <w:i/>
          <w:w w:val="95"/>
          <w:sz w:val="16"/>
        </w:rPr>
        <w:t>Western</w:t>
      </w:r>
      <w:r>
        <w:rPr>
          <w:rFonts w:ascii="Century Gothic"/>
          <w:i/>
          <w:spacing w:val="-14"/>
          <w:w w:val="95"/>
          <w:sz w:val="16"/>
        </w:rPr>
        <w:t> </w:t>
      </w:r>
      <w:r>
        <w:rPr>
          <w:rFonts w:ascii="Century Gothic"/>
          <w:i/>
          <w:w w:val="95"/>
          <w:sz w:val="16"/>
        </w:rPr>
        <w:t>Australian </w:t>
      </w:r>
      <w:r>
        <w:rPr>
          <w:rFonts w:ascii="Century Gothic"/>
          <w:i/>
          <w:w w:val="90"/>
          <w:sz w:val="16"/>
        </w:rPr>
        <w:t>College</w:t>
      </w:r>
      <w:r>
        <w:rPr>
          <w:rFonts w:ascii="Century Gothic"/>
          <w:i/>
          <w:spacing w:val="-10"/>
          <w:w w:val="90"/>
          <w:sz w:val="16"/>
        </w:rPr>
        <w:t> </w:t>
      </w:r>
      <w:r>
        <w:rPr>
          <w:rFonts w:ascii="Century Gothic"/>
          <w:i/>
          <w:w w:val="90"/>
          <w:sz w:val="16"/>
        </w:rPr>
        <w:t>of</w:t>
      </w:r>
      <w:r>
        <w:rPr>
          <w:rFonts w:ascii="Century Gothic"/>
          <w:i/>
          <w:spacing w:val="-10"/>
          <w:w w:val="90"/>
          <w:sz w:val="16"/>
        </w:rPr>
        <w:t> </w:t>
      </w:r>
      <w:r>
        <w:rPr>
          <w:rFonts w:ascii="Century Gothic"/>
          <w:i/>
          <w:w w:val="90"/>
          <w:sz w:val="16"/>
        </w:rPr>
        <w:t>Advanced</w:t>
      </w:r>
      <w:r>
        <w:rPr>
          <w:rFonts w:ascii="Century Gothic"/>
          <w:i/>
          <w:spacing w:val="-10"/>
          <w:w w:val="90"/>
          <w:sz w:val="16"/>
        </w:rPr>
        <w:t> </w:t>
      </w:r>
      <w:r>
        <w:rPr>
          <w:rFonts w:ascii="Century Gothic"/>
          <w:i/>
          <w:w w:val="90"/>
          <w:sz w:val="16"/>
        </w:rPr>
        <w:t>Ed</w:t>
      </w:r>
      <w:r>
        <w:rPr>
          <w:w w:val="90"/>
          <w:sz w:val="16"/>
        </w:rPr>
        <w:t>,</w:t>
      </w:r>
      <w:r>
        <w:rPr>
          <w:spacing w:val="-15"/>
          <w:w w:val="90"/>
          <w:sz w:val="16"/>
        </w:rPr>
        <w:t> </w:t>
      </w:r>
      <w:r>
        <w:rPr>
          <w:w w:val="90"/>
          <w:sz w:val="16"/>
        </w:rPr>
        <w:t>Dip</w:t>
      </w:r>
      <w:r>
        <w:rPr>
          <w:spacing w:val="-15"/>
          <w:w w:val="90"/>
          <w:sz w:val="16"/>
        </w:rPr>
        <w:t> </w:t>
      </w:r>
      <w:r>
        <w:rPr>
          <w:w w:val="90"/>
          <w:sz w:val="16"/>
        </w:rPr>
        <w:t>Teaching</w:t>
      </w:r>
      <w:r>
        <w:rPr>
          <w:spacing w:val="-15"/>
          <w:w w:val="90"/>
          <w:sz w:val="16"/>
        </w:rPr>
        <w:t> </w:t>
      </w:r>
      <w:r>
        <w:rPr>
          <w:rFonts w:ascii="Century Gothic"/>
          <w:i/>
          <w:w w:val="90"/>
          <w:sz w:val="16"/>
        </w:rPr>
        <w:t>Western </w:t>
      </w:r>
      <w:r>
        <w:rPr>
          <w:rFonts w:ascii="Century Gothic"/>
          <w:i/>
          <w:w w:val="85"/>
          <w:sz w:val="16"/>
        </w:rPr>
        <w:t>Australian College of Advanced</w:t>
      </w:r>
      <w:r>
        <w:rPr>
          <w:rFonts w:ascii="Century Gothic"/>
          <w:i/>
          <w:spacing w:val="16"/>
          <w:w w:val="85"/>
          <w:sz w:val="16"/>
        </w:rPr>
        <w:t> </w:t>
      </w:r>
      <w:r>
        <w:rPr>
          <w:rFonts w:ascii="Century Gothic"/>
          <w:i/>
          <w:w w:val="85"/>
          <w:sz w:val="16"/>
        </w:rPr>
        <w:t>Education</w:t>
      </w:r>
    </w:p>
    <w:p>
      <w:pPr>
        <w:pStyle w:val="BodyText"/>
        <w:rPr>
          <w:rFonts w:ascii="Century Gothic"/>
          <w:i/>
        </w:rPr>
      </w:pPr>
    </w:p>
    <w:p>
      <w:pPr>
        <w:pStyle w:val="BodyText"/>
        <w:spacing w:before="4"/>
        <w:rPr>
          <w:rFonts w:ascii="Century Gothic"/>
          <w:i/>
          <w:sz w:val="12"/>
        </w:rPr>
      </w:pPr>
    </w:p>
    <w:p>
      <w:pPr>
        <w:pStyle w:val="Heading8"/>
        <w:spacing w:line="249" w:lineRule="auto"/>
        <w:ind w:left="327" w:right="803"/>
      </w:pPr>
      <w:r>
        <w:rPr/>
        <w:t>DEPUTY VICE-CHANCELLOR </w:t>
      </w:r>
      <w:r>
        <w:rPr>
          <w:w w:val="95"/>
        </w:rPr>
        <w:t>(RESEARCH AND DEVELOPMENT)</w:t>
      </w:r>
    </w:p>
    <w:p>
      <w:pPr>
        <w:pStyle w:val="BodyText"/>
        <w:spacing w:line="193" w:lineRule="exact" w:before="86"/>
        <w:ind w:left="327" w:right="-1"/>
        <w:rPr>
          <w:rFonts w:ascii="Calibri"/>
        </w:rPr>
      </w:pPr>
      <w:r>
        <w:rPr>
          <w:rFonts w:ascii="Calibri"/>
          <w:w w:val="110"/>
        </w:rPr>
        <w:t>Professor Scott Holmes</w:t>
      </w:r>
    </w:p>
    <w:p>
      <w:pPr>
        <w:spacing w:line="194" w:lineRule="exact" w:before="0"/>
        <w:ind w:left="327" w:right="-1" w:firstLine="0"/>
        <w:jc w:val="left"/>
        <w:rPr>
          <w:rFonts w:ascii="Century Gothic"/>
          <w:i/>
          <w:sz w:val="16"/>
        </w:rPr>
      </w:pPr>
      <w:r>
        <w:rPr>
          <w:w w:val="95"/>
          <w:sz w:val="16"/>
        </w:rPr>
        <w:t>PhD </w:t>
      </w:r>
      <w:r>
        <w:rPr>
          <w:rFonts w:ascii="Century Gothic"/>
          <w:i/>
          <w:w w:val="95"/>
          <w:sz w:val="16"/>
        </w:rPr>
        <w:t>ANU</w:t>
      </w:r>
      <w:r>
        <w:rPr>
          <w:w w:val="95"/>
          <w:sz w:val="16"/>
        </w:rPr>
        <w:t>, BCom </w:t>
      </w:r>
      <w:r>
        <w:rPr>
          <w:rFonts w:ascii="Century Gothic"/>
          <w:i/>
          <w:w w:val="95"/>
          <w:sz w:val="16"/>
        </w:rPr>
        <w:t>Uni Newcastle</w:t>
      </w:r>
    </w:p>
    <w:p>
      <w:pPr>
        <w:pStyle w:val="Heading8"/>
        <w:spacing w:before="72"/>
        <w:ind w:left="187" w:right="296"/>
      </w:pPr>
      <w:r>
        <w:rPr>
          <w:b w:val="0"/>
        </w:rPr>
        <w:br w:type="column"/>
      </w:r>
      <w:r>
        <w:rPr/>
        <w:t>VICE-PRESIDENT</w:t>
      </w:r>
    </w:p>
    <w:p>
      <w:pPr>
        <w:spacing w:before="8"/>
        <w:ind w:left="187" w:right="296" w:firstLine="0"/>
        <w:jc w:val="left"/>
        <w:rPr>
          <w:rFonts w:ascii="Gotham Narrow Bold"/>
          <w:b/>
          <w:sz w:val="16"/>
        </w:rPr>
      </w:pPr>
      <w:r>
        <w:rPr>
          <w:rFonts w:ascii="Gotham Narrow Bold"/>
          <w:b/>
          <w:w w:val="95"/>
          <w:sz w:val="16"/>
        </w:rPr>
        <w:t>(FINANCE AND RESOURCES)</w:t>
      </w:r>
    </w:p>
    <w:p>
      <w:pPr>
        <w:pStyle w:val="BodyText"/>
        <w:spacing w:line="194" w:lineRule="exact" w:before="94"/>
        <w:ind w:left="187" w:right="296"/>
        <w:rPr>
          <w:rFonts w:ascii="Calibri"/>
        </w:rPr>
      </w:pPr>
      <w:r>
        <w:rPr>
          <w:rFonts w:ascii="Calibri"/>
          <w:w w:val="110"/>
        </w:rPr>
        <w:t>Mr Peter Pickering</w:t>
      </w:r>
    </w:p>
    <w:p>
      <w:pPr>
        <w:pStyle w:val="ListParagraph"/>
        <w:numPr>
          <w:ilvl w:val="1"/>
          <w:numId w:val="3"/>
        </w:numPr>
        <w:tabs>
          <w:tab w:pos="425" w:val="left" w:leader="none"/>
        </w:tabs>
        <w:spacing w:line="192" w:lineRule="exact" w:before="0" w:after="0"/>
        <w:ind w:left="424" w:right="0" w:hanging="237"/>
        <w:jc w:val="left"/>
        <w:rPr>
          <w:sz w:val="16"/>
        </w:rPr>
      </w:pPr>
      <w:r>
        <w:rPr>
          <w:sz w:val="16"/>
        </w:rPr>
        <w:t>om</w:t>
      </w:r>
      <w:r>
        <w:rPr>
          <w:spacing w:val="-22"/>
          <w:sz w:val="16"/>
        </w:rPr>
        <w:t> </w:t>
      </w:r>
      <w:r>
        <w:rPr>
          <w:sz w:val="16"/>
        </w:rPr>
        <w:t>(Hons),</w:t>
      </w:r>
      <w:r>
        <w:rPr>
          <w:spacing w:val="-22"/>
          <w:sz w:val="16"/>
        </w:rPr>
        <w:t> </w:t>
      </w:r>
      <w:r>
        <w:rPr>
          <w:sz w:val="16"/>
        </w:rPr>
        <w:t>Dip</w:t>
      </w:r>
      <w:r>
        <w:rPr>
          <w:spacing w:val="-22"/>
          <w:sz w:val="16"/>
        </w:rPr>
        <w:t> </w:t>
      </w:r>
      <w:r>
        <w:rPr>
          <w:spacing w:val="2"/>
          <w:sz w:val="16"/>
        </w:rPr>
        <w:t>CM,</w:t>
      </w:r>
      <w:r>
        <w:rPr>
          <w:spacing w:val="-22"/>
          <w:sz w:val="16"/>
        </w:rPr>
        <w:t> </w:t>
      </w:r>
      <w:r>
        <w:rPr>
          <w:sz w:val="16"/>
        </w:rPr>
        <w:t>FCPA,</w:t>
      </w:r>
      <w:r>
        <w:rPr>
          <w:spacing w:val="-22"/>
          <w:sz w:val="16"/>
        </w:rPr>
        <w:t> </w:t>
      </w:r>
      <w:r>
        <w:rPr>
          <w:sz w:val="16"/>
        </w:rPr>
        <w:t>FCIS,</w:t>
      </w:r>
      <w:r>
        <w:rPr>
          <w:spacing w:val="-22"/>
          <w:sz w:val="16"/>
        </w:rPr>
        <w:t> </w:t>
      </w:r>
      <w:r>
        <w:rPr>
          <w:sz w:val="16"/>
        </w:rPr>
        <w:t>FAICD</w:t>
      </w:r>
    </w:p>
    <w:p>
      <w:pPr>
        <w:pStyle w:val="BodyText"/>
      </w:pPr>
    </w:p>
    <w:p>
      <w:pPr>
        <w:pStyle w:val="BodyText"/>
        <w:spacing w:before="3"/>
        <w:rPr>
          <w:sz w:val="13"/>
        </w:rPr>
      </w:pPr>
    </w:p>
    <w:p>
      <w:pPr>
        <w:pStyle w:val="Heading8"/>
        <w:ind w:left="187" w:right="296"/>
      </w:pPr>
      <w:r>
        <w:rPr/>
        <w:t>VICE-PRESIDENT</w:t>
      </w:r>
    </w:p>
    <w:p>
      <w:pPr>
        <w:spacing w:line="249" w:lineRule="auto" w:before="8"/>
        <w:ind w:left="187" w:right="1308" w:firstLine="0"/>
        <w:jc w:val="left"/>
        <w:rPr>
          <w:rFonts w:ascii="Gotham Narrow Bold"/>
          <w:b/>
          <w:sz w:val="16"/>
        </w:rPr>
      </w:pPr>
      <w:r>
        <w:rPr>
          <w:rFonts w:ascii="Gotham Narrow Bold"/>
          <w:b/>
          <w:w w:val="95"/>
          <w:sz w:val="16"/>
        </w:rPr>
        <w:t>(PEOPLE AND ADVANCEMENT) </w:t>
      </w:r>
      <w:r>
        <w:rPr>
          <w:rFonts w:ascii="Gotham Narrow Bold"/>
          <w:b/>
          <w:sz w:val="16"/>
        </w:rPr>
        <w:t>(FROM 5 MARCH 2015)</w:t>
      </w:r>
    </w:p>
    <w:p>
      <w:pPr>
        <w:pStyle w:val="BodyText"/>
        <w:spacing w:line="193" w:lineRule="exact" w:before="86"/>
        <w:ind w:left="187" w:right="296"/>
        <w:rPr>
          <w:rFonts w:ascii="Calibri"/>
        </w:rPr>
      </w:pPr>
      <w:r>
        <w:rPr>
          <w:rFonts w:ascii="Calibri"/>
          <w:w w:val="110"/>
        </w:rPr>
        <w:t>Angelo Kourtis</w:t>
      </w:r>
    </w:p>
    <w:p>
      <w:pPr>
        <w:spacing w:line="194" w:lineRule="exact" w:before="0"/>
        <w:ind w:left="187" w:right="296" w:firstLine="0"/>
        <w:jc w:val="left"/>
        <w:rPr>
          <w:rFonts w:ascii="Century Gothic"/>
          <w:i/>
          <w:sz w:val="16"/>
        </w:rPr>
      </w:pPr>
      <w:r>
        <w:rPr>
          <w:w w:val="105"/>
          <w:sz w:val="16"/>
        </w:rPr>
        <w:t>BA </w:t>
      </w:r>
      <w:r>
        <w:rPr>
          <w:rFonts w:ascii="Century Gothic"/>
          <w:i/>
          <w:w w:val="105"/>
          <w:sz w:val="16"/>
        </w:rPr>
        <w:t>UWS</w:t>
      </w:r>
    </w:p>
    <w:p>
      <w:pPr>
        <w:spacing w:after="0" w:line="194" w:lineRule="exact"/>
        <w:jc w:val="left"/>
        <w:rPr>
          <w:rFonts w:ascii="Century Gothic"/>
          <w:sz w:val="16"/>
        </w:rPr>
        <w:sectPr>
          <w:type w:val="continuous"/>
          <w:pgSz w:w="11910" w:h="16840"/>
          <w:pgMar w:top="1580" w:bottom="280" w:left="580" w:right="580"/>
          <w:cols w:num="3" w:equalWidth="0">
            <w:col w:w="3324" w:space="115"/>
            <w:col w:w="3540" w:space="40"/>
            <w:col w:w="3731"/>
          </w:cols>
        </w:sectPr>
      </w:pPr>
    </w:p>
    <w:p>
      <w:pPr>
        <w:pStyle w:val="BodyText"/>
        <w:spacing w:before="2"/>
        <w:rPr>
          <w:rFonts w:ascii="Century Gothic"/>
          <w:i/>
          <w:sz w:val="28"/>
        </w:rPr>
      </w:pPr>
    </w:p>
    <w:p>
      <w:pPr>
        <w:pStyle w:val="Heading1"/>
      </w:pPr>
      <w:r>
        <w:rPr>
          <w:w w:val="95"/>
        </w:rPr>
        <w:t>APPENDIX 8</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411"/>
      </w:pPr>
      <w:r>
        <w:rPr>
          <w:w w:val="95"/>
        </w:rPr>
        <w:t>GOVERNMENT INFORMATION (PUBLIC ACCESS)</w:t>
      </w:r>
    </w:p>
    <w:p>
      <w:pPr>
        <w:pStyle w:val="Heading8"/>
        <w:spacing w:before="159"/>
        <w:ind w:left="327" w:right="7611"/>
      </w:pPr>
      <w:r>
        <w:rPr>
          <w:w w:val="95"/>
        </w:rPr>
        <w:t>GIPA ANNUAL REPORT</w:t>
      </w:r>
    </w:p>
    <w:p>
      <w:pPr>
        <w:pStyle w:val="BodyText"/>
        <w:spacing w:before="9"/>
        <w:rPr>
          <w:rFonts w:ascii="Gotham Narrow Bold"/>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81"/>
        <w:gridCol w:w="3580"/>
        <w:gridCol w:w="3464"/>
      </w:tblGrid>
      <w:tr>
        <w:trPr>
          <w:trHeight w:val="288" w:hRule="exact"/>
        </w:trPr>
        <w:tc>
          <w:tcPr>
            <w:tcW w:w="3081" w:type="dxa"/>
            <w:tcBorders>
              <w:left w:val="nil"/>
              <w:bottom w:val="single" w:sz="4" w:space="0" w:color="939598"/>
              <w:right w:val="nil"/>
            </w:tcBorders>
            <w:shd w:val="clear" w:color="auto" w:fill="E6E7E8"/>
          </w:tcPr>
          <w:p>
            <w:pPr>
              <w:pStyle w:val="TableParagraph"/>
              <w:spacing w:before="33"/>
              <w:ind w:left="35"/>
              <w:jc w:val="left"/>
              <w:rPr>
                <w:sz w:val="16"/>
              </w:rPr>
            </w:pPr>
            <w:r>
              <w:rPr>
                <w:sz w:val="16"/>
              </w:rPr>
              <w:t>Agency Name</w:t>
            </w:r>
          </w:p>
        </w:tc>
        <w:tc>
          <w:tcPr>
            <w:tcW w:w="3580" w:type="dxa"/>
            <w:tcBorders>
              <w:left w:val="nil"/>
              <w:bottom w:val="single" w:sz="4" w:space="0" w:color="939598"/>
              <w:right w:val="nil"/>
            </w:tcBorders>
            <w:shd w:val="clear" w:color="auto" w:fill="E6E7E8"/>
          </w:tcPr>
          <w:p>
            <w:pPr>
              <w:pStyle w:val="TableParagraph"/>
              <w:spacing w:before="33"/>
              <w:ind w:left="392"/>
              <w:jc w:val="left"/>
              <w:rPr>
                <w:sz w:val="16"/>
              </w:rPr>
            </w:pPr>
            <w:r>
              <w:rPr>
                <w:sz w:val="16"/>
              </w:rPr>
              <w:t>Western Sydney University</w:t>
            </w:r>
          </w:p>
        </w:tc>
        <w:tc>
          <w:tcPr>
            <w:tcW w:w="3464" w:type="dxa"/>
            <w:tcBorders>
              <w:left w:val="nil"/>
              <w:bottom w:val="single" w:sz="4" w:space="0" w:color="939598"/>
              <w:right w:val="nil"/>
            </w:tcBorders>
            <w:shd w:val="clear" w:color="auto" w:fill="E6E7E8"/>
          </w:tcPr>
          <w:p>
            <w:pPr/>
          </w:p>
        </w:tc>
      </w:tr>
      <w:tr>
        <w:trPr>
          <w:trHeight w:val="288" w:hRule="exact"/>
        </w:trPr>
        <w:tc>
          <w:tcPr>
            <w:tcW w:w="3081" w:type="dxa"/>
            <w:tcBorders>
              <w:top w:val="single" w:sz="4" w:space="0" w:color="939598"/>
              <w:left w:val="nil"/>
              <w:bottom w:val="single" w:sz="4" w:space="0" w:color="939598"/>
              <w:right w:val="nil"/>
            </w:tcBorders>
            <w:shd w:val="clear" w:color="auto" w:fill="E6E7E8"/>
          </w:tcPr>
          <w:p>
            <w:pPr>
              <w:pStyle w:val="TableParagraph"/>
              <w:spacing w:before="43"/>
              <w:ind w:left="35"/>
              <w:jc w:val="left"/>
              <w:rPr>
                <w:sz w:val="16"/>
              </w:rPr>
            </w:pPr>
            <w:r>
              <w:rPr>
                <w:sz w:val="16"/>
              </w:rPr>
              <w:t>Principal Department</w:t>
            </w:r>
          </w:p>
        </w:tc>
        <w:tc>
          <w:tcPr>
            <w:tcW w:w="3580" w:type="dxa"/>
            <w:tcBorders>
              <w:top w:val="single" w:sz="4" w:space="0" w:color="939598"/>
              <w:left w:val="nil"/>
              <w:bottom w:val="single" w:sz="4" w:space="0" w:color="939598"/>
              <w:right w:val="nil"/>
            </w:tcBorders>
            <w:shd w:val="clear" w:color="auto" w:fill="E6E7E8"/>
          </w:tcPr>
          <w:p>
            <w:pPr>
              <w:pStyle w:val="TableParagraph"/>
              <w:spacing w:before="43"/>
              <w:ind w:left="392"/>
              <w:jc w:val="left"/>
              <w:rPr>
                <w:sz w:val="16"/>
              </w:rPr>
            </w:pPr>
            <w:r>
              <w:rPr>
                <w:sz w:val="16"/>
              </w:rPr>
              <w:t>Secretariat, Office of Governance Services</w:t>
            </w:r>
          </w:p>
        </w:tc>
        <w:tc>
          <w:tcPr>
            <w:tcW w:w="3464" w:type="dxa"/>
            <w:tcBorders>
              <w:top w:val="single" w:sz="4" w:space="0" w:color="939598"/>
              <w:left w:val="nil"/>
              <w:bottom w:val="single" w:sz="4" w:space="0" w:color="939598"/>
              <w:right w:val="nil"/>
            </w:tcBorders>
            <w:shd w:val="clear" w:color="auto" w:fill="E6E7E8"/>
          </w:tcPr>
          <w:p>
            <w:pPr/>
          </w:p>
        </w:tc>
      </w:tr>
      <w:tr>
        <w:trPr>
          <w:trHeight w:val="288" w:hRule="exact"/>
        </w:trPr>
        <w:tc>
          <w:tcPr>
            <w:tcW w:w="3081" w:type="dxa"/>
            <w:tcBorders>
              <w:top w:val="single" w:sz="4" w:space="0" w:color="939598"/>
              <w:left w:val="nil"/>
              <w:bottom w:val="single" w:sz="4" w:space="0" w:color="939598"/>
              <w:right w:val="nil"/>
            </w:tcBorders>
            <w:shd w:val="clear" w:color="auto" w:fill="E6E7E8"/>
          </w:tcPr>
          <w:p>
            <w:pPr>
              <w:pStyle w:val="TableParagraph"/>
              <w:spacing w:before="43"/>
              <w:ind w:left="35"/>
              <w:jc w:val="left"/>
              <w:rPr>
                <w:sz w:val="16"/>
              </w:rPr>
            </w:pPr>
            <w:r>
              <w:rPr>
                <w:sz w:val="16"/>
              </w:rPr>
              <w:t>Reporting Period</w:t>
            </w:r>
          </w:p>
        </w:tc>
        <w:tc>
          <w:tcPr>
            <w:tcW w:w="3580" w:type="dxa"/>
            <w:tcBorders>
              <w:top w:val="single" w:sz="4" w:space="0" w:color="939598"/>
              <w:left w:val="nil"/>
              <w:bottom w:val="single" w:sz="4" w:space="0" w:color="939598"/>
              <w:right w:val="nil"/>
            </w:tcBorders>
            <w:shd w:val="clear" w:color="auto" w:fill="E6E7E8"/>
          </w:tcPr>
          <w:p>
            <w:pPr>
              <w:pStyle w:val="TableParagraph"/>
              <w:spacing w:before="43"/>
              <w:ind w:left="392"/>
              <w:jc w:val="left"/>
              <w:rPr>
                <w:sz w:val="16"/>
              </w:rPr>
            </w:pPr>
            <w:r>
              <w:rPr>
                <w:w w:val="54"/>
                <w:sz w:val="16"/>
              </w:rPr>
              <w:t>1</w:t>
            </w:r>
            <w:r>
              <w:rPr>
                <w:spacing w:val="-12"/>
                <w:sz w:val="16"/>
              </w:rPr>
              <w:t> </w:t>
            </w:r>
            <w:r>
              <w:rPr>
                <w:spacing w:val="2"/>
                <w:w w:val="108"/>
                <w:sz w:val="16"/>
              </w:rPr>
              <w:t>J</w:t>
            </w:r>
            <w:r>
              <w:rPr>
                <w:spacing w:val="2"/>
                <w:w w:val="94"/>
                <w:sz w:val="16"/>
              </w:rPr>
              <w:t>a</w:t>
            </w:r>
            <w:r>
              <w:rPr>
                <w:spacing w:val="2"/>
                <w:w w:val="95"/>
                <w:sz w:val="16"/>
              </w:rPr>
              <w:t>nu</w:t>
            </w:r>
            <w:r>
              <w:rPr>
                <w:spacing w:val="2"/>
                <w:w w:val="94"/>
                <w:sz w:val="16"/>
              </w:rPr>
              <w:t>a</w:t>
            </w:r>
            <w:r>
              <w:rPr>
                <w:spacing w:val="5"/>
                <w:w w:val="95"/>
                <w:sz w:val="16"/>
              </w:rPr>
              <w:t>r</w:t>
            </w:r>
            <w:r>
              <w:rPr>
                <w:w w:val="101"/>
                <w:sz w:val="16"/>
              </w:rPr>
              <w:t>y</w:t>
            </w:r>
            <w:r>
              <w:rPr>
                <w:spacing w:val="-12"/>
                <w:sz w:val="16"/>
              </w:rPr>
              <w:t> </w:t>
            </w:r>
            <w:r>
              <w:rPr>
                <w:spacing w:val="-2"/>
                <w:w w:val="102"/>
                <w:sz w:val="16"/>
              </w:rPr>
              <w:t>t</w:t>
            </w:r>
            <w:r>
              <w:rPr>
                <w:w w:val="100"/>
                <w:sz w:val="16"/>
              </w:rPr>
              <w:t>o</w:t>
            </w:r>
            <w:r>
              <w:rPr>
                <w:spacing w:val="-12"/>
                <w:sz w:val="16"/>
              </w:rPr>
              <w:t> </w:t>
            </w:r>
            <w:r>
              <w:rPr>
                <w:spacing w:val="5"/>
                <w:w w:val="94"/>
                <w:sz w:val="16"/>
              </w:rPr>
              <w:t>3</w:t>
            </w:r>
            <w:r>
              <w:rPr>
                <w:w w:val="54"/>
                <w:sz w:val="16"/>
              </w:rPr>
              <w:t>1</w:t>
            </w:r>
            <w:r>
              <w:rPr>
                <w:spacing w:val="-12"/>
                <w:sz w:val="16"/>
              </w:rPr>
              <w:t> </w:t>
            </w:r>
            <w:r>
              <w:rPr>
                <w:spacing w:val="3"/>
                <w:w w:val="98"/>
                <w:sz w:val="16"/>
              </w:rPr>
              <w:t>D</w:t>
            </w:r>
            <w:r>
              <w:rPr>
                <w:spacing w:val="3"/>
                <w:w w:val="95"/>
                <w:sz w:val="16"/>
              </w:rPr>
              <w:t>e</w:t>
            </w:r>
            <w:r>
              <w:rPr>
                <w:w w:val="102"/>
                <w:sz w:val="16"/>
              </w:rPr>
              <w:t>c</w:t>
            </w:r>
            <w:r>
              <w:rPr>
                <w:spacing w:val="2"/>
                <w:w w:val="95"/>
                <w:sz w:val="16"/>
              </w:rPr>
              <w:t>e</w:t>
            </w:r>
            <w:r>
              <w:rPr>
                <w:spacing w:val="2"/>
                <w:w w:val="98"/>
                <w:sz w:val="16"/>
              </w:rPr>
              <w:t>m</w:t>
            </w:r>
            <w:r>
              <w:rPr>
                <w:spacing w:val="2"/>
                <w:w w:val="102"/>
                <w:sz w:val="16"/>
              </w:rPr>
              <w:t>b</w:t>
            </w:r>
            <w:r>
              <w:rPr>
                <w:spacing w:val="2"/>
                <w:w w:val="95"/>
                <w:sz w:val="16"/>
              </w:rPr>
              <w:t>e</w:t>
            </w:r>
            <w:r>
              <w:rPr>
                <w:w w:val="95"/>
                <w:sz w:val="16"/>
              </w:rPr>
              <w:t>r</w:t>
            </w:r>
            <w:r>
              <w:rPr>
                <w:spacing w:val="-12"/>
                <w:sz w:val="16"/>
              </w:rPr>
              <w:t> </w:t>
            </w:r>
            <w:r>
              <w:rPr>
                <w:spacing w:val="2"/>
                <w:w w:val="93"/>
                <w:sz w:val="16"/>
              </w:rPr>
              <w:t>2</w:t>
            </w:r>
            <w:r>
              <w:rPr>
                <w:spacing w:val="1"/>
                <w:w w:val="111"/>
                <w:sz w:val="16"/>
              </w:rPr>
              <w:t>0</w:t>
            </w:r>
            <w:r>
              <w:rPr>
                <w:spacing w:val="2"/>
                <w:w w:val="54"/>
                <w:sz w:val="16"/>
              </w:rPr>
              <w:t>1</w:t>
            </w:r>
            <w:r>
              <w:rPr>
                <w:w w:val="95"/>
                <w:sz w:val="16"/>
              </w:rPr>
              <w:t>5</w:t>
            </w:r>
          </w:p>
        </w:tc>
        <w:tc>
          <w:tcPr>
            <w:tcW w:w="3464" w:type="dxa"/>
            <w:tcBorders>
              <w:top w:val="single" w:sz="4" w:space="0" w:color="939598"/>
              <w:left w:val="nil"/>
              <w:bottom w:val="single" w:sz="4" w:space="0" w:color="939598"/>
              <w:right w:val="nil"/>
            </w:tcBorders>
            <w:shd w:val="clear" w:color="auto" w:fill="E6E7E8"/>
          </w:tcPr>
          <w:p>
            <w:pPr/>
          </w:p>
        </w:tc>
      </w:tr>
      <w:tr>
        <w:trPr>
          <w:trHeight w:val="415" w:hRule="exact"/>
        </w:trPr>
        <w:tc>
          <w:tcPr>
            <w:tcW w:w="3081" w:type="dxa"/>
            <w:tcBorders>
              <w:top w:val="single" w:sz="4" w:space="0" w:color="939598"/>
              <w:left w:val="nil"/>
              <w:bottom w:val="nil"/>
              <w:right w:val="nil"/>
            </w:tcBorders>
            <w:shd w:val="clear" w:color="auto" w:fill="E6E7E8"/>
          </w:tcPr>
          <w:p>
            <w:pPr>
              <w:pStyle w:val="TableParagraph"/>
              <w:spacing w:before="5"/>
              <w:jc w:val="left"/>
              <w:rPr>
                <w:rFonts w:ascii="Gotham Narrow Bold"/>
                <w:b/>
                <w:sz w:val="18"/>
              </w:rPr>
            </w:pPr>
          </w:p>
          <w:p>
            <w:pPr>
              <w:pStyle w:val="TableParagraph"/>
              <w:spacing w:before="0"/>
              <w:ind w:left="35"/>
              <w:jc w:val="left"/>
              <w:rPr>
                <w:rFonts w:ascii="Gotham Narrow Bold"/>
                <w:b/>
                <w:sz w:val="16"/>
              </w:rPr>
            </w:pPr>
            <w:r>
              <w:rPr>
                <w:rFonts w:ascii="Gotham Narrow Bold"/>
                <w:b/>
                <w:sz w:val="16"/>
              </w:rPr>
              <w:t>OBLIGATIONS UNDER THE GIPA ACT</w:t>
            </w:r>
          </w:p>
        </w:tc>
        <w:tc>
          <w:tcPr>
            <w:tcW w:w="3580" w:type="dxa"/>
            <w:tcBorders>
              <w:top w:val="single" w:sz="4" w:space="0" w:color="939598"/>
              <w:left w:val="nil"/>
              <w:bottom w:val="nil"/>
              <w:right w:val="nil"/>
            </w:tcBorders>
            <w:shd w:val="clear" w:color="auto" w:fill="E6E7E8"/>
          </w:tcPr>
          <w:p>
            <w:pPr>
              <w:pStyle w:val="TableParagraph"/>
              <w:spacing w:before="10"/>
              <w:jc w:val="left"/>
              <w:rPr>
                <w:rFonts w:ascii="Gotham Narrow Bold"/>
                <w:b/>
                <w:sz w:val="17"/>
              </w:rPr>
            </w:pPr>
          </w:p>
          <w:p>
            <w:pPr>
              <w:pStyle w:val="TableParagraph"/>
              <w:spacing w:before="1"/>
              <w:ind w:left="392"/>
              <w:jc w:val="left"/>
              <w:rPr>
                <w:sz w:val="16"/>
              </w:rPr>
            </w:pPr>
            <w:r>
              <w:rPr>
                <w:sz w:val="16"/>
              </w:rPr>
              <w:t>The publication of items </w:t>
            </w:r>
            <w:r>
              <w:rPr>
                <w:w w:val="95"/>
                <w:sz w:val="16"/>
              </w:rPr>
              <w:t>1 </w:t>
            </w:r>
            <w:r>
              <w:rPr>
                <w:sz w:val="16"/>
              </w:rPr>
              <w:t>and 2 provided a</w:t>
            </w:r>
          </w:p>
        </w:tc>
        <w:tc>
          <w:tcPr>
            <w:tcW w:w="3464" w:type="dxa"/>
            <w:tcBorders>
              <w:top w:val="single" w:sz="4" w:space="0" w:color="939598"/>
              <w:left w:val="nil"/>
              <w:bottom w:val="nil"/>
              <w:right w:val="nil"/>
            </w:tcBorders>
            <w:shd w:val="clear" w:color="auto" w:fill="E6E7E8"/>
          </w:tcPr>
          <w:p>
            <w:pPr>
              <w:pStyle w:val="TableParagraph"/>
              <w:spacing w:before="10"/>
              <w:jc w:val="left"/>
              <w:rPr>
                <w:rFonts w:ascii="Gotham Narrow Bold"/>
                <w:b/>
                <w:sz w:val="17"/>
              </w:rPr>
            </w:pPr>
          </w:p>
          <w:p>
            <w:pPr>
              <w:pStyle w:val="TableParagraph"/>
              <w:spacing w:before="1"/>
              <w:ind w:left="251"/>
              <w:jc w:val="left"/>
              <w:rPr>
                <w:sz w:val="16"/>
              </w:rPr>
            </w:pPr>
            <w:r>
              <w:rPr>
                <w:sz w:val="16"/>
              </w:rPr>
              <w:t>In the meeting, the committee noted the</w:t>
            </w:r>
          </w:p>
        </w:tc>
      </w:tr>
    </w:tbl>
    <w:p>
      <w:pPr>
        <w:spacing w:after="0"/>
        <w:jc w:val="left"/>
        <w:rPr>
          <w:sz w:val="16"/>
        </w:rPr>
        <w:sectPr>
          <w:pgSz w:w="11910" w:h="16840"/>
          <w:pgMar w:header="494" w:footer="473" w:top="680" w:bottom="660" w:left="580" w:right="580"/>
        </w:sectPr>
      </w:pPr>
    </w:p>
    <w:p>
      <w:pPr>
        <w:spacing w:line="249" w:lineRule="auto" w:before="97"/>
        <w:ind w:left="327" w:right="377" w:firstLine="0"/>
        <w:jc w:val="left"/>
        <w:rPr>
          <w:rFonts w:ascii="Gotham Narrow Bold" w:hAnsi="Gotham Narrow Bold"/>
          <w:b/>
          <w:sz w:val="16"/>
        </w:rPr>
      </w:pPr>
      <w:r>
        <w:rPr/>
        <w:pict>
          <v:rect style="position:absolute;margin-left:34.015999pt;margin-top:45.355015pt;width:527.244pt;height:751.181pt;mso-position-horizontal-relative:page;mso-position-vertical-relative:page;z-index:-331816" filled="true" fillcolor="#e6e7e8" stroked="false">
            <v:fill type="solid"/>
            <w10:wrap type="none"/>
          </v:rect>
        </w:pict>
      </w:r>
      <w:r>
        <w:rPr>
          <w:rFonts w:ascii="Gotham Narrow Bold" w:hAnsi="Gotham Narrow Bold"/>
          <w:b/>
          <w:color w:val="636466"/>
          <w:sz w:val="16"/>
        </w:rPr>
        <w:t>Review</w:t>
      </w:r>
      <w:r>
        <w:rPr>
          <w:rFonts w:ascii="Gotham Narrow Bold" w:hAnsi="Gotham Narrow Bold"/>
          <w:b/>
          <w:color w:val="636466"/>
          <w:spacing w:val="-22"/>
          <w:sz w:val="16"/>
        </w:rPr>
        <w:t> </w:t>
      </w:r>
      <w:r>
        <w:rPr>
          <w:rFonts w:ascii="Gotham Narrow Bold" w:hAnsi="Gotham Narrow Bold"/>
          <w:b/>
          <w:color w:val="636466"/>
          <w:sz w:val="16"/>
        </w:rPr>
        <w:t>of</w:t>
      </w:r>
      <w:r>
        <w:rPr>
          <w:rFonts w:ascii="Gotham Narrow Bold" w:hAnsi="Gotham Narrow Bold"/>
          <w:b/>
          <w:color w:val="636466"/>
          <w:spacing w:val="-22"/>
          <w:sz w:val="16"/>
        </w:rPr>
        <w:t> </w:t>
      </w:r>
      <w:r>
        <w:rPr>
          <w:rFonts w:ascii="Gotham Narrow Bold" w:hAnsi="Gotham Narrow Bold"/>
          <w:b/>
          <w:color w:val="636466"/>
          <w:sz w:val="16"/>
        </w:rPr>
        <w:t>Proactive</w:t>
      </w:r>
      <w:r>
        <w:rPr>
          <w:rFonts w:ascii="Gotham Narrow Bold" w:hAnsi="Gotham Narrow Bold"/>
          <w:b/>
          <w:color w:val="636466"/>
          <w:spacing w:val="-22"/>
          <w:sz w:val="16"/>
        </w:rPr>
        <w:t> </w:t>
      </w:r>
      <w:r>
        <w:rPr>
          <w:rFonts w:ascii="Gotham Narrow Bold" w:hAnsi="Gotham Narrow Bold"/>
          <w:b/>
          <w:color w:val="636466"/>
          <w:sz w:val="16"/>
        </w:rPr>
        <w:t>Release</w:t>
      </w:r>
      <w:r>
        <w:rPr>
          <w:rFonts w:ascii="Gotham Narrow Bold" w:hAnsi="Gotham Narrow Bold"/>
          <w:b/>
          <w:color w:val="636466"/>
          <w:spacing w:val="-22"/>
          <w:sz w:val="16"/>
        </w:rPr>
        <w:t> </w:t>
      </w:r>
      <w:r>
        <w:rPr>
          <w:rFonts w:ascii="Gotham Narrow Bold" w:hAnsi="Gotham Narrow Bold"/>
          <w:b/>
          <w:color w:val="636466"/>
          <w:sz w:val="16"/>
        </w:rPr>
        <w:t>Program</w:t>
      </w:r>
      <w:r>
        <w:rPr>
          <w:rFonts w:ascii="Gotham Narrow Bold" w:hAnsi="Gotham Narrow Bold"/>
          <w:b/>
          <w:color w:val="636466"/>
          <w:spacing w:val="-22"/>
          <w:sz w:val="16"/>
        </w:rPr>
        <w:t> </w:t>
      </w:r>
      <w:r>
        <w:rPr>
          <w:rFonts w:ascii="Gotham Narrow Bold" w:hAnsi="Gotham Narrow Bold"/>
          <w:b/>
          <w:color w:val="636466"/>
          <w:sz w:val="16"/>
        </w:rPr>
        <w:t>– </w:t>
      </w:r>
      <w:r>
        <w:rPr>
          <w:rFonts w:ascii="Gotham Narrow Bold" w:hAnsi="Gotham Narrow Bold"/>
          <w:b/>
          <w:color w:val="636466"/>
          <w:spacing w:val="2"/>
          <w:w w:val="95"/>
          <w:sz w:val="16"/>
        </w:rPr>
        <w:t>Clause</w:t>
      </w:r>
      <w:r>
        <w:rPr>
          <w:rFonts w:ascii="Gotham Narrow Bold" w:hAnsi="Gotham Narrow Bold"/>
          <w:b/>
          <w:color w:val="636466"/>
          <w:spacing w:val="-3"/>
          <w:w w:val="95"/>
          <w:sz w:val="16"/>
        </w:rPr>
        <w:t> 7(a)</w:t>
      </w:r>
    </w:p>
    <w:p>
      <w:pPr>
        <w:pStyle w:val="BodyText"/>
        <w:spacing w:line="247" w:lineRule="auto" w:before="78"/>
        <w:ind w:left="327" w:right="-10"/>
      </w:pPr>
      <w:r>
        <w:rPr/>
        <w:t>Under Section 7 of the </w:t>
      </w:r>
      <w:r>
        <w:rPr>
          <w:rFonts w:ascii="Century Gothic"/>
          <w:i/>
        </w:rPr>
        <w:t>Government </w:t>
      </w:r>
      <w:r>
        <w:rPr>
          <w:rFonts w:ascii="Century Gothic"/>
          <w:i/>
        </w:rPr>
        <w:t>Information (Public Access) Act 2009</w:t>
      </w:r>
      <w:r>
        <w:rPr/>
        <w:t>, agencies must review their programs for the release of government information to identify the information that can be made publicly available. This review must be performed at </w:t>
      </w:r>
      <w:r>
        <w:rPr>
          <w:w w:val="95"/>
        </w:rPr>
        <w:t>least annually.</w:t>
      </w:r>
    </w:p>
    <w:p>
      <w:pPr>
        <w:pStyle w:val="BodyText"/>
        <w:spacing w:before="2"/>
        <w:rPr>
          <w:sz w:val="14"/>
        </w:rPr>
      </w:pPr>
    </w:p>
    <w:p>
      <w:pPr>
        <w:pStyle w:val="BodyText"/>
        <w:spacing w:line="249" w:lineRule="auto"/>
        <w:ind w:left="327" w:right="-2"/>
      </w:pPr>
      <w:r>
        <w:rPr/>
        <w:t>The University’s program for releasing information is built upon the annual meeting of</w:t>
      </w:r>
      <w:r>
        <w:rPr>
          <w:spacing w:val="-16"/>
        </w:rPr>
        <w:t> </w:t>
      </w:r>
      <w:r>
        <w:rPr/>
        <w:t>the</w:t>
      </w:r>
      <w:r>
        <w:rPr>
          <w:spacing w:val="-16"/>
        </w:rPr>
        <w:t> </w:t>
      </w:r>
      <w:r>
        <w:rPr/>
        <w:t>GIPA</w:t>
      </w:r>
      <w:r>
        <w:rPr>
          <w:spacing w:val="-16"/>
        </w:rPr>
        <w:t> </w:t>
      </w:r>
      <w:r>
        <w:rPr/>
        <w:t>Agency</w:t>
      </w:r>
      <w:r>
        <w:rPr>
          <w:spacing w:val="-16"/>
        </w:rPr>
        <w:t> </w:t>
      </w:r>
      <w:r>
        <w:rPr/>
        <w:t>Information</w:t>
      </w:r>
      <w:r>
        <w:rPr>
          <w:spacing w:val="-16"/>
        </w:rPr>
        <w:t> </w:t>
      </w:r>
      <w:r>
        <w:rPr/>
        <w:t>Guide</w:t>
      </w:r>
      <w:r>
        <w:rPr>
          <w:spacing w:val="-16"/>
        </w:rPr>
        <w:t> </w:t>
      </w:r>
      <w:r>
        <w:rPr/>
        <w:t>Review Committee (AIGRC). This committee includes representatives</w:t>
      </w:r>
      <w:r>
        <w:rPr>
          <w:spacing w:val="-19"/>
        </w:rPr>
        <w:t> </w:t>
      </w:r>
      <w:r>
        <w:rPr/>
        <w:t>from</w:t>
      </w:r>
      <w:r>
        <w:rPr>
          <w:spacing w:val="-19"/>
        </w:rPr>
        <w:t> </w:t>
      </w:r>
      <w:r>
        <w:rPr/>
        <w:t>across</w:t>
      </w:r>
      <w:r>
        <w:rPr>
          <w:spacing w:val="-19"/>
        </w:rPr>
        <w:t> </w:t>
      </w:r>
      <w:r>
        <w:rPr/>
        <w:t>the</w:t>
      </w:r>
      <w:r>
        <w:rPr>
          <w:spacing w:val="-19"/>
        </w:rPr>
        <w:t> </w:t>
      </w:r>
      <w:r>
        <w:rPr/>
        <w:t>University</w:t>
      </w:r>
      <w:r>
        <w:rPr>
          <w:spacing w:val="-19"/>
        </w:rPr>
        <w:t> </w:t>
      </w:r>
      <w:r>
        <w:rPr/>
        <w:t>and meets</w:t>
      </w:r>
      <w:r>
        <w:rPr>
          <w:spacing w:val="-16"/>
        </w:rPr>
        <w:t> </w:t>
      </w:r>
      <w:r>
        <w:rPr/>
        <w:t>specifically</w:t>
      </w:r>
      <w:r>
        <w:rPr>
          <w:spacing w:val="-16"/>
        </w:rPr>
        <w:t> </w:t>
      </w:r>
      <w:r>
        <w:rPr/>
        <w:t>to</w:t>
      </w:r>
      <w:r>
        <w:rPr>
          <w:spacing w:val="-16"/>
        </w:rPr>
        <w:t> </w:t>
      </w:r>
      <w:r>
        <w:rPr/>
        <w:t>discharge</w:t>
      </w:r>
      <w:r>
        <w:rPr>
          <w:spacing w:val="-16"/>
        </w:rPr>
        <w:t> </w:t>
      </w:r>
      <w:r>
        <w:rPr/>
        <w:t>the</w:t>
      </w:r>
      <w:r>
        <w:rPr>
          <w:spacing w:val="-16"/>
        </w:rPr>
        <w:t> </w:t>
      </w:r>
      <w:r>
        <w:rPr/>
        <w:t>University’s responsibilities</w:t>
      </w:r>
      <w:r>
        <w:rPr>
          <w:spacing w:val="-26"/>
        </w:rPr>
        <w:t> </w:t>
      </w:r>
      <w:r>
        <w:rPr/>
        <w:t>under</w:t>
      </w:r>
      <w:r>
        <w:rPr>
          <w:spacing w:val="-26"/>
        </w:rPr>
        <w:t> </w:t>
      </w:r>
      <w:r>
        <w:rPr/>
        <w:t>section</w:t>
      </w:r>
      <w:r>
        <w:rPr>
          <w:spacing w:val="-26"/>
        </w:rPr>
        <w:t> </w:t>
      </w:r>
      <w:r>
        <w:rPr/>
        <w:t>7(3).</w:t>
      </w:r>
    </w:p>
    <w:p>
      <w:pPr>
        <w:pStyle w:val="BodyText"/>
        <w:rPr>
          <w:sz w:val="14"/>
        </w:rPr>
      </w:pPr>
    </w:p>
    <w:p>
      <w:pPr>
        <w:pStyle w:val="BodyText"/>
        <w:spacing w:line="249" w:lineRule="auto"/>
        <w:ind w:left="327" w:right="157"/>
      </w:pPr>
      <w:r>
        <w:rPr/>
        <w:t>During the reporting period, AIGRC met on </w:t>
      </w:r>
      <w:r>
        <w:rPr>
          <w:w w:val="95"/>
        </w:rPr>
        <w:t>28 </w:t>
      </w:r>
      <w:r>
        <w:rPr>
          <w:w w:val="100"/>
        </w:rPr>
        <w:t>October </w:t>
      </w:r>
      <w:r>
        <w:rPr>
          <w:w w:val="84"/>
        </w:rPr>
        <w:t>2015, </w:t>
      </w:r>
      <w:r>
        <w:rPr>
          <w:w w:val="98"/>
        </w:rPr>
        <w:t>welcoming </w:t>
      </w:r>
      <w:r>
        <w:rPr>
          <w:w w:val="96"/>
        </w:rPr>
        <w:t>Mr </w:t>
      </w:r>
      <w:r>
        <w:rPr>
          <w:w w:val="85"/>
        </w:rPr>
        <w:t>Ian </w:t>
      </w:r>
      <w:r>
        <w:rPr>
          <w:w w:val="94"/>
        </w:rPr>
        <w:t>Londish, </w:t>
      </w:r>
      <w:r>
        <w:rPr/>
        <w:t>Associate Director, Secretariat, as chair.</w:t>
      </w:r>
    </w:p>
    <w:p>
      <w:pPr>
        <w:pStyle w:val="BodyText"/>
        <w:rPr>
          <w:sz w:val="14"/>
        </w:rPr>
      </w:pPr>
    </w:p>
    <w:p>
      <w:pPr>
        <w:pStyle w:val="BodyText"/>
        <w:spacing w:line="249" w:lineRule="auto"/>
        <w:ind w:left="327" w:right="397"/>
        <w:jc w:val="both"/>
      </w:pPr>
      <w:r>
        <w:rPr/>
        <w:t>The</w:t>
      </w:r>
      <w:r>
        <w:rPr>
          <w:spacing w:val="-16"/>
        </w:rPr>
        <w:t> </w:t>
      </w:r>
      <w:r>
        <w:rPr/>
        <w:t>meeting</w:t>
      </w:r>
      <w:r>
        <w:rPr>
          <w:spacing w:val="-16"/>
        </w:rPr>
        <w:t> </w:t>
      </w:r>
      <w:r>
        <w:rPr/>
        <w:t>noted</w:t>
      </w:r>
      <w:r>
        <w:rPr>
          <w:spacing w:val="-16"/>
        </w:rPr>
        <w:t> </w:t>
      </w:r>
      <w:r>
        <w:rPr/>
        <w:t>some</w:t>
      </w:r>
      <w:r>
        <w:rPr>
          <w:spacing w:val="-16"/>
        </w:rPr>
        <w:t> </w:t>
      </w:r>
      <w:r>
        <w:rPr/>
        <w:t>activities</w:t>
      </w:r>
      <w:r>
        <w:rPr>
          <w:spacing w:val="-16"/>
        </w:rPr>
        <w:t> </w:t>
      </w:r>
      <w:r>
        <w:rPr/>
        <w:t>of</w:t>
      </w:r>
      <w:r>
        <w:rPr>
          <w:spacing w:val="-16"/>
        </w:rPr>
        <w:t> </w:t>
      </w:r>
      <w:r>
        <w:rPr/>
        <w:t>the Information</w:t>
      </w:r>
      <w:r>
        <w:rPr>
          <w:spacing w:val="-20"/>
        </w:rPr>
        <w:t> </w:t>
      </w:r>
      <w:r>
        <w:rPr/>
        <w:t>Commissioner</w:t>
      </w:r>
      <w:r>
        <w:rPr>
          <w:spacing w:val="-20"/>
        </w:rPr>
        <w:t> </w:t>
      </w:r>
      <w:r>
        <w:rPr/>
        <w:t>since</w:t>
      </w:r>
      <w:r>
        <w:rPr>
          <w:spacing w:val="-20"/>
        </w:rPr>
        <w:t> </w:t>
      </w:r>
      <w:r>
        <w:rPr/>
        <w:t>the</w:t>
      </w:r>
      <w:r>
        <w:rPr>
          <w:spacing w:val="-20"/>
        </w:rPr>
        <w:t> </w:t>
      </w:r>
      <w:r>
        <w:rPr/>
        <w:t>last reporting</w:t>
      </w:r>
      <w:r>
        <w:rPr>
          <w:spacing w:val="-15"/>
        </w:rPr>
        <w:t> </w:t>
      </w:r>
      <w:r>
        <w:rPr/>
        <w:t>period.</w:t>
      </w:r>
    </w:p>
    <w:p>
      <w:pPr>
        <w:pStyle w:val="BodyText"/>
        <w:spacing w:before="11"/>
        <w:rPr>
          <w:sz w:val="13"/>
        </w:rPr>
      </w:pPr>
    </w:p>
    <w:p>
      <w:pPr>
        <w:pStyle w:val="ListParagraph"/>
        <w:numPr>
          <w:ilvl w:val="2"/>
          <w:numId w:val="3"/>
        </w:numPr>
        <w:tabs>
          <w:tab w:pos="554" w:val="left" w:leader="none"/>
        </w:tabs>
        <w:spacing w:line="240" w:lineRule="auto" w:before="0" w:after="0"/>
        <w:ind w:left="553" w:right="151" w:hanging="226"/>
        <w:jc w:val="left"/>
        <w:rPr>
          <w:sz w:val="16"/>
        </w:rPr>
      </w:pPr>
      <w:r>
        <w:rPr>
          <w:w w:val="90"/>
          <w:sz w:val="16"/>
        </w:rPr>
        <w:t>The</w:t>
      </w:r>
      <w:r>
        <w:rPr>
          <w:spacing w:val="-11"/>
          <w:w w:val="90"/>
          <w:sz w:val="16"/>
        </w:rPr>
        <w:t> </w:t>
      </w:r>
      <w:r>
        <w:rPr>
          <w:rFonts w:ascii="Century Gothic"/>
          <w:i/>
          <w:w w:val="90"/>
          <w:sz w:val="16"/>
        </w:rPr>
        <w:t>Agency</w:t>
      </w:r>
      <w:r>
        <w:rPr>
          <w:rFonts w:ascii="Century Gothic"/>
          <w:i/>
          <w:spacing w:val="-7"/>
          <w:w w:val="90"/>
          <w:sz w:val="16"/>
        </w:rPr>
        <w:t> </w:t>
      </w:r>
      <w:r>
        <w:rPr>
          <w:rFonts w:ascii="Century Gothic"/>
          <w:i/>
          <w:w w:val="90"/>
          <w:sz w:val="16"/>
        </w:rPr>
        <w:t>guide</w:t>
      </w:r>
      <w:r>
        <w:rPr>
          <w:rFonts w:ascii="Century Gothic"/>
          <w:i/>
          <w:spacing w:val="-7"/>
          <w:w w:val="90"/>
          <w:sz w:val="16"/>
        </w:rPr>
        <w:t> </w:t>
      </w:r>
      <w:r>
        <w:rPr>
          <w:rFonts w:ascii="Century Gothic"/>
          <w:i/>
          <w:w w:val="90"/>
          <w:sz w:val="16"/>
        </w:rPr>
        <w:t>on</w:t>
      </w:r>
      <w:r>
        <w:rPr>
          <w:rFonts w:ascii="Century Gothic"/>
          <w:i/>
          <w:spacing w:val="-7"/>
          <w:w w:val="90"/>
          <w:sz w:val="16"/>
        </w:rPr>
        <w:t> </w:t>
      </w:r>
      <w:r>
        <w:rPr>
          <w:rFonts w:ascii="Century Gothic"/>
          <w:i/>
          <w:w w:val="90"/>
          <w:sz w:val="16"/>
        </w:rPr>
        <w:t>GIPA</w:t>
      </w:r>
      <w:r>
        <w:rPr>
          <w:rFonts w:ascii="Century Gothic"/>
          <w:i/>
          <w:spacing w:val="-7"/>
          <w:w w:val="90"/>
          <w:sz w:val="16"/>
        </w:rPr>
        <w:t> </w:t>
      </w:r>
      <w:r>
        <w:rPr>
          <w:rFonts w:ascii="Century Gothic"/>
          <w:i/>
          <w:w w:val="90"/>
          <w:sz w:val="16"/>
        </w:rPr>
        <w:t>reporting</w:t>
      </w:r>
      <w:r>
        <w:rPr>
          <w:rFonts w:ascii="Century Gothic"/>
          <w:i/>
          <w:spacing w:val="-7"/>
          <w:w w:val="90"/>
          <w:sz w:val="16"/>
        </w:rPr>
        <w:t> </w:t>
      </w:r>
      <w:r>
        <w:rPr>
          <w:w w:val="90"/>
          <w:sz w:val="16"/>
        </w:rPr>
        <w:t>was </w:t>
      </w:r>
      <w:r>
        <w:rPr>
          <w:spacing w:val="1"/>
          <w:w w:val="97"/>
          <w:sz w:val="16"/>
        </w:rPr>
        <w:t>published</w:t>
      </w:r>
      <w:r>
        <w:rPr>
          <w:w w:val="97"/>
          <w:sz w:val="16"/>
        </w:rPr>
        <w:t> </w:t>
      </w:r>
      <w:r>
        <w:rPr>
          <w:w w:val="95"/>
          <w:sz w:val="16"/>
        </w:rPr>
        <w:t>in </w:t>
      </w:r>
      <w:r>
        <w:rPr>
          <w:spacing w:val="1"/>
          <w:w w:val="98"/>
          <w:sz w:val="16"/>
        </w:rPr>
        <w:t>September</w:t>
      </w:r>
      <w:r>
        <w:rPr>
          <w:spacing w:val="-14"/>
          <w:w w:val="98"/>
          <w:sz w:val="16"/>
        </w:rPr>
        <w:t> </w:t>
      </w:r>
      <w:r>
        <w:rPr>
          <w:spacing w:val="1"/>
          <w:w w:val="86"/>
          <w:sz w:val="16"/>
        </w:rPr>
        <w:t>2014.</w:t>
      </w:r>
    </w:p>
    <w:p>
      <w:pPr>
        <w:pStyle w:val="ListParagraph"/>
        <w:numPr>
          <w:ilvl w:val="2"/>
          <w:numId w:val="3"/>
        </w:numPr>
        <w:tabs>
          <w:tab w:pos="554" w:val="left" w:leader="none"/>
        </w:tabs>
        <w:spacing w:line="242" w:lineRule="auto" w:before="62" w:after="0"/>
        <w:ind w:left="553" w:right="276" w:hanging="226"/>
        <w:jc w:val="left"/>
        <w:rPr>
          <w:sz w:val="16"/>
        </w:rPr>
      </w:pPr>
      <w:r>
        <w:rPr>
          <w:w w:val="95"/>
          <w:sz w:val="16"/>
        </w:rPr>
        <w:t>The </w:t>
      </w:r>
      <w:r>
        <w:rPr>
          <w:rFonts w:ascii="Century Gothic"/>
          <w:i/>
          <w:w w:val="95"/>
          <w:sz w:val="16"/>
        </w:rPr>
        <w:t>Authorised proactive release of </w:t>
      </w:r>
      <w:r>
        <w:rPr>
          <w:rFonts w:ascii="Century Gothic"/>
          <w:i/>
          <w:w w:val="95"/>
          <w:sz w:val="16"/>
        </w:rPr>
        <w:t>government</w:t>
      </w:r>
      <w:r>
        <w:rPr>
          <w:rFonts w:ascii="Century Gothic"/>
          <w:i/>
          <w:spacing w:val="-24"/>
          <w:w w:val="95"/>
          <w:sz w:val="16"/>
        </w:rPr>
        <w:t> </w:t>
      </w:r>
      <w:r>
        <w:rPr>
          <w:rFonts w:ascii="Century Gothic"/>
          <w:i/>
          <w:w w:val="95"/>
          <w:sz w:val="16"/>
        </w:rPr>
        <w:t>information</w:t>
      </w:r>
      <w:r>
        <w:rPr>
          <w:rFonts w:ascii="Century Gothic"/>
          <w:i/>
          <w:spacing w:val="-24"/>
          <w:w w:val="95"/>
          <w:sz w:val="16"/>
        </w:rPr>
        <w:t> </w:t>
      </w:r>
      <w:r>
        <w:rPr>
          <w:spacing w:val="2"/>
          <w:w w:val="95"/>
          <w:sz w:val="16"/>
        </w:rPr>
        <w:t>fact</w:t>
      </w:r>
      <w:r>
        <w:rPr>
          <w:spacing w:val="-29"/>
          <w:w w:val="95"/>
          <w:sz w:val="16"/>
        </w:rPr>
        <w:t> </w:t>
      </w:r>
      <w:r>
        <w:rPr>
          <w:w w:val="95"/>
          <w:sz w:val="16"/>
        </w:rPr>
        <w:t>sheet</w:t>
      </w:r>
      <w:r>
        <w:rPr>
          <w:spacing w:val="-29"/>
          <w:w w:val="95"/>
          <w:sz w:val="16"/>
        </w:rPr>
        <w:t> </w:t>
      </w:r>
      <w:r>
        <w:rPr>
          <w:w w:val="95"/>
          <w:sz w:val="16"/>
        </w:rPr>
        <w:t>was </w:t>
      </w:r>
      <w:r>
        <w:rPr>
          <w:spacing w:val="1"/>
          <w:w w:val="97"/>
          <w:sz w:val="16"/>
        </w:rPr>
        <w:t>published</w:t>
      </w:r>
      <w:r>
        <w:rPr>
          <w:w w:val="97"/>
          <w:sz w:val="16"/>
        </w:rPr>
        <w:t> </w:t>
      </w:r>
      <w:r>
        <w:rPr>
          <w:w w:val="95"/>
          <w:sz w:val="16"/>
        </w:rPr>
        <w:t>in </w:t>
      </w:r>
      <w:r>
        <w:rPr>
          <w:spacing w:val="1"/>
          <w:w w:val="98"/>
          <w:sz w:val="16"/>
        </w:rPr>
        <w:t>June</w:t>
      </w:r>
      <w:r>
        <w:rPr>
          <w:spacing w:val="-16"/>
          <w:w w:val="98"/>
          <w:sz w:val="16"/>
        </w:rPr>
        <w:t> </w:t>
      </w:r>
      <w:r>
        <w:rPr>
          <w:spacing w:val="1"/>
          <w:w w:val="84"/>
          <w:sz w:val="16"/>
        </w:rPr>
        <w:t>2015.</w:t>
      </w:r>
    </w:p>
    <w:p>
      <w:pPr>
        <w:pStyle w:val="ListParagraph"/>
        <w:numPr>
          <w:ilvl w:val="2"/>
          <w:numId w:val="3"/>
        </w:numPr>
        <w:tabs>
          <w:tab w:pos="554" w:val="left" w:leader="none"/>
        </w:tabs>
        <w:spacing w:line="247" w:lineRule="auto" w:before="61" w:after="0"/>
        <w:ind w:left="553" w:right="73" w:hanging="226"/>
        <w:jc w:val="left"/>
        <w:rPr>
          <w:sz w:val="16"/>
        </w:rPr>
      </w:pPr>
      <w:r>
        <w:rPr>
          <w:sz w:val="16"/>
        </w:rPr>
        <w:t>The</w:t>
      </w:r>
      <w:r>
        <w:rPr>
          <w:spacing w:val="-22"/>
          <w:sz w:val="16"/>
        </w:rPr>
        <w:t> </w:t>
      </w:r>
      <w:r>
        <w:rPr>
          <w:sz w:val="16"/>
        </w:rPr>
        <w:t>Information</w:t>
      </w:r>
      <w:r>
        <w:rPr>
          <w:spacing w:val="-22"/>
          <w:sz w:val="16"/>
        </w:rPr>
        <w:t> </w:t>
      </w:r>
      <w:r>
        <w:rPr>
          <w:sz w:val="16"/>
        </w:rPr>
        <w:t>Commissioner</w:t>
      </w:r>
      <w:r>
        <w:rPr>
          <w:spacing w:val="-22"/>
          <w:sz w:val="16"/>
        </w:rPr>
        <w:t> </w:t>
      </w:r>
      <w:r>
        <w:rPr>
          <w:sz w:val="16"/>
        </w:rPr>
        <w:t>performed an</w:t>
      </w:r>
      <w:r>
        <w:rPr>
          <w:spacing w:val="-16"/>
          <w:sz w:val="16"/>
        </w:rPr>
        <w:t> </w:t>
      </w:r>
      <w:r>
        <w:rPr>
          <w:sz w:val="16"/>
        </w:rPr>
        <w:t>inaugural</w:t>
      </w:r>
      <w:r>
        <w:rPr>
          <w:spacing w:val="-16"/>
          <w:sz w:val="16"/>
        </w:rPr>
        <w:t> </w:t>
      </w:r>
      <w:r>
        <w:rPr>
          <w:sz w:val="16"/>
        </w:rPr>
        <w:t>review</w:t>
      </w:r>
      <w:r>
        <w:rPr>
          <w:spacing w:val="-16"/>
          <w:sz w:val="16"/>
        </w:rPr>
        <w:t> </w:t>
      </w:r>
      <w:r>
        <w:rPr>
          <w:sz w:val="16"/>
        </w:rPr>
        <w:t>of</w:t>
      </w:r>
      <w:r>
        <w:rPr>
          <w:spacing w:val="-16"/>
          <w:sz w:val="16"/>
        </w:rPr>
        <w:t> </w:t>
      </w:r>
      <w:r>
        <w:rPr>
          <w:sz w:val="16"/>
        </w:rPr>
        <w:t>University</w:t>
      </w:r>
      <w:r>
        <w:rPr>
          <w:spacing w:val="-16"/>
          <w:sz w:val="16"/>
        </w:rPr>
        <w:t> </w:t>
      </w:r>
      <w:r>
        <w:rPr>
          <w:sz w:val="16"/>
        </w:rPr>
        <w:t>contract </w:t>
      </w:r>
      <w:r>
        <w:rPr>
          <w:spacing w:val="1"/>
          <w:w w:val="97"/>
          <w:sz w:val="16"/>
        </w:rPr>
        <w:t>registers</w:t>
      </w:r>
      <w:r>
        <w:rPr>
          <w:w w:val="97"/>
          <w:sz w:val="16"/>
        </w:rPr>
        <w:t> </w:t>
      </w:r>
      <w:r>
        <w:rPr>
          <w:w w:val="95"/>
          <w:sz w:val="16"/>
        </w:rPr>
        <w:t>in </w:t>
      </w:r>
      <w:r>
        <w:rPr>
          <w:spacing w:val="1"/>
          <w:w w:val="100"/>
          <w:sz w:val="16"/>
        </w:rPr>
        <w:t>April</w:t>
      </w:r>
      <w:r>
        <w:rPr>
          <w:w w:val="100"/>
          <w:sz w:val="16"/>
        </w:rPr>
        <w:t> </w:t>
      </w:r>
      <w:r>
        <w:rPr>
          <w:spacing w:val="1"/>
          <w:w w:val="88"/>
          <w:sz w:val="16"/>
        </w:rPr>
        <w:t>2015</w:t>
      </w:r>
      <w:r>
        <w:rPr>
          <w:w w:val="88"/>
          <w:sz w:val="16"/>
        </w:rPr>
        <w:t> </w:t>
      </w:r>
      <w:r>
        <w:rPr>
          <w:spacing w:val="1"/>
          <w:w w:val="97"/>
          <w:sz w:val="16"/>
        </w:rPr>
        <w:t>and</w:t>
      </w:r>
      <w:r>
        <w:rPr>
          <w:w w:val="97"/>
          <w:sz w:val="16"/>
        </w:rPr>
        <w:t> </w:t>
      </w:r>
      <w:r>
        <w:rPr>
          <w:spacing w:val="1"/>
          <w:w w:val="98"/>
          <w:sz w:val="16"/>
        </w:rPr>
        <w:t>reported</w:t>
      </w:r>
      <w:r>
        <w:rPr>
          <w:w w:val="98"/>
          <w:sz w:val="16"/>
        </w:rPr>
        <w:t> </w:t>
      </w:r>
      <w:r>
        <w:rPr>
          <w:w w:val="95"/>
          <w:sz w:val="16"/>
        </w:rPr>
        <w:t>in </w:t>
      </w:r>
      <w:r>
        <w:rPr>
          <w:spacing w:val="1"/>
          <w:w w:val="100"/>
          <w:sz w:val="16"/>
        </w:rPr>
        <w:t>August </w:t>
      </w:r>
      <w:r>
        <w:rPr>
          <w:spacing w:val="1"/>
          <w:w w:val="84"/>
          <w:sz w:val="16"/>
        </w:rPr>
        <w:t>2015.</w:t>
      </w:r>
    </w:p>
    <w:p>
      <w:pPr>
        <w:pStyle w:val="BodyText"/>
        <w:spacing w:line="249" w:lineRule="auto" w:before="5"/>
        <w:ind w:left="186" w:right="74"/>
      </w:pPr>
      <w:r>
        <w:rPr/>
        <w:br w:type="column"/>
      </w:r>
      <w:r>
        <w:rPr/>
        <w:t>plainly worded elaboration on the reporting requirements</w:t>
      </w:r>
      <w:r>
        <w:rPr>
          <w:spacing w:val="-15"/>
        </w:rPr>
        <w:t> </w:t>
      </w:r>
      <w:r>
        <w:rPr/>
        <w:t>of</w:t>
      </w:r>
      <w:r>
        <w:rPr>
          <w:spacing w:val="-15"/>
        </w:rPr>
        <w:t> </w:t>
      </w:r>
      <w:r>
        <w:rPr/>
        <w:t>the</w:t>
      </w:r>
      <w:r>
        <w:rPr>
          <w:spacing w:val="-15"/>
        </w:rPr>
        <w:t> </w:t>
      </w:r>
      <w:r>
        <w:rPr/>
        <w:t>Act</w:t>
      </w:r>
      <w:r>
        <w:rPr>
          <w:spacing w:val="-15"/>
        </w:rPr>
        <w:t> </w:t>
      </w:r>
      <w:r>
        <w:rPr/>
        <w:t>to</w:t>
      </w:r>
      <w:r>
        <w:rPr>
          <w:spacing w:val="-15"/>
        </w:rPr>
        <w:t> </w:t>
      </w:r>
      <w:r>
        <w:rPr/>
        <w:t>assist</w:t>
      </w:r>
      <w:r>
        <w:rPr>
          <w:spacing w:val="-15"/>
        </w:rPr>
        <w:t> </w:t>
      </w:r>
      <w:r>
        <w:rPr/>
        <w:t>compliance. Item</w:t>
      </w:r>
      <w:r>
        <w:rPr>
          <w:spacing w:val="-21"/>
        </w:rPr>
        <w:t> </w:t>
      </w:r>
      <w:r>
        <w:rPr/>
        <w:t>3,</w:t>
      </w:r>
      <w:r>
        <w:rPr>
          <w:spacing w:val="-21"/>
        </w:rPr>
        <w:t> </w:t>
      </w:r>
      <w:r>
        <w:rPr/>
        <w:t>the</w:t>
      </w:r>
      <w:r>
        <w:rPr>
          <w:spacing w:val="-21"/>
        </w:rPr>
        <w:t> </w:t>
      </w:r>
      <w:r>
        <w:rPr/>
        <w:t>contract</w:t>
      </w:r>
      <w:r>
        <w:rPr>
          <w:spacing w:val="-21"/>
        </w:rPr>
        <w:t> </w:t>
      </w:r>
      <w:r>
        <w:rPr/>
        <w:t>register</w:t>
      </w:r>
      <w:r>
        <w:rPr>
          <w:spacing w:val="-21"/>
        </w:rPr>
        <w:t> </w:t>
      </w:r>
      <w:r>
        <w:rPr/>
        <w:t>audit,</w:t>
      </w:r>
      <w:r>
        <w:rPr>
          <w:spacing w:val="-21"/>
        </w:rPr>
        <w:t> </w:t>
      </w:r>
      <w:r>
        <w:rPr/>
        <w:t>has</w:t>
      </w:r>
      <w:r>
        <w:rPr>
          <w:spacing w:val="-21"/>
        </w:rPr>
        <w:t> </w:t>
      </w:r>
      <w:r>
        <w:rPr/>
        <w:t>been</w:t>
      </w:r>
      <w:r>
        <w:rPr>
          <w:spacing w:val="-14"/>
        </w:rPr>
        <w:t> </w:t>
      </w:r>
      <w:r>
        <w:rPr/>
        <w:t>a</w:t>
      </w:r>
      <w:r>
        <w:rPr>
          <w:spacing w:val="-12"/>
        </w:rPr>
        <w:t> </w:t>
      </w:r>
      <w:r>
        <w:rPr/>
        <w:t>significant</w:t>
      </w:r>
      <w:r>
        <w:rPr>
          <w:spacing w:val="-22"/>
        </w:rPr>
        <w:t> </w:t>
      </w:r>
      <w:r>
        <w:rPr/>
        <w:t>event</w:t>
      </w:r>
      <w:r>
        <w:rPr>
          <w:spacing w:val="-22"/>
        </w:rPr>
        <w:t> </w:t>
      </w:r>
      <w:r>
        <w:rPr/>
        <w:t>in</w:t>
      </w:r>
      <w:r>
        <w:rPr>
          <w:spacing w:val="-22"/>
        </w:rPr>
        <w:t> </w:t>
      </w:r>
      <w:r>
        <w:rPr/>
        <w:t>the</w:t>
      </w:r>
      <w:r>
        <w:rPr>
          <w:spacing w:val="-22"/>
        </w:rPr>
        <w:t> </w:t>
      </w:r>
      <w:r>
        <w:rPr/>
        <w:t>university</w:t>
      </w:r>
      <w:r>
        <w:rPr>
          <w:spacing w:val="-22"/>
        </w:rPr>
        <w:t> </w:t>
      </w:r>
      <w:r>
        <w:rPr/>
        <w:t>sector.</w:t>
      </w:r>
    </w:p>
    <w:p>
      <w:pPr>
        <w:pStyle w:val="BodyText"/>
        <w:spacing w:line="249" w:lineRule="auto"/>
        <w:ind w:left="186" w:right="6"/>
      </w:pPr>
      <w:r>
        <w:rPr/>
        <w:t>It found a relatively low average level of compliance. However, the range of results was significant and the meeting noted that the</w:t>
      </w:r>
      <w:r>
        <w:rPr>
          <w:spacing w:val="-16"/>
        </w:rPr>
        <w:t> </w:t>
      </w:r>
      <w:r>
        <w:rPr/>
        <w:t>University</w:t>
      </w:r>
      <w:r>
        <w:rPr>
          <w:spacing w:val="-16"/>
        </w:rPr>
        <w:t> </w:t>
      </w:r>
      <w:r>
        <w:rPr/>
        <w:t>is</w:t>
      </w:r>
      <w:r>
        <w:rPr>
          <w:spacing w:val="-16"/>
        </w:rPr>
        <w:t> </w:t>
      </w:r>
      <w:r>
        <w:rPr/>
        <w:t>examining</w:t>
      </w:r>
      <w:r>
        <w:rPr>
          <w:spacing w:val="-16"/>
        </w:rPr>
        <w:t> </w:t>
      </w:r>
      <w:r>
        <w:rPr/>
        <w:t>its</w:t>
      </w:r>
      <w:r>
        <w:rPr>
          <w:spacing w:val="-16"/>
        </w:rPr>
        <w:t> </w:t>
      </w:r>
      <w:r>
        <w:rPr/>
        <w:t>individual</w:t>
      </w:r>
      <w:r>
        <w:rPr>
          <w:spacing w:val="-16"/>
        </w:rPr>
        <w:t> </w:t>
      </w:r>
      <w:r>
        <w:rPr/>
        <w:t>audit report</w:t>
      </w:r>
      <w:r>
        <w:rPr>
          <w:spacing w:val="-11"/>
        </w:rPr>
        <w:t> </w:t>
      </w:r>
      <w:r>
        <w:rPr/>
        <w:t>and</w:t>
      </w:r>
      <w:r>
        <w:rPr>
          <w:spacing w:val="-11"/>
        </w:rPr>
        <w:t> </w:t>
      </w:r>
      <w:r>
        <w:rPr/>
        <w:t>looking</w:t>
      </w:r>
      <w:r>
        <w:rPr>
          <w:spacing w:val="-11"/>
        </w:rPr>
        <w:t> </w:t>
      </w:r>
      <w:r>
        <w:rPr/>
        <w:t>to</w:t>
      </w:r>
      <w:r>
        <w:rPr>
          <w:spacing w:val="-11"/>
        </w:rPr>
        <w:t> </w:t>
      </w:r>
      <w:r>
        <w:rPr/>
        <w:t>improve</w:t>
      </w:r>
      <w:r>
        <w:rPr>
          <w:spacing w:val="-11"/>
        </w:rPr>
        <w:t> </w:t>
      </w:r>
      <w:r>
        <w:rPr/>
        <w:t>data</w:t>
      </w:r>
      <w:r>
        <w:rPr>
          <w:spacing w:val="-11"/>
        </w:rPr>
        <w:t> </w:t>
      </w:r>
      <w:r>
        <w:rPr/>
        <w:t>collection and</w:t>
      </w:r>
      <w:r>
        <w:rPr>
          <w:spacing w:val="-22"/>
        </w:rPr>
        <w:t> </w:t>
      </w:r>
      <w:r>
        <w:rPr/>
        <w:t>reporting.</w:t>
      </w:r>
    </w:p>
    <w:p>
      <w:pPr>
        <w:pStyle w:val="BodyText"/>
        <w:rPr>
          <w:sz w:val="14"/>
        </w:rPr>
      </w:pPr>
    </w:p>
    <w:p>
      <w:pPr>
        <w:pStyle w:val="BodyText"/>
        <w:spacing w:line="249" w:lineRule="auto"/>
        <w:ind w:left="186" w:right="6"/>
      </w:pPr>
      <w:r>
        <w:rPr/>
        <w:t>Significantly for the University, the change of name and associated branding in the second half of the year meant that the University’s website </w:t>
      </w:r>
      <w:r>
        <w:rPr>
          <w:spacing w:val="2"/>
        </w:rPr>
        <w:t>needed </w:t>
      </w:r>
      <w:r>
        <w:rPr/>
        <w:t>refreshing. Almost every page </w:t>
      </w:r>
      <w:r>
        <w:rPr>
          <w:spacing w:val="2"/>
        </w:rPr>
        <w:t>needed </w:t>
      </w:r>
      <w:r>
        <w:rPr/>
        <w:t>to be reviewed to comply with rebranding</w:t>
      </w:r>
      <w:r>
        <w:rPr>
          <w:spacing w:val="-18"/>
        </w:rPr>
        <w:t> </w:t>
      </w:r>
      <w:r>
        <w:rPr/>
        <w:t>requirements,</w:t>
      </w:r>
      <w:r>
        <w:rPr>
          <w:spacing w:val="-18"/>
        </w:rPr>
        <w:t> </w:t>
      </w:r>
      <w:r>
        <w:rPr/>
        <w:t>which</w:t>
      </w:r>
      <w:r>
        <w:rPr>
          <w:spacing w:val="-18"/>
        </w:rPr>
        <w:t> </w:t>
      </w:r>
      <w:r>
        <w:rPr/>
        <w:t>also</w:t>
      </w:r>
      <w:r>
        <w:rPr>
          <w:spacing w:val="-18"/>
        </w:rPr>
        <w:t> </w:t>
      </w:r>
      <w:r>
        <w:rPr/>
        <w:t>provided an opportunity to review the website more generally.</w:t>
      </w:r>
    </w:p>
    <w:p>
      <w:pPr>
        <w:pStyle w:val="BodyText"/>
        <w:rPr>
          <w:sz w:val="14"/>
        </w:rPr>
      </w:pPr>
    </w:p>
    <w:p>
      <w:pPr>
        <w:pStyle w:val="BodyText"/>
        <w:spacing w:line="249" w:lineRule="auto"/>
        <w:ind w:left="186" w:right="180"/>
      </w:pPr>
      <w:r>
        <w:rPr/>
        <w:t>The</w:t>
      </w:r>
      <w:r>
        <w:rPr>
          <w:spacing w:val="-15"/>
        </w:rPr>
        <w:t> </w:t>
      </w:r>
      <w:r>
        <w:rPr/>
        <w:t>analysis</w:t>
      </w:r>
      <w:r>
        <w:rPr>
          <w:spacing w:val="-15"/>
        </w:rPr>
        <w:t> </w:t>
      </w:r>
      <w:r>
        <w:rPr/>
        <w:t>of</w:t>
      </w:r>
      <w:r>
        <w:rPr>
          <w:spacing w:val="-15"/>
        </w:rPr>
        <w:t> </w:t>
      </w:r>
      <w:r>
        <w:rPr/>
        <w:t>web</w:t>
      </w:r>
      <w:r>
        <w:rPr>
          <w:spacing w:val="-15"/>
        </w:rPr>
        <w:t> </w:t>
      </w:r>
      <w:r>
        <w:rPr/>
        <w:t>page</w:t>
      </w:r>
      <w:r>
        <w:rPr>
          <w:spacing w:val="-15"/>
        </w:rPr>
        <w:t> </w:t>
      </w:r>
      <w:r>
        <w:rPr/>
        <w:t>views</w:t>
      </w:r>
      <w:r>
        <w:rPr>
          <w:spacing w:val="-15"/>
        </w:rPr>
        <w:t> </w:t>
      </w:r>
      <w:r>
        <w:rPr/>
        <w:t>provided</w:t>
      </w:r>
      <w:r>
        <w:rPr>
          <w:spacing w:val="-15"/>
        </w:rPr>
        <w:t> </w:t>
      </w:r>
      <w:r>
        <w:rPr/>
        <w:t>by the</w:t>
      </w:r>
      <w:r>
        <w:rPr>
          <w:spacing w:val="-13"/>
        </w:rPr>
        <w:t> </w:t>
      </w:r>
      <w:r>
        <w:rPr/>
        <w:t>Web</w:t>
      </w:r>
      <w:r>
        <w:rPr>
          <w:spacing w:val="-13"/>
        </w:rPr>
        <w:t> </w:t>
      </w:r>
      <w:r>
        <w:rPr/>
        <w:t>Services</w:t>
      </w:r>
      <w:r>
        <w:rPr>
          <w:spacing w:val="-13"/>
        </w:rPr>
        <w:t> </w:t>
      </w:r>
      <w:r>
        <w:rPr/>
        <w:t>Unit</w:t>
      </w:r>
      <w:r>
        <w:rPr>
          <w:spacing w:val="-13"/>
        </w:rPr>
        <w:t> </w:t>
      </w:r>
      <w:r>
        <w:rPr/>
        <w:t>suggested</w:t>
      </w:r>
      <w:r>
        <w:rPr>
          <w:spacing w:val="-13"/>
        </w:rPr>
        <w:t> </w:t>
      </w:r>
      <w:r>
        <w:rPr/>
        <w:t>that</w:t>
      </w:r>
      <w:r>
        <w:rPr>
          <w:spacing w:val="-13"/>
        </w:rPr>
        <w:t> </w:t>
      </w:r>
      <w:r>
        <w:rPr/>
        <w:t>more information searches may be taking place through external search mechanisms than within the University’s website. This could explain</w:t>
      </w:r>
      <w:r>
        <w:rPr>
          <w:spacing w:val="-14"/>
        </w:rPr>
        <w:t> </w:t>
      </w:r>
      <w:r>
        <w:rPr/>
        <w:t>the</w:t>
      </w:r>
      <w:r>
        <w:rPr>
          <w:spacing w:val="-14"/>
        </w:rPr>
        <w:t> </w:t>
      </w:r>
      <w:r>
        <w:rPr/>
        <w:t>observed</w:t>
      </w:r>
      <w:r>
        <w:rPr>
          <w:spacing w:val="-14"/>
        </w:rPr>
        <w:t> </w:t>
      </w:r>
      <w:r>
        <w:rPr/>
        <w:t>reduction</w:t>
      </w:r>
      <w:r>
        <w:rPr>
          <w:spacing w:val="-14"/>
        </w:rPr>
        <w:t> </w:t>
      </w:r>
      <w:r>
        <w:rPr/>
        <w:t>in</w:t>
      </w:r>
      <w:r>
        <w:rPr>
          <w:spacing w:val="-14"/>
        </w:rPr>
        <w:t> </w:t>
      </w:r>
      <w:r>
        <w:rPr/>
        <w:t>individual page</w:t>
      </w:r>
      <w:r>
        <w:rPr>
          <w:spacing w:val="-17"/>
        </w:rPr>
        <w:t> </w:t>
      </w:r>
      <w:r>
        <w:rPr/>
        <w:t>views</w:t>
      </w:r>
      <w:r>
        <w:rPr>
          <w:spacing w:val="-17"/>
        </w:rPr>
        <w:t> </w:t>
      </w:r>
      <w:r>
        <w:rPr/>
        <w:t>on</w:t>
      </w:r>
      <w:r>
        <w:rPr>
          <w:spacing w:val="-17"/>
        </w:rPr>
        <w:t> </w:t>
      </w:r>
      <w:r>
        <w:rPr/>
        <w:t>the</w:t>
      </w:r>
      <w:r>
        <w:rPr>
          <w:spacing w:val="-17"/>
        </w:rPr>
        <w:t> </w:t>
      </w:r>
      <w:r>
        <w:rPr/>
        <w:t>University’s</w:t>
      </w:r>
      <w:r>
        <w:rPr>
          <w:spacing w:val="-17"/>
        </w:rPr>
        <w:t> </w:t>
      </w:r>
      <w:r>
        <w:rPr/>
        <w:t>website,</w:t>
      </w:r>
      <w:r>
        <w:rPr>
          <w:spacing w:val="-17"/>
        </w:rPr>
        <w:t> </w:t>
      </w:r>
      <w:r>
        <w:rPr/>
        <w:t>but </w:t>
      </w:r>
      <w:r>
        <w:rPr>
          <w:w w:val="95"/>
        </w:rPr>
        <w:t>was</w:t>
      </w:r>
      <w:r>
        <w:rPr>
          <w:spacing w:val="23"/>
          <w:w w:val="95"/>
        </w:rPr>
        <w:t> </w:t>
      </w:r>
      <w:r>
        <w:rPr>
          <w:w w:val="95"/>
        </w:rPr>
        <w:t>inconclusive.</w:t>
      </w:r>
    </w:p>
    <w:p>
      <w:pPr>
        <w:pStyle w:val="BodyText"/>
        <w:rPr>
          <w:sz w:val="14"/>
        </w:rPr>
      </w:pPr>
    </w:p>
    <w:p>
      <w:pPr>
        <w:pStyle w:val="BodyText"/>
        <w:spacing w:line="249" w:lineRule="auto"/>
        <w:ind w:left="186" w:right="-13"/>
      </w:pPr>
      <w:r>
        <w:rPr/>
        <w:t>Much</w:t>
      </w:r>
      <w:r>
        <w:rPr>
          <w:spacing w:val="-18"/>
        </w:rPr>
        <w:t> </w:t>
      </w:r>
      <w:r>
        <w:rPr/>
        <w:t>more</w:t>
      </w:r>
      <w:r>
        <w:rPr>
          <w:spacing w:val="-18"/>
        </w:rPr>
        <w:t> </w:t>
      </w:r>
      <w:r>
        <w:rPr/>
        <w:t>conclusive</w:t>
      </w:r>
      <w:r>
        <w:rPr>
          <w:spacing w:val="-18"/>
        </w:rPr>
        <w:t> </w:t>
      </w:r>
      <w:r>
        <w:rPr/>
        <w:t>were</w:t>
      </w:r>
      <w:r>
        <w:rPr>
          <w:spacing w:val="-18"/>
        </w:rPr>
        <w:t> </w:t>
      </w:r>
      <w:r>
        <w:rPr/>
        <w:t>the</w:t>
      </w:r>
      <w:r>
        <w:rPr>
          <w:spacing w:val="-18"/>
        </w:rPr>
        <w:t> </w:t>
      </w:r>
      <w:r>
        <w:rPr/>
        <w:t>improvements led by the Web Services Unit to populate the website</w:t>
      </w:r>
      <w:r>
        <w:rPr>
          <w:spacing w:val="-17"/>
        </w:rPr>
        <w:t> </w:t>
      </w:r>
      <w:r>
        <w:rPr/>
        <w:t>with</w:t>
      </w:r>
      <w:r>
        <w:rPr>
          <w:spacing w:val="-17"/>
        </w:rPr>
        <w:t> </w:t>
      </w:r>
      <w:r>
        <w:rPr/>
        <w:t>a</w:t>
      </w:r>
      <w:r>
        <w:rPr>
          <w:spacing w:val="-17"/>
        </w:rPr>
        <w:t> </w:t>
      </w:r>
      <w:r>
        <w:rPr/>
        <w:t>greater</w:t>
      </w:r>
      <w:r>
        <w:rPr>
          <w:spacing w:val="-17"/>
        </w:rPr>
        <w:t> </w:t>
      </w:r>
      <w:r>
        <w:rPr/>
        <w:t>amount</w:t>
      </w:r>
      <w:r>
        <w:rPr>
          <w:spacing w:val="-17"/>
        </w:rPr>
        <w:t> </w:t>
      </w:r>
      <w:r>
        <w:rPr/>
        <w:t>of</w:t>
      </w:r>
      <w:r>
        <w:rPr>
          <w:spacing w:val="-17"/>
        </w:rPr>
        <w:t> </w:t>
      </w:r>
      <w:r>
        <w:rPr/>
        <w:t>information relevant to common searches. In particular, recent initiatives have greatly improved crossover between admissions-related course pages and the School pages related to the course.</w:t>
      </w:r>
      <w:r>
        <w:rPr>
          <w:spacing w:val="-16"/>
        </w:rPr>
        <w:t> </w:t>
      </w:r>
      <w:r>
        <w:rPr/>
        <w:t>As</w:t>
      </w:r>
      <w:r>
        <w:rPr>
          <w:spacing w:val="-16"/>
        </w:rPr>
        <w:t> </w:t>
      </w:r>
      <w:r>
        <w:rPr/>
        <w:t>a</w:t>
      </w:r>
      <w:r>
        <w:rPr>
          <w:spacing w:val="-16"/>
        </w:rPr>
        <w:t> </w:t>
      </w:r>
      <w:r>
        <w:rPr/>
        <w:t>result,</w:t>
      </w:r>
      <w:r>
        <w:rPr>
          <w:spacing w:val="-16"/>
        </w:rPr>
        <w:t> </w:t>
      </w:r>
      <w:r>
        <w:rPr/>
        <w:t>School</w:t>
      </w:r>
      <w:r>
        <w:rPr>
          <w:spacing w:val="-16"/>
        </w:rPr>
        <w:t> </w:t>
      </w:r>
      <w:r>
        <w:rPr/>
        <w:t>pages</w:t>
      </w:r>
      <w:r>
        <w:rPr>
          <w:spacing w:val="-16"/>
        </w:rPr>
        <w:t> </w:t>
      </w:r>
      <w:r>
        <w:rPr/>
        <w:t>experienced a</w:t>
      </w:r>
      <w:r>
        <w:rPr>
          <w:spacing w:val="-20"/>
        </w:rPr>
        <w:t> </w:t>
      </w:r>
      <w:r>
        <w:rPr/>
        <w:t>significant</w:t>
      </w:r>
      <w:r>
        <w:rPr>
          <w:spacing w:val="-20"/>
        </w:rPr>
        <w:t> </w:t>
      </w:r>
      <w:r>
        <w:rPr/>
        <w:t>increase</w:t>
      </w:r>
      <w:r>
        <w:rPr>
          <w:spacing w:val="-20"/>
        </w:rPr>
        <w:t> </w:t>
      </w:r>
      <w:r>
        <w:rPr/>
        <w:t>in</w:t>
      </w:r>
      <w:r>
        <w:rPr>
          <w:spacing w:val="-20"/>
        </w:rPr>
        <w:t> </w:t>
      </w:r>
      <w:r>
        <w:rPr/>
        <w:t>page</w:t>
      </w:r>
      <w:r>
        <w:rPr>
          <w:spacing w:val="-20"/>
        </w:rPr>
        <w:t> </w:t>
      </w:r>
      <w:r>
        <w:rPr/>
        <w:t>views.</w:t>
      </w:r>
    </w:p>
    <w:p>
      <w:pPr>
        <w:pStyle w:val="BodyText"/>
        <w:spacing w:line="249" w:lineRule="auto" w:before="5"/>
        <w:ind w:left="191" w:right="364"/>
      </w:pPr>
      <w:r>
        <w:rPr/>
        <w:br w:type="column"/>
      </w:r>
      <w:r>
        <w:rPr/>
        <w:t>provision of personal human resources (HR) information to applicants as an ongoing challenge,</w:t>
      </w:r>
      <w:r>
        <w:rPr>
          <w:spacing w:val="-16"/>
        </w:rPr>
        <w:t> </w:t>
      </w:r>
      <w:r>
        <w:rPr/>
        <w:t>particularly</w:t>
      </w:r>
      <w:r>
        <w:rPr>
          <w:spacing w:val="-16"/>
        </w:rPr>
        <w:t> </w:t>
      </w:r>
      <w:r>
        <w:rPr/>
        <w:t>to</w:t>
      </w:r>
      <w:r>
        <w:rPr>
          <w:spacing w:val="-16"/>
        </w:rPr>
        <w:t> </w:t>
      </w:r>
      <w:r>
        <w:rPr/>
        <w:t>applicants</w:t>
      </w:r>
      <w:r>
        <w:rPr>
          <w:spacing w:val="-16"/>
        </w:rPr>
        <w:t> </w:t>
      </w:r>
      <w:r>
        <w:rPr/>
        <w:t>who</w:t>
      </w:r>
      <w:r>
        <w:rPr>
          <w:spacing w:val="-5"/>
        </w:rPr>
        <w:t> </w:t>
      </w:r>
      <w:r>
        <w:rPr/>
        <w:t>were</w:t>
      </w:r>
      <w:r>
        <w:rPr>
          <w:spacing w:val="-12"/>
        </w:rPr>
        <w:t> </w:t>
      </w:r>
      <w:r>
        <w:rPr/>
        <w:t>former staff members. This matter was considered in the context of the HR web pages</w:t>
      </w:r>
      <w:r>
        <w:rPr>
          <w:spacing w:val="-16"/>
        </w:rPr>
        <w:t> </w:t>
      </w:r>
      <w:r>
        <w:rPr/>
        <w:t>and</w:t>
      </w:r>
      <w:r>
        <w:rPr>
          <w:spacing w:val="-16"/>
        </w:rPr>
        <w:t> </w:t>
      </w:r>
      <w:r>
        <w:rPr/>
        <w:t>an</w:t>
      </w:r>
      <w:r>
        <w:rPr>
          <w:spacing w:val="-16"/>
        </w:rPr>
        <w:t> </w:t>
      </w:r>
      <w:r>
        <w:rPr/>
        <w:t>ongoing</w:t>
      </w:r>
      <w:r>
        <w:rPr>
          <w:spacing w:val="-16"/>
        </w:rPr>
        <w:t> </w:t>
      </w:r>
      <w:r>
        <w:rPr/>
        <w:t>review</w:t>
      </w:r>
      <w:r>
        <w:rPr>
          <w:spacing w:val="-16"/>
        </w:rPr>
        <w:t> </w:t>
      </w:r>
      <w:r>
        <w:rPr/>
        <w:t>of</w:t>
      </w:r>
      <w:r>
        <w:rPr>
          <w:spacing w:val="-16"/>
        </w:rPr>
        <w:t> </w:t>
      </w:r>
      <w:r>
        <w:rPr/>
        <w:t>HR</w:t>
      </w:r>
      <w:r>
        <w:rPr>
          <w:spacing w:val="-16"/>
        </w:rPr>
        <w:t> </w:t>
      </w:r>
      <w:r>
        <w:rPr/>
        <w:t>structure.</w:t>
      </w:r>
    </w:p>
    <w:p>
      <w:pPr>
        <w:pStyle w:val="BodyText"/>
        <w:spacing w:line="249" w:lineRule="auto"/>
        <w:ind w:left="191" w:right="230"/>
      </w:pPr>
      <w:r>
        <w:rPr/>
        <w:t>It was noted that there is capacity to increase the monitoring of such information requests to produce data the University can use to assess its ability to provide access to this information. The AIGRC intends to revisit this issue during the HR restructure.</w:t>
      </w:r>
    </w:p>
    <w:p>
      <w:pPr>
        <w:pStyle w:val="BodyText"/>
        <w:spacing w:before="6"/>
        <w:rPr>
          <w:sz w:val="14"/>
        </w:rPr>
      </w:pPr>
    </w:p>
    <w:p>
      <w:pPr>
        <w:pStyle w:val="Heading8"/>
        <w:spacing w:line="249" w:lineRule="auto"/>
        <w:ind w:left="191" w:right="446"/>
      </w:pPr>
      <w:r>
        <w:rPr>
          <w:color w:val="636466"/>
          <w:spacing w:val="2"/>
        </w:rPr>
        <w:t>Number</w:t>
      </w:r>
      <w:r>
        <w:rPr>
          <w:color w:val="636466"/>
          <w:spacing w:val="-28"/>
        </w:rPr>
        <w:t> </w:t>
      </w:r>
      <w:r>
        <w:rPr>
          <w:color w:val="636466"/>
        </w:rPr>
        <w:t>of</w:t>
      </w:r>
      <w:r>
        <w:rPr>
          <w:color w:val="636466"/>
          <w:spacing w:val="-28"/>
        </w:rPr>
        <w:t> </w:t>
      </w:r>
      <w:r>
        <w:rPr>
          <w:color w:val="636466"/>
        </w:rPr>
        <w:t>Access</w:t>
      </w:r>
      <w:r>
        <w:rPr>
          <w:color w:val="636466"/>
          <w:spacing w:val="-28"/>
        </w:rPr>
        <w:t> </w:t>
      </w:r>
      <w:r>
        <w:rPr>
          <w:color w:val="636466"/>
          <w:spacing w:val="2"/>
        </w:rPr>
        <w:t>Applications</w:t>
      </w:r>
      <w:r>
        <w:rPr>
          <w:color w:val="636466"/>
          <w:spacing w:val="-28"/>
        </w:rPr>
        <w:t> </w:t>
      </w:r>
      <w:r>
        <w:rPr>
          <w:color w:val="636466"/>
        </w:rPr>
        <w:t>Received</w:t>
      </w:r>
      <w:r>
        <w:rPr>
          <w:color w:val="636466"/>
          <w:spacing w:val="-28"/>
        </w:rPr>
        <w:t> </w:t>
      </w:r>
      <w:r>
        <w:rPr>
          <w:color w:val="636466"/>
        </w:rPr>
        <w:t>– </w:t>
      </w:r>
      <w:r>
        <w:rPr>
          <w:color w:val="636466"/>
          <w:spacing w:val="2"/>
          <w:w w:val="95"/>
        </w:rPr>
        <w:t>Clause</w:t>
      </w:r>
      <w:r>
        <w:rPr>
          <w:color w:val="636466"/>
          <w:spacing w:val="-2"/>
          <w:w w:val="95"/>
        </w:rPr>
        <w:t> </w:t>
      </w:r>
      <w:r>
        <w:rPr>
          <w:color w:val="636466"/>
          <w:spacing w:val="-3"/>
          <w:w w:val="95"/>
        </w:rPr>
        <w:t>7(b)</w:t>
      </w:r>
    </w:p>
    <w:p>
      <w:pPr>
        <w:pStyle w:val="BodyText"/>
        <w:spacing w:line="249" w:lineRule="auto" w:before="79"/>
        <w:ind w:left="191" w:right="711"/>
      </w:pPr>
      <w:r>
        <w:rPr/>
        <w:t>During the reporting period, our agency received six formal access applications.</w:t>
      </w:r>
    </w:p>
    <w:p>
      <w:pPr>
        <w:pStyle w:val="BodyText"/>
        <w:spacing w:before="6"/>
        <w:rPr>
          <w:sz w:val="14"/>
        </w:rPr>
      </w:pPr>
    </w:p>
    <w:p>
      <w:pPr>
        <w:pStyle w:val="Heading8"/>
        <w:spacing w:line="249" w:lineRule="auto"/>
        <w:ind w:left="191" w:right="364"/>
      </w:pPr>
      <w:r>
        <w:rPr>
          <w:color w:val="636466"/>
        </w:rPr>
        <w:t>Number of Refused Applications for </w:t>
      </w:r>
      <w:r>
        <w:rPr>
          <w:color w:val="636466"/>
          <w:w w:val="95"/>
        </w:rPr>
        <w:t>Schedule 1 Information – Clause 7(c)</w:t>
      </w:r>
    </w:p>
    <w:p>
      <w:pPr>
        <w:pStyle w:val="BodyText"/>
        <w:spacing w:line="249" w:lineRule="auto" w:before="79"/>
        <w:ind w:left="191" w:right="364"/>
      </w:pPr>
      <w:r>
        <w:rPr/>
        <w:t>During the reporting period, our agency did not refuse any formal access applications because none of the information requested was</w:t>
      </w:r>
      <w:r>
        <w:rPr>
          <w:spacing w:val="-19"/>
        </w:rPr>
        <w:t> </w:t>
      </w:r>
      <w:r>
        <w:rPr/>
        <w:t>referred</w:t>
      </w:r>
      <w:r>
        <w:rPr>
          <w:spacing w:val="-19"/>
        </w:rPr>
        <w:t> </w:t>
      </w:r>
      <w:r>
        <w:rPr/>
        <w:t>to</w:t>
      </w:r>
      <w:r>
        <w:rPr>
          <w:spacing w:val="-19"/>
        </w:rPr>
        <w:t> </w:t>
      </w:r>
      <w:r>
        <w:rPr/>
        <w:t>in</w:t>
      </w:r>
      <w:r>
        <w:rPr>
          <w:spacing w:val="-19"/>
        </w:rPr>
        <w:t> </w:t>
      </w:r>
      <w:r>
        <w:rPr/>
        <w:t>Schedule</w:t>
      </w:r>
      <w:r>
        <w:rPr>
          <w:spacing w:val="-19"/>
        </w:rPr>
        <w:t> </w:t>
      </w:r>
      <w:r>
        <w:rPr>
          <w:w w:val="95"/>
        </w:rPr>
        <w:t>1</w:t>
      </w:r>
      <w:r>
        <w:rPr>
          <w:spacing w:val="-17"/>
          <w:w w:val="95"/>
        </w:rPr>
        <w:t> </w:t>
      </w:r>
      <w:r>
        <w:rPr/>
        <w:t>of</w:t>
      </w:r>
      <w:r>
        <w:rPr>
          <w:spacing w:val="-19"/>
        </w:rPr>
        <w:t> </w:t>
      </w:r>
      <w:r>
        <w:rPr/>
        <w:t>the</w:t>
      </w:r>
      <w:r>
        <w:rPr>
          <w:spacing w:val="-19"/>
        </w:rPr>
        <w:t> </w:t>
      </w:r>
      <w:r>
        <w:rPr/>
        <w:t>GIPA</w:t>
      </w:r>
      <w:r>
        <w:rPr>
          <w:spacing w:val="-19"/>
        </w:rPr>
        <w:t> </w:t>
      </w:r>
      <w:r>
        <w:rPr/>
        <w:t>Act.</w:t>
      </w:r>
    </w:p>
    <w:p>
      <w:pPr>
        <w:spacing w:after="0" w:line="249" w:lineRule="auto"/>
        <w:sectPr>
          <w:type w:val="continuous"/>
          <w:pgSz w:w="11910" w:h="16840"/>
          <w:pgMar w:top="1580" w:bottom="280" w:left="580" w:right="580"/>
          <w:cols w:num="3" w:equalWidth="0">
            <w:col w:w="3540" w:space="40"/>
            <w:col w:w="3395" w:space="40"/>
            <w:col w:w="3735"/>
          </w:cols>
        </w:sectPr>
      </w:pPr>
    </w:p>
    <w:p>
      <w:pPr>
        <w:pStyle w:val="BodyText"/>
        <w:spacing w:before="7"/>
        <w:rPr>
          <w:sz w:val="28"/>
        </w:rPr>
      </w:pPr>
      <w:r>
        <w:rPr/>
        <w:pict>
          <v:rect style="position:absolute;margin-left:34.015999pt;margin-top:45.355015pt;width:527.244pt;height:751.181pt;mso-position-horizontal-relative:page;mso-position-vertical-relative:page;z-index:-331792" filled="true" fillcolor="#e6e7e8" stroked="false">
            <v:fill type="solid"/>
            <w10:wrap type="none"/>
          </v:rect>
        </w:pict>
      </w:r>
    </w:p>
    <w:p>
      <w:pPr>
        <w:pStyle w:val="Heading1"/>
      </w:pPr>
      <w:r>
        <w:rPr>
          <w:w w:val="95"/>
        </w:rPr>
        <w:t>APPENDIX 8</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25"/>
        </w:rPr>
      </w:pPr>
    </w:p>
    <w:p>
      <w:pPr>
        <w:pStyle w:val="Heading8"/>
        <w:spacing w:before="72"/>
        <w:ind w:left="320" w:right="411"/>
      </w:pPr>
      <w:r>
        <w:rPr>
          <w:w w:val="95"/>
        </w:rPr>
        <w:t>STATISTICAL INFORMATION ABOUT ACCESS APPLICATIONS – CLAUSE 7(D) AND SCHEDULE  2</w:t>
      </w:r>
    </w:p>
    <w:p>
      <w:pPr>
        <w:spacing w:before="93"/>
        <w:ind w:left="320" w:right="5322" w:firstLine="0"/>
        <w:jc w:val="left"/>
        <w:rPr>
          <w:rFonts w:ascii="Gotham Narrow Bold"/>
          <w:b/>
          <w:sz w:val="16"/>
        </w:rPr>
      </w:pPr>
      <w:r>
        <w:rPr>
          <w:rFonts w:ascii="Gotham Narrow Bold"/>
          <w:b/>
          <w:color w:val="636466"/>
          <w:sz w:val="16"/>
        </w:rPr>
        <w:t>Table A: Number of applications by type of applicant and outcome*</w:t>
      </w:r>
    </w:p>
    <w:p>
      <w:pPr>
        <w:pStyle w:val="BodyText"/>
        <w:spacing w:before="11"/>
        <w:rPr>
          <w:rFonts w:ascii="Gotham Narrow Bold"/>
          <w:b/>
          <w:sz w:val="10"/>
        </w:rPr>
      </w:pPr>
    </w:p>
    <w:tbl>
      <w:tblPr>
        <w:tblW w:w="0" w:type="auto"/>
        <w:jc w:val="left"/>
        <w:tblInd w:w="32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2042"/>
        <w:gridCol w:w="1006"/>
        <w:gridCol w:w="1006"/>
        <w:gridCol w:w="1006"/>
        <w:gridCol w:w="1006"/>
        <w:gridCol w:w="1006"/>
        <w:gridCol w:w="1006"/>
        <w:gridCol w:w="1006"/>
        <w:gridCol w:w="1006"/>
      </w:tblGrid>
      <w:tr>
        <w:trPr>
          <w:trHeight w:val="1288" w:hRule="exact"/>
        </w:trPr>
        <w:tc>
          <w:tcPr>
            <w:tcW w:w="2042" w:type="dxa"/>
            <w:tcBorders>
              <w:top w:val="nil"/>
              <w:left w:val="nil"/>
              <w:bottom w:val="nil"/>
              <w:right w:val="single" w:sz="4" w:space="0" w:color="FFFFFF"/>
            </w:tcBorders>
            <w:shd w:val="clear" w:color="auto" w:fill="939598"/>
          </w:tcPr>
          <w:p>
            <w:pP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139" w:right="137" w:hanging="1"/>
              <w:jc w:val="center"/>
              <w:rPr>
                <w:rFonts w:ascii="Gotham Narrow Bold"/>
                <w:b/>
                <w:sz w:val="16"/>
              </w:rPr>
            </w:pPr>
            <w:r>
              <w:rPr>
                <w:rFonts w:ascii="Gotham Narrow Bold"/>
                <w:b/>
                <w:color w:val="FFFFFF"/>
                <w:sz w:val="16"/>
              </w:rPr>
              <w:t>Access </w:t>
            </w:r>
            <w:r>
              <w:rPr>
                <w:rFonts w:ascii="Gotham Narrow Bold"/>
                <w:b/>
                <w:color w:val="FFFFFF"/>
                <w:w w:val="95"/>
                <w:sz w:val="16"/>
              </w:rPr>
              <w:t>granted</w:t>
            </w:r>
            <w:r>
              <w:rPr>
                <w:rFonts w:ascii="Gotham Narrow Bold"/>
                <w:b/>
                <w:color w:val="FFFFFF"/>
                <w:spacing w:val="-17"/>
                <w:w w:val="95"/>
                <w:sz w:val="16"/>
              </w:rPr>
              <w:t> </w:t>
            </w:r>
            <w:r>
              <w:rPr>
                <w:rFonts w:ascii="Gotham Narrow Bold"/>
                <w:b/>
                <w:color w:val="FFFFFF"/>
                <w:w w:val="95"/>
                <w:sz w:val="16"/>
              </w:rPr>
              <w:t>in </w:t>
            </w:r>
            <w:r>
              <w:rPr>
                <w:rFonts w:ascii="Gotham Narrow Bold"/>
                <w:b/>
                <w:color w:val="FFFFFF"/>
                <w:sz w:val="16"/>
              </w:rPr>
              <w:t>full</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139" w:right="137" w:hanging="1"/>
              <w:jc w:val="center"/>
              <w:rPr>
                <w:rFonts w:ascii="Gotham Narrow Bold"/>
                <w:b/>
                <w:sz w:val="16"/>
              </w:rPr>
            </w:pPr>
            <w:r>
              <w:rPr>
                <w:rFonts w:ascii="Gotham Narrow Bold"/>
                <w:b/>
                <w:color w:val="FFFFFF"/>
                <w:sz w:val="16"/>
              </w:rPr>
              <w:t>Access </w:t>
            </w:r>
            <w:r>
              <w:rPr>
                <w:rFonts w:ascii="Gotham Narrow Bold"/>
                <w:b/>
                <w:color w:val="FFFFFF"/>
                <w:w w:val="95"/>
                <w:sz w:val="16"/>
              </w:rPr>
              <w:t>granted</w:t>
            </w:r>
            <w:r>
              <w:rPr>
                <w:rFonts w:ascii="Gotham Narrow Bold"/>
                <w:b/>
                <w:color w:val="FFFFFF"/>
                <w:spacing w:val="-17"/>
                <w:w w:val="95"/>
                <w:sz w:val="16"/>
              </w:rPr>
              <w:t> </w:t>
            </w:r>
            <w:r>
              <w:rPr>
                <w:rFonts w:ascii="Gotham Narrow Bold"/>
                <w:b/>
                <w:color w:val="FFFFFF"/>
                <w:w w:val="95"/>
                <w:sz w:val="16"/>
              </w:rPr>
              <w:t>in </w:t>
            </w:r>
            <w:r>
              <w:rPr>
                <w:rFonts w:ascii="Gotham Narrow Bold"/>
                <w:b/>
                <w:color w:val="FFFFFF"/>
                <w:sz w:val="16"/>
              </w:rPr>
              <w:t>part</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59" w:right="58"/>
              <w:jc w:val="center"/>
              <w:rPr>
                <w:rFonts w:ascii="Gotham Narrow Bold"/>
                <w:b/>
                <w:sz w:val="16"/>
              </w:rPr>
            </w:pPr>
            <w:r>
              <w:rPr>
                <w:rFonts w:ascii="Gotham Narrow Bold"/>
                <w:b/>
                <w:color w:val="FFFFFF"/>
                <w:sz w:val="16"/>
              </w:rPr>
              <w:t>Access </w:t>
            </w:r>
            <w:r>
              <w:rPr>
                <w:rFonts w:ascii="Gotham Narrow Bold"/>
                <w:b/>
                <w:color w:val="FFFFFF"/>
                <w:w w:val="95"/>
                <w:sz w:val="16"/>
              </w:rPr>
              <w:t>refused in</w:t>
            </w:r>
            <w:r>
              <w:rPr>
                <w:rFonts w:ascii="Gotham Narrow Bold"/>
                <w:b/>
                <w:color w:val="FFFFFF"/>
                <w:w w:val="95"/>
                <w:sz w:val="16"/>
              </w:rPr>
              <w:t> </w:t>
            </w:r>
            <w:r>
              <w:rPr>
                <w:rFonts w:ascii="Gotham Narrow Bold"/>
                <w:b/>
                <w:color w:val="FFFFFF"/>
                <w:sz w:val="16"/>
              </w:rPr>
              <w:t>full</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210" w:hanging="130"/>
              <w:jc w:val="left"/>
              <w:rPr>
                <w:rFonts w:ascii="Gotham Narrow Bold"/>
                <w:b/>
                <w:sz w:val="16"/>
              </w:rPr>
            </w:pPr>
            <w:r>
              <w:rPr>
                <w:rFonts w:ascii="Gotham Narrow Bold"/>
                <w:b/>
                <w:color w:val="FFFFFF"/>
                <w:w w:val="90"/>
                <w:sz w:val="16"/>
              </w:rPr>
              <w:t>Information </w:t>
            </w:r>
            <w:r>
              <w:rPr>
                <w:rFonts w:ascii="Gotham Narrow Bold"/>
                <w:b/>
                <w:color w:val="FFFFFF"/>
                <w:w w:val="95"/>
                <w:sz w:val="16"/>
              </w:rPr>
              <w:t>not held</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60" w:right="58"/>
              <w:jc w:val="center"/>
              <w:rPr>
                <w:rFonts w:ascii="Gotham Narrow Bold"/>
                <w:b/>
                <w:sz w:val="16"/>
              </w:rPr>
            </w:pPr>
            <w:r>
              <w:rPr>
                <w:rFonts w:ascii="Gotham Narrow Bold"/>
                <w:b/>
                <w:color w:val="FFFFFF"/>
                <w:w w:val="95"/>
                <w:sz w:val="16"/>
              </w:rPr>
              <w:t>Information </w:t>
            </w:r>
            <w:r>
              <w:rPr>
                <w:rFonts w:ascii="Gotham Narrow Bold"/>
                <w:b/>
                <w:color w:val="FFFFFF"/>
                <w:sz w:val="16"/>
              </w:rPr>
              <w:t>already available</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100" w:right="98" w:firstLine="68"/>
              <w:jc w:val="both"/>
              <w:rPr>
                <w:rFonts w:ascii="Gotham Narrow Bold"/>
                <w:b/>
                <w:sz w:val="16"/>
              </w:rPr>
            </w:pPr>
            <w:r>
              <w:rPr>
                <w:rFonts w:ascii="Gotham Narrow Bold"/>
                <w:b/>
                <w:color w:val="FFFFFF"/>
                <w:sz w:val="16"/>
              </w:rPr>
              <w:t>Refuse to deal with </w:t>
            </w:r>
            <w:r>
              <w:rPr>
                <w:rFonts w:ascii="Gotham Narrow Bold"/>
                <w:b/>
                <w:color w:val="FFFFFF"/>
                <w:w w:val="90"/>
                <w:sz w:val="16"/>
              </w:rPr>
              <w:t>application</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59" w:right="58"/>
              <w:jc w:val="center"/>
              <w:rPr>
                <w:rFonts w:ascii="Gotham Narrow Bold"/>
                <w:b/>
                <w:sz w:val="16"/>
              </w:rPr>
            </w:pPr>
            <w:r>
              <w:rPr>
                <w:rFonts w:ascii="Gotham Narrow Bold"/>
                <w:b/>
                <w:color w:val="FFFFFF"/>
                <w:sz w:val="16"/>
              </w:rPr>
              <w:t>Refuse to confirm/ deny whether </w:t>
            </w:r>
            <w:r>
              <w:rPr>
                <w:rFonts w:ascii="Gotham Narrow Bold"/>
                <w:b/>
                <w:color w:val="FFFFFF"/>
                <w:w w:val="95"/>
                <w:sz w:val="16"/>
              </w:rPr>
              <w:t>information is held</w:t>
            </w:r>
          </w:p>
        </w:tc>
        <w:tc>
          <w:tcPr>
            <w:tcW w:w="1006" w:type="dxa"/>
            <w:tcBorders>
              <w:top w:val="nil"/>
              <w:left w:val="single" w:sz="4" w:space="0" w:color="FFFFFF"/>
              <w:bottom w:val="nil"/>
              <w:right w:val="nil"/>
            </w:tcBorders>
            <w:shd w:val="clear" w:color="auto" w:fill="939598"/>
          </w:tcPr>
          <w:p>
            <w:pPr>
              <w:pStyle w:val="TableParagraph"/>
              <w:spacing w:line="249" w:lineRule="auto" w:before="54"/>
              <w:ind w:left="123" w:hanging="36"/>
              <w:jc w:val="left"/>
              <w:rPr>
                <w:rFonts w:ascii="Gotham Narrow Bold"/>
                <w:b/>
                <w:sz w:val="16"/>
              </w:rPr>
            </w:pPr>
            <w:r>
              <w:rPr>
                <w:rFonts w:ascii="Gotham Narrow Bold"/>
                <w:b/>
                <w:color w:val="FFFFFF"/>
                <w:w w:val="90"/>
                <w:sz w:val="16"/>
              </w:rPr>
              <w:t>Application </w:t>
            </w:r>
            <w:r>
              <w:rPr>
                <w:rFonts w:ascii="Gotham Narrow Bold"/>
                <w:b/>
                <w:color w:val="FFFFFF"/>
                <w:w w:val="95"/>
                <w:sz w:val="16"/>
              </w:rPr>
              <w:t>withdrawn</w:t>
            </w:r>
          </w:p>
        </w:tc>
      </w:tr>
      <w:tr>
        <w:trPr>
          <w:trHeight w:val="312" w:hRule="exact"/>
        </w:trPr>
        <w:tc>
          <w:tcPr>
            <w:tcW w:w="2042" w:type="dxa"/>
            <w:tcBorders>
              <w:top w:val="nil"/>
            </w:tcBorders>
            <w:shd w:val="clear" w:color="auto" w:fill="E6E7E8"/>
          </w:tcPr>
          <w:p>
            <w:pPr>
              <w:pStyle w:val="TableParagraph"/>
              <w:spacing w:before="48"/>
              <w:ind w:left="74" w:right="77"/>
              <w:jc w:val="left"/>
              <w:rPr>
                <w:sz w:val="16"/>
              </w:rPr>
            </w:pPr>
            <w:r>
              <w:rPr>
                <w:sz w:val="16"/>
              </w:rPr>
              <w:t>Media</w:t>
            </w:r>
          </w:p>
        </w:tc>
        <w:tc>
          <w:tcPr>
            <w:tcW w:w="1006" w:type="dxa"/>
            <w:tcBorders>
              <w:top w:val="nil"/>
            </w:tcBorders>
            <w:shd w:val="clear" w:color="auto" w:fill="E6E7E8"/>
          </w:tcPr>
          <w:p>
            <w:pPr>
              <w:pStyle w:val="TableParagraph"/>
              <w:spacing w:before="59"/>
              <w:jc w:val="center"/>
              <w:rPr>
                <w:sz w:val="16"/>
              </w:rPr>
            </w:pPr>
            <w:r>
              <w:rPr>
                <w:w w:val="111"/>
                <w:sz w:val="16"/>
              </w:rPr>
              <w:t>0</w:t>
            </w:r>
          </w:p>
        </w:tc>
        <w:tc>
          <w:tcPr>
            <w:tcW w:w="1006" w:type="dxa"/>
            <w:tcBorders>
              <w:top w:val="nil"/>
            </w:tcBorders>
            <w:shd w:val="clear" w:color="auto" w:fill="E6E7E8"/>
          </w:tcPr>
          <w:p>
            <w:pPr>
              <w:pStyle w:val="TableParagraph"/>
              <w:spacing w:before="59"/>
              <w:jc w:val="center"/>
              <w:rPr>
                <w:sz w:val="16"/>
              </w:rPr>
            </w:pPr>
            <w:r>
              <w:rPr>
                <w:w w:val="54"/>
                <w:sz w:val="16"/>
              </w:rPr>
              <w:t>1</w:t>
            </w:r>
          </w:p>
        </w:tc>
        <w:tc>
          <w:tcPr>
            <w:tcW w:w="1006" w:type="dxa"/>
            <w:tcBorders>
              <w:top w:val="nil"/>
            </w:tcBorders>
            <w:shd w:val="clear" w:color="auto" w:fill="E6E7E8"/>
          </w:tcPr>
          <w:p>
            <w:pPr>
              <w:pStyle w:val="TableParagraph"/>
              <w:spacing w:before="59"/>
              <w:jc w:val="center"/>
              <w:rPr>
                <w:sz w:val="16"/>
              </w:rPr>
            </w:pPr>
            <w:r>
              <w:rPr>
                <w:w w:val="54"/>
                <w:sz w:val="16"/>
              </w:rPr>
              <w:t>1</w:t>
            </w:r>
          </w:p>
        </w:tc>
        <w:tc>
          <w:tcPr>
            <w:tcW w:w="1006" w:type="dxa"/>
            <w:tcBorders>
              <w:top w:val="nil"/>
            </w:tcBorders>
            <w:shd w:val="clear" w:color="auto" w:fill="E6E7E8"/>
          </w:tcPr>
          <w:p>
            <w:pPr>
              <w:pStyle w:val="TableParagraph"/>
              <w:spacing w:before="59"/>
              <w:ind w:left="449"/>
              <w:jc w:val="left"/>
              <w:rPr>
                <w:sz w:val="16"/>
              </w:rPr>
            </w:pPr>
            <w:r>
              <w:rPr>
                <w:w w:val="111"/>
                <w:sz w:val="16"/>
              </w:rPr>
              <w:t>0</w:t>
            </w:r>
          </w:p>
        </w:tc>
        <w:tc>
          <w:tcPr>
            <w:tcW w:w="1006" w:type="dxa"/>
            <w:tcBorders>
              <w:top w:val="nil"/>
            </w:tcBorders>
            <w:shd w:val="clear" w:color="auto" w:fill="E6E7E8"/>
          </w:tcPr>
          <w:p>
            <w:pPr>
              <w:pStyle w:val="TableParagraph"/>
              <w:spacing w:before="59"/>
              <w:jc w:val="center"/>
              <w:rPr>
                <w:sz w:val="16"/>
              </w:rPr>
            </w:pPr>
            <w:r>
              <w:rPr>
                <w:w w:val="111"/>
                <w:sz w:val="16"/>
              </w:rPr>
              <w:t>0</w:t>
            </w:r>
          </w:p>
        </w:tc>
        <w:tc>
          <w:tcPr>
            <w:tcW w:w="1006" w:type="dxa"/>
            <w:tcBorders>
              <w:top w:val="nil"/>
            </w:tcBorders>
            <w:shd w:val="clear" w:color="auto" w:fill="E6E7E8"/>
          </w:tcPr>
          <w:p>
            <w:pPr>
              <w:pStyle w:val="TableParagraph"/>
              <w:spacing w:before="59"/>
              <w:jc w:val="center"/>
              <w:rPr>
                <w:sz w:val="16"/>
              </w:rPr>
            </w:pPr>
            <w:r>
              <w:rPr>
                <w:w w:val="111"/>
                <w:sz w:val="16"/>
              </w:rPr>
              <w:t>0</w:t>
            </w:r>
          </w:p>
        </w:tc>
        <w:tc>
          <w:tcPr>
            <w:tcW w:w="1006" w:type="dxa"/>
            <w:tcBorders>
              <w:top w:val="nil"/>
            </w:tcBorders>
            <w:shd w:val="clear" w:color="auto" w:fill="E6E7E8"/>
          </w:tcPr>
          <w:p>
            <w:pPr>
              <w:pStyle w:val="TableParagraph"/>
              <w:spacing w:before="59"/>
              <w:ind w:right="1"/>
              <w:jc w:val="center"/>
              <w:rPr>
                <w:sz w:val="16"/>
              </w:rPr>
            </w:pPr>
            <w:r>
              <w:rPr>
                <w:w w:val="111"/>
                <w:sz w:val="16"/>
              </w:rPr>
              <w:t>0</w:t>
            </w:r>
          </w:p>
        </w:tc>
        <w:tc>
          <w:tcPr>
            <w:tcW w:w="1006" w:type="dxa"/>
            <w:tcBorders>
              <w:top w:val="nil"/>
            </w:tcBorders>
            <w:shd w:val="clear" w:color="auto" w:fill="E6E7E8"/>
          </w:tcPr>
          <w:p>
            <w:pPr>
              <w:pStyle w:val="TableParagraph"/>
              <w:spacing w:before="59"/>
              <w:ind w:right="1"/>
              <w:jc w:val="center"/>
              <w:rPr>
                <w:sz w:val="16"/>
              </w:rPr>
            </w:pPr>
            <w:r>
              <w:rPr>
                <w:w w:val="111"/>
                <w:sz w:val="16"/>
              </w:rPr>
              <w:t>0</w:t>
            </w:r>
          </w:p>
        </w:tc>
      </w:tr>
      <w:tr>
        <w:trPr>
          <w:trHeight w:val="312" w:hRule="exact"/>
        </w:trPr>
        <w:tc>
          <w:tcPr>
            <w:tcW w:w="2042" w:type="dxa"/>
            <w:shd w:val="clear" w:color="auto" w:fill="E6E7E8"/>
          </w:tcPr>
          <w:p>
            <w:pPr>
              <w:pStyle w:val="TableParagraph"/>
              <w:spacing w:before="42"/>
              <w:ind w:left="74" w:right="77"/>
              <w:jc w:val="left"/>
              <w:rPr>
                <w:sz w:val="16"/>
              </w:rPr>
            </w:pPr>
            <w:r>
              <w:rPr>
                <w:sz w:val="16"/>
              </w:rPr>
              <w:t>Members of Parliament</w:t>
            </w:r>
          </w:p>
        </w:tc>
        <w:tc>
          <w:tcPr>
            <w:tcW w:w="1006" w:type="dxa"/>
            <w:shd w:val="clear" w:color="auto" w:fill="E6E7E8"/>
          </w:tcPr>
          <w:p>
            <w:pPr>
              <w:pStyle w:val="TableParagraph"/>
              <w:spacing w:before="54"/>
              <w:ind w:right="1"/>
              <w:jc w:val="center"/>
              <w:rPr>
                <w:sz w:val="16"/>
              </w:rPr>
            </w:pPr>
            <w:r>
              <w:rPr>
                <w:w w:val="111"/>
                <w:sz w:val="16"/>
              </w:rPr>
              <w:t>0</w:t>
            </w:r>
          </w:p>
        </w:tc>
        <w:tc>
          <w:tcPr>
            <w:tcW w:w="1006" w:type="dxa"/>
            <w:shd w:val="clear" w:color="auto" w:fill="E6E7E8"/>
          </w:tcPr>
          <w:p>
            <w:pPr>
              <w:pStyle w:val="TableParagraph"/>
              <w:spacing w:before="54"/>
              <w:ind w:right="1"/>
              <w:jc w:val="center"/>
              <w:rPr>
                <w:sz w:val="16"/>
              </w:rPr>
            </w:pPr>
            <w:r>
              <w:rPr>
                <w:w w:val="111"/>
                <w:sz w:val="16"/>
              </w:rPr>
              <w:t>0</w:t>
            </w:r>
          </w:p>
        </w:tc>
        <w:tc>
          <w:tcPr>
            <w:tcW w:w="1006" w:type="dxa"/>
            <w:shd w:val="clear" w:color="auto" w:fill="E6E7E8"/>
          </w:tcPr>
          <w:p>
            <w:pPr>
              <w:pStyle w:val="TableParagraph"/>
              <w:spacing w:before="54"/>
              <w:ind w:right="1"/>
              <w:jc w:val="center"/>
              <w:rPr>
                <w:sz w:val="16"/>
              </w:rPr>
            </w:pPr>
            <w:r>
              <w:rPr>
                <w:w w:val="111"/>
                <w:sz w:val="16"/>
              </w:rPr>
              <w:t>0</w:t>
            </w:r>
          </w:p>
        </w:tc>
        <w:tc>
          <w:tcPr>
            <w:tcW w:w="1006" w:type="dxa"/>
            <w:shd w:val="clear" w:color="auto" w:fill="E6E7E8"/>
          </w:tcPr>
          <w:p>
            <w:pPr>
              <w:pStyle w:val="TableParagraph"/>
              <w:spacing w:before="54"/>
              <w:ind w:left="448"/>
              <w:jc w:val="left"/>
              <w:rPr>
                <w:sz w:val="16"/>
              </w:rPr>
            </w:pPr>
            <w:r>
              <w:rPr>
                <w:w w:val="111"/>
                <w:sz w:val="16"/>
              </w:rPr>
              <w:t>0</w:t>
            </w:r>
          </w:p>
        </w:tc>
        <w:tc>
          <w:tcPr>
            <w:tcW w:w="1006" w:type="dxa"/>
            <w:shd w:val="clear" w:color="auto" w:fill="E6E7E8"/>
          </w:tcPr>
          <w:p>
            <w:pPr>
              <w:pStyle w:val="TableParagraph"/>
              <w:spacing w:before="54"/>
              <w:ind w:right="1"/>
              <w:jc w:val="center"/>
              <w:rPr>
                <w:sz w:val="16"/>
              </w:rPr>
            </w:pPr>
            <w:r>
              <w:rPr>
                <w:w w:val="111"/>
                <w:sz w:val="16"/>
              </w:rPr>
              <w:t>0</w:t>
            </w:r>
          </w:p>
        </w:tc>
        <w:tc>
          <w:tcPr>
            <w:tcW w:w="1006" w:type="dxa"/>
            <w:shd w:val="clear" w:color="auto" w:fill="E6E7E8"/>
          </w:tcPr>
          <w:p>
            <w:pPr>
              <w:pStyle w:val="TableParagraph"/>
              <w:spacing w:before="54"/>
              <w:ind w:right="1"/>
              <w:jc w:val="center"/>
              <w:rPr>
                <w:sz w:val="16"/>
              </w:rPr>
            </w:pPr>
            <w:r>
              <w:rPr>
                <w:w w:val="111"/>
                <w:sz w:val="16"/>
              </w:rPr>
              <w:t>0</w:t>
            </w:r>
          </w:p>
        </w:tc>
        <w:tc>
          <w:tcPr>
            <w:tcW w:w="1006" w:type="dxa"/>
            <w:shd w:val="clear" w:color="auto" w:fill="E6E7E8"/>
          </w:tcPr>
          <w:p>
            <w:pPr>
              <w:pStyle w:val="TableParagraph"/>
              <w:spacing w:before="54"/>
              <w:ind w:right="1"/>
              <w:jc w:val="center"/>
              <w:rPr>
                <w:sz w:val="16"/>
              </w:rPr>
            </w:pPr>
            <w:r>
              <w:rPr>
                <w:w w:val="111"/>
                <w:sz w:val="16"/>
              </w:rPr>
              <w:t>0</w:t>
            </w:r>
          </w:p>
        </w:tc>
        <w:tc>
          <w:tcPr>
            <w:tcW w:w="1006" w:type="dxa"/>
            <w:shd w:val="clear" w:color="auto" w:fill="E6E7E8"/>
          </w:tcPr>
          <w:p>
            <w:pPr>
              <w:pStyle w:val="TableParagraph"/>
              <w:spacing w:before="54"/>
              <w:jc w:val="center"/>
              <w:rPr>
                <w:sz w:val="16"/>
              </w:rPr>
            </w:pPr>
            <w:r>
              <w:rPr>
                <w:w w:val="111"/>
                <w:sz w:val="16"/>
              </w:rPr>
              <w:t>0</w:t>
            </w:r>
          </w:p>
        </w:tc>
      </w:tr>
      <w:tr>
        <w:trPr>
          <w:trHeight w:val="312" w:hRule="exact"/>
        </w:trPr>
        <w:tc>
          <w:tcPr>
            <w:tcW w:w="2042" w:type="dxa"/>
            <w:shd w:val="clear" w:color="auto" w:fill="E6E7E8"/>
          </w:tcPr>
          <w:p>
            <w:pPr>
              <w:pStyle w:val="TableParagraph"/>
              <w:spacing w:before="42"/>
              <w:ind w:left="73" w:right="77"/>
              <w:jc w:val="left"/>
              <w:rPr>
                <w:sz w:val="16"/>
              </w:rPr>
            </w:pPr>
            <w:r>
              <w:rPr>
                <w:sz w:val="16"/>
              </w:rPr>
              <w:t>Private sector business</w:t>
            </w:r>
          </w:p>
        </w:tc>
        <w:tc>
          <w:tcPr>
            <w:tcW w:w="1006" w:type="dxa"/>
            <w:shd w:val="clear" w:color="auto" w:fill="E6E7E8"/>
          </w:tcPr>
          <w:p>
            <w:pPr>
              <w:pStyle w:val="TableParagraph"/>
              <w:spacing w:before="54"/>
              <w:jc w:val="center"/>
              <w:rPr>
                <w:sz w:val="16"/>
              </w:rPr>
            </w:pPr>
            <w:r>
              <w:rPr>
                <w:w w:val="111"/>
                <w:sz w:val="16"/>
              </w:rPr>
              <w:t>0</w:t>
            </w:r>
          </w:p>
        </w:tc>
        <w:tc>
          <w:tcPr>
            <w:tcW w:w="1006" w:type="dxa"/>
            <w:shd w:val="clear" w:color="auto" w:fill="E6E7E8"/>
          </w:tcPr>
          <w:p>
            <w:pPr>
              <w:pStyle w:val="TableParagraph"/>
              <w:spacing w:before="54"/>
              <w:jc w:val="center"/>
              <w:rPr>
                <w:sz w:val="16"/>
              </w:rPr>
            </w:pPr>
            <w:r>
              <w:rPr>
                <w:w w:val="111"/>
                <w:sz w:val="16"/>
              </w:rPr>
              <w:t>0</w:t>
            </w:r>
          </w:p>
        </w:tc>
        <w:tc>
          <w:tcPr>
            <w:tcW w:w="1006" w:type="dxa"/>
            <w:shd w:val="clear" w:color="auto" w:fill="E6E7E8"/>
          </w:tcPr>
          <w:p>
            <w:pPr>
              <w:pStyle w:val="TableParagraph"/>
              <w:spacing w:before="54"/>
              <w:jc w:val="center"/>
              <w:rPr>
                <w:sz w:val="16"/>
              </w:rPr>
            </w:pPr>
            <w:r>
              <w:rPr>
                <w:w w:val="111"/>
                <w:sz w:val="16"/>
              </w:rPr>
              <w:t>0</w:t>
            </w:r>
          </w:p>
        </w:tc>
        <w:tc>
          <w:tcPr>
            <w:tcW w:w="1006" w:type="dxa"/>
            <w:shd w:val="clear" w:color="auto" w:fill="E6E7E8"/>
          </w:tcPr>
          <w:p>
            <w:pPr>
              <w:pStyle w:val="TableParagraph"/>
              <w:spacing w:before="54"/>
              <w:ind w:left="448"/>
              <w:jc w:val="left"/>
              <w:rPr>
                <w:sz w:val="16"/>
              </w:rPr>
            </w:pPr>
            <w:r>
              <w:rPr>
                <w:w w:val="111"/>
                <w:sz w:val="16"/>
              </w:rPr>
              <w:t>0</w:t>
            </w:r>
          </w:p>
        </w:tc>
        <w:tc>
          <w:tcPr>
            <w:tcW w:w="1006" w:type="dxa"/>
            <w:shd w:val="clear" w:color="auto" w:fill="E6E7E8"/>
          </w:tcPr>
          <w:p>
            <w:pPr>
              <w:pStyle w:val="TableParagraph"/>
              <w:spacing w:before="54"/>
              <w:jc w:val="center"/>
              <w:rPr>
                <w:sz w:val="16"/>
              </w:rPr>
            </w:pPr>
            <w:r>
              <w:rPr>
                <w:w w:val="111"/>
                <w:sz w:val="16"/>
              </w:rPr>
              <w:t>0</w:t>
            </w:r>
          </w:p>
        </w:tc>
        <w:tc>
          <w:tcPr>
            <w:tcW w:w="1006" w:type="dxa"/>
            <w:shd w:val="clear" w:color="auto" w:fill="E6E7E8"/>
          </w:tcPr>
          <w:p>
            <w:pPr>
              <w:pStyle w:val="TableParagraph"/>
              <w:spacing w:before="54"/>
              <w:jc w:val="center"/>
              <w:rPr>
                <w:sz w:val="16"/>
              </w:rPr>
            </w:pPr>
            <w:r>
              <w:rPr>
                <w:w w:val="111"/>
                <w:sz w:val="16"/>
              </w:rPr>
              <w:t>0</w:t>
            </w:r>
          </w:p>
        </w:tc>
        <w:tc>
          <w:tcPr>
            <w:tcW w:w="1006" w:type="dxa"/>
            <w:shd w:val="clear" w:color="auto" w:fill="E6E7E8"/>
          </w:tcPr>
          <w:p>
            <w:pPr>
              <w:pStyle w:val="TableParagraph"/>
              <w:spacing w:before="54"/>
              <w:jc w:val="center"/>
              <w:rPr>
                <w:sz w:val="16"/>
              </w:rPr>
            </w:pPr>
            <w:r>
              <w:rPr>
                <w:w w:val="111"/>
                <w:sz w:val="16"/>
              </w:rPr>
              <w:t>0</w:t>
            </w:r>
          </w:p>
        </w:tc>
        <w:tc>
          <w:tcPr>
            <w:tcW w:w="1006" w:type="dxa"/>
            <w:shd w:val="clear" w:color="auto" w:fill="E6E7E8"/>
          </w:tcPr>
          <w:p>
            <w:pPr>
              <w:pStyle w:val="TableParagraph"/>
              <w:spacing w:before="54"/>
              <w:ind w:right="1"/>
              <w:jc w:val="center"/>
              <w:rPr>
                <w:sz w:val="16"/>
              </w:rPr>
            </w:pPr>
            <w:r>
              <w:rPr>
                <w:w w:val="111"/>
                <w:sz w:val="16"/>
              </w:rPr>
              <w:t>0</w:t>
            </w:r>
          </w:p>
        </w:tc>
      </w:tr>
      <w:tr>
        <w:trPr>
          <w:trHeight w:val="688" w:hRule="exact"/>
        </w:trPr>
        <w:tc>
          <w:tcPr>
            <w:tcW w:w="2042" w:type="dxa"/>
            <w:shd w:val="clear" w:color="auto" w:fill="E6E7E8"/>
          </w:tcPr>
          <w:p>
            <w:pPr>
              <w:pStyle w:val="TableParagraph"/>
              <w:spacing w:line="249" w:lineRule="auto" w:before="42"/>
              <w:ind w:left="73" w:right="629"/>
              <w:jc w:val="left"/>
              <w:rPr>
                <w:sz w:val="16"/>
              </w:rPr>
            </w:pPr>
            <w:r>
              <w:rPr>
                <w:sz w:val="16"/>
              </w:rPr>
              <w:t>Not-for-profit organisations or community groups</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left="447"/>
              <w:jc w:val="left"/>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2"/>
              <w:jc w:val="center"/>
              <w:rPr>
                <w:sz w:val="16"/>
              </w:rPr>
            </w:pPr>
            <w:r>
              <w:rPr>
                <w:w w:val="111"/>
                <w:sz w:val="16"/>
              </w:rPr>
              <w:t>0</w:t>
            </w:r>
          </w:p>
        </w:tc>
      </w:tr>
      <w:tr>
        <w:trPr>
          <w:trHeight w:val="688" w:hRule="exact"/>
        </w:trPr>
        <w:tc>
          <w:tcPr>
            <w:tcW w:w="2042" w:type="dxa"/>
            <w:shd w:val="clear" w:color="auto" w:fill="E6E7E8"/>
          </w:tcPr>
          <w:p>
            <w:pPr>
              <w:pStyle w:val="TableParagraph"/>
              <w:spacing w:line="249" w:lineRule="auto" w:before="42"/>
              <w:ind w:left="72" w:right="77"/>
              <w:jc w:val="left"/>
              <w:rPr>
                <w:sz w:val="16"/>
              </w:rPr>
            </w:pPr>
            <w:r>
              <w:rPr>
                <w:sz w:val="16"/>
              </w:rPr>
              <w:t>Members of the public (application by legal representative)</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2"/>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2"/>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2"/>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left="447"/>
              <w:jc w:val="left"/>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2"/>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2"/>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2"/>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0"/>
              <w:ind w:right="2"/>
              <w:jc w:val="center"/>
              <w:rPr>
                <w:sz w:val="16"/>
              </w:rPr>
            </w:pPr>
            <w:r>
              <w:rPr>
                <w:w w:val="54"/>
                <w:sz w:val="16"/>
              </w:rPr>
              <w:t>1</w:t>
            </w:r>
          </w:p>
        </w:tc>
      </w:tr>
      <w:tr>
        <w:trPr>
          <w:trHeight w:val="488" w:hRule="exact"/>
        </w:trPr>
        <w:tc>
          <w:tcPr>
            <w:tcW w:w="2042" w:type="dxa"/>
            <w:shd w:val="clear" w:color="auto" w:fill="E6E7E8"/>
          </w:tcPr>
          <w:p>
            <w:pPr>
              <w:pStyle w:val="TableParagraph"/>
              <w:spacing w:line="249" w:lineRule="auto" w:before="42"/>
              <w:ind w:left="72" w:right="77"/>
              <w:jc w:val="left"/>
              <w:rPr>
                <w:sz w:val="16"/>
              </w:rPr>
            </w:pPr>
            <w:r>
              <w:rPr>
                <w:sz w:val="16"/>
              </w:rPr>
              <w:t>Members of the public (other)</w:t>
            </w:r>
          </w:p>
        </w:tc>
        <w:tc>
          <w:tcPr>
            <w:tcW w:w="1006" w:type="dxa"/>
            <w:shd w:val="clear" w:color="auto" w:fill="E6E7E8"/>
          </w:tcPr>
          <w:p>
            <w:pPr>
              <w:pStyle w:val="TableParagraph"/>
              <w:spacing w:before="142"/>
              <w:ind w:right="2"/>
              <w:jc w:val="center"/>
              <w:rPr>
                <w:sz w:val="16"/>
              </w:rPr>
            </w:pPr>
            <w:r>
              <w:rPr>
                <w:w w:val="54"/>
                <w:sz w:val="16"/>
              </w:rPr>
              <w:t>1</w:t>
            </w:r>
          </w:p>
        </w:tc>
        <w:tc>
          <w:tcPr>
            <w:tcW w:w="1006" w:type="dxa"/>
            <w:shd w:val="clear" w:color="auto" w:fill="E6E7E8"/>
          </w:tcPr>
          <w:p>
            <w:pPr>
              <w:pStyle w:val="TableParagraph"/>
              <w:spacing w:before="142"/>
              <w:ind w:right="2"/>
              <w:jc w:val="center"/>
              <w:rPr>
                <w:sz w:val="16"/>
              </w:rPr>
            </w:pPr>
            <w:r>
              <w:rPr>
                <w:w w:val="93"/>
                <w:sz w:val="16"/>
              </w:rPr>
              <w:t>2</w:t>
            </w:r>
          </w:p>
        </w:tc>
        <w:tc>
          <w:tcPr>
            <w:tcW w:w="1006" w:type="dxa"/>
            <w:shd w:val="clear" w:color="auto" w:fill="E6E7E8"/>
          </w:tcPr>
          <w:p>
            <w:pPr>
              <w:pStyle w:val="TableParagraph"/>
              <w:spacing w:before="142"/>
              <w:ind w:right="2"/>
              <w:jc w:val="center"/>
              <w:rPr>
                <w:sz w:val="16"/>
              </w:rPr>
            </w:pPr>
            <w:r>
              <w:rPr>
                <w:w w:val="111"/>
                <w:sz w:val="16"/>
              </w:rPr>
              <w:t>0</w:t>
            </w:r>
          </w:p>
        </w:tc>
        <w:tc>
          <w:tcPr>
            <w:tcW w:w="1006" w:type="dxa"/>
            <w:shd w:val="clear" w:color="auto" w:fill="E6E7E8"/>
          </w:tcPr>
          <w:p>
            <w:pPr>
              <w:pStyle w:val="TableParagraph"/>
              <w:spacing w:before="142"/>
              <w:ind w:left="447"/>
              <w:jc w:val="left"/>
              <w:rPr>
                <w:sz w:val="16"/>
              </w:rPr>
            </w:pPr>
            <w:r>
              <w:rPr>
                <w:w w:val="111"/>
                <w:sz w:val="16"/>
              </w:rPr>
              <w:t>0</w:t>
            </w:r>
          </w:p>
        </w:tc>
        <w:tc>
          <w:tcPr>
            <w:tcW w:w="1006" w:type="dxa"/>
            <w:shd w:val="clear" w:color="auto" w:fill="E6E7E8"/>
          </w:tcPr>
          <w:p>
            <w:pPr>
              <w:pStyle w:val="TableParagraph"/>
              <w:spacing w:before="142"/>
              <w:ind w:right="2"/>
              <w:jc w:val="center"/>
              <w:rPr>
                <w:sz w:val="16"/>
              </w:rPr>
            </w:pPr>
            <w:r>
              <w:rPr>
                <w:w w:val="111"/>
                <w:sz w:val="16"/>
              </w:rPr>
              <w:t>0</w:t>
            </w:r>
          </w:p>
        </w:tc>
        <w:tc>
          <w:tcPr>
            <w:tcW w:w="1006" w:type="dxa"/>
            <w:shd w:val="clear" w:color="auto" w:fill="E6E7E8"/>
          </w:tcPr>
          <w:p>
            <w:pPr>
              <w:pStyle w:val="TableParagraph"/>
              <w:spacing w:before="142"/>
              <w:ind w:right="3"/>
              <w:jc w:val="center"/>
              <w:rPr>
                <w:sz w:val="16"/>
              </w:rPr>
            </w:pPr>
            <w:r>
              <w:rPr>
                <w:w w:val="111"/>
                <w:sz w:val="16"/>
              </w:rPr>
              <w:t>0</w:t>
            </w:r>
          </w:p>
        </w:tc>
        <w:tc>
          <w:tcPr>
            <w:tcW w:w="1006" w:type="dxa"/>
            <w:shd w:val="clear" w:color="auto" w:fill="E6E7E8"/>
          </w:tcPr>
          <w:p>
            <w:pPr>
              <w:pStyle w:val="TableParagraph"/>
              <w:spacing w:before="142"/>
              <w:ind w:right="3"/>
              <w:jc w:val="center"/>
              <w:rPr>
                <w:sz w:val="16"/>
              </w:rPr>
            </w:pPr>
            <w:r>
              <w:rPr>
                <w:w w:val="111"/>
                <w:sz w:val="16"/>
              </w:rPr>
              <w:t>0</w:t>
            </w:r>
          </w:p>
        </w:tc>
        <w:tc>
          <w:tcPr>
            <w:tcW w:w="1006" w:type="dxa"/>
            <w:shd w:val="clear" w:color="auto" w:fill="E6E7E8"/>
          </w:tcPr>
          <w:p>
            <w:pPr>
              <w:pStyle w:val="TableParagraph"/>
              <w:spacing w:before="142"/>
              <w:ind w:right="3"/>
              <w:jc w:val="center"/>
              <w:rPr>
                <w:sz w:val="16"/>
              </w:rPr>
            </w:pPr>
            <w:r>
              <w:rPr>
                <w:w w:val="111"/>
                <w:sz w:val="16"/>
              </w:rPr>
              <w:t>0</w:t>
            </w:r>
          </w:p>
        </w:tc>
      </w:tr>
    </w:tbl>
    <w:p>
      <w:pPr>
        <w:pStyle w:val="BodyText"/>
        <w:spacing w:line="249" w:lineRule="auto" w:before="73"/>
        <w:ind w:left="318" w:right="411"/>
      </w:pPr>
      <w:r>
        <w:rPr/>
        <w:t>*More</w:t>
      </w:r>
      <w:r>
        <w:rPr>
          <w:spacing w:val="-18"/>
        </w:rPr>
        <w:t> </w:t>
      </w:r>
      <w:r>
        <w:rPr/>
        <w:t>than</w:t>
      </w:r>
      <w:r>
        <w:rPr>
          <w:spacing w:val="-18"/>
        </w:rPr>
        <w:t> </w:t>
      </w:r>
      <w:r>
        <w:rPr/>
        <w:t>one</w:t>
      </w:r>
      <w:r>
        <w:rPr>
          <w:spacing w:val="-18"/>
        </w:rPr>
        <w:t> </w:t>
      </w:r>
      <w:r>
        <w:rPr/>
        <w:t>decision</w:t>
      </w:r>
      <w:r>
        <w:rPr>
          <w:spacing w:val="-18"/>
        </w:rPr>
        <w:t> </w:t>
      </w:r>
      <w:r>
        <w:rPr/>
        <w:t>can</w:t>
      </w:r>
      <w:r>
        <w:rPr>
          <w:spacing w:val="-18"/>
        </w:rPr>
        <w:t> </w:t>
      </w:r>
      <w:r>
        <w:rPr/>
        <w:t>be</w:t>
      </w:r>
      <w:r>
        <w:rPr>
          <w:spacing w:val="-18"/>
        </w:rPr>
        <w:t> </w:t>
      </w:r>
      <w:r>
        <w:rPr/>
        <w:t>made</w:t>
      </w:r>
      <w:r>
        <w:rPr>
          <w:spacing w:val="-18"/>
        </w:rPr>
        <w:t> </w:t>
      </w:r>
      <w:r>
        <w:rPr/>
        <w:t>in</w:t>
      </w:r>
      <w:r>
        <w:rPr>
          <w:spacing w:val="-18"/>
        </w:rPr>
        <w:t> </w:t>
      </w:r>
      <w:r>
        <w:rPr/>
        <w:t>relation</w:t>
      </w:r>
      <w:r>
        <w:rPr>
          <w:spacing w:val="-18"/>
        </w:rPr>
        <w:t> </w:t>
      </w:r>
      <w:r>
        <w:rPr/>
        <w:t>to</w:t>
      </w:r>
      <w:r>
        <w:rPr>
          <w:spacing w:val="-18"/>
        </w:rPr>
        <w:t> </w:t>
      </w:r>
      <w:r>
        <w:rPr/>
        <w:t>a</w:t>
      </w:r>
      <w:r>
        <w:rPr>
          <w:spacing w:val="-18"/>
        </w:rPr>
        <w:t> </w:t>
      </w:r>
      <w:r>
        <w:rPr/>
        <w:t>particular</w:t>
      </w:r>
      <w:r>
        <w:rPr>
          <w:spacing w:val="-18"/>
        </w:rPr>
        <w:t> </w:t>
      </w:r>
      <w:r>
        <w:rPr/>
        <w:t>access</w:t>
      </w:r>
      <w:r>
        <w:rPr>
          <w:spacing w:val="-18"/>
        </w:rPr>
        <w:t> </w:t>
      </w:r>
      <w:r>
        <w:rPr/>
        <w:t>application.</w:t>
      </w:r>
      <w:r>
        <w:rPr>
          <w:spacing w:val="-18"/>
        </w:rPr>
        <w:t> </w:t>
      </w:r>
      <w:r>
        <w:rPr/>
        <w:t>If</w:t>
      </w:r>
      <w:r>
        <w:rPr>
          <w:spacing w:val="-18"/>
        </w:rPr>
        <w:t> </w:t>
      </w:r>
      <w:r>
        <w:rPr/>
        <w:t>so,</w:t>
      </w:r>
      <w:r>
        <w:rPr>
          <w:spacing w:val="-18"/>
        </w:rPr>
        <w:t> </w:t>
      </w:r>
      <w:r>
        <w:rPr/>
        <w:t>a</w:t>
      </w:r>
      <w:r>
        <w:rPr>
          <w:spacing w:val="-18"/>
        </w:rPr>
        <w:t> </w:t>
      </w:r>
      <w:r>
        <w:rPr/>
        <w:t>recording</w:t>
      </w:r>
      <w:r>
        <w:rPr>
          <w:spacing w:val="-18"/>
        </w:rPr>
        <w:t> </w:t>
      </w:r>
      <w:r>
        <w:rPr/>
        <w:t>must</w:t>
      </w:r>
      <w:r>
        <w:rPr>
          <w:spacing w:val="-18"/>
        </w:rPr>
        <w:t> </w:t>
      </w:r>
      <w:r>
        <w:rPr/>
        <w:t>be</w:t>
      </w:r>
      <w:r>
        <w:rPr>
          <w:spacing w:val="-18"/>
        </w:rPr>
        <w:t> </w:t>
      </w:r>
      <w:r>
        <w:rPr/>
        <w:t>made</w:t>
      </w:r>
      <w:r>
        <w:rPr>
          <w:spacing w:val="-18"/>
        </w:rPr>
        <w:t> </w:t>
      </w:r>
      <w:r>
        <w:rPr/>
        <w:t>in</w:t>
      </w:r>
      <w:r>
        <w:rPr>
          <w:spacing w:val="-18"/>
        </w:rPr>
        <w:t> </w:t>
      </w:r>
      <w:r>
        <w:rPr/>
        <w:t>relation</w:t>
      </w:r>
      <w:r>
        <w:rPr>
          <w:spacing w:val="-18"/>
        </w:rPr>
        <w:t> </w:t>
      </w:r>
      <w:r>
        <w:rPr/>
        <w:t>to</w:t>
      </w:r>
      <w:r>
        <w:rPr>
          <w:spacing w:val="-18"/>
        </w:rPr>
        <w:t> </w:t>
      </w:r>
      <w:r>
        <w:rPr/>
        <w:t>each</w:t>
      </w:r>
      <w:r>
        <w:rPr>
          <w:spacing w:val="-18"/>
        </w:rPr>
        <w:t> </w:t>
      </w:r>
      <w:r>
        <w:rPr/>
        <w:t>such decision.</w:t>
      </w:r>
      <w:r>
        <w:rPr>
          <w:spacing w:val="-22"/>
        </w:rPr>
        <w:t> </w:t>
      </w:r>
      <w:r>
        <w:rPr/>
        <w:t>This</w:t>
      </w:r>
      <w:r>
        <w:rPr>
          <w:spacing w:val="-22"/>
        </w:rPr>
        <w:t> </w:t>
      </w:r>
      <w:r>
        <w:rPr/>
        <w:t>also</w:t>
      </w:r>
      <w:r>
        <w:rPr>
          <w:spacing w:val="-22"/>
        </w:rPr>
        <w:t> </w:t>
      </w:r>
      <w:r>
        <w:rPr/>
        <w:t>applies</w:t>
      </w:r>
      <w:r>
        <w:rPr>
          <w:spacing w:val="-22"/>
        </w:rPr>
        <w:t> </w:t>
      </w:r>
      <w:r>
        <w:rPr/>
        <w:t>to</w:t>
      </w:r>
      <w:r>
        <w:rPr>
          <w:spacing w:val="-22"/>
        </w:rPr>
        <w:t> </w:t>
      </w:r>
      <w:r>
        <w:rPr/>
        <w:t>Table</w:t>
      </w:r>
      <w:r>
        <w:rPr>
          <w:spacing w:val="-22"/>
        </w:rPr>
        <w:t> </w:t>
      </w:r>
      <w:r>
        <w:rPr>
          <w:spacing w:val="2"/>
        </w:rPr>
        <w:t>B.</w:t>
      </w:r>
    </w:p>
    <w:p>
      <w:pPr>
        <w:pStyle w:val="BodyText"/>
        <w:spacing w:before="11"/>
        <w:rPr>
          <w:sz w:val="23"/>
        </w:rPr>
      </w:pPr>
    </w:p>
    <w:p>
      <w:pPr>
        <w:pStyle w:val="Heading8"/>
        <w:ind w:left="318" w:right="411"/>
      </w:pPr>
      <w:r>
        <w:rPr>
          <w:color w:val="636466"/>
        </w:rPr>
        <w:t>Table B: Number of applications by type of application and outcome</w:t>
      </w:r>
    </w:p>
    <w:p>
      <w:pPr>
        <w:pStyle w:val="BodyText"/>
        <w:spacing w:before="11" w:after="1"/>
        <w:rPr>
          <w:rFonts w:ascii="Gotham Narrow Bold"/>
          <w:b/>
          <w:sz w:val="10"/>
        </w:rPr>
      </w:pPr>
    </w:p>
    <w:tbl>
      <w:tblPr>
        <w:tblW w:w="0" w:type="auto"/>
        <w:jc w:val="left"/>
        <w:tblInd w:w="32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2042"/>
        <w:gridCol w:w="1006"/>
        <w:gridCol w:w="1006"/>
        <w:gridCol w:w="1006"/>
        <w:gridCol w:w="1006"/>
        <w:gridCol w:w="1006"/>
        <w:gridCol w:w="1006"/>
        <w:gridCol w:w="1006"/>
        <w:gridCol w:w="1006"/>
      </w:tblGrid>
      <w:tr>
        <w:trPr>
          <w:trHeight w:val="1288" w:hRule="exact"/>
        </w:trPr>
        <w:tc>
          <w:tcPr>
            <w:tcW w:w="2042" w:type="dxa"/>
            <w:tcBorders>
              <w:top w:val="nil"/>
              <w:left w:val="nil"/>
              <w:bottom w:val="nil"/>
              <w:right w:val="single" w:sz="4" w:space="0" w:color="FFFFFF"/>
            </w:tcBorders>
            <w:shd w:val="clear" w:color="auto" w:fill="939598"/>
          </w:tcPr>
          <w:p>
            <w:pP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139" w:right="137" w:hanging="1"/>
              <w:jc w:val="center"/>
              <w:rPr>
                <w:rFonts w:ascii="Gotham Narrow Bold"/>
                <w:b/>
                <w:sz w:val="16"/>
              </w:rPr>
            </w:pPr>
            <w:r>
              <w:rPr>
                <w:rFonts w:ascii="Gotham Narrow Bold"/>
                <w:b/>
                <w:color w:val="FFFFFF"/>
                <w:sz w:val="16"/>
              </w:rPr>
              <w:t>Access </w:t>
            </w:r>
            <w:r>
              <w:rPr>
                <w:rFonts w:ascii="Gotham Narrow Bold"/>
                <w:b/>
                <w:color w:val="FFFFFF"/>
                <w:w w:val="95"/>
                <w:sz w:val="16"/>
              </w:rPr>
              <w:t>granted</w:t>
            </w:r>
            <w:r>
              <w:rPr>
                <w:rFonts w:ascii="Gotham Narrow Bold"/>
                <w:b/>
                <w:color w:val="FFFFFF"/>
                <w:spacing w:val="-17"/>
                <w:w w:val="95"/>
                <w:sz w:val="16"/>
              </w:rPr>
              <w:t> </w:t>
            </w:r>
            <w:r>
              <w:rPr>
                <w:rFonts w:ascii="Gotham Narrow Bold"/>
                <w:b/>
                <w:color w:val="FFFFFF"/>
                <w:w w:val="95"/>
                <w:sz w:val="16"/>
              </w:rPr>
              <w:t>in </w:t>
            </w:r>
            <w:r>
              <w:rPr>
                <w:rFonts w:ascii="Gotham Narrow Bold"/>
                <w:b/>
                <w:color w:val="FFFFFF"/>
                <w:sz w:val="16"/>
              </w:rPr>
              <w:t>full</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139" w:right="137" w:hanging="1"/>
              <w:jc w:val="center"/>
              <w:rPr>
                <w:rFonts w:ascii="Gotham Narrow Bold"/>
                <w:b/>
                <w:sz w:val="16"/>
              </w:rPr>
            </w:pPr>
            <w:r>
              <w:rPr>
                <w:rFonts w:ascii="Gotham Narrow Bold"/>
                <w:b/>
                <w:color w:val="FFFFFF"/>
                <w:sz w:val="16"/>
              </w:rPr>
              <w:t>Access </w:t>
            </w:r>
            <w:r>
              <w:rPr>
                <w:rFonts w:ascii="Gotham Narrow Bold"/>
                <w:b/>
                <w:color w:val="FFFFFF"/>
                <w:w w:val="95"/>
                <w:sz w:val="16"/>
              </w:rPr>
              <w:t>granted</w:t>
            </w:r>
            <w:r>
              <w:rPr>
                <w:rFonts w:ascii="Gotham Narrow Bold"/>
                <w:b/>
                <w:color w:val="FFFFFF"/>
                <w:spacing w:val="-17"/>
                <w:w w:val="95"/>
                <w:sz w:val="16"/>
              </w:rPr>
              <w:t> </w:t>
            </w:r>
            <w:r>
              <w:rPr>
                <w:rFonts w:ascii="Gotham Narrow Bold"/>
                <w:b/>
                <w:color w:val="FFFFFF"/>
                <w:w w:val="95"/>
                <w:sz w:val="16"/>
              </w:rPr>
              <w:t>in </w:t>
            </w:r>
            <w:r>
              <w:rPr>
                <w:rFonts w:ascii="Gotham Narrow Bold"/>
                <w:b/>
                <w:color w:val="FFFFFF"/>
                <w:sz w:val="16"/>
              </w:rPr>
              <w:t>part</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59" w:right="58"/>
              <w:jc w:val="center"/>
              <w:rPr>
                <w:rFonts w:ascii="Gotham Narrow Bold"/>
                <w:b/>
                <w:sz w:val="16"/>
              </w:rPr>
            </w:pPr>
            <w:r>
              <w:rPr>
                <w:rFonts w:ascii="Gotham Narrow Bold"/>
                <w:b/>
                <w:color w:val="FFFFFF"/>
                <w:sz w:val="16"/>
              </w:rPr>
              <w:t>Access </w:t>
            </w:r>
            <w:r>
              <w:rPr>
                <w:rFonts w:ascii="Gotham Narrow Bold"/>
                <w:b/>
                <w:color w:val="FFFFFF"/>
                <w:w w:val="95"/>
                <w:sz w:val="16"/>
              </w:rPr>
              <w:t>refused in</w:t>
            </w:r>
            <w:r>
              <w:rPr>
                <w:rFonts w:ascii="Gotham Narrow Bold"/>
                <w:b/>
                <w:color w:val="FFFFFF"/>
                <w:w w:val="95"/>
                <w:sz w:val="16"/>
              </w:rPr>
              <w:t> </w:t>
            </w:r>
            <w:r>
              <w:rPr>
                <w:rFonts w:ascii="Gotham Narrow Bold"/>
                <w:b/>
                <w:color w:val="FFFFFF"/>
                <w:sz w:val="16"/>
              </w:rPr>
              <w:t>full</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210" w:hanging="130"/>
              <w:jc w:val="left"/>
              <w:rPr>
                <w:rFonts w:ascii="Gotham Narrow Bold"/>
                <w:b/>
                <w:sz w:val="16"/>
              </w:rPr>
            </w:pPr>
            <w:r>
              <w:rPr>
                <w:rFonts w:ascii="Gotham Narrow Bold"/>
                <w:b/>
                <w:color w:val="FFFFFF"/>
                <w:w w:val="90"/>
                <w:sz w:val="16"/>
              </w:rPr>
              <w:t>Information </w:t>
            </w:r>
            <w:r>
              <w:rPr>
                <w:rFonts w:ascii="Gotham Narrow Bold"/>
                <w:b/>
                <w:color w:val="FFFFFF"/>
                <w:w w:val="95"/>
                <w:sz w:val="16"/>
              </w:rPr>
              <w:t>not held</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60" w:right="58"/>
              <w:jc w:val="center"/>
              <w:rPr>
                <w:rFonts w:ascii="Gotham Narrow Bold"/>
                <w:b/>
                <w:sz w:val="16"/>
              </w:rPr>
            </w:pPr>
            <w:r>
              <w:rPr>
                <w:rFonts w:ascii="Gotham Narrow Bold"/>
                <w:b/>
                <w:color w:val="FFFFFF"/>
                <w:w w:val="95"/>
                <w:sz w:val="16"/>
              </w:rPr>
              <w:t>Information </w:t>
            </w:r>
            <w:r>
              <w:rPr>
                <w:rFonts w:ascii="Gotham Narrow Bold"/>
                <w:b/>
                <w:color w:val="FFFFFF"/>
                <w:sz w:val="16"/>
              </w:rPr>
              <w:t>already available</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100" w:right="98" w:firstLine="68"/>
              <w:jc w:val="both"/>
              <w:rPr>
                <w:rFonts w:ascii="Gotham Narrow Bold"/>
                <w:b/>
                <w:sz w:val="16"/>
              </w:rPr>
            </w:pPr>
            <w:r>
              <w:rPr>
                <w:rFonts w:ascii="Gotham Narrow Bold"/>
                <w:b/>
                <w:color w:val="FFFFFF"/>
                <w:sz w:val="16"/>
              </w:rPr>
              <w:t>Refuse to deal with </w:t>
            </w:r>
            <w:r>
              <w:rPr>
                <w:rFonts w:ascii="Gotham Narrow Bold"/>
                <w:b/>
                <w:color w:val="FFFFFF"/>
                <w:w w:val="90"/>
                <w:sz w:val="16"/>
              </w:rPr>
              <w:t>application</w:t>
            </w:r>
          </w:p>
        </w:tc>
        <w:tc>
          <w:tcPr>
            <w:tcW w:w="1006" w:type="dxa"/>
            <w:tcBorders>
              <w:top w:val="nil"/>
              <w:left w:val="single" w:sz="4" w:space="0" w:color="FFFFFF"/>
              <w:bottom w:val="nil"/>
              <w:right w:val="single" w:sz="4" w:space="0" w:color="FFFFFF"/>
            </w:tcBorders>
            <w:shd w:val="clear" w:color="auto" w:fill="939598"/>
          </w:tcPr>
          <w:p>
            <w:pPr>
              <w:pStyle w:val="TableParagraph"/>
              <w:spacing w:line="249" w:lineRule="auto" w:before="54"/>
              <w:ind w:left="59" w:right="58"/>
              <w:jc w:val="center"/>
              <w:rPr>
                <w:rFonts w:ascii="Gotham Narrow Bold"/>
                <w:b/>
                <w:sz w:val="16"/>
              </w:rPr>
            </w:pPr>
            <w:r>
              <w:rPr>
                <w:rFonts w:ascii="Gotham Narrow Bold"/>
                <w:b/>
                <w:color w:val="FFFFFF"/>
                <w:sz w:val="16"/>
              </w:rPr>
              <w:t>Refuse to confirm/ deny whether </w:t>
            </w:r>
            <w:r>
              <w:rPr>
                <w:rFonts w:ascii="Gotham Narrow Bold"/>
                <w:b/>
                <w:color w:val="FFFFFF"/>
                <w:w w:val="95"/>
                <w:sz w:val="16"/>
              </w:rPr>
              <w:t>information is held</w:t>
            </w:r>
          </w:p>
        </w:tc>
        <w:tc>
          <w:tcPr>
            <w:tcW w:w="1006" w:type="dxa"/>
            <w:tcBorders>
              <w:top w:val="nil"/>
              <w:left w:val="single" w:sz="4" w:space="0" w:color="FFFFFF"/>
              <w:bottom w:val="nil"/>
              <w:right w:val="nil"/>
            </w:tcBorders>
            <w:shd w:val="clear" w:color="auto" w:fill="939598"/>
          </w:tcPr>
          <w:p>
            <w:pPr>
              <w:pStyle w:val="TableParagraph"/>
              <w:spacing w:line="249" w:lineRule="auto" w:before="54"/>
              <w:ind w:left="123" w:hanging="36"/>
              <w:jc w:val="left"/>
              <w:rPr>
                <w:rFonts w:ascii="Gotham Narrow Bold"/>
                <w:b/>
                <w:sz w:val="16"/>
              </w:rPr>
            </w:pPr>
            <w:r>
              <w:rPr>
                <w:rFonts w:ascii="Gotham Narrow Bold"/>
                <w:b/>
                <w:color w:val="FFFFFF"/>
                <w:w w:val="90"/>
                <w:sz w:val="16"/>
              </w:rPr>
              <w:t>Application </w:t>
            </w:r>
            <w:r>
              <w:rPr>
                <w:rFonts w:ascii="Gotham Narrow Bold"/>
                <w:b/>
                <w:color w:val="FFFFFF"/>
                <w:w w:val="95"/>
                <w:sz w:val="16"/>
              </w:rPr>
              <w:t>withdrawn</w:t>
            </w:r>
          </w:p>
        </w:tc>
      </w:tr>
      <w:tr>
        <w:trPr>
          <w:trHeight w:val="488" w:hRule="exact"/>
        </w:trPr>
        <w:tc>
          <w:tcPr>
            <w:tcW w:w="2042" w:type="dxa"/>
            <w:tcBorders>
              <w:top w:val="nil"/>
            </w:tcBorders>
            <w:shd w:val="clear" w:color="auto" w:fill="E6E7E8"/>
          </w:tcPr>
          <w:p>
            <w:pPr>
              <w:pStyle w:val="TableParagraph"/>
              <w:spacing w:line="249" w:lineRule="auto" w:before="48"/>
              <w:ind w:left="74" w:right="77"/>
              <w:jc w:val="left"/>
              <w:rPr>
                <w:sz w:val="16"/>
              </w:rPr>
            </w:pPr>
            <w:r>
              <w:rPr>
                <w:sz w:val="16"/>
              </w:rPr>
              <w:t>Personal information applications*</w:t>
            </w:r>
          </w:p>
        </w:tc>
        <w:tc>
          <w:tcPr>
            <w:tcW w:w="1006" w:type="dxa"/>
            <w:tcBorders>
              <w:top w:val="nil"/>
            </w:tcBorders>
            <w:shd w:val="clear" w:color="auto" w:fill="E6E7E8"/>
          </w:tcPr>
          <w:p>
            <w:pPr>
              <w:pStyle w:val="TableParagraph"/>
              <w:spacing w:before="3"/>
              <w:jc w:val="left"/>
              <w:rPr>
                <w:rFonts w:ascii="Gotham Narrow Bold"/>
                <w:b/>
                <w:sz w:val="12"/>
              </w:rPr>
            </w:pPr>
          </w:p>
          <w:p>
            <w:pPr>
              <w:pStyle w:val="TableParagraph"/>
              <w:spacing w:before="1"/>
              <w:jc w:val="center"/>
              <w:rPr>
                <w:sz w:val="16"/>
              </w:rPr>
            </w:pPr>
            <w:r>
              <w:rPr>
                <w:w w:val="54"/>
                <w:sz w:val="16"/>
              </w:rPr>
              <w:t>1</w:t>
            </w:r>
          </w:p>
        </w:tc>
        <w:tc>
          <w:tcPr>
            <w:tcW w:w="1006" w:type="dxa"/>
            <w:tcBorders>
              <w:top w:val="nil"/>
            </w:tcBorders>
            <w:shd w:val="clear" w:color="auto" w:fill="E6E7E8"/>
          </w:tcPr>
          <w:p>
            <w:pPr>
              <w:pStyle w:val="TableParagraph"/>
              <w:spacing w:before="3"/>
              <w:jc w:val="left"/>
              <w:rPr>
                <w:rFonts w:ascii="Gotham Narrow Bold"/>
                <w:b/>
                <w:sz w:val="12"/>
              </w:rPr>
            </w:pPr>
          </w:p>
          <w:p>
            <w:pPr>
              <w:pStyle w:val="TableParagraph"/>
              <w:spacing w:before="1"/>
              <w:jc w:val="center"/>
              <w:rPr>
                <w:sz w:val="16"/>
              </w:rPr>
            </w:pPr>
            <w:r>
              <w:rPr>
                <w:w w:val="54"/>
                <w:sz w:val="16"/>
              </w:rPr>
              <w:t>1</w:t>
            </w:r>
          </w:p>
        </w:tc>
        <w:tc>
          <w:tcPr>
            <w:tcW w:w="1006" w:type="dxa"/>
            <w:tcBorders>
              <w:top w:val="nil"/>
            </w:tcBorders>
            <w:shd w:val="clear" w:color="auto" w:fill="E6E7E8"/>
          </w:tcPr>
          <w:p>
            <w:pPr>
              <w:pStyle w:val="TableParagraph"/>
              <w:spacing w:before="3"/>
              <w:jc w:val="left"/>
              <w:rPr>
                <w:rFonts w:ascii="Gotham Narrow Bold"/>
                <w:b/>
                <w:sz w:val="12"/>
              </w:rPr>
            </w:pPr>
          </w:p>
          <w:p>
            <w:pPr>
              <w:pStyle w:val="TableParagraph"/>
              <w:spacing w:before="1"/>
              <w:jc w:val="center"/>
              <w:rPr>
                <w:sz w:val="16"/>
              </w:rPr>
            </w:pPr>
            <w:r>
              <w:rPr>
                <w:w w:val="111"/>
                <w:sz w:val="16"/>
              </w:rPr>
              <w:t>0</w:t>
            </w:r>
          </w:p>
        </w:tc>
        <w:tc>
          <w:tcPr>
            <w:tcW w:w="1006" w:type="dxa"/>
            <w:tcBorders>
              <w:top w:val="nil"/>
            </w:tcBorders>
            <w:shd w:val="clear" w:color="auto" w:fill="E6E7E8"/>
          </w:tcPr>
          <w:p>
            <w:pPr>
              <w:pStyle w:val="TableParagraph"/>
              <w:spacing w:before="3"/>
              <w:jc w:val="left"/>
              <w:rPr>
                <w:rFonts w:ascii="Gotham Narrow Bold"/>
                <w:b/>
                <w:sz w:val="12"/>
              </w:rPr>
            </w:pPr>
          </w:p>
          <w:p>
            <w:pPr>
              <w:pStyle w:val="TableParagraph"/>
              <w:spacing w:before="1"/>
              <w:ind w:left="449"/>
              <w:jc w:val="left"/>
              <w:rPr>
                <w:sz w:val="16"/>
              </w:rPr>
            </w:pPr>
            <w:r>
              <w:rPr>
                <w:w w:val="111"/>
                <w:sz w:val="16"/>
              </w:rPr>
              <w:t>0</w:t>
            </w:r>
          </w:p>
        </w:tc>
        <w:tc>
          <w:tcPr>
            <w:tcW w:w="1006" w:type="dxa"/>
            <w:tcBorders>
              <w:top w:val="nil"/>
            </w:tcBorders>
            <w:shd w:val="clear" w:color="auto" w:fill="E6E7E8"/>
          </w:tcPr>
          <w:p>
            <w:pPr>
              <w:pStyle w:val="TableParagraph"/>
              <w:spacing w:before="3"/>
              <w:jc w:val="left"/>
              <w:rPr>
                <w:rFonts w:ascii="Gotham Narrow Bold"/>
                <w:b/>
                <w:sz w:val="12"/>
              </w:rPr>
            </w:pPr>
          </w:p>
          <w:p>
            <w:pPr>
              <w:pStyle w:val="TableParagraph"/>
              <w:spacing w:before="1"/>
              <w:jc w:val="center"/>
              <w:rPr>
                <w:sz w:val="16"/>
              </w:rPr>
            </w:pPr>
            <w:r>
              <w:rPr>
                <w:w w:val="111"/>
                <w:sz w:val="16"/>
              </w:rPr>
              <w:t>0</w:t>
            </w:r>
          </w:p>
        </w:tc>
        <w:tc>
          <w:tcPr>
            <w:tcW w:w="1006" w:type="dxa"/>
            <w:tcBorders>
              <w:top w:val="nil"/>
            </w:tcBorders>
            <w:shd w:val="clear" w:color="auto" w:fill="E6E7E8"/>
          </w:tcPr>
          <w:p>
            <w:pPr>
              <w:pStyle w:val="TableParagraph"/>
              <w:spacing w:before="3"/>
              <w:jc w:val="left"/>
              <w:rPr>
                <w:rFonts w:ascii="Gotham Narrow Bold"/>
                <w:b/>
                <w:sz w:val="12"/>
              </w:rPr>
            </w:pPr>
          </w:p>
          <w:p>
            <w:pPr>
              <w:pStyle w:val="TableParagraph"/>
              <w:spacing w:before="1"/>
              <w:jc w:val="center"/>
              <w:rPr>
                <w:sz w:val="16"/>
              </w:rPr>
            </w:pPr>
            <w:r>
              <w:rPr>
                <w:w w:val="111"/>
                <w:sz w:val="16"/>
              </w:rPr>
              <w:t>0</w:t>
            </w:r>
          </w:p>
        </w:tc>
        <w:tc>
          <w:tcPr>
            <w:tcW w:w="1006" w:type="dxa"/>
            <w:tcBorders>
              <w:top w:val="nil"/>
            </w:tcBorders>
            <w:shd w:val="clear" w:color="auto" w:fill="E6E7E8"/>
          </w:tcPr>
          <w:p>
            <w:pPr>
              <w:pStyle w:val="TableParagraph"/>
              <w:spacing w:before="3"/>
              <w:jc w:val="left"/>
              <w:rPr>
                <w:rFonts w:ascii="Gotham Narrow Bold"/>
                <w:b/>
                <w:sz w:val="12"/>
              </w:rPr>
            </w:pPr>
          </w:p>
          <w:p>
            <w:pPr>
              <w:pStyle w:val="TableParagraph"/>
              <w:spacing w:before="1"/>
              <w:ind w:right="1"/>
              <w:jc w:val="center"/>
              <w:rPr>
                <w:sz w:val="16"/>
              </w:rPr>
            </w:pPr>
            <w:r>
              <w:rPr>
                <w:w w:val="111"/>
                <w:sz w:val="16"/>
              </w:rPr>
              <w:t>0</w:t>
            </w:r>
          </w:p>
        </w:tc>
        <w:tc>
          <w:tcPr>
            <w:tcW w:w="1006" w:type="dxa"/>
            <w:tcBorders>
              <w:top w:val="nil"/>
            </w:tcBorders>
            <w:shd w:val="clear" w:color="auto" w:fill="E6E7E8"/>
          </w:tcPr>
          <w:p>
            <w:pPr>
              <w:pStyle w:val="TableParagraph"/>
              <w:spacing w:before="3"/>
              <w:jc w:val="left"/>
              <w:rPr>
                <w:rFonts w:ascii="Gotham Narrow Bold"/>
                <w:b/>
                <w:sz w:val="12"/>
              </w:rPr>
            </w:pPr>
          </w:p>
          <w:p>
            <w:pPr>
              <w:pStyle w:val="TableParagraph"/>
              <w:spacing w:before="1"/>
              <w:jc w:val="center"/>
              <w:rPr>
                <w:sz w:val="16"/>
              </w:rPr>
            </w:pPr>
            <w:r>
              <w:rPr>
                <w:w w:val="54"/>
                <w:sz w:val="16"/>
              </w:rPr>
              <w:t>1</w:t>
            </w:r>
          </w:p>
        </w:tc>
      </w:tr>
      <w:tr>
        <w:trPr>
          <w:trHeight w:val="688" w:hRule="exact"/>
        </w:trPr>
        <w:tc>
          <w:tcPr>
            <w:tcW w:w="2042" w:type="dxa"/>
            <w:shd w:val="clear" w:color="auto" w:fill="E6E7E8"/>
          </w:tcPr>
          <w:p>
            <w:pPr>
              <w:pStyle w:val="TableParagraph"/>
              <w:spacing w:line="249" w:lineRule="auto" w:before="43"/>
              <w:ind w:left="74" w:right="138"/>
              <w:jc w:val="both"/>
              <w:rPr>
                <w:sz w:val="16"/>
              </w:rPr>
            </w:pPr>
            <w:r>
              <w:rPr>
                <w:sz w:val="16"/>
              </w:rPr>
              <w:t>Access applications</w:t>
            </w:r>
            <w:r>
              <w:rPr>
                <w:spacing w:val="-26"/>
                <w:sz w:val="16"/>
              </w:rPr>
              <w:t> </w:t>
            </w:r>
            <w:r>
              <w:rPr>
                <w:sz w:val="16"/>
              </w:rPr>
              <w:t>(other than personal</w:t>
            </w:r>
            <w:r>
              <w:rPr>
                <w:spacing w:val="-36"/>
                <w:sz w:val="16"/>
              </w:rPr>
              <w:t> </w:t>
            </w:r>
            <w:r>
              <w:rPr>
                <w:sz w:val="16"/>
              </w:rPr>
              <w:t>information applications)</w:t>
            </w:r>
          </w:p>
        </w:tc>
        <w:tc>
          <w:tcPr>
            <w:tcW w:w="1006" w:type="dxa"/>
            <w:shd w:val="clear" w:color="auto" w:fill="E6E7E8"/>
          </w:tcPr>
          <w:p>
            <w:pPr>
              <w:pStyle w:val="TableParagraph"/>
              <w:spacing w:before="2"/>
              <w:jc w:val="left"/>
              <w:rPr>
                <w:rFonts w:ascii="Gotham Narrow Bold"/>
                <w:b/>
                <w:sz w:val="20"/>
              </w:rPr>
            </w:pPr>
          </w:p>
          <w:p>
            <w:pPr>
              <w:pStyle w:val="TableParagraph"/>
              <w:spacing w:before="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jc w:val="center"/>
              <w:rPr>
                <w:sz w:val="16"/>
              </w:rPr>
            </w:pPr>
            <w:r>
              <w:rPr>
                <w:w w:val="93"/>
                <w:sz w:val="16"/>
              </w:rPr>
              <w:t>2</w:t>
            </w:r>
          </w:p>
        </w:tc>
        <w:tc>
          <w:tcPr>
            <w:tcW w:w="1006" w:type="dxa"/>
            <w:shd w:val="clear" w:color="auto" w:fill="E6E7E8"/>
          </w:tcPr>
          <w:p>
            <w:pPr>
              <w:pStyle w:val="TableParagraph"/>
              <w:spacing w:before="2"/>
              <w:jc w:val="left"/>
              <w:rPr>
                <w:rFonts w:ascii="Gotham Narrow Bold"/>
                <w:b/>
                <w:sz w:val="20"/>
              </w:rPr>
            </w:pPr>
          </w:p>
          <w:p>
            <w:pPr>
              <w:pStyle w:val="TableParagraph"/>
              <w:spacing w:before="1"/>
              <w:ind w:right="1"/>
              <w:jc w:val="center"/>
              <w:rPr>
                <w:sz w:val="16"/>
              </w:rPr>
            </w:pPr>
            <w:r>
              <w:rPr>
                <w:w w:val="54"/>
                <w:sz w:val="16"/>
              </w:rPr>
              <w:t>1</w:t>
            </w:r>
          </w:p>
        </w:tc>
        <w:tc>
          <w:tcPr>
            <w:tcW w:w="1006" w:type="dxa"/>
            <w:shd w:val="clear" w:color="auto" w:fill="E6E7E8"/>
          </w:tcPr>
          <w:p>
            <w:pPr>
              <w:pStyle w:val="TableParagraph"/>
              <w:spacing w:before="2"/>
              <w:jc w:val="left"/>
              <w:rPr>
                <w:rFonts w:ascii="Gotham Narrow Bold"/>
                <w:b/>
                <w:sz w:val="20"/>
              </w:rPr>
            </w:pPr>
          </w:p>
          <w:p>
            <w:pPr>
              <w:pStyle w:val="TableParagraph"/>
              <w:spacing w:before="1"/>
              <w:ind w:left="449"/>
              <w:jc w:val="left"/>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ind w:right="1"/>
              <w:jc w:val="center"/>
              <w:rPr>
                <w:sz w:val="16"/>
              </w:rPr>
            </w:pPr>
            <w:r>
              <w:rPr>
                <w:w w:val="111"/>
                <w:sz w:val="16"/>
              </w:rPr>
              <w:t>0</w:t>
            </w:r>
          </w:p>
        </w:tc>
      </w:tr>
      <w:tr>
        <w:trPr>
          <w:trHeight w:val="688" w:hRule="exact"/>
        </w:trPr>
        <w:tc>
          <w:tcPr>
            <w:tcW w:w="2042" w:type="dxa"/>
            <w:shd w:val="clear" w:color="auto" w:fill="E6E7E8"/>
          </w:tcPr>
          <w:p>
            <w:pPr>
              <w:pStyle w:val="TableParagraph"/>
              <w:spacing w:line="249" w:lineRule="auto" w:before="43"/>
              <w:ind w:left="74" w:right="77"/>
              <w:jc w:val="left"/>
              <w:rPr>
                <w:sz w:val="16"/>
              </w:rPr>
            </w:pPr>
            <w:r>
              <w:rPr>
                <w:sz w:val="16"/>
              </w:rPr>
              <w:t>Access applications involving both personal and other information</w:t>
            </w:r>
          </w:p>
        </w:tc>
        <w:tc>
          <w:tcPr>
            <w:tcW w:w="1006" w:type="dxa"/>
            <w:shd w:val="clear" w:color="auto" w:fill="E6E7E8"/>
          </w:tcPr>
          <w:p>
            <w:pPr>
              <w:pStyle w:val="TableParagraph"/>
              <w:spacing w:before="2"/>
              <w:jc w:val="left"/>
              <w:rPr>
                <w:rFonts w:ascii="Gotham Narrow Bold"/>
                <w:b/>
                <w:sz w:val="20"/>
              </w:rPr>
            </w:pPr>
          </w:p>
          <w:p>
            <w:pPr>
              <w:pStyle w:val="TableParagraph"/>
              <w:spacing w:before="1"/>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ind w:right="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ind w:left="448"/>
              <w:jc w:val="left"/>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jc w:val="center"/>
              <w:rPr>
                <w:sz w:val="16"/>
              </w:rPr>
            </w:pPr>
            <w:r>
              <w:rPr>
                <w:w w:val="111"/>
                <w:sz w:val="16"/>
              </w:rPr>
              <w:t>0</w:t>
            </w:r>
          </w:p>
        </w:tc>
        <w:tc>
          <w:tcPr>
            <w:tcW w:w="1006" w:type="dxa"/>
            <w:shd w:val="clear" w:color="auto" w:fill="E6E7E8"/>
          </w:tcPr>
          <w:p>
            <w:pPr>
              <w:pStyle w:val="TableParagraph"/>
              <w:spacing w:before="2"/>
              <w:jc w:val="left"/>
              <w:rPr>
                <w:rFonts w:ascii="Gotham Narrow Bold"/>
                <w:b/>
                <w:sz w:val="20"/>
              </w:rPr>
            </w:pPr>
          </w:p>
          <w:p>
            <w:pPr>
              <w:pStyle w:val="TableParagraph"/>
              <w:spacing w:before="1"/>
              <w:jc w:val="center"/>
              <w:rPr>
                <w:sz w:val="16"/>
              </w:rPr>
            </w:pPr>
            <w:r>
              <w:rPr>
                <w:w w:val="111"/>
                <w:sz w:val="16"/>
              </w:rPr>
              <w:t>0</w:t>
            </w:r>
          </w:p>
        </w:tc>
      </w:tr>
    </w:tbl>
    <w:p>
      <w:pPr>
        <w:pStyle w:val="BodyText"/>
        <w:spacing w:line="249" w:lineRule="auto" w:before="73"/>
        <w:ind w:left="319" w:right="411"/>
      </w:pPr>
      <w:r>
        <w:rPr>
          <w:spacing w:val="-5"/>
        </w:rPr>
        <w:t>*A</w:t>
      </w:r>
      <w:r>
        <w:rPr>
          <w:spacing w:val="-15"/>
        </w:rPr>
        <w:t> </w:t>
      </w:r>
      <w:r>
        <w:rPr/>
        <w:t>‘personal</w:t>
      </w:r>
      <w:r>
        <w:rPr>
          <w:spacing w:val="-15"/>
        </w:rPr>
        <w:t> </w:t>
      </w:r>
      <w:r>
        <w:rPr/>
        <w:t>information</w:t>
      </w:r>
      <w:r>
        <w:rPr>
          <w:spacing w:val="-15"/>
        </w:rPr>
        <w:t> </w:t>
      </w:r>
      <w:r>
        <w:rPr/>
        <w:t>application’</w:t>
      </w:r>
      <w:r>
        <w:rPr>
          <w:spacing w:val="-15"/>
        </w:rPr>
        <w:t> </w:t>
      </w:r>
      <w:r>
        <w:rPr/>
        <w:t>is</w:t>
      </w:r>
      <w:r>
        <w:rPr>
          <w:spacing w:val="-15"/>
        </w:rPr>
        <w:t> </w:t>
      </w:r>
      <w:r>
        <w:rPr/>
        <w:t>an</w:t>
      </w:r>
      <w:r>
        <w:rPr>
          <w:spacing w:val="-15"/>
        </w:rPr>
        <w:t> </w:t>
      </w:r>
      <w:r>
        <w:rPr/>
        <w:t>access</w:t>
      </w:r>
      <w:r>
        <w:rPr>
          <w:spacing w:val="-15"/>
        </w:rPr>
        <w:t> </w:t>
      </w:r>
      <w:r>
        <w:rPr/>
        <w:t>application</w:t>
      </w:r>
      <w:r>
        <w:rPr>
          <w:spacing w:val="-15"/>
        </w:rPr>
        <w:t> </w:t>
      </w:r>
      <w:r>
        <w:rPr/>
        <w:t>for</w:t>
      </w:r>
      <w:r>
        <w:rPr>
          <w:spacing w:val="-15"/>
        </w:rPr>
        <w:t> </w:t>
      </w:r>
      <w:r>
        <w:rPr/>
        <w:t>personal</w:t>
      </w:r>
      <w:r>
        <w:rPr>
          <w:spacing w:val="-15"/>
        </w:rPr>
        <w:t> </w:t>
      </w:r>
      <w:r>
        <w:rPr/>
        <w:t>information</w:t>
      </w:r>
      <w:r>
        <w:rPr>
          <w:spacing w:val="-15"/>
        </w:rPr>
        <w:t> </w:t>
      </w:r>
      <w:r>
        <w:rPr>
          <w:spacing w:val="-3"/>
        </w:rPr>
        <w:t>(as</w:t>
      </w:r>
      <w:r>
        <w:rPr>
          <w:spacing w:val="-15"/>
        </w:rPr>
        <w:t> </w:t>
      </w:r>
      <w:r>
        <w:rPr/>
        <w:t>defined</w:t>
      </w:r>
      <w:r>
        <w:rPr>
          <w:spacing w:val="-15"/>
        </w:rPr>
        <w:t> </w:t>
      </w:r>
      <w:r>
        <w:rPr/>
        <w:t>in</w:t>
      </w:r>
      <w:r>
        <w:rPr>
          <w:spacing w:val="-15"/>
        </w:rPr>
        <w:t> </w:t>
      </w:r>
      <w:r>
        <w:rPr/>
        <w:t>clause</w:t>
      </w:r>
      <w:r>
        <w:rPr>
          <w:spacing w:val="-15"/>
        </w:rPr>
        <w:t> </w:t>
      </w:r>
      <w:r>
        <w:rPr/>
        <w:t>4</w:t>
      </w:r>
      <w:r>
        <w:rPr>
          <w:spacing w:val="-15"/>
        </w:rPr>
        <w:t> </w:t>
      </w:r>
      <w:r>
        <w:rPr/>
        <w:t>of</w:t>
      </w:r>
      <w:r>
        <w:rPr>
          <w:spacing w:val="-15"/>
        </w:rPr>
        <w:t> </w:t>
      </w:r>
      <w:r>
        <w:rPr/>
        <w:t>Schedule</w:t>
      </w:r>
      <w:r>
        <w:rPr>
          <w:spacing w:val="-15"/>
        </w:rPr>
        <w:t> </w:t>
      </w:r>
      <w:r>
        <w:rPr/>
        <w:t>4</w:t>
      </w:r>
      <w:r>
        <w:rPr>
          <w:spacing w:val="-15"/>
        </w:rPr>
        <w:t> </w:t>
      </w:r>
      <w:r>
        <w:rPr/>
        <w:t>to</w:t>
      </w:r>
      <w:r>
        <w:rPr>
          <w:spacing w:val="-15"/>
        </w:rPr>
        <w:t> </w:t>
      </w:r>
      <w:r>
        <w:rPr/>
        <w:t>the</w:t>
      </w:r>
      <w:r>
        <w:rPr>
          <w:spacing w:val="-15"/>
        </w:rPr>
        <w:t> </w:t>
      </w:r>
      <w:r>
        <w:rPr/>
        <w:t>Act)</w:t>
      </w:r>
      <w:r>
        <w:rPr>
          <w:spacing w:val="-15"/>
        </w:rPr>
        <w:t> </w:t>
      </w:r>
      <w:r>
        <w:rPr/>
        <w:t>about</w:t>
      </w:r>
      <w:r>
        <w:rPr>
          <w:spacing w:val="-15"/>
        </w:rPr>
        <w:t> </w:t>
      </w:r>
      <w:r>
        <w:rPr/>
        <w:t>the applicant</w:t>
      </w:r>
      <w:r>
        <w:rPr>
          <w:spacing w:val="-17"/>
        </w:rPr>
        <w:t> </w:t>
      </w:r>
      <w:r>
        <w:rPr/>
        <w:t>(the</w:t>
      </w:r>
      <w:r>
        <w:rPr>
          <w:spacing w:val="-17"/>
        </w:rPr>
        <w:t> </w:t>
      </w:r>
      <w:r>
        <w:rPr/>
        <w:t>applicant</w:t>
      </w:r>
      <w:r>
        <w:rPr>
          <w:spacing w:val="-17"/>
        </w:rPr>
        <w:t> </w:t>
      </w:r>
      <w:r>
        <w:rPr/>
        <w:t>being</w:t>
      </w:r>
      <w:r>
        <w:rPr>
          <w:spacing w:val="-17"/>
        </w:rPr>
        <w:t> </w:t>
      </w:r>
      <w:r>
        <w:rPr/>
        <w:t>an</w:t>
      </w:r>
      <w:r>
        <w:rPr>
          <w:spacing w:val="-17"/>
        </w:rPr>
        <w:t> </w:t>
      </w:r>
      <w:r>
        <w:rPr/>
        <w:t>individual).</w:t>
      </w:r>
    </w:p>
    <w:p>
      <w:pPr>
        <w:pStyle w:val="BodyText"/>
        <w:rPr>
          <w:sz w:val="14"/>
        </w:rPr>
      </w:pPr>
    </w:p>
    <w:p>
      <w:pPr>
        <w:pStyle w:val="BodyText"/>
        <w:ind w:left="319" w:right="411"/>
      </w:pPr>
      <w:r>
        <w:rPr/>
        <w:t>The total number of decisions in Table B should be the same as Table A.</w:t>
      </w:r>
    </w:p>
    <w:p>
      <w:pPr>
        <w:spacing w:after="0"/>
        <w:sectPr>
          <w:footerReference w:type="even" r:id="rId67"/>
          <w:footerReference w:type="default" r:id="rId68"/>
          <w:pgSz w:w="11910" w:h="16840"/>
          <w:pgMar w:footer="473" w:header="494" w:top="680" w:bottom="660" w:left="580" w:right="580"/>
        </w:sectPr>
      </w:pPr>
    </w:p>
    <w:p>
      <w:pPr>
        <w:pStyle w:val="BodyText"/>
        <w:rPr>
          <w:sz w:val="20"/>
        </w:rPr>
      </w:pPr>
      <w:r>
        <w:rPr/>
        <w:pict>
          <v:rect style="position:absolute;margin-left:34.015999pt;margin-top:45.355015pt;width:527.244pt;height:751.181pt;mso-position-horizontal-relative:page;mso-position-vertical-relative:page;z-index:-331768" filled="true" fillcolor="#e6e7e8"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8"/>
        <w:ind w:left="362" w:right="7611"/>
      </w:pPr>
      <w:r>
        <w:rPr>
          <w:color w:val="636466"/>
          <w:w w:val="95"/>
        </w:rPr>
        <w:t>Table C: Invalid applications</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6874"/>
        <w:gridCol w:w="3208"/>
      </w:tblGrid>
      <w:tr>
        <w:trPr>
          <w:trHeight w:val="312" w:hRule="exact"/>
        </w:trPr>
        <w:tc>
          <w:tcPr>
            <w:tcW w:w="10081" w:type="dxa"/>
            <w:gridSpan w:val="2"/>
            <w:tcBorders>
              <w:top w:val="nil"/>
              <w:left w:val="nil"/>
              <w:bottom w:val="nil"/>
              <w:right w:val="nil"/>
            </w:tcBorders>
            <w:shd w:val="clear" w:color="auto" w:fill="939598"/>
          </w:tcPr>
          <w:p>
            <w:pPr>
              <w:pStyle w:val="TableParagraph"/>
              <w:tabs>
                <w:tab w:pos="7461" w:val="left" w:leader="none"/>
              </w:tabs>
              <w:spacing w:before="54"/>
              <w:ind w:left="80"/>
              <w:jc w:val="left"/>
              <w:rPr>
                <w:rFonts w:ascii="Gotham Narrow Bold"/>
                <w:b/>
                <w:sz w:val="16"/>
              </w:rPr>
            </w:pPr>
            <w:r>
              <w:rPr>
                <w:rFonts w:ascii="Gotham Narrow Bold"/>
                <w:b/>
                <w:color w:val="FFFFFF"/>
                <w:spacing w:val="2"/>
                <w:sz w:val="16"/>
              </w:rPr>
              <w:t>REASON</w:t>
            </w:r>
            <w:r>
              <w:rPr>
                <w:rFonts w:ascii="Gotham Narrow Bold"/>
                <w:b/>
                <w:color w:val="FFFFFF"/>
                <w:spacing w:val="-18"/>
                <w:sz w:val="16"/>
              </w:rPr>
              <w:t> </w:t>
            </w:r>
            <w:r>
              <w:rPr>
                <w:rFonts w:ascii="Gotham Narrow Bold"/>
                <w:b/>
                <w:color w:val="FFFFFF"/>
                <w:sz w:val="16"/>
              </w:rPr>
              <w:t>FOR</w:t>
            </w:r>
            <w:r>
              <w:rPr>
                <w:rFonts w:ascii="Gotham Narrow Bold"/>
                <w:b/>
                <w:color w:val="FFFFFF"/>
                <w:spacing w:val="-18"/>
                <w:sz w:val="16"/>
              </w:rPr>
              <w:t> </w:t>
            </w:r>
            <w:r>
              <w:rPr>
                <w:rFonts w:ascii="Gotham Narrow Bold"/>
                <w:b/>
                <w:color w:val="FFFFFF"/>
                <w:sz w:val="16"/>
              </w:rPr>
              <w:t>INVALIDITY</w:t>
              <w:tab/>
            </w:r>
            <w:r>
              <w:rPr>
                <w:rFonts w:ascii="Gotham Narrow Bold"/>
                <w:b/>
                <w:color w:val="FFFFFF"/>
                <w:spacing w:val="3"/>
                <w:w w:val="95"/>
                <w:sz w:val="16"/>
              </w:rPr>
              <w:t>NUMBER </w:t>
            </w:r>
            <w:r>
              <w:rPr>
                <w:rFonts w:ascii="Gotham Narrow Bold"/>
                <w:b/>
                <w:color w:val="FFFFFF"/>
                <w:w w:val="95"/>
                <w:sz w:val="16"/>
              </w:rPr>
              <w:t>OF</w:t>
            </w:r>
            <w:r>
              <w:rPr>
                <w:rFonts w:ascii="Gotham Narrow Bold"/>
                <w:b/>
                <w:color w:val="FFFFFF"/>
                <w:spacing w:val="26"/>
                <w:w w:val="95"/>
                <w:sz w:val="16"/>
              </w:rPr>
              <w:t> </w:t>
            </w:r>
            <w:r>
              <w:rPr>
                <w:rFonts w:ascii="Gotham Narrow Bold"/>
                <w:b/>
                <w:color w:val="FFFFFF"/>
                <w:w w:val="95"/>
                <w:sz w:val="16"/>
              </w:rPr>
              <w:t>APPLICATIONS</w:t>
            </w:r>
          </w:p>
        </w:tc>
      </w:tr>
      <w:tr>
        <w:trPr>
          <w:trHeight w:val="312" w:hRule="exact"/>
        </w:trPr>
        <w:tc>
          <w:tcPr>
            <w:tcW w:w="6874" w:type="dxa"/>
            <w:tcBorders>
              <w:top w:val="nil"/>
            </w:tcBorders>
            <w:shd w:val="clear" w:color="auto" w:fill="E6E7E8"/>
          </w:tcPr>
          <w:p>
            <w:pPr>
              <w:pStyle w:val="TableParagraph"/>
              <w:spacing w:before="48"/>
              <w:ind w:left="75"/>
              <w:jc w:val="left"/>
              <w:rPr>
                <w:sz w:val="16"/>
              </w:rPr>
            </w:pPr>
            <w:r>
              <w:rPr>
                <w:sz w:val="16"/>
              </w:rPr>
              <w:t>Application does not comply with formal requirements (section 41 of the Act)</w:t>
            </w:r>
          </w:p>
        </w:tc>
        <w:tc>
          <w:tcPr>
            <w:tcW w:w="3208" w:type="dxa"/>
            <w:tcBorders>
              <w:top w:val="nil"/>
            </w:tcBorders>
            <w:shd w:val="clear" w:color="auto" w:fill="E6E7E8"/>
          </w:tcPr>
          <w:p>
            <w:pPr>
              <w:pStyle w:val="TableParagraph"/>
              <w:spacing w:before="48"/>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Application is for excluded information of the agency (section 43 of the Act)</w:t>
            </w:r>
          </w:p>
        </w:tc>
        <w:tc>
          <w:tcPr>
            <w:tcW w:w="3208" w:type="dxa"/>
            <w:shd w:val="clear" w:color="auto" w:fill="E6E7E8"/>
          </w:tcPr>
          <w:p>
            <w:pPr>
              <w:pStyle w:val="TableParagraph"/>
              <w:spacing w:before="43"/>
              <w:ind w:right="1573"/>
              <w:rPr>
                <w:sz w:val="16"/>
              </w:rPr>
            </w:pPr>
            <w:r>
              <w:rPr>
                <w:w w:val="54"/>
                <w:sz w:val="16"/>
              </w:rPr>
              <w:t>1</w:t>
            </w:r>
          </w:p>
        </w:tc>
      </w:tr>
      <w:tr>
        <w:trPr>
          <w:trHeight w:val="312" w:hRule="exact"/>
        </w:trPr>
        <w:tc>
          <w:tcPr>
            <w:tcW w:w="6874" w:type="dxa"/>
            <w:shd w:val="clear" w:color="auto" w:fill="E6E7E8"/>
          </w:tcPr>
          <w:p>
            <w:pPr>
              <w:pStyle w:val="TableParagraph"/>
              <w:spacing w:before="43"/>
              <w:ind w:left="75"/>
              <w:jc w:val="left"/>
              <w:rPr>
                <w:sz w:val="16"/>
              </w:rPr>
            </w:pPr>
            <w:r>
              <w:rPr>
                <w:spacing w:val="2"/>
                <w:w w:val="112"/>
                <w:sz w:val="16"/>
              </w:rPr>
              <w:t>A</w:t>
            </w:r>
            <w:r>
              <w:rPr>
                <w:spacing w:val="2"/>
                <w:w w:val="102"/>
                <w:sz w:val="16"/>
              </w:rPr>
              <w:t>pp</w:t>
            </w:r>
            <w:r>
              <w:rPr>
                <w:w w:val="95"/>
                <w:sz w:val="16"/>
              </w:rPr>
              <w:t>l</w:t>
            </w:r>
            <w:r>
              <w:rPr>
                <w:spacing w:val="1"/>
                <w:w w:val="95"/>
                <w:sz w:val="16"/>
              </w:rPr>
              <w:t>i</w:t>
            </w:r>
            <w:r>
              <w:rPr>
                <w:spacing w:val="3"/>
                <w:w w:val="102"/>
                <w:sz w:val="16"/>
              </w:rPr>
              <w:t>c</w:t>
            </w:r>
            <w:r>
              <w:rPr>
                <w:w w:val="94"/>
                <w:sz w:val="16"/>
              </w:rPr>
              <w:t>a</w:t>
            </w:r>
            <w:r>
              <w:rPr>
                <w:w w:val="102"/>
                <w:sz w:val="16"/>
              </w:rPr>
              <w:t>t</w:t>
            </w:r>
            <w:r>
              <w:rPr>
                <w:spacing w:val="1"/>
                <w:w w:val="95"/>
                <w:sz w:val="16"/>
              </w:rPr>
              <w:t>i</w:t>
            </w:r>
            <w:r>
              <w:rPr>
                <w:spacing w:val="2"/>
                <w:w w:val="100"/>
                <w:sz w:val="16"/>
              </w:rPr>
              <w:t>o</w:t>
            </w:r>
            <w:r>
              <w:rPr>
                <w:w w:val="95"/>
                <w:sz w:val="16"/>
              </w:rPr>
              <w:t>n</w:t>
            </w:r>
            <w:r>
              <w:rPr>
                <w:spacing w:val="-12"/>
                <w:sz w:val="16"/>
              </w:rPr>
              <w:t> </w:t>
            </w:r>
            <w:r>
              <w:rPr>
                <w:w w:val="102"/>
                <w:sz w:val="16"/>
              </w:rPr>
              <w:t>c</w:t>
            </w:r>
            <w:r>
              <w:rPr>
                <w:spacing w:val="2"/>
                <w:w w:val="100"/>
                <w:sz w:val="16"/>
              </w:rPr>
              <w:t>o</w:t>
            </w:r>
            <w:r>
              <w:rPr>
                <w:w w:val="95"/>
                <w:sz w:val="16"/>
              </w:rPr>
              <w:t>n</w:t>
            </w:r>
            <w:r>
              <w:rPr>
                <w:w w:val="102"/>
                <w:sz w:val="16"/>
              </w:rPr>
              <w:t>t</w:t>
            </w:r>
            <w:r>
              <w:rPr>
                <w:spacing w:val="2"/>
                <w:w w:val="95"/>
                <w:sz w:val="16"/>
              </w:rPr>
              <w:t>r</w:t>
            </w:r>
            <w:r>
              <w:rPr>
                <w:spacing w:val="-1"/>
                <w:w w:val="94"/>
                <w:sz w:val="16"/>
              </w:rPr>
              <w:t>a</w:t>
            </w:r>
            <w:r>
              <w:rPr>
                <w:spacing w:val="-1"/>
                <w:w w:val="101"/>
                <w:sz w:val="16"/>
              </w:rPr>
              <w:t>v</w:t>
            </w:r>
            <w:r>
              <w:rPr>
                <w:spacing w:val="2"/>
                <w:w w:val="95"/>
                <w:sz w:val="16"/>
              </w:rPr>
              <w:t>e</w:t>
            </w:r>
            <w:r>
              <w:rPr>
                <w:spacing w:val="2"/>
                <w:w w:val="95"/>
                <w:sz w:val="16"/>
              </w:rPr>
              <w:t>n</w:t>
            </w:r>
            <w:r>
              <w:rPr>
                <w:spacing w:val="3"/>
                <w:w w:val="95"/>
                <w:sz w:val="16"/>
              </w:rPr>
              <w:t>e</w:t>
            </w:r>
            <w:r>
              <w:rPr>
                <w:w w:val="95"/>
                <w:sz w:val="16"/>
              </w:rPr>
              <w:t>s</w:t>
            </w:r>
            <w:r>
              <w:rPr>
                <w:spacing w:val="-12"/>
                <w:sz w:val="16"/>
              </w:rPr>
              <w:t> </w:t>
            </w:r>
            <w:r>
              <w:rPr>
                <w:spacing w:val="-1"/>
                <w:w w:val="95"/>
                <w:sz w:val="16"/>
              </w:rPr>
              <w:t>r</w:t>
            </w:r>
            <w:r>
              <w:rPr>
                <w:spacing w:val="3"/>
                <w:w w:val="95"/>
                <w:sz w:val="16"/>
              </w:rPr>
              <w:t>e</w:t>
            </w:r>
            <w:r>
              <w:rPr>
                <w:spacing w:val="3"/>
                <w:w w:val="95"/>
                <w:sz w:val="16"/>
              </w:rPr>
              <w:t>s</w:t>
            </w:r>
            <w:r>
              <w:rPr>
                <w:w w:val="102"/>
                <w:sz w:val="16"/>
              </w:rPr>
              <w:t>t</w:t>
            </w:r>
            <w:r>
              <w:rPr>
                <w:spacing w:val="2"/>
                <w:w w:val="95"/>
                <w:sz w:val="16"/>
              </w:rPr>
              <w:t>r</w:t>
            </w:r>
            <w:r>
              <w:rPr>
                <w:spacing w:val="1"/>
                <w:w w:val="94"/>
                <w:sz w:val="16"/>
              </w:rPr>
              <w:t>a</w:t>
            </w:r>
            <w:r>
              <w:rPr>
                <w:spacing w:val="1"/>
                <w:w w:val="95"/>
                <w:sz w:val="16"/>
              </w:rPr>
              <w:t>i</w:t>
            </w:r>
            <w:r>
              <w:rPr>
                <w:w w:val="95"/>
                <w:sz w:val="16"/>
              </w:rPr>
              <w:t>n</w:t>
            </w:r>
            <w:r>
              <w:rPr>
                <w:w w:val="102"/>
                <w:sz w:val="16"/>
              </w:rPr>
              <w:t>t</w:t>
            </w:r>
            <w:r>
              <w:rPr>
                <w:spacing w:val="-12"/>
                <w:sz w:val="16"/>
              </w:rPr>
              <w:t> </w:t>
            </w:r>
            <w:r>
              <w:rPr>
                <w:spacing w:val="2"/>
                <w:w w:val="100"/>
                <w:sz w:val="16"/>
              </w:rPr>
              <w:t>o</w:t>
            </w:r>
            <w:r>
              <w:rPr>
                <w:spacing w:val="-1"/>
                <w:w w:val="95"/>
                <w:sz w:val="16"/>
              </w:rPr>
              <w:t>r</w:t>
            </w:r>
            <w:r>
              <w:rPr>
                <w:spacing w:val="2"/>
                <w:w w:val="102"/>
                <w:sz w:val="16"/>
              </w:rPr>
              <w:t>d</w:t>
            </w:r>
            <w:r>
              <w:rPr>
                <w:spacing w:val="2"/>
                <w:w w:val="95"/>
                <w:sz w:val="16"/>
              </w:rPr>
              <w:t>e</w:t>
            </w:r>
            <w:r>
              <w:rPr>
                <w:w w:val="95"/>
                <w:sz w:val="16"/>
              </w:rPr>
              <w:t>r</w:t>
            </w:r>
            <w:r>
              <w:rPr>
                <w:spacing w:val="-12"/>
                <w:sz w:val="16"/>
              </w:rPr>
              <w:t> </w:t>
            </w:r>
            <w:r>
              <w:rPr>
                <w:spacing w:val="-6"/>
                <w:w w:val="96"/>
                <w:sz w:val="16"/>
              </w:rPr>
              <w:t>(</w:t>
            </w:r>
            <w:r>
              <w:rPr>
                <w:spacing w:val="2"/>
                <w:w w:val="95"/>
                <w:sz w:val="16"/>
              </w:rPr>
              <w:t>s</w:t>
            </w:r>
            <w:r>
              <w:rPr>
                <w:spacing w:val="3"/>
                <w:w w:val="95"/>
                <w:sz w:val="16"/>
              </w:rPr>
              <w:t>e</w:t>
            </w:r>
            <w:r>
              <w:rPr>
                <w:spacing w:val="4"/>
                <w:w w:val="102"/>
                <w:sz w:val="16"/>
              </w:rPr>
              <w:t>c</w:t>
            </w:r>
            <w:r>
              <w:rPr>
                <w:w w:val="102"/>
                <w:sz w:val="16"/>
              </w:rPr>
              <w:t>t</w:t>
            </w:r>
            <w:r>
              <w:rPr>
                <w:spacing w:val="1"/>
                <w:w w:val="95"/>
                <w:sz w:val="16"/>
              </w:rPr>
              <w:t>i</w:t>
            </w:r>
            <w:r>
              <w:rPr>
                <w:spacing w:val="2"/>
                <w:w w:val="100"/>
                <w:sz w:val="16"/>
              </w:rPr>
              <w:t>o</w:t>
            </w:r>
            <w:r>
              <w:rPr>
                <w:w w:val="95"/>
                <w:sz w:val="16"/>
              </w:rPr>
              <w:t>n</w:t>
            </w:r>
            <w:r>
              <w:rPr>
                <w:spacing w:val="-12"/>
                <w:sz w:val="16"/>
              </w:rPr>
              <w:t> </w:t>
            </w:r>
            <w:r>
              <w:rPr>
                <w:spacing w:val="3"/>
                <w:w w:val="54"/>
                <w:sz w:val="16"/>
              </w:rPr>
              <w:t>1</w:t>
            </w:r>
            <w:r>
              <w:rPr>
                <w:spacing w:val="4"/>
                <w:w w:val="54"/>
                <w:sz w:val="16"/>
              </w:rPr>
              <w:t>1</w:t>
            </w:r>
            <w:r>
              <w:rPr>
                <w:w w:val="111"/>
                <w:sz w:val="16"/>
              </w:rPr>
              <w:t>0</w:t>
            </w:r>
            <w:r>
              <w:rPr>
                <w:spacing w:val="-12"/>
                <w:sz w:val="16"/>
              </w:rPr>
              <w:t> </w:t>
            </w:r>
            <w:r>
              <w:rPr>
                <w:w w:val="100"/>
                <w:sz w:val="16"/>
              </w:rPr>
              <w:t>o</w:t>
            </w:r>
            <w:r>
              <w:rPr>
                <w:w w:val="98"/>
                <w:sz w:val="16"/>
              </w:rPr>
              <w:t>f</w:t>
            </w:r>
            <w:r>
              <w:rPr>
                <w:spacing w:val="-12"/>
                <w:sz w:val="16"/>
              </w:rPr>
              <w:t> </w:t>
            </w:r>
            <w:r>
              <w:rPr>
                <w:w w:val="102"/>
                <w:sz w:val="16"/>
              </w:rPr>
              <w:t>t</w:t>
            </w:r>
            <w:r>
              <w:rPr>
                <w:spacing w:val="2"/>
                <w:w w:val="95"/>
                <w:sz w:val="16"/>
              </w:rPr>
              <w:t>h</w:t>
            </w:r>
            <w:r>
              <w:rPr>
                <w:w w:val="95"/>
                <w:sz w:val="16"/>
              </w:rPr>
              <w:t>e</w:t>
            </w:r>
            <w:r>
              <w:rPr>
                <w:spacing w:val="-12"/>
                <w:sz w:val="16"/>
              </w:rPr>
              <w:t> </w:t>
            </w:r>
            <w:r>
              <w:rPr>
                <w:spacing w:val="-1"/>
                <w:w w:val="112"/>
                <w:sz w:val="16"/>
              </w:rPr>
              <w:t>A</w:t>
            </w:r>
            <w:r>
              <w:rPr>
                <w:spacing w:val="4"/>
                <w:w w:val="102"/>
                <w:sz w:val="16"/>
              </w:rPr>
              <w:t>c</w:t>
            </w:r>
            <w:r>
              <w:rPr>
                <w:spacing w:val="-4"/>
                <w:w w:val="102"/>
                <w:sz w:val="16"/>
              </w:rPr>
              <w:t>t</w:t>
            </w:r>
            <w:r>
              <w:rPr>
                <w:w w:val="96"/>
                <w:sz w:val="16"/>
              </w:rPr>
              <w:t>)</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Total number of invalid applications received</w:t>
            </w:r>
          </w:p>
        </w:tc>
        <w:tc>
          <w:tcPr>
            <w:tcW w:w="3208" w:type="dxa"/>
            <w:shd w:val="clear" w:color="auto" w:fill="E6E7E8"/>
          </w:tcPr>
          <w:p>
            <w:pPr>
              <w:pStyle w:val="TableParagraph"/>
              <w:spacing w:before="43"/>
              <w:ind w:right="1573"/>
              <w:rPr>
                <w:sz w:val="16"/>
              </w:rPr>
            </w:pPr>
            <w:r>
              <w:rPr>
                <w:w w:val="54"/>
                <w:sz w:val="16"/>
              </w:rPr>
              <w:t>1</w:t>
            </w:r>
          </w:p>
        </w:tc>
      </w:tr>
      <w:tr>
        <w:trPr>
          <w:trHeight w:val="312" w:hRule="exact"/>
        </w:trPr>
        <w:tc>
          <w:tcPr>
            <w:tcW w:w="6874" w:type="dxa"/>
            <w:shd w:val="clear" w:color="auto" w:fill="E6E7E8"/>
          </w:tcPr>
          <w:p>
            <w:pPr>
              <w:pStyle w:val="TableParagraph"/>
              <w:spacing w:before="43"/>
              <w:ind w:left="75"/>
              <w:jc w:val="left"/>
              <w:rPr>
                <w:sz w:val="16"/>
              </w:rPr>
            </w:pPr>
            <w:r>
              <w:rPr>
                <w:sz w:val="16"/>
              </w:rPr>
              <w:t>Invalid applications that subsequently became valid applications</w:t>
            </w:r>
          </w:p>
        </w:tc>
        <w:tc>
          <w:tcPr>
            <w:tcW w:w="3208" w:type="dxa"/>
            <w:shd w:val="clear" w:color="auto" w:fill="E6E7E8"/>
          </w:tcPr>
          <w:p>
            <w:pPr>
              <w:pStyle w:val="TableParagraph"/>
              <w:spacing w:before="43"/>
              <w:ind w:right="1548"/>
              <w:rPr>
                <w:sz w:val="16"/>
              </w:rPr>
            </w:pPr>
            <w:r>
              <w:rPr>
                <w:w w:val="111"/>
                <w:sz w:val="16"/>
              </w:rPr>
              <w:t>0</w:t>
            </w:r>
          </w:p>
        </w:tc>
      </w:tr>
    </w:tbl>
    <w:p>
      <w:pPr>
        <w:pStyle w:val="BodyText"/>
        <w:spacing w:before="10"/>
        <w:rPr>
          <w:rFonts w:ascii="Gotham Narrow Bold"/>
          <w:b/>
          <w:sz w:val="14"/>
        </w:rPr>
      </w:pPr>
    </w:p>
    <w:p>
      <w:pPr>
        <w:spacing w:before="72"/>
        <w:ind w:left="327" w:right="411" w:firstLine="0"/>
        <w:jc w:val="left"/>
        <w:rPr>
          <w:rFonts w:ascii="Gotham Narrow Bold" w:hAnsi="Gotham Narrow Bold"/>
          <w:b/>
          <w:sz w:val="16"/>
        </w:rPr>
      </w:pPr>
      <w:r>
        <w:rPr>
          <w:rFonts w:ascii="Gotham Narrow Bold" w:hAnsi="Gotham Narrow Bold"/>
          <w:b/>
          <w:color w:val="636466"/>
          <w:sz w:val="16"/>
        </w:rPr>
        <w:t>Table D: Conclusive presumption of overriding public interest against disclosure – matters listed in Schedule 1 of the Act</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6874"/>
        <w:gridCol w:w="3208"/>
      </w:tblGrid>
      <w:tr>
        <w:trPr>
          <w:trHeight w:val="312" w:hRule="exact"/>
        </w:trPr>
        <w:tc>
          <w:tcPr>
            <w:tcW w:w="10081" w:type="dxa"/>
            <w:gridSpan w:val="2"/>
            <w:tcBorders>
              <w:top w:val="nil"/>
              <w:left w:val="nil"/>
              <w:bottom w:val="nil"/>
              <w:right w:val="nil"/>
            </w:tcBorders>
            <w:shd w:val="clear" w:color="auto" w:fill="939598"/>
          </w:tcPr>
          <w:p>
            <w:pPr>
              <w:pStyle w:val="TableParagraph"/>
              <w:spacing w:before="54"/>
              <w:ind w:right="97"/>
              <w:rPr>
                <w:rFonts w:ascii="Gotham Narrow Bold"/>
                <w:b/>
                <w:sz w:val="16"/>
              </w:rPr>
            </w:pPr>
            <w:r>
              <w:rPr>
                <w:rFonts w:ascii="Gotham Narrow Bold"/>
                <w:b/>
                <w:color w:val="FFFFFF"/>
                <w:w w:val="95"/>
                <w:sz w:val="16"/>
              </w:rPr>
              <w:t>NUMBER OF TIMES CONSIDERATION USED*</w:t>
            </w:r>
          </w:p>
        </w:tc>
      </w:tr>
      <w:tr>
        <w:trPr>
          <w:trHeight w:val="312" w:hRule="exact"/>
        </w:trPr>
        <w:tc>
          <w:tcPr>
            <w:tcW w:w="6874" w:type="dxa"/>
            <w:tcBorders>
              <w:top w:val="nil"/>
            </w:tcBorders>
            <w:shd w:val="clear" w:color="auto" w:fill="E6E7E8"/>
          </w:tcPr>
          <w:p>
            <w:pPr>
              <w:pStyle w:val="TableParagraph"/>
              <w:spacing w:before="48"/>
              <w:ind w:left="75"/>
              <w:jc w:val="left"/>
              <w:rPr>
                <w:sz w:val="16"/>
              </w:rPr>
            </w:pPr>
            <w:r>
              <w:rPr>
                <w:sz w:val="16"/>
              </w:rPr>
              <w:t>Overriding secrecy laws</w:t>
            </w:r>
          </w:p>
        </w:tc>
        <w:tc>
          <w:tcPr>
            <w:tcW w:w="3208" w:type="dxa"/>
            <w:tcBorders>
              <w:top w:val="nil"/>
            </w:tcBorders>
            <w:shd w:val="clear" w:color="auto" w:fill="E6E7E8"/>
          </w:tcPr>
          <w:p>
            <w:pPr>
              <w:pStyle w:val="TableParagraph"/>
              <w:spacing w:before="48"/>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Cabinet information</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Executive Council information</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Contempt</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Legal professional privilege</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Excluded information</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Documents affecting law enforcement and public safety</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Transport safety</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Adoption</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Care and protection of children</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Ministerial code of conduct</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5"/>
              <w:jc w:val="left"/>
              <w:rPr>
                <w:sz w:val="16"/>
              </w:rPr>
            </w:pPr>
            <w:r>
              <w:rPr>
                <w:sz w:val="16"/>
              </w:rPr>
              <w:t>Aboriginal and environmental heritage</w:t>
            </w:r>
          </w:p>
        </w:tc>
        <w:tc>
          <w:tcPr>
            <w:tcW w:w="3208" w:type="dxa"/>
            <w:shd w:val="clear" w:color="auto" w:fill="E6E7E8"/>
          </w:tcPr>
          <w:p>
            <w:pPr>
              <w:pStyle w:val="TableParagraph"/>
              <w:spacing w:before="43"/>
              <w:ind w:right="1548"/>
              <w:rPr>
                <w:sz w:val="16"/>
              </w:rPr>
            </w:pPr>
            <w:r>
              <w:rPr>
                <w:w w:val="111"/>
                <w:sz w:val="16"/>
              </w:rPr>
              <w:t>0</w:t>
            </w:r>
          </w:p>
        </w:tc>
      </w:tr>
    </w:tbl>
    <w:p>
      <w:pPr>
        <w:pStyle w:val="BodyText"/>
        <w:spacing w:line="249" w:lineRule="auto" w:before="73"/>
        <w:ind w:left="327" w:right="411"/>
      </w:pPr>
      <w:r>
        <w:rPr/>
        <w:t>*More</w:t>
      </w:r>
      <w:r>
        <w:rPr>
          <w:spacing w:val="-18"/>
        </w:rPr>
        <w:t> </w:t>
      </w:r>
      <w:r>
        <w:rPr/>
        <w:t>than</w:t>
      </w:r>
      <w:r>
        <w:rPr>
          <w:spacing w:val="-18"/>
        </w:rPr>
        <w:t> </w:t>
      </w:r>
      <w:r>
        <w:rPr/>
        <w:t>one</w:t>
      </w:r>
      <w:r>
        <w:rPr>
          <w:spacing w:val="-18"/>
        </w:rPr>
        <w:t> </w:t>
      </w:r>
      <w:r>
        <w:rPr/>
        <w:t>public</w:t>
      </w:r>
      <w:r>
        <w:rPr>
          <w:spacing w:val="-18"/>
        </w:rPr>
        <w:t> </w:t>
      </w:r>
      <w:r>
        <w:rPr/>
        <w:t>interest</w:t>
      </w:r>
      <w:r>
        <w:rPr>
          <w:spacing w:val="-18"/>
        </w:rPr>
        <w:t> </w:t>
      </w:r>
      <w:r>
        <w:rPr/>
        <w:t>consideration</w:t>
      </w:r>
      <w:r>
        <w:rPr>
          <w:spacing w:val="-18"/>
        </w:rPr>
        <w:t> </w:t>
      </w:r>
      <w:r>
        <w:rPr/>
        <w:t>may</w:t>
      </w:r>
      <w:r>
        <w:rPr>
          <w:spacing w:val="-18"/>
        </w:rPr>
        <w:t> </w:t>
      </w:r>
      <w:r>
        <w:rPr/>
        <w:t>apply</w:t>
      </w:r>
      <w:r>
        <w:rPr>
          <w:spacing w:val="-18"/>
        </w:rPr>
        <w:t> </w:t>
      </w:r>
      <w:r>
        <w:rPr/>
        <w:t>in</w:t>
      </w:r>
      <w:r>
        <w:rPr>
          <w:spacing w:val="-18"/>
        </w:rPr>
        <w:t> </w:t>
      </w:r>
      <w:r>
        <w:rPr/>
        <w:t>relation</w:t>
      </w:r>
      <w:r>
        <w:rPr>
          <w:spacing w:val="-18"/>
        </w:rPr>
        <w:t> </w:t>
      </w:r>
      <w:r>
        <w:rPr/>
        <w:t>to</w:t>
      </w:r>
      <w:r>
        <w:rPr>
          <w:spacing w:val="-18"/>
        </w:rPr>
        <w:t> </w:t>
      </w:r>
      <w:r>
        <w:rPr/>
        <w:t>a</w:t>
      </w:r>
      <w:r>
        <w:rPr>
          <w:spacing w:val="-18"/>
        </w:rPr>
        <w:t> </w:t>
      </w:r>
      <w:r>
        <w:rPr/>
        <w:t>particular</w:t>
      </w:r>
      <w:r>
        <w:rPr>
          <w:spacing w:val="-18"/>
        </w:rPr>
        <w:t> </w:t>
      </w:r>
      <w:r>
        <w:rPr/>
        <w:t>access</w:t>
      </w:r>
      <w:r>
        <w:rPr>
          <w:spacing w:val="-18"/>
        </w:rPr>
        <w:t> </w:t>
      </w:r>
      <w:r>
        <w:rPr/>
        <w:t>application.</w:t>
      </w:r>
      <w:r>
        <w:rPr>
          <w:spacing w:val="-18"/>
        </w:rPr>
        <w:t> </w:t>
      </w:r>
      <w:r>
        <w:rPr/>
        <w:t>If</w:t>
      </w:r>
      <w:r>
        <w:rPr>
          <w:spacing w:val="-18"/>
        </w:rPr>
        <w:t> </w:t>
      </w:r>
      <w:r>
        <w:rPr/>
        <w:t>so,</w:t>
      </w:r>
      <w:r>
        <w:rPr>
          <w:spacing w:val="-18"/>
        </w:rPr>
        <w:t> </w:t>
      </w:r>
      <w:r>
        <w:rPr/>
        <w:t>each</w:t>
      </w:r>
      <w:r>
        <w:rPr>
          <w:spacing w:val="-18"/>
        </w:rPr>
        <w:t> </w:t>
      </w:r>
      <w:r>
        <w:rPr/>
        <w:t>such</w:t>
      </w:r>
      <w:r>
        <w:rPr>
          <w:spacing w:val="-18"/>
        </w:rPr>
        <w:t> </w:t>
      </w:r>
      <w:r>
        <w:rPr/>
        <w:t>consideration</w:t>
      </w:r>
      <w:r>
        <w:rPr>
          <w:spacing w:val="-18"/>
        </w:rPr>
        <w:t> </w:t>
      </w:r>
      <w:r>
        <w:rPr/>
        <w:t>is</w:t>
      </w:r>
      <w:r>
        <w:rPr>
          <w:spacing w:val="-18"/>
        </w:rPr>
        <w:t> </w:t>
      </w:r>
      <w:r>
        <w:rPr/>
        <w:t>to</w:t>
      </w:r>
      <w:r>
        <w:rPr>
          <w:spacing w:val="-18"/>
        </w:rPr>
        <w:t> </w:t>
      </w:r>
      <w:r>
        <w:rPr/>
        <w:t>be recorded</w:t>
      </w:r>
      <w:r>
        <w:rPr>
          <w:spacing w:val="-18"/>
        </w:rPr>
        <w:t> </w:t>
      </w:r>
      <w:r>
        <w:rPr/>
        <w:t>(but</w:t>
      </w:r>
      <w:r>
        <w:rPr>
          <w:spacing w:val="-18"/>
        </w:rPr>
        <w:t> </w:t>
      </w:r>
      <w:r>
        <w:rPr/>
        <w:t>only</w:t>
      </w:r>
      <w:r>
        <w:rPr>
          <w:spacing w:val="-18"/>
        </w:rPr>
        <w:t> </w:t>
      </w:r>
      <w:r>
        <w:rPr/>
        <w:t>once</w:t>
      </w:r>
      <w:r>
        <w:rPr>
          <w:spacing w:val="-18"/>
        </w:rPr>
        <w:t> </w:t>
      </w:r>
      <w:r>
        <w:rPr/>
        <w:t>per</w:t>
      </w:r>
      <w:r>
        <w:rPr>
          <w:spacing w:val="-18"/>
        </w:rPr>
        <w:t> </w:t>
      </w:r>
      <w:r>
        <w:rPr/>
        <w:t>application).</w:t>
      </w:r>
      <w:r>
        <w:rPr>
          <w:spacing w:val="-18"/>
        </w:rPr>
        <w:t> </w:t>
      </w:r>
      <w:r>
        <w:rPr/>
        <w:t>This</w:t>
      </w:r>
      <w:r>
        <w:rPr>
          <w:spacing w:val="-18"/>
        </w:rPr>
        <w:t> </w:t>
      </w:r>
      <w:r>
        <w:rPr/>
        <w:t>also</w:t>
      </w:r>
      <w:r>
        <w:rPr>
          <w:spacing w:val="-18"/>
        </w:rPr>
        <w:t> </w:t>
      </w:r>
      <w:r>
        <w:rPr/>
        <w:t>applies</w:t>
      </w:r>
      <w:r>
        <w:rPr>
          <w:spacing w:val="-18"/>
        </w:rPr>
        <w:t> </w:t>
      </w:r>
      <w:r>
        <w:rPr/>
        <w:t>to</w:t>
      </w:r>
      <w:r>
        <w:rPr>
          <w:spacing w:val="-18"/>
        </w:rPr>
        <w:t> </w:t>
      </w:r>
      <w:r>
        <w:rPr/>
        <w:t>Table</w:t>
      </w:r>
      <w:r>
        <w:rPr>
          <w:spacing w:val="-18"/>
        </w:rPr>
        <w:t> </w:t>
      </w:r>
      <w:r>
        <w:rPr/>
        <w:t>E.</w:t>
      </w:r>
    </w:p>
    <w:p>
      <w:pPr>
        <w:pStyle w:val="BodyText"/>
        <w:spacing w:before="11"/>
        <w:rPr>
          <w:sz w:val="23"/>
        </w:rPr>
      </w:pPr>
    </w:p>
    <w:p>
      <w:pPr>
        <w:pStyle w:val="Heading8"/>
        <w:ind w:left="327" w:right="411"/>
      </w:pPr>
      <w:r>
        <w:rPr>
          <w:color w:val="636466"/>
        </w:rPr>
        <w:t>Table E: Other public interest considerations against disclosure – matters listed in table relate to section 14 of the Act</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6874"/>
        <w:gridCol w:w="3208"/>
      </w:tblGrid>
      <w:tr>
        <w:trPr>
          <w:trHeight w:val="488" w:hRule="exact"/>
        </w:trPr>
        <w:tc>
          <w:tcPr>
            <w:tcW w:w="10081" w:type="dxa"/>
            <w:gridSpan w:val="2"/>
            <w:tcBorders>
              <w:top w:val="nil"/>
              <w:left w:val="nil"/>
              <w:bottom w:val="nil"/>
              <w:right w:val="nil"/>
            </w:tcBorders>
            <w:shd w:val="clear" w:color="auto" w:fill="939598"/>
          </w:tcPr>
          <w:p>
            <w:pPr>
              <w:pStyle w:val="TableParagraph"/>
              <w:spacing w:line="249" w:lineRule="auto" w:before="54"/>
              <w:ind w:left="7295" w:right="419" w:firstLine="17"/>
              <w:rPr>
                <w:rFonts w:ascii="Gotham Narrow Bold"/>
                <w:b/>
                <w:sz w:val="16"/>
              </w:rPr>
            </w:pPr>
            <w:r>
              <w:rPr>
                <w:rFonts w:ascii="Gotham Narrow Bold"/>
                <w:b/>
                <w:color w:val="FFFFFF"/>
                <w:w w:val="95"/>
                <w:sz w:val="16"/>
              </w:rPr>
              <w:t>NUMBER OF OCCASIONS WHEN</w:t>
            </w:r>
            <w:r>
              <w:rPr>
                <w:rFonts w:ascii="Gotham Narrow Bold"/>
                <w:b/>
                <w:color w:val="FFFFFF"/>
                <w:w w:val="96"/>
                <w:sz w:val="16"/>
              </w:rPr>
              <w:t> </w:t>
            </w:r>
            <w:r>
              <w:rPr>
                <w:rFonts w:ascii="Gotham Narrow Bold"/>
                <w:b/>
                <w:color w:val="FFFFFF"/>
                <w:w w:val="95"/>
                <w:sz w:val="16"/>
              </w:rPr>
              <w:t>APPLICATION NOT SUCCESSFUL</w:t>
            </w:r>
          </w:p>
        </w:tc>
      </w:tr>
      <w:tr>
        <w:trPr>
          <w:trHeight w:val="312" w:hRule="exact"/>
        </w:trPr>
        <w:tc>
          <w:tcPr>
            <w:tcW w:w="6874" w:type="dxa"/>
            <w:tcBorders>
              <w:top w:val="nil"/>
            </w:tcBorders>
            <w:shd w:val="clear" w:color="auto" w:fill="E6E7E8"/>
          </w:tcPr>
          <w:p>
            <w:pPr>
              <w:pStyle w:val="TableParagraph"/>
              <w:spacing w:before="48"/>
              <w:ind w:left="74"/>
              <w:jc w:val="left"/>
              <w:rPr>
                <w:sz w:val="16"/>
              </w:rPr>
            </w:pPr>
            <w:r>
              <w:rPr>
                <w:sz w:val="16"/>
              </w:rPr>
              <w:t>Responsible and effective government</w:t>
            </w:r>
          </w:p>
        </w:tc>
        <w:tc>
          <w:tcPr>
            <w:tcW w:w="3208" w:type="dxa"/>
            <w:tcBorders>
              <w:top w:val="nil"/>
            </w:tcBorders>
            <w:shd w:val="clear" w:color="auto" w:fill="E6E7E8"/>
          </w:tcPr>
          <w:p>
            <w:pPr>
              <w:pStyle w:val="TableParagraph"/>
              <w:spacing w:before="48"/>
              <w:ind w:right="1555"/>
              <w:rPr>
                <w:sz w:val="16"/>
              </w:rPr>
            </w:pPr>
            <w:r>
              <w:rPr>
                <w:w w:val="94"/>
                <w:sz w:val="16"/>
              </w:rPr>
              <w:t>3</w:t>
            </w:r>
          </w:p>
        </w:tc>
      </w:tr>
      <w:tr>
        <w:trPr>
          <w:trHeight w:val="312" w:hRule="exact"/>
        </w:trPr>
        <w:tc>
          <w:tcPr>
            <w:tcW w:w="6874" w:type="dxa"/>
            <w:shd w:val="clear" w:color="auto" w:fill="E6E7E8"/>
          </w:tcPr>
          <w:p>
            <w:pPr>
              <w:pStyle w:val="TableParagraph"/>
              <w:spacing w:before="43"/>
              <w:ind w:left="74"/>
              <w:jc w:val="left"/>
              <w:rPr>
                <w:sz w:val="16"/>
              </w:rPr>
            </w:pPr>
            <w:r>
              <w:rPr>
                <w:sz w:val="16"/>
              </w:rPr>
              <w:t>Law enforcement and security</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4"/>
              <w:jc w:val="left"/>
              <w:rPr>
                <w:sz w:val="16"/>
              </w:rPr>
            </w:pPr>
            <w:r>
              <w:rPr>
                <w:sz w:val="16"/>
              </w:rPr>
              <w:t>Individual rights, judicial processes and natural justice</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4"/>
              <w:jc w:val="left"/>
              <w:rPr>
                <w:sz w:val="16"/>
              </w:rPr>
            </w:pPr>
            <w:r>
              <w:rPr>
                <w:sz w:val="16"/>
              </w:rPr>
              <w:t>Business interests of agencies and other persons</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4"/>
              <w:jc w:val="left"/>
              <w:rPr>
                <w:sz w:val="16"/>
              </w:rPr>
            </w:pPr>
            <w:r>
              <w:rPr>
                <w:sz w:val="16"/>
              </w:rPr>
              <w:t>Environment, culture, economy and general matters</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4"/>
              <w:jc w:val="left"/>
              <w:rPr>
                <w:sz w:val="16"/>
              </w:rPr>
            </w:pPr>
            <w:r>
              <w:rPr>
                <w:sz w:val="16"/>
              </w:rPr>
              <w:t>Secrecy provisions</w:t>
            </w:r>
          </w:p>
        </w:tc>
        <w:tc>
          <w:tcPr>
            <w:tcW w:w="3208" w:type="dxa"/>
            <w:shd w:val="clear" w:color="auto" w:fill="E6E7E8"/>
          </w:tcPr>
          <w:p>
            <w:pPr>
              <w:pStyle w:val="TableParagraph"/>
              <w:spacing w:before="43"/>
              <w:ind w:right="1548"/>
              <w:rPr>
                <w:sz w:val="16"/>
              </w:rPr>
            </w:pPr>
            <w:r>
              <w:rPr>
                <w:w w:val="111"/>
                <w:sz w:val="16"/>
              </w:rPr>
              <w:t>0</w:t>
            </w:r>
          </w:p>
        </w:tc>
      </w:tr>
      <w:tr>
        <w:trPr>
          <w:trHeight w:val="312" w:hRule="exact"/>
        </w:trPr>
        <w:tc>
          <w:tcPr>
            <w:tcW w:w="6874" w:type="dxa"/>
            <w:shd w:val="clear" w:color="auto" w:fill="E6E7E8"/>
          </w:tcPr>
          <w:p>
            <w:pPr>
              <w:pStyle w:val="TableParagraph"/>
              <w:spacing w:before="43"/>
              <w:ind w:left="74"/>
              <w:jc w:val="left"/>
              <w:rPr>
                <w:sz w:val="16"/>
              </w:rPr>
            </w:pPr>
            <w:r>
              <w:rPr>
                <w:sz w:val="16"/>
              </w:rPr>
              <w:t>Exempt documents under interstate Freedom of Information legislation</w:t>
            </w:r>
          </w:p>
        </w:tc>
        <w:tc>
          <w:tcPr>
            <w:tcW w:w="3208" w:type="dxa"/>
            <w:shd w:val="clear" w:color="auto" w:fill="E6E7E8"/>
          </w:tcPr>
          <w:p>
            <w:pPr>
              <w:pStyle w:val="TableParagraph"/>
              <w:spacing w:before="43"/>
              <w:ind w:right="1548"/>
              <w:rPr>
                <w:sz w:val="16"/>
              </w:rPr>
            </w:pPr>
            <w:r>
              <w:rPr>
                <w:w w:val="111"/>
                <w:sz w:val="16"/>
              </w:rPr>
              <w:t>0</w:t>
            </w:r>
          </w:p>
        </w:tc>
      </w:tr>
    </w:tbl>
    <w:p>
      <w:pPr>
        <w:spacing w:after="0"/>
        <w:rPr>
          <w:sz w:val="16"/>
        </w:rPr>
        <w:sectPr>
          <w:pgSz w:w="11910" w:h="16840"/>
          <w:pgMar w:header="494" w:footer="473" w:top="680" w:bottom="660" w:left="580" w:right="580"/>
        </w:sectPr>
      </w:pPr>
    </w:p>
    <w:p>
      <w:pPr>
        <w:pStyle w:val="BodyText"/>
        <w:spacing w:before="9"/>
        <w:rPr>
          <w:rFonts w:ascii="Gotham Narrow Bold"/>
          <w:b/>
          <w:sz w:val="28"/>
        </w:rPr>
      </w:pPr>
      <w:r>
        <w:rPr/>
        <w:pict>
          <v:rect style="position:absolute;margin-left:34.015999pt;margin-top:45.355015pt;width:527.244pt;height:751.181pt;mso-position-horizontal-relative:page;mso-position-vertical-relative:page;z-index:-331744" filled="true" fillcolor="#e6e7e8" stroked="false">
            <v:fill type="solid"/>
            <w10:wrap type="none"/>
          </v:rect>
        </w:pict>
      </w:r>
    </w:p>
    <w:p>
      <w:pPr>
        <w:pStyle w:val="Heading1"/>
      </w:pPr>
      <w:r>
        <w:rPr>
          <w:w w:val="95"/>
        </w:rPr>
        <w:t>APPENDIX 8</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25"/>
        </w:rPr>
      </w:pPr>
    </w:p>
    <w:p>
      <w:pPr>
        <w:pStyle w:val="Heading8"/>
        <w:spacing w:before="72"/>
        <w:ind w:left="362" w:right="7611"/>
      </w:pPr>
      <w:r>
        <w:rPr>
          <w:color w:val="636466"/>
          <w:w w:val="95"/>
        </w:rPr>
        <w:t>Table F: Timeliness</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5154"/>
        <w:gridCol w:w="4927"/>
      </w:tblGrid>
      <w:tr>
        <w:trPr>
          <w:trHeight w:val="288" w:hRule="exact"/>
        </w:trPr>
        <w:tc>
          <w:tcPr>
            <w:tcW w:w="10081" w:type="dxa"/>
            <w:gridSpan w:val="2"/>
            <w:tcBorders>
              <w:top w:val="nil"/>
              <w:left w:val="nil"/>
              <w:bottom w:val="nil"/>
              <w:right w:val="nil"/>
            </w:tcBorders>
            <w:shd w:val="clear" w:color="auto" w:fill="939598"/>
          </w:tcPr>
          <w:p>
            <w:pPr>
              <w:pStyle w:val="TableParagraph"/>
              <w:spacing w:before="54"/>
              <w:ind w:left="6602"/>
              <w:jc w:val="left"/>
              <w:rPr>
                <w:rFonts w:ascii="Gotham Narrow Bold"/>
                <w:b/>
                <w:sz w:val="16"/>
              </w:rPr>
            </w:pPr>
            <w:r>
              <w:rPr>
                <w:rFonts w:ascii="Gotham Narrow Bold"/>
                <w:b/>
                <w:color w:val="FFFFFF"/>
                <w:w w:val="95"/>
                <w:sz w:val="16"/>
              </w:rPr>
              <w:t>NUMBER OF APPLICATIONS</w:t>
            </w:r>
          </w:p>
        </w:tc>
      </w:tr>
      <w:tr>
        <w:trPr>
          <w:trHeight w:val="288" w:hRule="exact"/>
        </w:trPr>
        <w:tc>
          <w:tcPr>
            <w:tcW w:w="5154" w:type="dxa"/>
            <w:tcBorders>
              <w:top w:val="nil"/>
            </w:tcBorders>
            <w:shd w:val="clear" w:color="auto" w:fill="E6E7E8"/>
          </w:tcPr>
          <w:p>
            <w:pPr>
              <w:pStyle w:val="TableParagraph"/>
              <w:spacing w:before="48"/>
              <w:ind w:left="74"/>
              <w:jc w:val="left"/>
              <w:rPr>
                <w:sz w:val="16"/>
              </w:rPr>
            </w:pPr>
            <w:r>
              <w:rPr>
                <w:sz w:val="16"/>
              </w:rPr>
              <w:t>Decided within the statutory timeframe (20 days plus any extensions)</w:t>
            </w:r>
          </w:p>
        </w:tc>
        <w:tc>
          <w:tcPr>
            <w:tcW w:w="4927" w:type="dxa"/>
            <w:tcBorders>
              <w:top w:val="nil"/>
            </w:tcBorders>
            <w:shd w:val="clear" w:color="auto" w:fill="E6E7E8"/>
          </w:tcPr>
          <w:p>
            <w:pPr>
              <w:pStyle w:val="TableParagraph"/>
              <w:spacing w:before="48"/>
              <w:jc w:val="center"/>
              <w:rPr>
                <w:sz w:val="16"/>
              </w:rPr>
            </w:pPr>
            <w:r>
              <w:rPr>
                <w:w w:val="103"/>
                <w:sz w:val="16"/>
              </w:rPr>
              <w:t>4</w:t>
            </w:r>
          </w:p>
        </w:tc>
      </w:tr>
      <w:tr>
        <w:trPr>
          <w:trHeight w:val="288" w:hRule="exact"/>
        </w:trPr>
        <w:tc>
          <w:tcPr>
            <w:tcW w:w="5154" w:type="dxa"/>
            <w:shd w:val="clear" w:color="auto" w:fill="E6E7E8"/>
          </w:tcPr>
          <w:p>
            <w:pPr>
              <w:pStyle w:val="TableParagraph"/>
              <w:spacing w:before="43"/>
              <w:ind w:left="74"/>
              <w:jc w:val="left"/>
              <w:rPr>
                <w:sz w:val="16"/>
              </w:rPr>
            </w:pPr>
            <w:r>
              <w:rPr>
                <w:sz w:val="16"/>
              </w:rPr>
              <w:t>Decided after 35 days (by agreement with applicant)</w:t>
            </w:r>
          </w:p>
        </w:tc>
        <w:tc>
          <w:tcPr>
            <w:tcW w:w="4927" w:type="dxa"/>
            <w:shd w:val="clear" w:color="auto" w:fill="E6E7E8"/>
          </w:tcPr>
          <w:p>
            <w:pPr>
              <w:pStyle w:val="TableParagraph"/>
              <w:spacing w:before="43"/>
              <w:jc w:val="center"/>
              <w:rPr>
                <w:sz w:val="16"/>
              </w:rPr>
            </w:pPr>
            <w:r>
              <w:rPr>
                <w:w w:val="111"/>
                <w:sz w:val="16"/>
              </w:rPr>
              <w:t>0</w:t>
            </w:r>
          </w:p>
        </w:tc>
      </w:tr>
      <w:tr>
        <w:trPr>
          <w:trHeight w:val="288" w:hRule="exact"/>
        </w:trPr>
        <w:tc>
          <w:tcPr>
            <w:tcW w:w="5154" w:type="dxa"/>
            <w:shd w:val="clear" w:color="auto" w:fill="E6E7E8"/>
          </w:tcPr>
          <w:p>
            <w:pPr>
              <w:pStyle w:val="TableParagraph"/>
              <w:spacing w:before="43"/>
              <w:ind w:left="74"/>
              <w:jc w:val="left"/>
              <w:rPr>
                <w:sz w:val="16"/>
              </w:rPr>
            </w:pPr>
            <w:r>
              <w:rPr>
                <w:sz w:val="16"/>
              </w:rPr>
              <w:t>Not decided within time (deemed refusal)</w:t>
            </w:r>
          </w:p>
        </w:tc>
        <w:tc>
          <w:tcPr>
            <w:tcW w:w="4927" w:type="dxa"/>
            <w:shd w:val="clear" w:color="auto" w:fill="E6E7E8"/>
          </w:tcPr>
          <w:p>
            <w:pPr>
              <w:pStyle w:val="TableParagraph"/>
              <w:spacing w:before="43"/>
              <w:jc w:val="center"/>
              <w:rPr>
                <w:sz w:val="16"/>
              </w:rPr>
            </w:pPr>
            <w:r>
              <w:rPr>
                <w:w w:val="54"/>
                <w:sz w:val="16"/>
              </w:rPr>
              <w:t>1</w:t>
            </w:r>
          </w:p>
        </w:tc>
      </w:tr>
      <w:tr>
        <w:trPr>
          <w:trHeight w:val="288" w:hRule="exact"/>
        </w:trPr>
        <w:tc>
          <w:tcPr>
            <w:tcW w:w="5154" w:type="dxa"/>
            <w:shd w:val="clear" w:color="auto" w:fill="E6E7E8"/>
          </w:tcPr>
          <w:p>
            <w:pPr>
              <w:pStyle w:val="TableParagraph"/>
              <w:spacing w:before="50"/>
              <w:ind w:left="74"/>
              <w:jc w:val="left"/>
              <w:rPr>
                <w:rFonts w:ascii="Calibri"/>
                <w:sz w:val="16"/>
              </w:rPr>
            </w:pPr>
            <w:r>
              <w:rPr>
                <w:rFonts w:ascii="Calibri"/>
                <w:w w:val="110"/>
                <w:sz w:val="16"/>
              </w:rPr>
              <w:t>Total</w:t>
            </w:r>
          </w:p>
        </w:tc>
        <w:tc>
          <w:tcPr>
            <w:tcW w:w="4927" w:type="dxa"/>
            <w:shd w:val="clear" w:color="auto" w:fill="E6E7E8"/>
          </w:tcPr>
          <w:p>
            <w:pPr>
              <w:pStyle w:val="TableParagraph"/>
              <w:spacing w:before="50"/>
              <w:jc w:val="center"/>
              <w:rPr>
                <w:rFonts w:ascii="Calibri"/>
                <w:sz w:val="16"/>
              </w:rPr>
            </w:pPr>
            <w:r>
              <w:rPr>
                <w:rFonts w:ascii="Calibri"/>
                <w:w w:val="106"/>
                <w:sz w:val="16"/>
              </w:rPr>
              <w:t>5</w:t>
            </w:r>
          </w:p>
        </w:tc>
      </w:tr>
    </w:tbl>
    <w:p>
      <w:pPr>
        <w:pStyle w:val="BodyText"/>
        <w:spacing w:before="10"/>
        <w:rPr>
          <w:rFonts w:ascii="Gotham Narrow Bold"/>
          <w:b/>
          <w:sz w:val="14"/>
        </w:rPr>
      </w:pPr>
    </w:p>
    <w:p>
      <w:pPr>
        <w:spacing w:before="72"/>
        <w:ind w:left="327" w:right="411" w:firstLine="0"/>
        <w:jc w:val="left"/>
        <w:rPr>
          <w:rFonts w:ascii="Gotham Narrow Bold"/>
          <w:b/>
          <w:sz w:val="16"/>
        </w:rPr>
      </w:pPr>
      <w:r>
        <w:rPr>
          <w:rFonts w:ascii="Gotham Narrow Bold"/>
          <w:b/>
          <w:color w:val="636466"/>
          <w:sz w:val="16"/>
        </w:rPr>
        <w:t>Table G: Number of applications reviewed under Part 5 of the Act (by type of review and outcome)</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5154"/>
        <w:gridCol w:w="1644"/>
        <w:gridCol w:w="1644"/>
        <w:gridCol w:w="1644"/>
      </w:tblGrid>
      <w:tr>
        <w:trPr>
          <w:trHeight w:val="288" w:hRule="exact"/>
        </w:trPr>
        <w:tc>
          <w:tcPr>
            <w:tcW w:w="10086" w:type="dxa"/>
            <w:gridSpan w:val="4"/>
            <w:tcBorders>
              <w:top w:val="nil"/>
              <w:left w:val="nil"/>
              <w:bottom w:val="nil"/>
              <w:right w:val="nil"/>
            </w:tcBorders>
            <w:shd w:val="clear" w:color="auto" w:fill="939598"/>
          </w:tcPr>
          <w:p>
            <w:pPr>
              <w:pStyle w:val="TableParagraph"/>
              <w:tabs>
                <w:tab w:pos="6936" w:val="left" w:leader="none"/>
                <w:tab w:pos="9023" w:val="left" w:leader="none"/>
              </w:tabs>
              <w:spacing w:before="54"/>
              <w:ind w:left="5312"/>
              <w:jc w:val="left"/>
              <w:rPr>
                <w:rFonts w:ascii="Gotham Narrow Bold"/>
                <w:b/>
                <w:sz w:val="16"/>
              </w:rPr>
            </w:pPr>
            <w:r>
              <w:rPr>
                <w:rFonts w:ascii="Gotham Narrow Bold"/>
                <w:b/>
                <w:color w:val="FFFFFF"/>
                <w:spacing w:val="2"/>
                <w:sz w:val="16"/>
              </w:rPr>
              <w:t>DECISION</w:t>
            </w:r>
            <w:r>
              <w:rPr>
                <w:rFonts w:ascii="Gotham Narrow Bold"/>
                <w:b/>
                <w:color w:val="FFFFFF"/>
                <w:spacing w:val="-19"/>
                <w:sz w:val="16"/>
              </w:rPr>
              <w:t> </w:t>
            </w:r>
            <w:r>
              <w:rPr>
                <w:rFonts w:ascii="Gotham Narrow Bold"/>
                <w:b/>
                <w:color w:val="FFFFFF"/>
                <w:sz w:val="16"/>
              </w:rPr>
              <w:t>VARIED</w:t>
              <w:tab/>
            </w:r>
            <w:r>
              <w:rPr>
                <w:rFonts w:ascii="Gotham Narrow Bold"/>
                <w:b/>
                <w:color w:val="FFFFFF"/>
                <w:spacing w:val="2"/>
                <w:sz w:val="16"/>
              </w:rPr>
              <w:t>DECISION</w:t>
            </w:r>
            <w:r>
              <w:rPr>
                <w:rFonts w:ascii="Gotham Narrow Bold"/>
                <w:b/>
                <w:color w:val="FFFFFF"/>
                <w:spacing w:val="-20"/>
                <w:sz w:val="16"/>
              </w:rPr>
              <w:t> </w:t>
            </w:r>
            <w:r>
              <w:rPr>
                <w:rFonts w:ascii="Gotham Narrow Bold"/>
                <w:b/>
                <w:color w:val="FFFFFF"/>
                <w:spacing w:val="2"/>
                <w:sz w:val="16"/>
              </w:rPr>
              <w:t>UPHELD</w:t>
              <w:tab/>
            </w:r>
            <w:r>
              <w:rPr>
                <w:rFonts w:ascii="Gotham Narrow Bold"/>
                <w:b/>
                <w:color w:val="FFFFFF"/>
                <w:sz w:val="16"/>
              </w:rPr>
              <w:t>TOTAL</w:t>
            </w:r>
          </w:p>
        </w:tc>
      </w:tr>
      <w:tr>
        <w:trPr>
          <w:trHeight w:val="288" w:hRule="exact"/>
        </w:trPr>
        <w:tc>
          <w:tcPr>
            <w:tcW w:w="5154" w:type="dxa"/>
            <w:tcBorders>
              <w:top w:val="nil"/>
            </w:tcBorders>
            <w:shd w:val="clear" w:color="auto" w:fill="E6E7E8"/>
          </w:tcPr>
          <w:p>
            <w:pPr>
              <w:pStyle w:val="TableParagraph"/>
              <w:spacing w:before="48"/>
              <w:ind w:left="75"/>
              <w:jc w:val="left"/>
              <w:rPr>
                <w:sz w:val="16"/>
              </w:rPr>
            </w:pPr>
            <w:r>
              <w:rPr>
                <w:w w:val="95"/>
                <w:sz w:val="16"/>
              </w:rPr>
              <w:t>Internal review</w:t>
            </w:r>
          </w:p>
        </w:tc>
        <w:tc>
          <w:tcPr>
            <w:tcW w:w="1644" w:type="dxa"/>
            <w:tcBorders>
              <w:top w:val="nil"/>
            </w:tcBorders>
            <w:shd w:val="clear" w:color="auto" w:fill="E6E7E8"/>
          </w:tcPr>
          <w:p>
            <w:pPr>
              <w:pStyle w:val="TableParagraph"/>
              <w:spacing w:before="48"/>
              <w:ind w:left="768"/>
              <w:jc w:val="left"/>
              <w:rPr>
                <w:sz w:val="16"/>
              </w:rPr>
            </w:pPr>
            <w:r>
              <w:rPr>
                <w:w w:val="111"/>
                <w:sz w:val="16"/>
              </w:rPr>
              <w:t>0</w:t>
            </w:r>
          </w:p>
        </w:tc>
        <w:tc>
          <w:tcPr>
            <w:tcW w:w="1644" w:type="dxa"/>
            <w:tcBorders>
              <w:top w:val="nil"/>
            </w:tcBorders>
            <w:shd w:val="clear" w:color="auto" w:fill="E6E7E8"/>
          </w:tcPr>
          <w:p>
            <w:pPr>
              <w:pStyle w:val="TableParagraph"/>
              <w:spacing w:before="48"/>
              <w:jc w:val="center"/>
              <w:rPr>
                <w:sz w:val="16"/>
              </w:rPr>
            </w:pPr>
            <w:r>
              <w:rPr>
                <w:w w:val="111"/>
                <w:sz w:val="16"/>
              </w:rPr>
              <w:t>0</w:t>
            </w:r>
          </w:p>
        </w:tc>
        <w:tc>
          <w:tcPr>
            <w:tcW w:w="1644" w:type="dxa"/>
            <w:tcBorders>
              <w:top w:val="nil"/>
            </w:tcBorders>
            <w:shd w:val="clear" w:color="auto" w:fill="E6E7E8"/>
          </w:tcPr>
          <w:p>
            <w:pPr>
              <w:pStyle w:val="TableParagraph"/>
              <w:spacing w:before="48"/>
              <w:ind w:right="766"/>
              <w:rPr>
                <w:sz w:val="16"/>
              </w:rPr>
            </w:pPr>
            <w:r>
              <w:rPr>
                <w:w w:val="111"/>
                <w:sz w:val="16"/>
              </w:rPr>
              <w:t>0</w:t>
            </w:r>
          </w:p>
        </w:tc>
      </w:tr>
      <w:tr>
        <w:trPr>
          <w:trHeight w:val="288" w:hRule="exact"/>
        </w:trPr>
        <w:tc>
          <w:tcPr>
            <w:tcW w:w="5154" w:type="dxa"/>
            <w:shd w:val="clear" w:color="auto" w:fill="E6E7E8"/>
          </w:tcPr>
          <w:p>
            <w:pPr>
              <w:pStyle w:val="TableParagraph"/>
              <w:spacing w:before="43"/>
              <w:ind w:left="75"/>
              <w:jc w:val="left"/>
              <w:rPr>
                <w:sz w:val="16"/>
              </w:rPr>
            </w:pPr>
            <w:r>
              <w:rPr>
                <w:sz w:val="16"/>
              </w:rPr>
              <w:t>Review by Information Commissioner*</w:t>
            </w:r>
          </w:p>
        </w:tc>
        <w:tc>
          <w:tcPr>
            <w:tcW w:w="1644" w:type="dxa"/>
            <w:shd w:val="clear" w:color="auto" w:fill="E6E7E8"/>
          </w:tcPr>
          <w:p>
            <w:pPr>
              <w:pStyle w:val="TableParagraph"/>
              <w:spacing w:before="43"/>
              <w:ind w:left="793"/>
              <w:jc w:val="left"/>
              <w:rPr>
                <w:sz w:val="16"/>
              </w:rPr>
            </w:pPr>
            <w:r>
              <w:rPr>
                <w:w w:val="54"/>
                <w:sz w:val="16"/>
              </w:rPr>
              <w:t>1</w:t>
            </w:r>
          </w:p>
        </w:tc>
        <w:tc>
          <w:tcPr>
            <w:tcW w:w="1644" w:type="dxa"/>
            <w:shd w:val="clear" w:color="auto" w:fill="E6E7E8"/>
          </w:tcPr>
          <w:p>
            <w:pPr>
              <w:pStyle w:val="TableParagraph"/>
              <w:spacing w:before="43"/>
              <w:jc w:val="center"/>
              <w:rPr>
                <w:sz w:val="16"/>
              </w:rPr>
            </w:pPr>
            <w:r>
              <w:rPr>
                <w:w w:val="111"/>
                <w:sz w:val="16"/>
              </w:rPr>
              <w:t>0</w:t>
            </w:r>
          </w:p>
        </w:tc>
        <w:tc>
          <w:tcPr>
            <w:tcW w:w="1644" w:type="dxa"/>
            <w:shd w:val="clear" w:color="auto" w:fill="E6E7E8"/>
          </w:tcPr>
          <w:p>
            <w:pPr>
              <w:pStyle w:val="TableParagraph"/>
              <w:spacing w:before="43"/>
              <w:ind w:right="791"/>
              <w:rPr>
                <w:sz w:val="16"/>
              </w:rPr>
            </w:pPr>
            <w:r>
              <w:rPr>
                <w:w w:val="54"/>
                <w:sz w:val="16"/>
              </w:rPr>
              <w:t>1</w:t>
            </w:r>
          </w:p>
        </w:tc>
      </w:tr>
      <w:tr>
        <w:trPr>
          <w:trHeight w:val="288" w:hRule="exact"/>
        </w:trPr>
        <w:tc>
          <w:tcPr>
            <w:tcW w:w="5154" w:type="dxa"/>
            <w:shd w:val="clear" w:color="auto" w:fill="E6E7E8"/>
          </w:tcPr>
          <w:p>
            <w:pPr>
              <w:pStyle w:val="TableParagraph"/>
              <w:spacing w:before="43"/>
              <w:ind w:left="75"/>
              <w:jc w:val="left"/>
              <w:rPr>
                <w:sz w:val="16"/>
              </w:rPr>
            </w:pPr>
            <w:r>
              <w:rPr>
                <w:sz w:val="16"/>
              </w:rPr>
              <w:t>Internal review following recommendation under section 93 of Act</w:t>
            </w:r>
          </w:p>
        </w:tc>
        <w:tc>
          <w:tcPr>
            <w:tcW w:w="1644" w:type="dxa"/>
            <w:shd w:val="clear" w:color="auto" w:fill="E6E7E8"/>
          </w:tcPr>
          <w:p>
            <w:pPr>
              <w:pStyle w:val="TableParagraph"/>
              <w:spacing w:before="43"/>
              <w:ind w:left="793"/>
              <w:jc w:val="left"/>
              <w:rPr>
                <w:sz w:val="16"/>
              </w:rPr>
            </w:pPr>
            <w:r>
              <w:rPr>
                <w:w w:val="54"/>
                <w:sz w:val="16"/>
              </w:rPr>
              <w:t>1</w:t>
            </w:r>
          </w:p>
        </w:tc>
        <w:tc>
          <w:tcPr>
            <w:tcW w:w="1644" w:type="dxa"/>
            <w:shd w:val="clear" w:color="auto" w:fill="E6E7E8"/>
          </w:tcPr>
          <w:p>
            <w:pPr>
              <w:pStyle w:val="TableParagraph"/>
              <w:spacing w:before="43"/>
              <w:jc w:val="center"/>
              <w:rPr>
                <w:sz w:val="16"/>
              </w:rPr>
            </w:pPr>
            <w:r>
              <w:rPr>
                <w:w w:val="111"/>
                <w:sz w:val="16"/>
              </w:rPr>
              <w:t>0</w:t>
            </w:r>
          </w:p>
        </w:tc>
        <w:tc>
          <w:tcPr>
            <w:tcW w:w="1644" w:type="dxa"/>
            <w:shd w:val="clear" w:color="auto" w:fill="E6E7E8"/>
          </w:tcPr>
          <w:p>
            <w:pPr>
              <w:pStyle w:val="TableParagraph"/>
              <w:spacing w:before="43"/>
              <w:ind w:right="791"/>
              <w:rPr>
                <w:sz w:val="16"/>
              </w:rPr>
            </w:pPr>
            <w:r>
              <w:rPr>
                <w:w w:val="54"/>
                <w:sz w:val="16"/>
              </w:rPr>
              <w:t>1</w:t>
            </w:r>
          </w:p>
        </w:tc>
      </w:tr>
      <w:tr>
        <w:trPr>
          <w:trHeight w:val="288" w:hRule="exact"/>
        </w:trPr>
        <w:tc>
          <w:tcPr>
            <w:tcW w:w="5154" w:type="dxa"/>
            <w:shd w:val="clear" w:color="auto" w:fill="E6E7E8"/>
          </w:tcPr>
          <w:p>
            <w:pPr>
              <w:pStyle w:val="TableParagraph"/>
              <w:spacing w:before="43"/>
              <w:ind w:left="75"/>
              <w:jc w:val="left"/>
              <w:rPr>
                <w:sz w:val="16"/>
              </w:rPr>
            </w:pPr>
            <w:r>
              <w:rPr>
                <w:sz w:val="16"/>
              </w:rPr>
              <w:t>Review by NCAT</w:t>
            </w:r>
          </w:p>
        </w:tc>
        <w:tc>
          <w:tcPr>
            <w:tcW w:w="1644" w:type="dxa"/>
            <w:shd w:val="clear" w:color="auto" w:fill="E6E7E8"/>
          </w:tcPr>
          <w:p>
            <w:pPr>
              <w:pStyle w:val="TableParagraph"/>
              <w:spacing w:before="43"/>
              <w:ind w:left="768"/>
              <w:jc w:val="left"/>
              <w:rPr>
                <w:sz w:val="16"/>
              </w:rPr>
            </w:pPr>
            <w:r>
              <w:rPr>
                <w:w w:val="111"/>
                <w:sz w:val="16"/>
              </w:rPr>
              <w:t>0</w:t>
            </w:r>
          </w:p>
        </w:tc>
        <w:tc>
          <w:tcPr>
            <w:tcW w:w="1644" w:type="dxa"/>
            <w:shd w:val="clear" w:color="auto" w:fill="E6E7E8"/>
          </w:tcPr>
          <w:p>
            <w:pPr>
              <w:pStyle w:val="TableParagraph"/>
              <w:spacing w:before="43"/>
              <w:jc w:val="center"/>
              <w:rPr>
                <w:sz w:val="16"/>
              </w:rPr>
            </w:pPr>
            <w:r>
              <w:rPr>
                <w:w w:val="111"/>
                <w:sz w:val="16"/>
              </w:rPr>
              <w:t>0</w:t>
            </w:r>
          </w:p>
        </w:tc>
        <w:tc>
          <w:tcPr>
            <w:tcW w:w="1644" w:type="dxa"/>
            <w:shd w:val="clear" w:color="auto" w:fill="E6E7E8"/>
          </w:tcPr>
          <w:p>
            <w:pPr>
              <w:pStyle w:val="TableParagraph"/>
              <w:spacing w:before="43"/>
              <w:ind w:right="766"/>
              <w:rPr>
                <w:sz w:val="16"/>
              </w:rPr>
            </w:pPr>
            <w:r>
              <w:rPr>
                <w:w w:val="111"/>
                <w:sz w:val="16"/>
              </w:rPr>
              <w:t>0</w:t>
            </w:r>
          </w:p>
        </w:tc>
      </w:tr>
      <w:tr>
        <w:trPr>
          <w:trHeight w:val="288" w:hRule="exact"/>
        </w:trPr>
        <w:tc>
          <w:tcPr>
            <w:tcW w:w="5154" w:type="dxa"/>
            <w:shd w:val="clear" w:color="auto" w:fill="E6E7E8"/>
          </w:tcPr>
          <w:p>
            <w:pPr>
              <w:pStyle w:val="TableParagraph"/>
              <w:spacing w:before="50"/>
              <w:ind w:left="75"/>
              <w:jc w:val="left"/>
              <w:rPr>
                <w:rFonts w:ascii="Calibri"/>
                <w:sz w:val="16"/>
              </w:rPr>
            </w:pPr>
            <w:r>
              <w:rPr>
                <w:rFonts w:ascii="Calibri"/>
                <w:w w:val="110"/>
                <w:sz w:val="16"/>
              </w:rPr>
              <w:t>Total</w:t>
            </w:r>
          </w:p>
        </w:tc>
        <w:tc>
          <w:tcPr>
            <w:tcW w:w="1644" w:type="dxa"/>
            <w:shd w:val="clear" w:color="auto" w:fill="E6E7E8"/>
          </w:tcPr>
          <w:p>
            <w:pPr>
              <w:pStyle w:val="TableParagraph"/>
              <w:spacing w:before="50"/>
              <w:ind w:left="774"/>
              <w:jc w:val="left"/>
              <w:rPr>
                <w:rFonts w:ascii="Calibri"/>
                <w:sz w:val="16"/>
              </w:rPr>
            </w:pPr>
            <w:r>
              <w:rPr>
                <w:rFonts w:ascii="Calibri"/>
                <w:w w:val="105"/>
                <w:sz w:val="16"/>
              </w:rPr>
              <w:t>2</w:t>
            </w:r>
          </w:p>
        </w:tc>
        <w:tc>
          <w:tcPr>
            <w:tcW w:w="1644" w:type="dxa"/>
            <w:shd w:val="clear" w:color="auto" w:fill="E6E7E8"/>
          </w:tcPr>
          <w:p>
            <w:pPr>
              <w:pStyle w:val="TableParagraph"/>
              <w:spacing w:before="50"/>
              <w:jc w:val="center"/>
              <w:rPr>
                <w:rFonts w:ascii="Calibri"/>
                <w:sz w:val="16"/>
              </w:rPr>
            </w:pPr>
            <w:r>
              <w:rPr>
                <w:rFonts w:ascii="Calibri"/>
                <w:w w:val="123"/>
                <w:sz w:val="16"/>
              </w:rPr>
              <w:t>0</w:t>
            </w:r>
          </w:p>
        </w:tc>
        <w:tc>
          <w:tcPr>
            <w:tcW w:w="1644" w:type="dxa"/>
            <w:shd w:val="clear" w:color="auto" w:fill="E6E7E8"/>
          </w:tcPr>
          <w:p>
            <w:pPr>
              <w:pStyle w:val="TableParagraph"/>
              <w:spacing w:before="50"/>
              <w:ind w:right="771"/>
              <w:rPr>
                <w:rFonts w:ascii="Calibri"/>
                <w:sz w:val="16"/>
              </w:rPr>
            </w:pPr>
            <w:r>
              <w:rPr>
                <w:rFonts w:ascii="Calibri"/>
                <w:w w:val="105"/>
                <w:sz w:val="16"/>
              </w:rPr>
              <w:t>2</w:t>
            </w:r>
          </w:p>
        </w:tc>
      </w:tr>
    </w:tbl>
    <w:p>
      <w:pPr>
        <w:pStyle w:val="BodyText"/>
        <w:spacing w:line="249" w:lineRule="auto" w:before="130"/>
        <w:ind w:left="327" w:right="112"/>
      </w:pPr>
      <w:r>
        <w:rPr/>
        <w:t>*The</w:t>
      </w:r>
      <w:r>
        <w:rPr>
          <w:spacing w:val="-19"/>
        </w:rPr>
        <w:t> </w:t>
      </w:r>
      <w:r>
        <w:rPr/>
        <w:t>Information</w:t>
      </w:r>
      <w:r>
        <w:rPr>
          <w:spacing w:val="-19"/>
        </w:rPr>
        <w:t> </w:t>
      </w:r>
      <w:r>
        <w:rPr/>
        <w:t>Commissioner</w:t>
      </w:r>
      <w:r>
        <w:rPr>
          <w:spacing w:val="-19"/>
        </w:rPr>
        <w:t> </w:t>
      </w:r>
      <w:r>
        <w:rPr/>
        <w:t>does</w:t>
      </w:r>
      <w:r>
        <w:rPr>
          <w:spacing w:val="-19"/>
        </w:rPr>
        <w:t> </w:t>
      </w:r>
      <w:r>
        <w:rPr/>
        <w:t>not</w:t>
      </w:r>
      <w:r>
        <w:rPr>
          <w:spacing w:val="-19"/>
        </w:rPr>
        <w:t> </w:t>
      </w:r>
      <w:r>
        <w:rPr/>
        <w:t>have</w:t>
      </w:r>
      <w:r>
        <w:rPr>
          <w:spacing w:val="-19"/>
        </w:rPr>
        <w:t> </w:t>
      </w:r>
      <w:r>
        <w:rPr/>
        <w:t>the</w:t>
      </w:r>
      <w:r>
        <w:rPr>
          <w:spacing w:val="-19"/>
        </w:rPr>
        <w:t> </w:t>
      </w:r>
      <w:r>
        <w:rPr/>
        <w:t>authority</w:t>
      </w:r>
      <w:r>
        <w:rPr>
          <w:spacing w:val="-19"/>
        </w:rPr>
        <w:t> </w:t>
      </w:r>
      <w:r>
        <w:rPr/>
        <w:t>to</w:t>
      </w:r>
      <w:r>
        <w:rPr>
          <w:spacing w:val="-19"/>
        </w:rPr>
        <w:t> </w:t>
      </w:r>
      <w:r>
        <w:rPr/>
        <w:t>vary</w:t>
      </w:r>
      <w:r>
        <w:rPr>
          <w:spacing w:val="-19"/>
        </w:rPr>
        <w:t> </w:t>
      </w:r>
      <w:r>
        <w:rPr/>
        <w:t>decisions,</w:t>
      </w:r>
      <w:r>
        <w:rPr>
          <w:spacing w:val="-19"/>
        </w:rPr>
        <w:t> </w:t>
      </w:r>
      <w:r>
        <w:rPr/>
        <w:t>but</w:t>
      </w:r>
      <w:r>
        <w:rPr>
          <w:spacing w:val="-19"/>
        </w:rPr>
        <w:t> </w:t>
      </w:r>
      <w:r>
        <w:rPr/>
        <w:t>can</w:t>
      </w:r>
      <w:r>
        <w:rPr>
          <w:spacing w:val="-19"/>
        </w:rPr>
        <w:t> </w:t>
      </w:r>
      <w:r>
        <w:rPr/>
        <w:t>make</w:t>
      </w:r>
      <w:r>
        <w:rPr>
          <w:spacing w:val="-19"/>
        </w:rPr>
        <w:t> </w:t>
      </w:r>
      <w:r>
        <w:rPr/>
        <w:t>recommendations</w:t>
      </w:r>
      <w:r>
        <w:rPr>
          <w:spacing w:val="-19"/>
        </w:rPr>
        <w:t> </w:t>
      </w:r>
      <w:r>
        <w:rPr/>
        <w:t>to</w:t>
      </w:r>
      <w:r>
        <w:rPr>
          <w:spacing w:val="-19"/>
        </w:rPr>
        <w:t> </w:t>
      </w:r>
      <w:r>
        <w:rPr/>
        <w:t>the</w:t>
      </w:r>
      <w:r>
        <w:rPr>
          <w:spacing w:val="-19"/>
        </w:rPr>
        <w:t> </w:t>
      </w:r>
      <w:r>
        <w:rPr/>
        <w:t>original</w:t>
      </w:r>
      <w:r>
        <w:rPr>
          <w:spacing w:val="-19"/>
        </w:rPr>
        <w:t> </w:t>
      </w:r>
      <w:r>
        <w:rPr/>
        <w:t>decision-maker.</w:t>
      </w:r>
      <w:r>
        <w:rPr>
          <w:spacing w:val="-19"/>
        </w:rPr>
        <w:t> </w:t>
      </w:r>
      <w:r>
        <w:rPr/>
        <w:t>The data</w:t>
      </w:r>
      <w:r>
        <w:rPr>
          <w:spacing w:val="-16"/>
        </w:rPr>
        <w:t> </w:t>
      </w:r>
      <w:r>
        <w:rPr/>
        <w:t>in</w:t>
      </w:r>
      <w:r>
        <w:rPr>
          <w:spacing w:val="-16"/>
        </w:rPr>
        <w:t> </w:t>
      </w:r>
      <w:r>
        <w:rPr/>
        <w:t>this</w:t>
      </w:r>
      <w:r>
        <w:rPr>
          <w:spacing w:val="-16"/>
        </w:rPr>
        <w:t> </w:t>
      </w:r>
      <w:r>
        <w:rPr/>
        <w:t>case</w:t>
      </w:r>
      <w:r>
        <w:rPr>
          <w:spacing w:val="-16"/>
        </w:rPr>
        <w:t> </w:t>
      </w:r>
      <w:r>
        <w:rPr/>
        <w:t>indicates</w:t>
      </w:r>
      <w:r>
        <w:rPr>
          <w:spacing w:val="-16"/>
        </w:rPr>
        <w:t> </w:t>
      </w:r>
      <w:r>
        <w:rPr/>
        <w:t>that</w:t>
      </w:r>
      <w:r>
        <w:rPr>
          <w:spacing w:val="-16"/>
        </w:rPr>
        <w:t> </w:t>
      </w:r>
      <w:r>
        <w:rPr/>
        <w:t>a</w:t>
      </w:r>
      <w:r>
        <w:rPr>
          <w:spacing w:val="-16"/>
        </w:rPr>
        <w:t> </w:t>
      </w:r>
      <w:r>
        <w:rPr/>
        <w:t>recommendation</w:t>
      </w:r>
      <w:r>
        <w:rPr>
          <w:spacing w:val="-16"/>
        </w:rPr>
        <w:t> </w:t>
      </w:r>
      <w:r>
        <w:rPr/>
        <w:t>to</w:t>
      </w:r>
      <w:r>
        <w:rPr>
          <w:spacing w:val="-16"/>
        </w:rPr>
        <w:t> </w:t>
      </w:r>
      <w:r>
        <w:rPr/>
        <w:t>vary</w:t>
      </w:r>
      <w:r>
        <w:rPr>
          <w:spacing w:val="-16"/>
        </w:rPr>
        <w:t> </w:t>
      </w:r>
      <w:r>
        <w:rPr/>
        <w:t>or</w:t>
      </w:r>
      <w:r>
        <w:rPr>
          <w:spacing w:val="-16"/>
        </w:rPr>
        <w:t> </w:t>
      </w:r>
      <w:r>
        <w:rPr/>
        <w:t>uphold</w:t>
      </w:r>
      <w:r>
        <w:rPr>
          <w:spacing w:val="-16"/>
        </w:rPr>
        <w:t> </w:t>
      </w:r>
      <w:r>
        <w:rPr/>
        <w:t>the</w:t>
      </w:r>
      <w:r>
        <w:rPr>
          <w:spacing w:val="-16"/>
        </w:rPr>
        <w:t> </w:t>
      </w:r>
      <w:r>
        <w:rPr/>
        <w:t>original</w:t>
      </w:r>
      <w:r>
        <w:rPr>
          <w:spacing w:val="-16"/>
        </w:rPr>
        <w:t> </w:t>
      </w:r>
      <w:r>
        <w:rPr/>
        <w:t>decision</w:t>
      </w:r>
      <w:r>
        <w:rPr>
          <w:spacing w:val="-16"/>
        </w:rPr>
        <w:t> </w:t>
      </w:r>
      <w:r>
        <w:rPr/>
        <w:t>has</w:t>
      </w:r>
      <w:r>
        <w:rPr>
          <w:spacing w:val="-16"/>
        </w:rPr>
        <w:t> </w:t>
      </w:r>
      <w:r>
        <w:rPr/>
        <w:t>been</w:t>
      </w:r>
      <w:r>
        <w:rPr>
          <w:spacing w:val="-16"/>
        </w:rPr>
        <w:t> </w:t>
      </w:r>
      <w:r>
        <w:rPr/>
        <w:t>made.</w:t>
      </w:r>
    </w:p>
    <w:p>
      <w:pPr>
        <w:pStyle w:val="BodyText"/>
        <w:spacing w:before="11"/>
        <w:rPr>
          <w:sz w:val="23"/>
        </w:rPr>
      </w:pPr>
    </w:p>
    <w:p>
      <w:pPr>
        <w:pStyle w:val="Heading8"/>
        <w:ind w:left="327" w:right="411"/>
      </w:pPr>
      <w:r>
        <w:rPr>
          <w:color w:val="636466"/>
        </w:rPr>
        <w:t>Table H: Applications for review under Part 5 of the Act (by type of applicant)</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5154"/>
        <w:gridCol w:w="4927"/>
      </w:tblGrid>
      <w:tr>
        <w:trPr>
          <w:trHeight w:val="288" w:hRule="exact"/>
        </w:trPr>
        <w:tc>
          <w:tcPr>
            <w:tcW w:w="10081" w:type="dxa"/>
            <w:gridSpan w:val="2"/>
            <w:tcBorders>
              <w:top w:val="nil"/>
              <w:left w:val="nil"/>
              <w:bottom w:val="nil"/>
              <w:right w:val="nil"/>
            </w:tcBorders>
            <w:shd w:val="clear" w:color="auto" w:fill="939598"/>
          </w:tcPr>
          <w:p>
            <w:pPr>
              <w:pStyle w:val="TableParagraph"/>
              <w:spacing w:before="54"/>
              <w:ind w:left="6109"/>
              <w:jc w:val="left"/>
              <w:rPr>
                <w:rFonts w:ascii="Gotham Narrow Bold"/>
                <w:b/>
                <w:sz w:val="16"/>
              </w:rPr>
            </w:pPr>
            <w:r>
              <w:rPr>
                <w:rFonts w:ascii="Gotham Narrow Bold"/>
                <w:b/>
                <w:color w:val="FFFFFF"/>
                <w:w w:val="95"/>
                <w:sz w:val="16"/>
              </w:rPr>
              <w:t>NUMBER OF APPLICATIONS FOR REVIEW</w:t>
            </w:r>
          </w:p>
        </w:tc>
      </w:tr>
      <w:tr>
        <w:trPr>
          <w:trHeight w:val="288" w:hRule="exact"/>
        </w:trPr>
        <w:tc>
          <w:tcPr>
            <w:tcW w:w="5154" w:type="dxa"/>
            <w:tcBorders>
              <w:top w:val="nil"/>
            </w:tcBorders>
            <w:shd w:val="clear" w:color="auto" w:fill="E6E7E8"/>
          </w:tcPr>
          <w:p>
            <w:pPr>
              <w:pStyle w:val="TableParagraph"/>
              <w:spacing w:before="48"/>
              <w:ind w:left="74"/>
              <w:jc w:val="left"/>
              <w:rPr>
                <w:sz w:val="16"/>
              </w:rPr>
            </w:pPr>
            <w:r>
              <w:rPr>
                <w:sz w:val="16"/>
              </w:rPr>
              <w:t>Applications by access applicants</w:t>
            </w:r>
          </w:p>
        </w:tc>
        <w:tc>
          <w:tcPr>
            <w:tcW w:w="4927" w:type="dxa"/>
            <w:tcBorders>
              <w:top w:val="nil"/>
            </w:tcBorders>
            <w:shd w:val="clear" w:color="auto" w:fill="E6E7E8"/>
          </w:tcPr>
          <w:p>
            <w:pPr>
              <w:pStyle w:val="TableParagraph"/>
              <w:spacing w:before="48"/>
              <w:jc w:val="center"/>
              <w:rPr>
                <w:sz w:val="16"/>
              </w:rPr>
            </w:pPr>
            <w:r>
              <w:rPr>
                <w:w w:val="54"/>
                <w:sz w:val="16"/>
              </w:rPr>
              <w:t>1</w:t>
            </w:r>
          </w:p>
        </w:tc>
      </w:tr>
      <w:tr>
        <w:trPr>
          <w:trHeight w:val="488" w:hRule="exact"/>
        </w:trPr>
        <w:tc>
          <w:tcPr>
            <w:tcW w:w="5154" w:type="dxa"/>
            <w:shd w:val="clear" w:color="auto" w:fill="E6E7E8"/>
          </w:tcPr>
          <w:p>
            <w:pPr>
              <w:pStyle w:val="TableParagraph"/>
              <w:spacing w:line="249" w:lineRule="auto" w:before="43"/>
              <w:ind w:left="74"/>
              <w:jc w:val="left"/>
              <w:rPr>
                <w:sz w:val="16"/>
              </w:rPr>
            </w:pPr>
            <w:r>
              <w:rPr>
                <w:sz w:val="16"/>
              </w:rPr>
              <w:t>Applications</w:t>
            </w:r>
            <w:r>
              <w:rPr>
                <w:spacing w:val="-13"/>
                <w:sz w:val="16"/>
              </w:rPr>
              <w:t> </w:t>
            </w:r>
            <w:r>
              <w:rPr>
                <w:sz w:val="16"/>
              </w:rPr>
              <w:t>by</w:t>
            </w:r>
            <w:r>
              <w:rPr>
                <w:spacing w:val="-13"/>
                <w:sz w:val="16"/>
              </w:rPr>
              <w:t> </w:t>
            </w:r>
            <w:r>
              <w:rPr>
                <w:sz w:val="16"/>
              </w:rPr>
              <w:t>persons</w:t>
            </w:r>
            <w:r>
              <w:rPr>
                <w:spacing w:val="-13"/>
                <w:sz w:val="16"/>
              </w:rPr>
              <w:t> </w:t>
            </w:r>
            <w:r>
              <w:rPr>
                <w:sz w:val="16"/>
              </w:rPr>
              <w:t>to</w:t>
            </w:r>
            <w:r>
              <w:rPr>
                <w:spacing w:val="-13"/>
                <w:sz w:val="16"/>
              </w:rPr>
              <w:t> </w:t>
            </w:r>
            <w:r>
              <w:rPr>
                <w:sz w:val="16"/>
              </w:rPr>
              <w:t>whom</w:t>
            </w:r>
            <w:r>
              <w:rPr>
                <w:spacing w:val="-13"/>
                <w:sz w:val="16"/>
              </w:rPr>
              <w:t> </w:t>
            </w:r>
            <w:r>
              <w:rPr>
                <w:sz w:val="16"/>
              </w:rPr>
              <w:t>information</w:t>
            </w:r>
            <w:r>
              <w:rPr>
                <w:spacing w:val="-13"/>
                <w:sz w:val="16"/>
              </w:rPr>
              <w:t> </w:t>
            </w:r>
            <w:r>
              <w:rPr>
                <w:sz w:val="16"/>
              </w:rPr>
              <w:t>on</w:t>
            </w:r>
            <w:r>
              <w:rPr>
                <w:spacing w:val="-13"/>
                <w:sz w:val="16"/>
              </w:rPr>
              <w:t> </w:t>
            </w:r>
            <w:r>
              <w:rPr>
                <w:sz w:val="16"/>
              </w:rPr>
              <w:t>the</w:t>
            </w:r>
            <w:r>
              <w:rPr>
                <w:spacing w:val="-13"/>
                <w:sz w:val="16"/>
              </w:rPr>
              <w:t> </w:t>
            </w:r>
            <w:r>
              <w:rPr>
                <w:sz w:val="16"/>
              </w:rPr>
              <w:t>subject</w:t>
            </w:r>
            <w:r>
              <w:rPr>
                <w:spacing w:val="-13"/>
                <w:sz w:val="16"/>
              </w:rPr>
              <w:t> </w:t>
            </w:r>
            <w:r>
              <w:rPr>
                <w:sz w:val="16"/>
              </w:rPr>
              <w:t>of</w:t>
            </w:r>
            <w:r>
              <w:rPr>
                <w:spacing w:val="-13"/>
                <w:sz w:val="16"/>
              </w:rPr>
              <w:t> </w:t>
            </w:r>
            <w:r>
              <w:rPr>
                <w:sz w:val="16"/>
              </w:rPr>
              <w:t>access application</w:t>
            </w:r>
            <w:r>
              <w:rPr>
                <w:spacing w:val="-14"/>
                <w:sz w:val="16"/>
              </w:rPr>
              <w:t> </w:t>
            </w:r>
            <w:r>
              <w:rPr>
                <w:sz w:val="16"/>
              </w:rPr>
              <w:t>relates</w:t>
            </w:r>
            <w:r>
              <w:rPr>
                <w:spacing w:val="-14"/>
                <w:sz w:val="16"/>
              </w:rPr>
              <w:t> </w:t>
            </w:r>
            <w:r>
              <w:rPr>
                <w:sz w:val="16"/>
              </w:rPr>
              <w:t>(see</w:t>
            </w:r>
            <w:r>
              <w:rPr>
                <w:spacing w:val="-14"/>
                <w:sz w:val="16"/>
              </w:rPr>
              <w:t> </w:t>
            </w:r>
            <w:r>
              <w:rPr>
                <w:sz w:val="16"/>
              </w:rPr>
              <w:t>section</w:t>
            </w:r>
            <w:r>
              <w:rPr>
                <w:spacing w:val="-14"/>
                <w:sz w:val="16"/>
              </w:rPr>
              <w:t> </w:t>
            </w:r>
            <w:r>
              <w:rPr>
                <w:spacing w:val="2"/>
                <w:sz w:val="16"/>
              </w:rPr>
              <w:t>54</w:t>
            </w:r>
            <w:r>
              <w:rPr>
                <w:spacing w:val="-14"/>
                <w:sz w:val="16"/>
              </w:rPr>
              <w:t> </w:t>
            </w:r>
            <w:r>
              <w:rPr>
                <w:sz w:val="16"/>
              </w:rPr>
              <w:t>of</w:t>
            </w:r>
            <w:r>
              <w:rPr>
                <w:spacing w:val="-14"/>
                <w:sz w:val="16"/>
              </w:rPr>
              <w:t> </w:t>
            </w:r>
            <w:r>
              <w:rPr>
                <w:sz w:val="16"/>
              </w:rPr>
              <w:t>the</w:t>
            </w:r>
            <w:r>
              <w:rPr>
                <w:spacing w:val="-14"/>
                <w:sz w:val="16"/>
              </w:rPr>
              <w:t> </w:t>
            </w:r>
            <w:r>
              <w:rPr>
                <w:sz w:val="16"/>
              </w:rPr>
              <w:t>Act)</w:t>
            </w:r>
          </w:p>
        </w:tc>
        <w:tc>
          <w:tcPr>
            <w:tcW w:w="4927" w:type="dxa"/>
            <w:shd w:val="clear" w:color="auto" w:fill="E6E7E8"/>
          </w:tcPr>
          <w:p>
            <w:pPr>
              <w:pStyle w:val="TableParagraph"/>
              <w:spacing w:before="143"/>
              <w:jc w:val="center"/>
              <w:rPr>
                <w:sz w:val="16"/>
              </w:rPr>
            </w:pPr>
            <w:r>
              <w:rPr>
                <w:w w:val="54"/>
                <w:sz w:val="16"/>
              </w:rPr>
              <w:t>1</w:t>
            </w:r>
          </w:p>
        </w:tc>
      </w:tr>
    </w:tbl>
    <w:p>
      <w:pPr>
        <w:pStyle w:val="BodyText"/>
        <w:spacing w:before="10"/>
        <w:rPr>
          <w:rFonts w:ascii="Gotham Narrow Bold"/>
          <w:b/>
          <w:sz w:val="14"/>
        </w:rPr>
      </w:pPr>
    </w:p>
    <w:p>
      <w:pPr>
        <w:spacing w:before="72"/>
        <w:ind w:left="327" w:right="411" w:firstLine="0"/>
        <w:jc w:val="left"/>
        <w:rPr>
          <w:rFonts w:ascii="Gotham Narrow Bold"/>
          <w:b/>
          <w:sz w:val="16"/>
        </w:rPr>
      </w:pPr>
      <w:r>
        <w:rPr>
          <w:rFonts w:ascii="Gotham Narrow Bold"/>
          <w:b/>
          <w:color w:val="636466"/>
          <w:sz w:val="16"/>
        </w:rPr>
        <w:t>Table I: Applications transferred to other agencies under Division 2 of Part 4 of the Act (by type of transfer)</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5154"/>
        <w:gridCol w:w="4927"/>
      </w:tblGrid>
      <w:tr>
        <w:trPr>
          <w:trHeight w:val="288" w:hRule="exact"/>
        </w:trPr>
        <w:tc>
          <w:tcPr>
            <w:tcW w:w="10081" w:type="dxa"/>
            <w:gridSpan w:val="2"/>
            <w:tcBorders>
              <w:top w:val="nil"/>
              <w:left w:val="nil"/>
              <w:bottom w:val="nil"/>
              <w:right w:val="nil"/>
            </w:tcBorders>
            <w:shd w:val="clear" w:color="auto" w:fill="939598"/>
          </w:tcPr>
          <w:p>
            <w:pPr>
              <w:pStyle w:val="TableParagraph"/>
              <w:spacing w:before="54"/>
              <w:ind w:left="6028"/>
              <w:jc w:val="left"/>
              <w:rPr>
                <w:rFonts w:ascii="Gotham Narrow Bold"/>
                <w:b/>
                <w:sz w:val="16"/>
              </w:rPr>
            </w:pPr>
            <w:r>
              <w:rPr>
                <w:rFonts w:ascii="Gotham Narrow Bold"/>
                <w:b/>
                <w:color w:val="FFFFFF"/>
                <w:w w:val="95"/>
                <w:sz w:val="16"/>
              </w:rPr>
              <w:t>NUMBER OF APPLICATIONS TRANSFERRED</w:t>
            </w:r>
          </w:p>
        </w:tc>
      </w:tr>
      <w:tr>
        <w:trPr>
          <w:trHeight w:val="288" w:hRule="exact"/>
        </w:trPr>
        <w:tc>
          <w:tcPr>
            <w:tcW w:w="5154" w:type="dxa"/>
            <w:tcBorders>
              <w:top w:val="nil"/>
            </w:tcBorders>
            <w:shd w:val="clear" w:color="auto" w:fill="E6E7E8"/>
          </w:tcPr>
          <w:p>
            <w:pPr>
              <w:pStyle w:val="TableParagraph"/>
              <w:spacing w:before="48"/>
              <w:ind w:left="75"/>
              <w:jc w:val="left"/>
              <w:rPr>
                <w:sz w:val="16"/>
              </w:rPr>
            </w:pPr>
            <w:r>
              <w:rPr>
                <w:sz w:val="16"/>
              </w:rPr>
              <w:t>Agency-initiated transfers</w:t>
            </w:r>
          </w:p>
        </w:tc>
        <w:tc>
          <w:tcPr>
            <w:tcW w:w="4927" w:type="dxa"/>
            <w:tcBorders>
              <w:top w:val="nil"/>
            </w:tcBorders>
            <w:shd w:val="clear" w:color="auto" w:fill="E6E7E8"/>
          </w:tcPr>
          <w:p>
            <w:pPr>
              <w:pStyle w:val="TableParagraph"/>
              <w:spacing w:before="48"/>
              <w:jc w:val="center"/>
              <w:rPr>
                <w:sz w:val="16"/>
              </w:rPr>
            </w:pPr>
            <w:r>
              <w:rPr>
                <w:w w:val="111"/>
                <w:sz w:val="16"/>
              </w:rPr>
              <w:t>0</w:t>
            </w:r>
          </w:p>
        </w:tc>
      </w:tr>
      <w:tr>
        <w:trPr>
          <w:trHeight w:val="288" w:hRule="exact"/>
        </w:trPr>
        <w:tc>
          <w:tcPr>
            <w:tcW w:w="5154" w:type="dxa"/>
            <w:shd w:val="clear" w:color="auto" w:fill="E6E7E8"/>
          </w:tcPr>
          <w:p>
            <w:pPr>
              <w:pStyle w:val="TableParagraph"/>
              <w:spacing w:before="43"/>
              <w:ind w:left="75"/>
              <w:jc w:val="left"/>
              <w:rPr>
                <w:sz w:val="16"/>
              </w:rPr>
            </w:pPr>
            <w:r>
              <w:rPr>
                <w:sz w:val="16"/>
              </w:rPr>
              <w:t>Applicant-initiated transfers</w:t>
            </w:r>
          </w:p>
        </w:tc>
        <w:tc>
          <w:tcPr>
            <w:tcW w:w="4927" w:type="dxa"/>
            <w:shd w:val="clear" w:color="auto" w:fill="E6E7E8"/>
          </w:tcPr>
          <w:p>
            <w:pPr>
              <w:pStyle w:val="TableParagraph"/>
              <w:spacing w:before="43"/>
              <w:jc w:val="center"/>
              <w:rPr>
                <w:sz w:val="16"/>
              </w:rPr>
            </w:pPr>
            <w:r>
              <w:rPr>
                <w:w w:val="111"/>
                <w:sz w:val="16"/>
              </w:rPr>
              <w:t>0</w:t>
            </w:r>
          </w:p>
        </w:tc>
      </w:tr>
    </w:tbl>
    <w:p>
      <w:pPr>
        <w:spacing w:after="0"/>
        <w:jc w:val="center"/>
        <w:rPr>
          <w:sz w:val="16"/>
        </w:rPr>
        <w:sectPr>
          <w:footerReference w:type="even" r:id="rId69"/>
          <w:footerReference w:type="default" r:id="rId70"/>
          <w:pgSz w:w="11910" w:h="16840"/>
          <w:pgMar w:footer="473" w:header="494" w:top="680" w:bottom="660" w:left="580" w:right="580"/>
          <w:pgNumType w:start="92"/>
        </w:sectPr>
      </w:pPr>
    </w:p>
    <w:p>
      <w:pPr>
        <w:pStyle w:val="BodyText"/>
        <w:spacing w:before="9"/>
        <w:rPr>
          <w:rFonts w:ascii="Gotham Narrow Bold"/>
          <w:b/>
          <w:sz w:val="28"/>
        </w:rPr>
      </w:pPr>
      <w:r>
        <w:rPr/>
        <w:pict>
          <v:rect style="position:absolute;margin-left:34.015999pt;margin-top:45.355015pt;width:527.244pt;height:751.181pt;mso-position-horizontal-relative:page;mso-position-vertical-relative:page;z-index:-331720" filled="true" fillcolor="#e6e7e8" stroked="false">
            <v:fill type="solid"/>
            <w10:wrap type="none"/>
          </v:rect>
        </w:pict>
      </w:r>
    </w:p>
    <w:p>
      <w:pPr>
        <w:spacing w:before="30"/>
        <w:ind w:left="327" w:right="7611" w:firstLine="0"/>
        <w:jc w:val="left"/>
        <w:rPr>
          <w:rFonts w:ascii="Gotham Narrow Bold"/>
          <w:b/>
          <w:sz w:val="40"/>
        </w:rPr>
      </w:pPr>
      <w:r>
        <w:rPr>
          <w:rFonts w:ascii="Gotham Narrow Bold"/>
          <w:b/>
          <w:w w:val="95"/>
          <w:sz w:val="40"/>
        </w:rPr>
        <w:t>APPENDIX 9</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spacing w:before="58"/>
        <w:ind w:left="327" w:right="7611" w:firstLine="0"/>
        <w:jc w:val="left"/>
        <w:rPr>
          <w:rFonts w:ascii="Gotham Narrow Bold"/>
          <w:b/>
          <w:sz w:val="24"/>
        </w:rPr>
      </w:pPr>
      <w:r>
        <w:rPr>
          <w:rFonts w:ascii="Gotham Narrow Bold"/>
          <w:b/>
          <w:sz w:val="24"/>
        </w:rPr>
        <w:t>CONSULTANCIES</w:t>
      </w:r>
    </w:p>
    <w:p>
      <w:pPr>
        <w:spacing w:before="215"/>
        <w:ind w:left="327" w:right="411" w:firstLine="0"/>
        <w:jc w:val="left"/>
        <w:rPr>
          <w:rFonts w:ascii="Gotham Narrow Bold"/>
          <w:b/>
          <w:sz w:val="16"/>
        </w:rPr>
      </w:pPr>
      <w:r>
        <w:rPr>
          <w:rFonts w:ascii="Gotham Narrow Bold"/>
          <w:b/>
          <w:color w:val="636466"/>
          <w:w w:val="95"/>
          <w:sz w:val="16"/>
        </w:rPr>
        <w:t>Consultancies commissioned in 2014 amounting to $50,000 or more, included:</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4587"/>
        <w:gridCol w:w="1313"/>
        <w:gridCol w:w="4181"/>
      </w:tblGrid>
      <w:tr>
        <w:trPr>
          <w:trHeight w:val="300" w:hRule="exact"/>
        </w:trPr>
        <w:tc>
          <w:tcPr>
            <w:tcW w:w="4587" w:type="dxa"/>
            <w:tcBorders>
              <w:top w:val="nil"/>
              <w:left w:val="nil"/>
              <w:bottom w:val="nil"/>
              <w:right w:val="single" w:sz="4" w:space="0" w:color="FFFFFF"/>
            </w:tcBorders>
            <w:shd w:val="clear" w:color="auto" w:fill="939598"/>
          </w:tcPr>
          <w:p>
            <w:pPr>
              <w:pStyle w:val="TableParagraph"/>
              <w:spacing w:before="79"/>
              <w:ind w:left="80"/>
              <w:jc w:val="left"/>
              <w:rPr>
                <w:rFonts w:ascii="Gotham Narrow Bold"/>
                <w:b/>
                <w:sz w:val="16"/>
              </w:rPr>
            </w:pPr>
            <w:r>
              <w:rPr>
                <w:rFonts w:ascii="Gotham Narrow Bold"/>
                <w:b/>
                <w:color w:val="FFFFFF"/>
                <w:sz w:val="16"/>
              </w:rPr>
              <w:t>CONSULTANT</w:t>
            </w:r>
          </w:p>
        </w:tc>
        <w:tc>
          <w:tcPr>
            <w:tcW w:w="1313" w:type="dxa"/>
            <w:tcBorders>
              <w:top w:val="nil"/>
              <w:left w:val="single" w:sz="4" w:space="0" w:color="FFFFFF"/>
              <w:bottom w:val="nil"/>
              <w:right w:val="single" w:sz="4" w:space="0" w:color="FFFFFF"/>
            </w:tcBorders>
            <w:shd w:val="clear" w:color="auto" w:fill="939598"/>
          </w:tcPr>
          <w:p>
            <w:pPr>
              <w:pStyle w:val="TableParagraph"/>
              <w:spacing w:before="79"/>
              <w:ind w:right="74"/>
              <w:rPr>
                <w:rFonts w:ascii="Gotham Narrow Bold"/>
                <w:b/>
                <w:sz w:val="16"/>
              </w:rPr>
            </w:pPr>
            <w:r>
              <w:rPr>
                <w:rFonts w:ascii="Gotham Narrow Bold"/>
                <w:b/>
                <w:color w:val="FFFFFF"/>
                <w:sz w:val="16"/>
              </w:rPr>
              <w:t>COST $</w:t>
            </w:r>
          </w:p>
        </w:tc>
        <w:tc>
          <w:tcPr>
            <w:tcW w:w="4181" w:type="dxa"/>
            <w:tcBorders>
              <w:top w:val="nil"/>
              <w:left w:val="single" w:sz="4" w:space="0" w:color="FFFFFF"/>
              <w:bottom w:val="nil"/>
              <w:right w:val="nil"/>
            </w:tcBorders>
            <w:shd w:val="clear" w:color="auto" w:fill="939598"/>
          </w:tcPr>
          <w:p>
            <w:pPr>
              <w:pStyle w:val="TableParagraph"/>
              <w:spacing w:before="79"/>
              <w:ind w:left="74"/>
              <w:jc w:val="left"/>
              <w:rPr>
                <w:rFonts w:ascii="Gotham Narrow Bold"/>
                <w:b/>
                <w:sz w:val="16"/>
              </w:rPr>
            </w:pPr>
            <w:r>
              <w:rPr>
                <w:rFonts w:ascii="Gotham Narrow Bold"/>
                <w:b/>
                <w:color w:val="FFFFFF"/>
                <w:w w:val="95"/>
                <w:sz w:val="16"/>
              </w:rPr>
              <w:t>TITLE/NATURE OF CONSULTANCY</w:t>
            </w:r>
          </w:p>
        </w:tc>
      </w:tr>
      <w:tr>
        <w:trPr>
          <w:trHeight w:val="300" w:hRule="exact"/>
        </w:trPr>
        <w:tc>
          <w:tcPr>
            <w:tcW w:w="4587" w:type="dxa"/>
            <w:tcBorders>
              <w:top w:val="nil"/>
            </w:tcBorders>
            <w:shd w:val="clear" w:color="auto" w:fill="E6E7E8"/>
          </w:tcPr>
          <w:p>
            <w:pPr>
              <w:pStyle w:val="TableParagraph"/>
              <w:spacing w:before="80"/>
              <w:ind w:left="75"/>
              <w:jc w:val="left"/>
              <w:rPr>
                <w:rFonts w:ascii="Calibri"/>
                <w:sz w:val="16"/>
              </w:rPr>
            </w:pPr>
            <w:r>
              <w:rPr>
                <w:rFonts w:ascii="Calibri"/>
                <w:w w:val="110"/>
                <w:sz w:val="16"/>
              </w:rPr>
              <w:t>Finance and Accounting/Tax</w:t>
            </w:r>
          </w:p>
        </w:tc>
        <w:tc>
          <w:tcPr>
            <w:tcW w:w="1313" w:type="dxa"/>
            <w:tcBorders>
              <w:top w:val="nil"/>
            </w:tcBorders>
            <w:shd w:val="clear" w:color="auto" w:fill="E6E7E8"/>
          </w:tcPr>
          <w:p>
            <w:pPr/>
          </w:p>
        </w:tc>
        <w:tc>
          <w:tcPr>
            <w:tcW w:w="4181" w:type="dxa"/>
            <w:tcBorders>
              <w:top w:val="nil"/>
            </w:tcBorders>
            <w:shd w:val="clear" w:color="auto" w:fill="E6E7E8"/>
          </w:tcPr>
          <w:p>
            <w:pPr/>
          </w:p>
        </w:tc>
      </w:tr>
      <w:tr>
        <w:trPr>
          <w:trHeight w:val="300" w:hRule="exact"/>
        </w:trPr>
        <w:tc>
          <w:tcPr>
            <w:tcW w:w="4587" w:type="dxa"/>
            <w:shd w:val="clear" w:color="auto" w:fill="E6E7E8"/>
          </w:tcPr>
          <w:p>
            <w:pPr>
              <w:pStyle w:val="TableParagraph"/>
              <w:spacing w:before="67"/>
              <w:ind w:left="75"/>
              <w:jc w:val="left"/>
              <w:rPr>
                <w:sz w:val="16"/>
              </w:rPr>
            </w:pPr>
            <w:r>
              <w:rPr>
                <w:sz w:val="16"/>
              </w:rPr>
              <w:t>Cubewise Pty Ltd</w:t>
            </w:r>
          </w:p>
        </w:tc>
        <w:tc>
          <w:tcPr>
            <w:tcW w:w="1313" w:type="dxa"/>
            <w:shd w:val="clear" w:color="auto" w:fill="E6E7E8"/>
          </w:tcPr>
          <w:p>
            <w:pPr>
              <w:pStyle w:val="TableParagraph"/>
              <w:spacing w:before="67"/>
              <w:ind w:right="73"/>
              <w:rPr>
                <w:sz w:val="16"/>
              </w:rPr>
            </w:pPr>
            <w:r>
              <w:rPr>
                <w:w w:val="85"/>
                <w:sz w:val="16"/>
              </w:rPr>
              <w:t>372,981</w:t>
            </w:r>
          </w:p>
        </w:tc>
        <w:tc>
          <w:tcPr>
            <w:tcW w:w="4181" w:type="dxa"/>
            <w:shd w:val="clear" w:color="auto" w:fill="E6E7E8"/>
          </w:tcPr>
          <w:p>
            <w:pPr>
              <w:pStyle w:val="TableParagraph"/>
              <w:spacing w:before="67"/>
              <w:ind w:left="74"/>
              <w:jc w:val="left"/>
              <w:rPr>
                <w:sz w:val="16"/>
              </w:rPr>
            </w:pPr>
            <w:r>
              <w:rPr>
                <w:w w:val="95"/>
                <w:sz w:val="16"/>
              </w:rPr>
              <w:t>TM1 Consulting</w:t>
            </w:r>
          </w:p>
        </w:tc>
      </w:tr>
      <w:tr>
        <w:trPr>
          <w:trHeight w:val="300" w:hRule="exact"/>
        </w:trPr>
        <w:tc>
          <w:tcPr>
            <w:tcW w:w="4587" w:type="dxa"/>
            <w:shd w:val="clear" w:color="auto" w:fill="E6E7E8"/>
          </w:tcPr>
          <w:p>
            <w:pPr>
              <w:pStyle w:val="TableParagraph"/>
              <w:spacing w:before="67"/>
              <w:ind w:left="75"/>
              <w:jc w:val="left"/>
              <w:rPr>
                <w:sz w:val="16"/>
              </w:rPr>
            </w:pPr>
            <w:r>
              <w:rPr>
                <w:sz w:val="16"/>
              </w:rPr>
              <w:t>Concur Holdings Netherlands BV</w:t>
            </w:r>
          </w:p>
        </w:tc>
        <w:tc>
          <w:tcPr>
            <w:tcW w:w="1313" w:type="dxa"/>
            <w:shd w:val="clear" w:color="auto" w:fill="E6E7E8"/>
          </w:tcPr>
          <w:p>
            <w:pPr>
              <w:pStyle w:val="TableParagraph"/>
              <w:spacing w:before="67"/>
              <w:ind w:right="73"/>
              <w:rPr>
                <w:sz w:val="16"/>
              </w:rPr>
            </w:pPr>
            <w:r>
              <w:rPr>
                <w:w w:val="90"/>
                <w:sz w:val="16"/>
              </w:rPr>
              <w:t>57,953</w:t>
            </w:r>
          </w:p>
        </w:tc>
        <w:tc>
          <w:tcPr>
            <w:tcW w:w="4181" w:type="dxa"/>
            <w:shd w:val="clear" w:color="auto" w:fill="E6E7E8"/>
          </w:tcPr>
          <w:p>
            <w:pPr>
              <w:pStyle w:val="TableParagraph"/>
              <w:spacing w:before="67"/>
              <w:ind w:left="74"/>
              <w:jc w:val="left"/>
              <w:rPr>
                <w:sz w:val="16"/>
              </w:rPr>
            </w:pPr>
            <w:r>
              <w:rPr>
                <w:sz w:val="16"/>
              </w:rPr>
              <w:t>Travel and Expense Management System</w:t>
            </w:r>
          </w:p>
        </w:tc>
      </w:tr>
      <w:tr>
        <w:trPr>
          <w:trHeight w:val="300" w:hRule="exact"/>
        </w:trPr>
        <w:tc>
          <w:tcPr>
            <w:tcW w:w="4587" w:type="dxa"/>
            <w:shd w:val="clear" w:color="auto" w:fill="E6E7E8"/>
          </w:tcPr>
          <w:p>
            <w:pPr>
              <w:pStyle w:val="TableParagraph"/>
              <w:spacing w:before="75"/>
              <w:ind w:left="75"/>
              <w:jc w:val="left"/>
              <w:rPr>
                <w:rFonts w:ascii="Calibri"/>
                <w:sz w:val="16"/>
              </w:rPr>
            </w:pPr>
            <w:r>
              <w:rPr>
                <w:rFonts w:ascii="Calibri"/>
                <w:w w:val="110"/>
                <w:sz w:val="16"/>
              </w:rPr>
              <w:t>Subtotal</w:t>
            </w:r>
          </w:p>
        </w:tc>
        <w:tc>
          <w:tcPr>
            <w:tcW w:w="1313" w:type="dxa"/>
            <w:shd w:val="clear" w:color="auto" w:fill="E6E7E8"/>
          </w:tcPr>
          <w:p>
            <w:pPr>
              <w:pStyle w:val="TableParagraph"/>
              <w:spacing w:before="75"/>
              <w:ind w:right="74"/>
              <w:rPr>
                <w:rFonts w:ascii="Calibri"/>
                <w:sz w:val="16"/>
              </w:rPr>
            </w:pPr>
            <w:r>
              <w:rPr>
                <w:rFonts w:ascii="Calibri"/>
                <w:w w:val="110"/>
                <w:sz w:val="16"/>
              </w:rPr>
              <w:t>430,934</w:t>
            </w:r>
          </w:p>
        </w:tc>
        <w:tc>
          <w:tcPr>
            <w:tcW w:w="4181" w:type="dxa"/>
            <w:shd w:val="clear" w:color="auto" w:fill="E6E7E8"/>
          </w:tcPr>
          <w:p>
            <w:pPr/>
          </w:p>
        </w:tc>
      </w:tr>
      <w:tr>
        <w:trPr>
          <w:trHeight w:val="300" w:hRule="exact"/>
        </w:trPr>
        <w:tc>
          <w:tcPr>
            <w:tcW w:w="10081" w:type="dxa"/>
            <w:gridSpan w:val="3"/>
            <w:shd w:val="clear" w:color="auto" w:fill="E6E7E8"/>
          </w:tcPr>
          <w:p>
            <w:pPr>
              <w:pStyle w:val="TableParagraph"/>
              <w:spacing w:before="75"/>
              <w:ind w:left="74"/>
              <w:jc w:val="left"/>
              <w:rPr>
                <w:rFonts w:ascii="Calibri"/>
                <w:sz w:val="16"/>
              </w:rPr>
            </w:pPr>
            <w:r>
              <w:rPr>
                <w:rFonts w:ascii="Calibri"/>
                <w:w w:val="110"/>
                <w:sz w:val="16"/>
              </w:rPr>
              <w:t>Information Technology</w:t>
            </w:r>
          </w:p>
        </w:tc>
      </w:tr>
      <w:tr>
        <w:trPr>
          <w:trHeight w:val="300" w:hRule="exact"/>
        </w:trPr>
        <w:tc>
          <w:tcPr>
            <w:tcW w:w="4587" w:type="dxa"/>
            <w:shd w:val="clear" w:color="auto" w:fill="E6E7E8"/>
          </w:tcPr>
          <w:p>
            <w:pPr>
              <w:pStyle w:val="TableParagraph"/>
              <w:spacing w:before="67"/>
              <w:ind w:left="74"/>
              <w:jc w:val="left"/>
              <w:rPr>
                <w:sz w:val="16"/>
              </w:rPr>
            </w:pPr>
            <w:r>
              <w:rPr>
                <w:sz w:val="16"/>
              </w:rPr>
              <w:t>Callista Software Services Pty Ltd</w:t>
            </w:r>
          </w:p>
        </w:tc>
        <w:tc>
          <w:tcPr>
            <w:tcW w:w="1313" w:type="dxa"/>
            <w:shd w:val="clear" w:color="auto" w:fill="E6E7E8"/>
          </w:tcPr>
          <w:p>
            <w:pPr>
              <w:pStyle w:val="TableParagraph"/>
              <w:spacing w:before="67"/>
              <w:ind w:right="74"/>
              <w:rPr>
                <w:sz w:val="16"/>
              </w:rPr>
            </w:pPr>
            <w:r>
              <w:rPr>
                <w:w w:val="80"/>
                <w:sz w:val="16"/>
              </w:rPr>
              <w:t>258,116</w:t>
            </w:r>
          </w:p>
        </w:tc>
        <w:tc>
          <w:tcPr>
            <w:tcW w:w="4181" w:type="dxa"/>
            <w:shd w:val="clear" w:color="auto" w:fill="E6E7E8"/>
          </w:tcPr>
          <w:p>
            <w:pPr>
              <w:pStyle w:val="TableParagraph"/>
              <w:spacing w:before="67"/>
              <w:ind w:left="74"/>
              <w:jc w:val="left"/>
              <w:rPr>
                <w:sz w:val="16"/>
              </w:rPr>
            </w:pPr>
            <w:r>
              <w:rPr>
                <w:sz w:val="16"/>
              </w:rPr>
              <w:t>Callista Upgrades and Support</w:t>
            </w:r>
          </w:p>
        </w:tc>
      </w:tr>
      <w:tr>
        <w:trPr>
          <w:trHeight w:val="300" w:hRule="exact"/>
        </w:trPr>
        <w:tc>
          <w:tcPr>
            <w:tcW w:w="4587" w:type="dxa"/>
            <w:shd w:val="clear" w:color="auto" w:fill="E6E7E8"/>
          </w:tcPr>
          <w:p>
            <w:pPr>
              <w:pStyle w:val="TableParagraph"/>
              <w:spacing w:before="67"/>
              <w:ind w:left="75"/>
              <w:jc w:val="left"/>
              <w:rPr>
                <w:sz w:val="16"/>
              </w:rPr>
            </w:pPr>
            <w:r>
              <w:rPr>
                <w:sz w:val="16"/>
              </w:rPr>
              <w:t>Holt Innovations Pty Ltd</w:t>
            </w:r>
          </w:p>
        </w:tc>
        <w:tc>
          <w:tcPr>
            <w:tcW w:w="1313" w:type="dxa"/>
            <w:shd w:val="clear" w:color="auto" w:fill="E6E7E8"/>
          </w:tcPr>
          <w:p>
            <w:pPr>
              <w:pStyle w:val="TableParagraph"/>
              <w:spacing w:before="67"/>
              <w:ind w:right="68"/>
              <w:rPr>
                <w:sz w:val="16"/>
              </w:rPr>
            </w:pPr>
            <w:r>
              <w:rPr>
                <w:spacing w:val="4"/>
                <w:w w:val="54"/>
                <w:sz w:val="16"/>
              </w:rPr>
              <w:t>1</w:t>
            </w:r>
            <w:r>
              <w:rPr>
                <w:spacing w:val="2"/>
                <w:w w:val="101"/>
                <w:sz w:val="16"/>
              </w:rPr>
              <w:t>6</w:t>
            </w:r>
            <w:r>
              <w:rPr>
                <w:spacing w:val="4"/>
                <w:w w:val="95"/>
                <w:sz w:val="16"/>
              </w:rPr>
              <w:t>5</w:t>
            </w:r>
            <w:r>
              <w:rPr>
                <w:spacing w:val="1"/>
                <w:w w:val="68"/>
                <w:sz w:val="16"/>
              </w:rPr>
              <w:t>,</w:t>
            </w:r>
            <w:r>
              <w:rPr>
                <w:spacing w:val="4"/>
                <w:w w:val="111"/>
                <w:sz w:val="16"/>
              </w:rPr>
              <w:t>000</w:t>
            </w:r>
          </w:p>
        </w:tc>
        <w:tc>
          <w:tcPr>
            <w:tcW w:w="4181" w:type="dxa"/>
            <w:shd w:val="clear" w:color="auto" w:fill="E6E7E8"/>
          </w:tcPr>
          <w:p>
            <w:pPr>
              <w:pStyle w:val="TableParagraph"/>
              <w:spacing w:before="67"/>
              <w:ind w:left="74"/>
              <w:jc w:val="left"/>
              <w:rPr>
                <w:sz w:val="16"/>
              </w:rPr>
            </w:pPr>
            <w:r>
              <w:rPr>
                <w:sz w:val="16"/>
              </w:rPr>
              <w:t>Campus Network Upgrade Project</w:t>
            </w:r>
          </w:p>
        </w:tc>
      </w:tr>
      <w:tr>
        <w:trPr>
          <w:trHeight w:val="300" w:hRule="exact"/>
        </w:trPr>
        <w:tc>
          <w:tcPr>
            <w:tcW w:w="4587" w:type="dxa"/>
            <w:shd w:val="clear" w:color="auto" w:fill="E6E7E8"/>
          </w:tcPr>
          <w:p>
            <w:pPr>
              <w:pStyle w:val="TableParagraph"/>
              <w:spacing w:before="67"/>
              <w:ind w:left="74"/>
              <w:jc w:val="left"/>
              <w:rPr>
                <w:sz w:val="16"/>
              </w:rPr>
            </w:pPr>
            <w:r>
              <w:rPr>
                <w:sz w:val="16"/>
              </w:rPr>
              <w:t>Holt Innovations Pty Ltd</w:t>
            </w:r>
          </w:p>
        </w:tc>
        <w:tc>
          <w:tcPr>
            <w:tcW w:w="1313" w:type="dxa"/>
            <w:shd w:val="clear" w:color="auto" w:fill="E6E7E8"/>
          </w:tcPr>
          <w:p>
            <w:pPr>
              <w:pStyle w:val="TableParagraph"/>
              <w:spacing w:before="67"/>
              <w:ind w:right="68"/>
              <w:rPr>
                <w:sz w:val="16"/>
              </w:rPr>
            </w:pPr>
            <w:r>
              <w:rPr>
                <w:sz w:val="16"/>
              </w:rPr>
              <w:t>75,000</w:t>
            </w:r>
          </w:p>
        </w:tc>
        <w:tc>
          <w:tcPr>
            <w:tcW w:w="4181" w:type="dxa"/>
            <w:shd w:val="clear" w:color="auto" w:fill="E6E7E8"/>
          </w:tcPr>
          <w:p>
            <w:pPr>
              <w:pStyle w:val="TableParagraph"/>
              <w:spacing w:before="67"/>
              <w:ind w:left="74"/>
              <w:jc w:val="left"/>
              <w:rPr>
                <w:sz w:val="16"/>
              </w:rPr>
            </w:pPr>
            <w:r>
              <w:rPr>
                <w:sz w:val="16"/>
              </w:rPr>
              <w:t>Wifi and Security Project</w:t>
            </w:r>
          </w:p>
        </w:tc>
      </w:tr>
      <w:tr>
        <w:trPr>
          <w:trHeight w:val="300" w:hRule="exact"/>
        </w:trPr>
        <w:tc>
          <w:tcPr>
            <w:tcW w:w="4587" w:type="dxa"/>
            <w:shd w:val="clear" w:color="auto" w:fill="E6E7E8"/>
          </w:tcPr>
          <w:p>
            <w:pPr>
              <w:pStyle w:val="TableParagraph"/>
              <w:spacing w:before="67"/>
              <w:ind w:left="74"/>
              <w:jc w:val="left"/>
              <w:rPr>
                <w:sz w:val="16"/>
              </w:rPr>
            </w:pPr>
            <w:r>
              <w:rPr>
                <w:sz w:val="16"/>
              </w:rPr>
              <w:t>GD Solutions Holdings Pty Ltd</w:t>
            </w:r>
          </w:p>
        </w:tc>
        <w:tc>
          <w:tcPr>
            <w:tcW w:w="1313" w:type="dxa"/>
            <w:shd w:val="clear" w:color="auto" w:fill="E6E7E8"/>
          </w:tcPr>
          <w:p>
            <w:pPr>
              <w:pStyle w:val="TableParagraph"/>
              <w:spacing w:before="67"/>
              <w:ind w:right="73"/>
              <w:rPr>
                <w:sz w:val="16"/>
              </w:rPr>
            </w:pPr>
            <w:r>
              <w:rPr>
                <w:w w:val="95"/>
                <w:sz w:val="16"/>
              </w:rPr>
              <w:t>70,685</w:t>
            </w:r>
          </w:p>
        </w:tc>
        <w:tc>
          <w:tcPr>
            <w:tcW w:w="4181" w:type="dxa"/>
            <w:shd w:val="clear" w:color="auto" w:fill="E6E7E8"/>
          </w:tcPr>
          <w:p>
            <w:pPr>
              <w:pStyle w:val="TableParagraph"/>
              <w:spacing w:before="67"/>
              <w:ind w:left="74"/>
              <w:jc w:val="left"/>
              <w:rPr>
                <w:sz w:val="16"/>
              </w:rPr>
            </w:pPr>
            <w:r>
              <w:rPr>
                <w:sz w:val="16"/>
              </w:rPr>
              <w:t>SMS Benchmarking Project</w:t>
            </w:r>
          </w:p>
        </w:tc>
      </w:tr>
      <w:tr>
        <w:trPr>
          <w:trHeight w:val="300" w:hRule="exact"/>
        </w:trPr>
        <w:tc>
          <w:tcPr>
            <w:tcW w:w="4587" w:type="dxa"/>
            <w:shd w:val="clear" w:color="auto" w:fill="E6E7E8"/>
          </w:tcPr>
          <w:p>
            <w:pPr>
              <w:pStyle w:val="TableParagraph"/>
              <w:spacing w:before="67"/>
              <w:ind w:left="74"/>
              <w:jc w:val="left"/>
              <w:rPr>
                <w:sz w:val="16"/>
              </w:rPr>
            </w:pPr>
            <w:r>
              <w:rPr>
                <w:sz w:val="16"/>
              </w:rPr>
              <w:t>Fedtec Pty Ltd</w:t>
            </w:r>
          </w:p>
        </w:tc>
        <w:tc>
          <w:tcPr>
            <w:tcW w:w="1313" w:type="dxa"/>
            <w:shd w:val="clear" w:color="auto" w:fill="E6E7E8"/>
          </w:tcPr>
          <w:p>
            <w:pPr>
              <w:pStyle w:val="TableParagraph"/>
              <w:spacing w:before="67"/>
              <w:ind w:right="72"/>
              <w:rPr>
                <w:sz w:val="16"/>
              </w:rPr>
            </w:pPr>
            <w:r>
              <w:rPr>
                <w:sz w:val="16"/>
              </w:rPr>
              <w:t>60,500</w:t>
            </w:r>
          </w:p>
        </w:tc>
        <w:tc>
          <w:tcPr>
            <w:tcW w:w="4181" w:type="dxa"/>
            <w:shd w:val="clear" w:color="auto" w:fill="E6E7E8"/>
          </w:tcPr>
          <w:p>
            <w:pPr>
              <w:pStyle w:val="TableParagraph"/>
              <w:spacing w:before="67"/>
              <w:ind w:left="75"/>
              <w:jc w:val="left"/>
              <w:rPr>
                <w:sz w:val="16"/>
              </w:rPr>
            </w:pPr>
            <w:r>
              <w:rPr>
                <w:sz w:val="16"/>
              </w:rPr>
              <w:t>Callista Upgrades and Support</w:t>
            </w:r>
          </w:p>
        </w:tc>
      </w:tr>
      <w:tr>
        <w:trPr>
          <w:trHeight w:val="300" w:hRule="exact"/>
        </w:trPr>
        <w:tc>
          <w:tcPr>
            <w:tcW w:w="4587" w:type="dxa"/>
            <w:shd w:val="clear" w:color="auto" w:fill="E6E7E8"/>
          </w:tcPr>
          <w:p>
            <w:pPr>
              <w:pStyle w:val="TableParagraph"/>
              <w:spacing w:before="67"/>
              <w:ind w:left="75"/>
              <w:jc w:val="left"/>
              <w:rPr>
                <w:sz w:val="16"/>
              </w:rPr>
            </w:pPr>
            <w:r>
              <w:rPr>
                <w:sz w:val="16"/>
              </w:rPr>
              <w:t>Nous Group Pty Ltd</w:t>
            </w:r>
          </w:p>
        </w:tc>
        <w:tc>
          <w:tcPr>
            <w:tcW w:w="1313" w:type="dxa"/>
            <w:shd w:val="clear" w:color="auto" w:fill="E6E7E8"/>
          </w:tcPr>
          <w:p>
            <w:pPr>
              <w:pStyle w:val="TableParagraph"/>
              <w:spacing w:before="67"/>
              <w:ind w:right="72"/>
              <w:rPr>
                <w:sz w:val="16"/>
              </w:rPr>
            </w:pPr>
            <w:r>
              <w:rPr>
                <w:sz w:val="16"/>
              </w:rPr>
              <w:t>60,500</w:t>
            </w:r>
          </w:p>
        </w:tc>
        <w:tc>
          <w:tcPr>
            <w:tcW w:w="4181" w:type="dxa"/>
            <w:shd w:val="clear" w:color="auto" w:fill="E6E7E8"/>
          </w:tcPr>
          <w:p>
            <w:pPr>
              <w:pStyle w:val="TableParagraph"/>
              <w:spacing w:before="67"/>
              <w:ind w:left="75"/>
              <w:jc w:val="left"/>
              <w:rPr>
                <w:sz w:val="16"/>
              </w:rPr>
            </w:pPr>
            <w:r>
              <w:rPr>
                <w:sz w:val="16"/>
              </w:rPr>
              <w:t>IT Governance Program</w:t>
            </w:r>
          </w:p>
        </w:tc>
      </w:tr>
      <w:tr>
        <w:trPr>
          <w:trHeight w:val="300" w:hRule="exact"/>
        </w:trPr>
        <w:tc>
          <w:tcPr>
            <w:tcW w:w="4587" w:type="dxa"/>
            <w:shd w:val="clear" w:color="auto" w:fill="E6E7E8"/>
          </w:tcPr>
          <w:p>
            <w:pPr>
              <w:pStyle w:val="TableParagraph"/>
              <w:spacing w:before="75"/>
              <w:ind w:left="75"/>
              <w:jc w:val="left"/>
              <w:rPr>
                <w:rFonts w:ascii="Calibri"/>
                <w:sz w:val="16"/>
              </w:rPr>
            </w:pPr>
            <w:r>
              <w:rPr>
                <w:rFonts w:ascii="Calibri"/>
                <w:w w:val="110"/>
                <w:sz w:val="16"/>
              </w:rPr>
              <w:t>Subtotal</w:t>
            </w:r>
          </w:p>
        </w:tc>
        <w:tc>
          <w:tcPr>
            <w:tcW w:w="1313" w:type="dxa"/>
            <w:shd w:val="clear" w:color="auto" w:fill="E6E7E8"/>
          </w:tcPr>
          <w:p>
            <w:pPr>
              <w:pStyle w:val="TableParagraph"/>
              <w:spacing w:before="75"/>
              <w:ind w:right="72"/>
              <w:rPr>
                <w:rFonts w:ascii="Calibri"/>
                <w:sz w:val="16"/>
              </w:rPr>
            </w:pPr>
            <w:r>
              <w:rPr>
                <w:rFonts w:ascii="Calibri"/>
                <w:w w:val="105"/>
                <w:sz w:val="16"/>
              </w:rPr>
              <w:t>689,801</w:t>
            </w:r>
          </w:p>
        </w:tc>
        <w:tc>
          <w:tcPr>
            <w:tcW w:w="4181" w:type="dxa"/>
            <w:shd w:val="clear" w:color="auto" w:fill="E6E7E8"/>
          </w:tcPr>
          <w:p>
            <w:pPr/>
          </w:p>
        </w:tc>
      </w:tr>
      <w:tr>
        <w:trPr>
          <w:trHeight w:val="300" w:hRule="exact"/>
        </w:trPr>
        <w:tc>
          <w:tcPr>
            <w:tcW w:w="10081" w:type="dxa"/>
            <w:gridSpan w:val="3"/>
            <w:shd w:val="clear" w:color="auto" w:fill="E6E7E8"/>
          </w:tcPr>
          <w:p>
            <w:pPr>
              <w:pStyle w:val="TableParagraph"/>
              <w:spacing w:before="75"/>
              <w:ind w:left="75"/>
              <w:jc w:val="left"/>
              <w:rPr>
                <w:rFonts w:ascii="Calibri"/>
                <w:sz w:val="16"/>
              </w:rPr>
            </w:pPr>
            <w:r>
              <w:rPr>
                <w:rFonts w:ascii="Calibri"/>
                <w:w w:val="105"/>
                <w:sz w:val="16"/>
              </w:rPr>
              <w:t>Management Services</w:t>
            </w:r>
          </w:p>
        </w:tc>
      </w:tr>
      <w:tr>
        <w:trPr>
          <w:trHeight w:val="300" w:hRule="exact"/>
        </w:trPr>
        <w:tc>
          <w:tcPr>
            <w:tcW w:w="4587" w:type="dxa"/>
            <w:shd w:val="clear" w:color="auto" w:fill="E6E7E8"/>
          </w:tcPr>
          <w:p>
            <w:pPr>
              <w:pStyle w:val="TableParagraph"/>
              <w:spacing w:before="67"/>
              <w:ind w:left="75"/>
              <w:jc w:val="left"/>
              <w:rPr>
                <w:sz w:val="16"/>
              </w:rPr>
            </w:pPr>
            <w:r>
              <w:rPr>
                <w:sz w:val="16"/>
              </w:rPr>
              <w:t>The Finch Company Pty Ltd</w:t>
            </w:r>
          </w:p>
        </w:tc>
        <w:tc>
          <w:tcPr>
            <w:tcW w:w="1313" w:type="dxa"/>
            <w:shd w:val="clear" w:color="auto" w:fill="E6E7E8"/>
          </w:tcPr>
          <w:p>
            <w:pPr>
              <w:pStyle w:val="TableParagraph"/>
              <w:spacing w:before="67"/>
              <w:ind w:right="72"/>
              <w:rPr>
                <w:sz w:val="16"/>
              </w:rPr>
            </w:pPr>
            <w:r>
              <w:rPr>
                <w:spacing w:val="4"/>
                <w:w w:val="54"/>
                <w:sz w:val="16"/>
              </w:rPr>
              <w:t>1</w:t>
            </w:r>
            <w:r>
              <w:rPr>
                <w:w w:val="68"/>
                <w:sz w:val="16"/>
              </w:rPr>
              <w:t>,</w:t>
            </w:r>
            <w:r>
              <w:rPr>
                <w:w w:val="54"/>
                <w:sz w:val="16"/>
              </w:rPr>
              <w:t>1</w:t>
            </w:r>
            <w:r>
              <w:rPr>
                <w:spacing w:val="4"/>
                <w:w w:val="91"/>
                <w:sz w:val="16"/>
              </w:rPr>
              <w:t>7</w:t>
            </w:r>
            <w:r>
              <w:rPr>
                <w:spacing w:val="-9"/>
                <w:w w:val="83"/>
                <w:sz w:val="16"/>
              </w:rPr>
              <w:t>7</w:t>
            </w:r>
            <w:r>
              <w:rPr>
                <w:spacing w:val="6"/>
                <w:w w:val="83"/>
                <w:sz w:val="16"/>
              </w:rPr>
              <w:t>,</w:t>
            </w:r>
            <w:r>
              <w:rPr>
                <w:spacing w:val="2"/>
                <w:w w:val="95"/>
                <w:sz w:val="16"/>
              </w:rPr>
              <w:t>5</w:t>
            </w:r>
            <w:r>
              <w:rPr>
                <w:spacing w:val="3"/>
                <w:w w:val="95"/>
                <w:sz w:val="16"/>
              </w:rPr>
              <w:t>5</w:t>
            </w:r>
            <w:r>
              <w:rPr>
                <w:w w:val="111"/>
                <w:sz w:val="16"/>
              </w:rPr>
              <w:t>0</w:t>
            </w:r>
          </w:p>
        </w:tc>
        <w:tc>
          <w:tcPr>
            <w:tcW w:w="4181" w:type="dxa"/>
            <w:shd w:val="clear" w:color="auto" w:fill="E6E7E8"/>
          </w:tcPr>
          <w:p>
            <w:pPr>
              <w:pStyle w:val="TableParagraph"/>
              <w:spacing w:before="67"/>
              <w:ind w:left="75"/>
              <w:jc w:val="left"/>
              <w:rPr>
                <w:sz w:val="16"/>
              </w:rPr>
            </w:pPr>
            <w:r>
              <w:rPr>
                <w:sz w:val="16"/>
              </w:rPr>
              <w:t>Videography Production</w:t>
            </w:r>
          </w:p>
        </w:tc>
      </w:tr>
      <w:tr>
        <w:trPr>
          <w:trHeight w:val="300" w:hRule="exact"/>
        </w:trPr>
        <w:tc>
          <w:tcPr>
            <w:tcW w:w="4587" w:type="dxa"/>
            <w:shd w:val="clear" w:color="auto" w:fill="E6E7E8"/>
          </w:tcPr>
          <w:p>
            <w:pPr>
              <w:pStyle w:val="TableParagraph"/>
              <w:spacing w:before="67"/>
              <w:ind w:left="75"/>
              <w:jc w:val="left"/>
              <w:rPr>
                <w:sz w:val="16"/>
              </w:rPr>
            </w:pPr>
            <w:r>
              <w:rPr>
                <w:sz w:val="16"/>
              </w:rPr>
              <w:t>Woods Bagot Pty Ltd</w:t>
            </w:r>
          </w:p>
        </w:tc>
        <w:tc>
          <w:tcPr>
            <w:tcW w:w="1313" w:type="dxa"/>
            <w:shd w:val="clear" w:color="auto" w:fill="E6E7E8"/>
          </w:tcPr>
          <w:p>
            <w:pPr>
              <w:pStyle w:val="TableParagraph"/>
              <w:spacing w:before="67"/>
              <w:ind w:right="72"/>
              <w:rPr>
                <w:sz w:val="16"/>
              </w:rPr>
            </w:pPr>
            <w:r>
              <w:rPr>
                <w:w w:val="95"/>
                <w:sz w:val="16"/>
              </w:rPr>
              <w:t>726,483</w:t>
            </w:r>
          </w:p>
        </w:tc>
        <w:tc>
          <w:tcPr>
            <w:tcW w:w="4181" w:type="dxa"/>
            <w:shd w:val="clear" w:color="auto" w:fill="E6E7E8"/>
          </w:tcPr>
          <w:p>
            <w:pPr>
              <w:pStyle w:val="TableParagraph"/>
              <w:spacing w:before="67"/>
              <w:ind w:left="75"/>
              <w:jc w:val="left"/>
              <w:rPr>
                <w:sz w:val="16"/>
              </w:rPr>
            </w:pPr>
            <w:r>
              <w:rPr>
                <w:sz w:val="16"/>
              </w:rPr>
              <w:t>Parramatta CBD Project</w:t>
            </w:r>
          </w:p>
        </w:tc>
      </w:tr>
      <w:tr>
        <w:trPr>
          <w:trHeight w:val="300" w:hRule="exact"/>
        </w:trPr>
        <w:tc>
          <w:tcPr>
            <w:tcW w:w="4587" w:type="dxa"/>
            <w:shd w:val="clear" w:color="auto" w:fill="E6E7E8"/>
          </w:tcPr>
          <w:p>
            <w:pPr>
              <w:pStyle w:val="TableParagraph"/>
              <w:spacing w:before="67"/>
              <w:ind w:left="75"/>
              <w:jc w:val="left"/>
              <w:rPr>
                <w:sz w:val="16"/>
              </w:rPr>
            </w:pPr>
            <w:r>
              <w:rPr>
                <w:sz w:val="16"/>
              </w:rPr>
              <w:t>Uber Biz Pty Ltd</w:t>
            </w:r>
          </w:p>
        </w:tc>
        <w:tc>
          <w:tcPr>
            <w:tcW w:w="1313" w:type="dxa"/>
            <w:shd w:val="clear" w:color="auto" w:fill="E6E7E8"/>
          </w:tcPr>
          <w:p>
            <w:pPr>
              <w:pStyle w:val="TableParagraph"/>
              <w:spacing w:before="67"/>
              <w:ind w:right="72"/>
              <w:rPr>
                <w:sz w:val="16"/>
              </w:rPr>
            </w:pPr>
            <w:r>
              <w:rPr>
                <w:sz w:val="16"/>
              </w:rPr>
              <w:t>656,960</w:t>
            </w:r>
          </w:p>
        </w:tc>
        <w:tc>
          <w:tcPr>
            <w:tcW w:w="4181" w:type="dxa"/>
            <w:shd w:val="clear" w:color="auto" w:fill="E6E7E8"/>
          </w:tcPr>
          <w:p>
            <w:pPr>
              <w:pStyle w:val="TableParagraph"/>
              <w:spacing w:before="67"/>
              <w:ind w:left="75"/>
              <w:jc w:val="left"/>
              <w:rPr>
                <w:sz w:val="16"/>
              </w:rPr>
            </w:pPr>
            <w:r>
              <w:rPr>
                <w:sz w:val="16"/>
              </w:rPr>
              <w:t>Digital Project Management and Website Development</w:t>
            </w:r>
          </w:p>
        </w:tc>
      </w:tr>
      <w:tr>
        <w:trPr>
          <w:trHeight w:val="300" w:hRule="exact"/>
        </w:trPr>
        <w:tc>
          <w:tcPr>
            <w:tcW w:w="4587" w:type="dxa"/>
            <w:shd w:val="clear" w:color="auto" w:fill="E6E7E8"/>
          </w:tcPr>
          <w:p>
            <w:pPr>
              <w:pStyle w:val="TableParagraph"/>
              <w:spacing w:before="67"/>
              <w:ind w:left="75"/>
              <w:jc w:val="left"/>
              <w:rPr>
                <w:sz w:val="16"/>
              </w:rPr>
            </w:pPr>
            <w:r>
              <w:rPr>
                <w:w w:val="105"/>
                <w:sz w:val="16"/>
              </w:rPr>
              <w:t>VCD Pty Ltd</w:t>
            </w:r>
          </w:p>
        </w:tc>
        <w:tc>
          <w:tcPr>
            <w:tcW w:w="1313" w:type="dxa"/>
            <w:shd w:val="clear" w:color="auto" w:fill="E6E7E8"/>
          </w:tcPr>
          <w:p>
            <w:pPr>
              <w:pStyle w:val="TableParagraph"/>
              <w:spacing w:before="67"/>
              <w:ind w:right="72"/>
              <w:rPr>
                <w:sz w:val="16"/>
              </w:rPr>
            </w:pPr>
            <w:r>
              <w:rPr>
                <w:w w:val="80"/>
                <w:sz w:val="16"/>
              </w:rPr>
              <w:t>610,321</w:t>
            </w:r>
          </w:p>
        </w:tc>
        <w:tc>
          <w:tcPr>
            <w:tcW w:w="4181" w:type="dxa"/>
            <w:shd w:val="clear" w:color="auto" w:fill="E6E7E8"/>
          </w:tcPr>
          <w:p>
            <w:pPr>
              <w:pStyle w:val="TableParagraph"/>
              <w:spacing w:before="67"/>
              <w:ind w:left="75"/>
              <w:jc w:val="left"/>
              <w:rPr>
                <w:sz w:val="16"/>
              </w:rPr>
            </w:pPr>
            <w:r>
              <w:rPr>
                <w:sz w:val="16"/>
              </w:rPr>
              <w:t>Creative and Marketing Strategy and Development</w:t>
            </w:r>
          </w:p>
        </w:tc>
      </w:tr>
      <w:tr>
        <w:trPr>
          <w:trHeight w:val="300" w:hRule="exact"/>
        </w:trPr>
        <w:tc>
          <w:tcPr>
            <w:tcW w:w="4587" w:type="dxa"/>
            <w:shd w:val="clear" w:color="auto" w:fill="E6E7E8"/>
          </w:tcPr>
          <w:p>
            <w:pPr>
              <w:pStyle w:val="TableParagraph"/>
              <w:spacing w:before="67"/>
              <w:ind w:left="75"/>
              <w:jc w:val="left"/>
              <w:rPr>
                <w:sz w:val="16"/>
              </w:rPr>
            </w:pPr>
            <w:r>
              <w:rPr>
                <w:sz w:val="16"/>
              </w:rPr>
              <w:t>The Trustee For Citizen Trust</w:t>
            </w:r>
          </w:p>
        </w:tc>
        <w:tc>
          <w:tcPr>
            <w:tcW w:w="1313" w:type="dxa"/>
            <w:shd w:val="clear" w:color="auto" w:fill="E6E7E8"/>
          </w:tcPr>
          <w:p>
            <w:pPr>
              <w:pStyle w:val="TableParagraph"/>
              <w:spacing w:before="67"/>
              <w:ind w:right="72"/>
              <w:rPr>
                <w:sz w:val="16"/>
              </w:rPr>
            </w:pPr>
            <w:r>
              <w:rPr>
                <w:w w:val="95"/>
                <w:sz w:val="16"/>
              </w:rPr>
              <w:t>575,045</w:t>
            </w:r>
          </w:p>
        </w:tc>
        <w:tc>
          <w:tcPr>
            <w:tcW w:w="4181" w:type="dxa"/>
            <w:shd w:val="clear" w:color="auto" w:fill="E6E7E8"/>
          </w:tcPr>
          <w:p>
            <w:pPr>
              <w:pStyle w:val="TableParagraph"/>
              <w:spacing w:before="67"/>
              <w:ind w:left="75"/>
              <w:jc w:val="left"/>
              <w:rPr>
                <w:sz w:val="16"/>
              </w:rPr>
            </w:pPr>
            <w:r>
              <w:rPr>
                <w:sz w:val="16"/>
              </w:rPr>
              <w:t>Visual Identity, Brand Architecture and Guidelines</w:t>
            </w:r>
          </w:p>
        </w:tc>
      </w:tr>
      <w:tr>
        <w:trPr>
          <w:trHeight w:val="300" w:hRule="exact"/>
        </w:trPr>
        <w:tc>
          <w:tcPr>
            <w:tcW w:w="4587" w:type="dxa"/>
            <w:shd w:val="clear" w:color="auto" w:fill="E6E7E8"/>
          </w:tcPr>
          <w:p>
            <w:pPr>
              <w:pStyle w:val="TableParagraph"/>
              <w:spacing w:before="67"/>
              <w:ind w:left="75"/>
              <w:jc w:val="left"/>
              <w:rPr>
                <w:sz w:val="16"/>
              </w:rPr>
            </w:pPr>
            <w:r>
              <w:rPr>
                <w:sz w:val="16"/>
              </w:rPr>
              <w:t>Archerfield Capital Partners Pty Ltd</w:t>
            </w:r>
          </w:p>
        </w:tc>
        <w:tc>
          <w:tcPr>
            <w:tcW w:w="1313" w:type="dxa"/>
            <w:shd w:val="clear" w:color="auto" w:fill="E6E7E8"/>
          </w:tcPr>
          <w:p>
            <w:pPr>
              <w:pStyle w:val="TableParagraph"/>
              <w:spacing w:before="67"/>
              <w:ind w:right="67"/>
              <w:rPr>
                <w:sz w:val="16"/>
              </w:rPr>
            </w:pPr>
            <w:r>
              <w:rPr>
                <w:sz w:val="16"/>
              </w:rPr>
              <w:t>520,000</w:t>
            </w:r>
          </w:p>
        </w:tc>
        <w:tc>
          <w:tcPr>
            <w:tcW w:w="4181" w:type="dxa"/>
            <w:shd w:val="clear" w:color="auto" w:fill="E6E7E8"/>
          </w:tcPr>
          <w:p>
            <w:pPr>
              <w:pStyle w:val="TableParagraph"/>
              <w:spacing w:before="67"/>
              <w:ind w:left="75"/>
              <w:jc w:val="left"/>
              <w:rPr>
                <w:sz w:val="16"/>
              </w:rPr>
            </w:pPr>
            <w:r>
              <w:rPr>
                <w:sz w:val="16"/>
              </w:rPr>
              <w:t>Parramatta CBD Project</w:t>
            </w:r>
          </w:p>
        </w:tc>
      </w:tr>
      <w:tr>
        <w:trPr>
          <w:trHeight w:val="300" w:hRule="exact"/>
        </w:trPr>
        <w:tc>
          <w:tcPr>
            <w:tcW w:w="4587" w:type="dxa"/>
            <w:shd w:val="clear" w:color="auto" w:fill="E6E7E8"/>
          </w:tcPr>
          <w:p>
            <w:pPr>
              <w:pStyle w:val="TableParagraph"/>
              <w:spacing w:before="67"/>
              <w:ind w:left="75"/>
              <w:jc w:val="left"/>
              <w:rPr>
                <w:sz w:val="16"/>
              </w:rPr>
            </w:pPr>
            <w:r>
              <w:rPr>
                <w:sz w:val="16"/>
              </w:rPr>
              <w:t>The Red Agency Pty Ltd</w:t>
            </w:r>
          </w:p>
        </w:tc>
        <w:tc>
          <w:tcPr>
            <w:tcW w:w="1313" w:type="dxa"/>
            <w:shd w:val="clear" w:color="auto" w:fill="E6E7E8"/>
          </w:tcPr>
          <w:p>
            <w:pPr>
              <w:pStyle w:val="TableParagraph"/>
              <w:spacing w:before="67"/>
              <w:ind w:right="72"/>
              <w:rPr>
                <w:sz w:val="16"/>
              </w:rPr>
            </w:pPr>
            <w:r>
              <w:rPr>
                <w:spacing w:val="3"/>
                <w:w w:val="103"/>
                <w:sz w:val="16"/>
              </w:rPr>
              <w:t>5</w:t>
            </w:r>
            <w:r>
              <w:rPr>
                <w:spacing w:val="1"/>
                <w:w w:val="103"/>
                <w:sz w:val="16"/>
              </w:rPr>
              <w:t>0</w:t>
            </w:r>
            <w:r>
              <w:rPr>
                <w:spacing w:val="4"/>
                <w:w w:val="54"/>
                <w:sz w:val="16"/>
              </w:rPr>
              <w:t>1</w:t>
            </w:r>
            <w:r>
              <w:rPr>
                <w:spacing w:val="6"/>
                <w:w w:val="68"/>
                <w:sz w:val="16"/>
              </w:rPr>
              <w:t>,</w:t>
            </w:r>
            <w:r>
              <w:rPr>
                <w:spacing w:val="3"/>
                <w:w w:val="103"/>
                <w:sz w:val="16"/>
              </w:rPr>
              <w:t>5</w:t>
            </w:r>
            <w:r>
              <w:rPr>
                <w:spacing w:val="4"/>
                <w:w w:val="103"/>
                <w:sz w:val="16"/>
              </w:rPr>
              <w:t>0</w:t>
            </w:r>
            <w:r>
              <w:rPr>
                <w:w w:val="111"/>
                <w:sz w:val="16"/>
              </w:rPr>
              <w:t>0</w:t>
            </w:r>
          </w:p>
        </w:tc>
        <w:tc>
          <w:tcPr>
            <w:tcW w:w="4181" w:type="dxa"/>
            <w:shd w:val="clear" w:color="auto" w:fill="E6E7E8"/>
          </w:tcPr>
          <w:p>
            <w:pPr>
              <w:pStyle w:val="TableParagraph"/>
              <w:spacing w:before="67"/>
              <w:ind w:left="75"/>
              <w:jc w:val="left"/>
              <w:rPr>
                <w:sz w:val="16"/>
              </w:rPr>
            </w:pPr>
            <w:r>
              <w:rPr>
                <w:sz w:val="16"/>
              </w:rPr>
              <w:t>Public Relations and Event Management Consulting</w:t>
            </w:r>
          </w:p>
        </w:tc>
      </w:tr>
      <w:tr>
        <w:trPr>
          <w:trHeight w:val="300" w:hRule="exact"/>
        </w:trPr>
        <w:tc>
          <w:tcPr>
            <w:tcW w:w="4587" w:type="dxa"/>
            <w:shd w:val="clear" w:color="auto" w:fill="E6E7E8"/>
          </w:tcPr>
          <w:p>
            <w:pPr>
              <w:pStyle w:val="TableParagraph"/>
              <w:spacing w:before="67"/>
              <w:ind w:left="75"/>
              <w:jc w:val="left"/>
              <w:rPr>
                <w:sz w:val="16"/>
              </w:rPr>
            </w:pPr>
            <w:r>
              <w:rPr>
                <w:sz w:val="16"/>
              </w:rPr>
              <w:t>WSP Buildings Pty Ltd</w:t>
            </w:r>
          </w:p>
        </w:tc>
        <w:tc>
          <w:tcPr>
            <w:tcW w:w="1313" w:type="dxa"/>
            <w:shd w:val="clear" w:color="auto" w:fill="E6E7E8"/>
          </w:tcPr>
          <w:p>
            <w:pPr>
              <w:pStyle w:val="TableParagraph"/>
              <w:spacing w:before="67"/>
              <w:ind w:right="67"/>
              <w:rPr>
                <w:sz w:val="16"/>
              </w:rPr>
            </w:pPr>
            <w:r>
              <w:rPr>
                <w:sz w:val="16"/>
              </w:rPr>
              <w:t>488,900</w:t>
            </w:r>
          </w:p>
        </w:tc>
        <w:tc>
          <w:tcPr>
            <w:tcW w:w="4181" w:type="dxa"/>
            <w:shd w:val="clear" w:color="auto" w:fill="E6E7E8"/>
          </w:tcPr>
          <w:p>
            <w:pPr>
              <w:pStyle w:val="TableParagraph"/>
              <w:spacing w:before="67"/>
              <w:ind w:left="75"/>
              <w:jc w:val="left"/>
              <w:rPr>
                <w:sz w:val="16"/>
              </w:rPr>
            </w:pPr>
            <w:r>
              <w:rPr>
                <w:sz w:val="16"/>
              </w:rPr>
              <w:t>Parramatta CBD Project</w:t>
            </w:r>
          </w:p>
        </w:tc>
      </w:tr>
      <w:tr>
        <w:trPr>
          <w:trHeight w:val="300" w:hRule="exact"/>
        </w:trPr>
        <w:tc>
          <w:tcPr>
            <w:tcW w:w="4587" w:type="dxa"/>
            <w:shd w:val="clear" w:color="auto" w:fill="E6E7E8"/>
          </w:tcPr>
          <w:p>
            <w:pPr>
              <w:pStyle w:val="TableParagraph"/>
              <w:spacing w:before="67"/>
              <w:ind w:left="75"/>
              <w:jc w:val="left"/>
              <w:rPr>
                <w:sz w:val="16"/>
              </w:rPr>
            </w:pPr>
            <w:r>
              <w:rPr>
                <w:sz w:val="16"/>
              </w:rPr>
              <w:t>Open University Worldwide Ltd</w:t>
            </w:r>
          </w:p>
        </w:tc>
        <w:tc>
          <w:tcPr>
            <w:tcW w:w="1313" w:type="dxa"/>
            <w:shd w:val="clear" w:color="auto" w:fill="E6E7E8"/>
          </w:tcPr>
          <w:p>
            <w:pPr>
              <w:pStyle w:val="TableParagraph"/>
              <w:spacing w:before="67"/>
              <w:ind w:right="72"/>
              <w:rPr>
                <w:sz w:val="16"/>
              </w:rPr>
            </w:pPr>
            <w:r>
              <w:rPr>
                <w:w w:val="80"/>
                <w:sz w:val="16"/>
              </w:rPr>
              <w:t>282,113</w:t>
            </w:r>
          </w:p>
        </w:tc>
        <w:tc>
          <w:tcPr>
            <w:tcW w:w="4181" w:type="dxa"/>
            <w:shd w:val="clear" w:color="auto" w:fill="E6E7E8"/>
          </w:tcPr>
          <w:p>
            <w:pPr>
              <w:pStyle w:val="TableParagraph"/>
              <w:spacing w:before="67"/>
              <w:ind w:left="75"/>
              <w:jc w:val="left"/>
              <w:rPr>
                <w:sz w:val="16"/>
              </w:rPr>
            </w:pPr>
            <w:r>
              <w:rPr>
                <w:sz w:val="16"/>
              </w:rPr>
              <w:t>Online Learning</w:t>
            </w:r>
          </w:p>
        </w:tc>
      </w:tr>
      <w:tr>
        <w:trPr>
          <w:trHeight w:val="300" w:hRule="exact"/>
        </w:trPr>
        <w:tc>
          <w:tcPr>
            <w:tcW w:w="4587" w:type="dxa"/>
            <w:shd w:val="clear" w:color="auto" w:fill="E6E7E8"/>
          </w:tcPr>
          <w:p>
            <w:pPr>
              <w:pStyle w:val="TableParagraph"/>
              <w:spacing w:before="67"/>
              <w:ind w:left="75"/>
              <w:jc w:val="left"/>
              <w:rPr>
                <w:sz w:val="16"/>
              </w:rPr>
            </w:pPr>
            <w:r>
              <w:rPr>
                <w:sz w:val="16"/>
              </w:rPr>
              <w:t>Gibber Aust Pty Ltd</w:t>
            </w:r>
          </w:p>
        </w:tc>
        <w:tc>
          <w:tcPr>
            <w:tcW w:w="1313" w:type="dxa"/>
            <w:shd w:val="clear" w:color="auto" w:fill="E6E7E8"/>
          </w:tcPr>
          <w:p>
            <w:pPr>
              <w:pStyle w:val="TableParagraph"/>
              <w:spacing w:before="67"/>
              <w:ind w:right="67"/>
              <w:rPr>
                <w:sz w:val="16"/>
              </w:rPr>
            </w:pPr>
            <w:r>
              <w:rPr>
                <w:sz w:val="16"/>
              </w:rPr>
              <w:t>276,000</w:t>
            </w:r>
          </w:p>
        </w:tc>
        <w:tc>
          <w:tcPr>
            <w:tcW w:w="4181" w:type="dxa"/>
            <w:shd w:val="clear" w:color="auto" w:fill="E6E7E8"/>
          </w:tcPr>
          <w:p>
            <w:pPr>
              <w:pStyle w:val="TableParagraph"/>
              <w:spacing w:before="67"/>
              <w:ind w:left="75"/>
              <w:jc w:val="left"/>
              <w:rPr>
                <w:sz w:val="16"/>
              </w:rPr>
            </w:pPr>
            <w:r>
              <w:rPr>
                <w:sz w:val="16"/>
              </w:rPr>
              <w:t>Theatre In Schools Program</w:t>
            </w:r>
          </w:p>
        </w:tc>
      </w:tr>
      <w:tr>
        <w:trPr>
          <w:trHeight w:val="300" w:hRule="exact"/>
        </w:trPr>
        <w:tc>
          <w:tcPr>
            <w:tcW w:w="4587" w:type="dxa"/>
            <w:shd w:val="clear" w:color="auto" w:fill="E6E7E8"/>
          </w:tcPr>
          <w:p>
            <w:pPr>
              <w:pStyle w:val="TableParagraph"/>
              <w:spacing w:before="67"/>
              <w:ind w:left="75"/>
              <w:jc w:val="left"/>
              <w:rPr>
                <w:sz w:val="16"/>
              </w:rPr>
            </w:pPr>
            <w:r>
              <w:rPr>
                <w:sz w:val="16"/>
              </w:rPr>
              <w:t>KPMG</w:t>
            </w:r>
          </w:p>
        </w:tc>
        <w:tc>
          <w:tcPr>
            <w:tcW w:w="1313" w:type="dxa"/>
            <w:shd w:val="clear" w:color="auto" w:fill="E6E7E8"/>
          </w:tcPr>
          <w:p>
            <w:pPr>
              <w:pStyle w:val="TableParagraph"/>
              <w:spacing w:before="67"/>
              <w:ind w:right="72"/>
              <w:rPr>
                <w:sz w:val="16"/>
              </w:rPr>
            </w:pPr>
            <w:r>
              <w:rPr>
                <w:w w:val="95"/>
                <w:sz w:val="16"/>
              </w:rPr>
              <w:t>220,454</w:t>
            </w:r>
          </w:p>
        </w:tc>
        <w:tc>
          <w:tcPr>
            <w:tcW w:w="4181" w:type="dxa"/>
            <w:shd w:val="clear" w:color="auto" w:fill="E6E7E8"/>
          </w:tcPr>
          <w:p>
            <w:pPr>
              <w:pStyle w:val="TableParagraph"/>
              <w:spacing w:before="67"/>
              <w:ind w:left="75"/>
              <w:jc w:val="left"/>
              <w:rPr>
                <w:sz w:val="16"/>
              </w:rPr>
            </w:pPr>
            <w:r>
              <w:rPr>
                <w:sz w:val="16"/>
              </w:rPr>
              <w:t>Chinese Medicine Centre</w:t>
            </w:r>
          </w:p>
        </w:tc>
      </w:tr>
      <w:tr>
        <w:trPr>
          <w:trHeight w:val="300" w:hRule="exact"/>
        </w:trPr>
        <w:tc>
          <w:tcPr>
            <w:tcW w:w="4587" w:type="dxa"/>
            <w:shd w:val="clear" w:color="auto" w:fill="E6E7E8"/>
          </w:tcPr>
          <w:p>
            <w:pPr>
              <w:pStyle w:val="TableParagraph"/>
              <w:spacing w:before="67"/>
              <w:ind w:left="75"/>
              <w:jc w:val="left"/>
              <w:rPr>
                <w:sz w:val="16"/>
              </w:rPr>
            </w:pPr>
            <w:r>
              <w:rPr>
                <w:sz w:val="16"/>
              </w:rPr>
              <w:t>Rider Levett Bucknall NSW Pty Ltd</w:t>
            </w:r>
          </w:p>
        </w:tc>
        <w:tc>
          <w:tcPr>
            <w:tcW w:w="1313" w:type="dxa"/>
            <w:shd w:val="clear" w:color="auto" w:fill="E6E7E8"/>
          </w:tcPr>
          <w:p>
            <w:pPr>
              <w:pStyle w:val="TableParagraph"/>
              <w:spacing w:before="67"/>
              <w:ind w:right="72"/>
              <w:rPr>
                <w:sz w:val="16"/>
              </w:rPr>
            </w:pPr>
            <w:r>
              <w:rPr>
                <w:w w:val="85"/>
                <w:sz w:val="16"/>
              </w:rPr>
              <w:t>186,422</w:t>
            </w:r>
          </w:p>
        </w:tc>
        <w:tc>
          <w:tcPr>
            <w:tcW w:w="4181" w:type="dxa"/>
            <w:shd w:val="clear" w:color="auto" w:fill="E6E7E8"/>
          </w:tcPr>
          <w:p>
            <w:pPr>
              <w:pStyle w:val="TableParagraph"/>
              <w:spacing w:before="67"/>
              <w:ind w:left="75"/>
              <w:jc w:val="left"/>
              <w:rPr>
                <w:sz w:val="16"/>
              </w:rPr>
            </w:pPr>
            <w:r>
              <w:rPr>
                <w:sz w:val="16"/>
              </w:rPr>
              <w:t>Parramatta CBD Project</w:t>
            </w:r>
          </w:p>
        </w:tc>
      </w:tr>
      <w:tr>
        <w:trPr>
          <w:trHeight w:val="300" w:hRule="exact"/>
        </w:trPr>
        <w:tc>
          <w:tcPr>
            <w:tcW w:w="4587" w:type="dxa"/>
            <w:shd w:val="clear" w:color="auto" w:fill="E6E7E8"/>
          </w:tcPr>
          <w:p>
            <w:pPr>
              <w:pStyle w:val="TableParagraph"/>
              <w:spacing w:before="67"/>
              <w:ind w:left="75"/>
              <w:jc w:val="left"/>
              <w:rPr>
                <w:sz w:val="16"/>
              </w:rPr>
            </w:pPr>
            <w:r>
              <w:rPr>
                <w:sz w:val="16"/>
              </w:rPr>
              <w:t>Cultural and Indigenous Research Centre Aust</w:t>
            </w:r>
          </w:p>
        </w:tc>
        <w:tc>
          <w:tcPr>
            <w:tcW w:w="1313" w:type="dxa"/>
            <w:shd w:val="clear" w:color="auto" w:fill="E6E7E8"/>
          </w:tcPr>
          <w:p>
            <w:pPr>
              <w:pStyle w:val="TableParagraph"/>
              <w:spacing w:before="67"/>
              <w:ind w:right="72"/>
              <w:rPr>
                <w:sz w:val="16"/>
              </w:rPr>
            </w:pPr>
            <w:r>
              <w:rPr>
                <w:spacing w:val="4"/>
                <w:w w:val="54"/>
                <w:sz w:val="16"/>
              </w:rPr>
              <w:t>1</w:t>
            </w:r>
            <w:r>
              <w:rPr>
                <w:w w:val="101"/>
                <w:sz w:val="16"/>
              </w:rPr>
              <w:t>6</w:t>
            </w:r>
            <w:r>
              <w:rPr>
                <w:spacing w:val="1"/>
                <w:w w:val="101"/>
                <w:sz w:val="16"/>
              </w:rPr>
              <w:t>9</w:t>
            </w:r>
            <w:r>
              <w:rPr>
                <w:spacing w:val="1"/>
                <w:w w:val="68"/>
                <w:sz w:val="16"/>
              </w:rPr>
              <w:t>,</w:t>
            </w:r>
            <w:r>
              <w:rPr>
                <w:spacing w:val="3"/>
                <w:w w:val="111"/>
                <w:sz w:val="16"/>
              </w:rPr>
              <w:t>0</w:t>
            </w:r>
            <w:r>
              <w:rPr>
                <w:spacing w:val="2"/>
                <w:w w:val="101"/>
                <w:sz w:val="16"/>
              </w:rPr>
              <w:t>9</w:t>
            </w:r>
            <w:r>
              <w:rPr>
                <w:w w:val="54"/>
                <w:sz w:val="16"/>
              </w:rPr>
              <w:t>1</w:t>
            </w:r>
          </w:p>
        </w:tc>
        <w:tc>
          <w:tcPr>
            <w:tcW w:w="4181" w:type="dxa"/>
            <w:shd w:val="clear" w:color="auto" w:fill="E6E7E8"/>
          </w:tcPr>
          <w:p>
            <w:pPr>
              <w:pStyle w:val="TableParagraph"/>
              <w:spacing w:before="67"/>
              <w:ind w:left="75"/>
              <w:jc w:val="left"/>
              <w:rPr>
                <w:sz w:val="16"/>
              </w:rPr>
            </w:pPr>
            <w:r>
              <w:rPr>
                <w:sz w:val="16"/>
              </w:rPr>
              <w:t>Circles of Social Life Questionnaire</w:t>
            </w:r>
          </w:p>
        </w:tc>
      </w:tr>
      <w:tr>
        <w:trPr>
          <w:trHeight w:val="300" w:hRule="exact"/>
        </w:trPr>
        <w:tc>
          <w:tcPr>
            <w:tcW w:w="4587" w:type="dxa"/>
            <w:shd w:val="clear" w:color="auto" w:fill="E6E7E8"/>
          </w:tcPr>
          <w:p>
            <w:pPr>
              <w:pStyle w:val="TableParagraph"/>
              <w:spacing w:before="67"/>
              <w:ind w:left="75"/>
              <w:jc w:val="left"/>
              <w:rPr>
                <w:sz w:val="16"/>
              </w:rPr>
            </w:pPr>
            <w:r>
              <w:rPr>
                <w:sz w:val="16"/>
              </w:rPr>
              <w:t>Western Sydney Football Club Ltd</w:t>
            </w:r>
          </w:p>
        </w:tc>
        <w:tc>
          <w:tcPr>
            <w:tcW w:w="1313" w:type="dxa"/>
            <w:shd w:val="clear" w:color="auto" w:fill="E6E7E8"/>
          </w:tcPr>
          <w:p>
            <w:pPr>
              <w:pStyle w:val="TableParagraph"/>
              <w:spacing w:before="67"/>
              <w:ind w:right="72"/>
              <w:rPr>
                <w:sz w:val="16"/>
              </w:rPr>
            </w:pPr>
            <w:r>
              <w:rPr>
                <w:w w:val="85"/>
                <w:sz w:val="16"/>
              </w:rPr>
              <w:t>146,675</w:t>
            </w:r>
          </w:p>
        </w:tc>
        <w:tc>
          <w:tcPr>
            <w:tcW w:w="4181" w:type="dxa"/>
            <w:shd w:val="clear" w:color="auto" w:fill="E6E7E8"/>
          </w:tcPr>
          <w:p>
            <w:pPr>
              <w:pStyle w:val="TableParagraph"/>
              <w:spacing w:before="67"/>
              <w:ind w:left="75"/>
              <w:jc w:val="left"/>
              <w:rPr>
                <w:sz w:val="16"/>
              </w:rPr>
            </w:pPr>
            <w:r>
              <w:rPr>
                <w:sz w:val="16"/>
              </w:rPr>
              <w:t>NESB Program</w:t>
            </w:r>
          </w:p>
        </w:tc>
      </w:tr>
      <w:tr>
        <w:trPr>
          <w:trHeight w:val="300" w:hRule="exact"/>
        </w:trPr>
        <w:tc>
          <w:tcPr>
            <w:tcW w:w="4587" w:type="dxa"/>
            <w:shd w:val="clear" w:color="auto" w:fill="E6E7E8"/>
          </w:tcPr>
          <w:p>
            <w:pPr>
              <w:pStyle w:val="TableParagraph"/>
              <w:spacing w:before="67"/>
              <w:ind w:left="75"/>
              <w:jc w:val="left"/>
              <w:rPr>
                <w:sz w:val="16"/>
              </w:rPr>
            </w:pPr>
            <w:r>
              <w:rPr>
                <w:sz w:val="16"/>
              </w:rPr>
              <w:t>Tridant Pty Ltd</w:t>
            </w:r>
          </w:p>
        </w:tc>
        <w:tc>
          <w:tcPr>
            <w:tcW w:w="1313" w:type="dxa"/>
            <w:shd w:val="clear" w:color="auto" w:fill="E6E7E8"/>
          </w:tcPr>
          <w:p>
            <w:pPr>
              <w:pStyle w:val="TableParagraph"/>
              <w:spacing w:before="67"/>
              <w:ind w:right="72"/>
              <w:rPr>
                <w:sz w:val="16"/>
              </w:rPr>
            </w:pPr>
            <w:r>
              <w:rPr>
                <w:w w:val="95"/>
                <w:sz w:val="16"/>
              </w:rPr>
              <w:t>140,000</w:t>
            </w:r>
          </w:p>
        </w:tc>
        <w:tc>
          <w:tcPr>
            <w:tcW w:w="4181" w:type="dxa"/>
            <w:shd w:val="clear" w:color="auto" w:fill="E6E7E8"/>
          </w:tcPr>
          <w:p>
            <w:pPr>
              <w:pStyle w:val="TableParagraph"/>
              <w:spacing w:before="67"/>
              <w:ind w:left="75"/>
              <w:jc w:val="left"/>
              <w:rPr>
                <w:sz w:val="16"/>
              </w:rPr>
            </w:pPr>
            <w:r>
              <w:rPr>
                <w:sz w:val="16"/>
              </w:rPr>
              <w:t>Blackboard Analytics Project</w:t>
            </w:r>
          </w:p>
        </w:tc>
      </w:tr>
      <w:tr>
        <w:trPr>
          <w:trHeight w:val="300" w:hRule="exact"/>
        </w:trPr>
        <w:tc>
          <w:tcPr>
            <w:tcW w:w="4587" w:type="dxa"/>
            <w:shd w:val="clear" w:color="auto" w:fill="E6E7E8"/>
          </w:tcPr>
          <w:p>
            <w:pPr>
              <w:pStyle w:val="TableParagraph"/>
              <w:spacing w:before="67"/>
              <w:ind w:left="75"/>
              <w:jc w:val="left"/>
              <w:rPr>
                <w:sz w:val="16"/>
              </w:rPr>
            </w:pPr>
            <w:r>
              <w:rPr>
                <w:sz w:val="16"/>
              </w:rPr>
              <w:t>Fayshell Pty Ltd</w:t>
            </w:r>
          </w:p>
        </w:tc>
        <w:tc>
          <w:tcPr>
            <w:tcW w:w="1313" w:type="dxa"/>
            <w:shd w:val="clear" w:color="auto" w:fill="E6E7E8"/>
          </w:tcPr>
          <w:p>
            <w:pPr>
              <w:pStyle w:val="TableParagraph"/>
              <w:spacing w:before="67"/>
              <w:ind w:right="72"/>
              <w:rPr>
                <w:sz w:val="16"/>
              </w:rPr>
            </w:pPr>
            <w:r>
              <w:rPr>
                <w:spacing w:val="2"/>
                <w:w w:val="54"/>
                <w:sz w:val="16"/>
              </w:rPr>
              <w:t>1</w:t>
            </w:r>
            <w:r>
              <w:rPr>
                <w:spacing w:val="5"/>
                <w:w w:val="94"/>
                <w:sz w:val="16"/>
              </w:rPr>
              <w:t>3</w:t>
            </w:r>
            <w:r>
              <w:rPr>
                <w:spacing w:val="4"/>
                <w:w w:val="54"/>
                <w:sz w:val="16"/>
              </w:rPr>
              <w:t>1</w:t>
            </w:r>
            <w:r>
              <w:rPr>
                <w:spacing w:val="5"/>
                <w:w w:val="68"/>
                <w:sz w:val="16"/>
              </w:rPr>
              <w:t>,</w:t>
            </w:r>
            <w:r>
              <w:rPr>
                <w:spacing w:val="3"/>
                <w:w w:val="98"/>
                <w:sz w:val="16"/>
              </w:rPr>
              <w:t>8</w:t>
            </w:r>
            <w:r>
              <w:rPr>
                <w:spacing w:val="3"/>
                <w:w w:val="95"/>
                <w:sz w:val="16"/>
              </w:rPr>
              <w:t>5</w:t>
            </w:r>
            <w:r>
              <w:rPr>
                <w:w w:val="111"/>
                <w:sz w:val="16"/>
              </w:rPr>
              <w:t>0</w:t>
            </w:r>
          </w:p>
        </w:tc>
        <w:tc>
          <w:tcPr>
            <w:tcW w:w="4181" w:type="dxa"/>
            <w:shd w:val="clear" w:color="auto" w:fill="E6E7E8"/>
          </w:tcPr>
          <w:p>
            <w:pPr>
              <w:pStyle w:val="TableParagraph"/>
              <w:spacing w:before="67"/>
              <w:ind w:left="75"/>
              <w:jc w:val="left"/>
              <w:rPr>
                <w:sz w:val="16"/>
              </w:rPr>
            </w:pPr>
            <w:r>
              <w:rPr>
                <w:sz w:val="16"/>
              </w:rPr>
              <w:t>Parramatta CBD Project</w:t>
            </w:r>
          </w:p>
        </w:tc>
      </w:tr>
      <w:tr>
        <w:trPr>
          <w:trHeight w:val="300" w:hRule="exact"/>
        </w:trPr>
        <w:tc>
          <w:tcPr>
            <w:tcW w:w="4587" w:type="dxa"/>
            <w:shd w:val="clear" w:color="auto" w:fill="E6E7E8"/>
          </w:tcPr>
          <w:p>
            <w:pPr>
              <w:pStyle w:val="TableParagraph"/>
              <w:spacing w:before="67"/>
              <w:ind w:left="75"/>
              <w:jc w:val="left"/>
              <w:rPr>
                <w:sz w:val="16"/>
              </w:rPr>
            </w:pPr>
            <w:r>
              <w:rPr>
                <w:sz w:val="16"/>
              </w:rPr>
              <w:t>Western Sydney Football Club Ltd</w:t>
            </w:r>
          </w:p>
        </w:tc>
        <w:tc>
          <w:tcPr>
            <w:tcW w:w="1313" w:type="dxa"/>
            <w:shd w:val="clear" w:color="auto" w:fill="E6E7E8"/>
          </w:tcPr>
          <w:p>
            <w:pPr>
              <w:pStyle w:val="TableParagraph"/>
              <w:spacing w:before="67"/>
              <w:ind w:right="72"/>
              <w:rPr>
                <w:sz w:val="16"/>
              </w:rPr>
            </w:pPr>
            <w:r>
              <w:rPr>
                <w:w w:val="95"/>
                <w:sz w:val="16"/>
              </w:rPr>
              <w:t>130,000</w:t>
            </w:r>
          </w:p>
        </w:tc>
        <w:tc>
          <w:tcPr>
            <w:tcW w:w="4181" w:type="dxa"/>
            <w:shd w:val="clear" w:color="auto" w:fill="E6E7E8"/>
          </w:tcPr>
          <w:p>
            <w:pPr>
              <w:pStyle w:val="TableParagraph"/>
              <w:spacing w:before="67"/>
              <w:ind w:left="75"/>
              <w:jc w:val="left"/>
              <w:rPr>
                <w:sz w:val="16"/>
              </w:rPr>
            </w:pPr>
            <w:r>
              <w:rPr>
                <w:sz w:val="16"/>
              </w:rPr>
              <w:t>Mature Age Program</w:t>
            </w:r>
          </w:p>
        </w:tc>
      </w:tr>
      <w:tr>
        <w:trPr>
          <w:trHeight w:val="300" w:hRule="exact"/>
        </w:trPr>
        <w:tc>
          <w:tcPr>
            <w:tcW w:w="4587" w:type="dxa"/>
            <w:shd w:val="clear" w:color="auto" w:fill="E6E7E8"/>
          </w:tcPr>
          <w:p>
            <w:pPr>
              <w:pStyle w:val="TableParagraph"/>
              <w:spacing w:before="67"/>
              <w:ind w:left="75"/>
              <w:jc w:val="left"/>
              <w:rPr>
                <w:sz w:val="16"/>
              </w:rPr>
            </w:pPr>
            <w:r>
              <w:rPr>
                <w:sz w:val="16"/>
              </w:rPr>
              <w:t>MIP Aust Pty Ltd</w:t>
            </w:r>
          </w:p>
        </w:tc>
        <w:tc>
          <w:tcPr>
            <w:tcW w:w="1313" w:type="dxa"/>
            <w:shd w:val="clear" w:color="auto" w:fill="E6E7E8"/>
          </w:tcPr>
          <w:p>
            <w:pPr>
              <w:pStyle w:val="TableParagraph"/>
              <w:spacing w:before="67"/>
              <w:ind w:right="72"/>
              <w:rPr>
                <w:sz w:val="16"/>
              </w:rPr>
            </w:pPr>
            <w:r>
              <w:rPr>
                <w:spacing w:val="2"/>
                <w:w w:val="54"/>
                <w:sz w:val="16"/>
              </w:rPr>
              <w:t>1</w:t>
            </w:r>
            <w:r>
              <w:rPr>
                <w:spacing w:val="-3"/>
                <w:w w:val="93"/>
                <w:sz w:val="16"/>
              </w:rPr>
              <w:t>2</w:t>
            </w:r>
            <w:r>
              <w:rPr>
                <w:spacing w:val="4"/>
                <w:w w:val="103"/>
                <w:sz w:val="16"/>
              </w:rPr>
              <w:t>4</w:t>
            </w:r>
            <w:r>
              <w:rPr>
                <w:spacing w:val="3"/>
                <w:w w:val="68"/>
                <w:sz w:val="16"/>
              </w:rPr>
              <w:t>,</w:t>
            </w:r>
            <w:r>
              <w:rPr>
                <w:spacing w:val="3"/>
                <w:w w:val="101"/>
                <w:sz w:val="16"/>
              </w:rPr>
              <w:t>6</w:t>
            </w:r>
            <w:r>
              <w:rPr>
                <w:spacing w:val="4"/>
                <w:w w:val="111"/>
                <w:sz w:val="16"/>
              </w:rPr>
              <w:t>0</w:t>
            </w:r>
            <w:r>
              <w:rPr>
                <w:w w:val="111"/>
                <w:sz w:val="16"/>
              </w:rPr>
              <w:t>0</w:t>
            </w:r>
          </w:p>
        </w:tc>
        <w:tc>
          <w:tcPr>
            <w:tcW w:w="4181" w:type="dxa"/>
            <w:shd w:val="clear" w:color="auto" w:fill="E6E7E8"/>
          </w:tcPr>
          <w:p>
            <w:pPr>
              <w:pStyle w:val="TableParagraph"/>
              <w:spacing w:before="67"/>
              <w:ind w:left="75"/>
              <w:jc w:val="left"/>
              <w:rPr>
                <w:sz w:val="16"/>
              </w:rPr>
            </w:pPr>
            <w:r>
              <w:rPr>
                <w:sz w:val="16"/>
              </w:rPr>
              <w:t>Blackboard Analytics Project</w:t>
            </w:r>
          </w:p>
        </w:tc>
      </w:tr>
      <w:tr>
        <w:trPr>
          <w:trHeight w:val="300" w:hRule="exact"/>
        </w:trPr>
        <w:tc>
          <w:tcPr>
            <w:tcW w:w="4587" w:type="dxa"/>
            <w:shd w:val="clear" w:color="auto" w:fill="E6E7E8"/>
          </w:tcPr>
          <w:p>
            <w:pPr>
              <w:pStyle w:val="TableParagraph"/>
              <w:spacing w:before="67"/>
              <w:ind w:left="75"/>
              <w:jc w:val="left"/>
              <w:rPr>
                <w:sz w:val="16"/>
              </w:rPr>
            </w:pPr>
            <w:r>
              <w:rPr>
                <w:sz w:val="16"/>
              </w:rPr>
              <w:t>Access Programs Aust Ltd</w:t>
            </w:r>
          </w:p>
        </w:tc>
        <w:tc>
          <w:tcPr>
            <w:tcW w:w="1313" w:type="dxa"/>
            <w:shd w:val="clear" w:color="auto" w:fill="E6E7E8"/>
          </w:tcPr>
          <w:p>
            <w:pPr>
              <w:pStyle w:val="TableParagraph"/>
              <w:spacing w:before="67"/>
              <w:ind w:right="72"/>
              <w:rPr>
                <w:sz w:val="16"/>
              </w:rPr>
            </w:pPr>
            <w:r>
              <w:rPr>
                <w:spacing w:val="3"/>
                <w:w w:val="101"/>
                <w:sz w:val="16"/>
              </w:rPr>
              <w:t>9</w:t>
            </w:r>
            <w:r>
              <w:rPr>
                <w:spacing w:val="4"/>
                <w:w w:val="95"/>
                <w:sz w:val="16"/>
              </w:rPr>
              <w:t>5</w:t>
            </w:r>
            <w:r>
              <w:rPr>
                <w:w w:val="68"/>
                <w:sz w:val="16"/>
              </w:rPr>
              <w:t>,</w:t>
            </w:r>
            <w:r>
              <w:rPr>
                <w:spacing w:val="2"/>
                <w:w w:val="54"/>
                <w:sz w:val="16"/>
              </w:rPr>
              <w:t>1</w:t>
            </w:r>
            <w:r>
              <w:rPr>
                <w:spacing w:val="4"/>
                <w:w w:val="101"/>
                <w:sz w:val="16"/>
              </w:rPr>
              <w:t>9</w:t>
            </w:r>
            <w:r>
              <w:rPr>
                <w:w w:val="111"/>
                <w:sz w:val="16"/>
              </w:rPr>
              <w:t>0</w:t>
            </w:r>
          </w:p>
        </w:tc>
        <w:tc>
          <w:tcPr>
            <w:tcW w:w="4181" w:type="dxa"/>
            <w:shd w:val="clear" w:color="auto" w:fill="E6E7E8"/>
          </w:tcPr>
          <w:p>
            <w:pPr>
              <w:pStyle w:val="TableParagraph"/>
              <w:spacing w:before="67"/>
              <w:ind w:left="75"/>
              <w:jc w:val="left"/>
              <w:rPr>
                <w:sz w:val="16"/>
              </w:rPr>
            </w:pPr>
            <w:r>
              <w:rPr>
                <w:sz w:val="16"/>
              </w:rPr>
              <w:t>Employee Assistance Program</w:t>
            </w:r>
          </w:p>
        </w:tc>
      </w:tr>
    </w:tbl>
    <w:p>
      <w:pPr>
        <w:spacing w:after="0"/>
        <w:jc w:val="left"/>
        <w:rPr>
          <w:sz w:val="16"/>
        </w:rPr>
        <w:sectPr>
          <w:pgSz w:w="11910" w:h="16840"/>
          <w:pgMar w:header="494" w:footer="473" w:top="680" w:bottom="660" w:left="580" w:right="580"/>
        </w:sectPr>
      </w:pPr>
    </w:p>
    <w:p>
      <w:pPr>
        <w:pStyle w:val="BodyText"/>
        <w:spacing w:before="9"/>
        <w:rPr>
          <w:rFonts w:ascii="Gotham Narrow Bold"/>
          <w:b/>
          <w:sz w:val="28"/>
        </w:rPr>
      </w:pPr>
      <w:r>
        <w:rPr/>
        <w:pict>
          <v:rect style="position:absolute;margin-left:34.015999pt;margin-top:45.355015pt;width:527.244pt;height:751.181pt;mso-position-horizontal-relative:page;mso-position-vertical-relative:page;z-index:-331696" filled="true" fillcolor="#e6e7e8" stroked="false">
            <v:fill type="solid"/>
            <w10:wrap type="none"/>
          </v:rect>
        </w:pict>
      </w:r>
    </w:p>
    <w:p>
      <w:pPr>
        <w:spacing w:before="30"/>
        <w:ind w:left="338" w:right="7611" w:firstLine="0"/>
        <w:jc w:val="left"/>
        <w:rPr>
          <w:rFonts w:ascii="Gotham Narrow Bold"/>
          <w:b/>
          <w:sz w:val="40"/>
        </w:rPr>
      </w:pPr>
      <w:r>
        <w:rPr>
          <w:rFonts w:ascii="Gotham Narrow Bold"/>
          <w:b/>
          <w:w w:val="95"/>
          <w:sz w:val="40"/>
        </w:rPr>
        <w:t>APPENDIX 9</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14"/>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4587"/>
        <w:gridCol w:w="1313"/>
        <w:gridCol w:w="4181"/>
      </w:tblGrid>
      <w:tr>
        <w:trPr>
          <w:trHeight w:val="300" w:hRule="exact"/>
        </w:trPr>
        <w:tc>
          <w:tcPr>
            <w:tcW w:w="4587" w:type="dxa"/>
            <w:tcBorders>
              <w:top w:val="nil"/>
              <w:left w:val="nil"/>
              <w:bottom w:val="nil"/>
              <w:right w:val="single" w:sz="4" w:space="0" w:color="FFFFFF"/>
            </w:tcBorders>
            <w:shd w:val="clear" w:color="auto" w:fill="939598"/>
          </w:tcPr>
          <w:p>
            <w:pPr>
              <w:pStyle w:val="TableParagraph"/>
              <w:spacing w:before="79"/>
              <w:ind w:left="80"/>
              <w:jc w:val="left"/>
              <w:rPr>
                <w:rFonts w:ascii="Gotham Narrow Bold"/>
                <w:b/>
                <w:sz w:val="16"/>
              </w:rPr>
            </w:pPr>
            <w:r>
              <w:rPr>
                <w:rFonts w:ascii="Gotham Narrow Bold"/>
                <w:b/>
                <w:color w:val="FFFFFF"/>
                <w:sz w:val="16"/>
              </w:rPr>
              <w:t>CONSULTANT</w:t>
            </w:r>
          </w:p>
        </w:tc>
        <w:tc>
          <w:tcPr>
            <w:tcW w:w="1313" w:type="dxa"/>
            <w:tcBorders>
              <w:top w:val="nil"/>
              <w:left w:val="single" w:sz="4" w:space="0" w:color="FFFFFF"/>
              <w:bottom w:val="nil"/>
              <w:right w:val="single" w:sz="4" w:space="0" w:color="FFFFFF"/>
            </w:tcBorders>
            <w:shd w:val="clear" w:color="auto" w:fill="939598"/>
          </w:tcPr>
          <w:p>
            <w:pPr>
              <w:pStyle w:val="TableParagraph"/>
              <w:spacing w:before="79"/>
              <w:ind w:right="74"/>
              <w:rPr>
                <w:rFonts w:ascii="Gotham Narrow Bold"/>
                <w:b/>
                <w:sz w:val="16"/>
              </w:rPr>
            </w:pPr>
            <w:r>
              <w:rPr>
                <w:rFonts w:ascii="Gotham Narrow Bold"/>
                <w:b/>
                <w:color w:val="FFFFFF"/>
                <w:sz w:val="16"/>
              </w:rPr>
              <w:t>COST $</w:t>
            </w:r>
          </w:p>
        </w:tc>
        <w:tc>
          <w:tcPr>
            <w:tcW w:w="4181" w:type="dxa"/>
            <w:tcBorders>
              <w:top w:val="nil"/>
              <w:left w:val="single" w:sz="4" w:space="0" w:color="FFFFFF"/>
              <w:bottom w:val="nil"/>
              <w:right w:val="nil"/>
            </w:tcBorders>
            <w:shd w:val="clear" w:color="auto" w:fill="939598"/>
          </w:tcPr>
          <w:p>
            <w:pPr>
              <w:pStyle w:val="TableParagraph"/>
              <w:spacing w:before="79"/>
              <w:ind w:left="74"/>
              <w:jc w:val="left"/>
              <w:rPr>
                <w:rFonts w:ascii="Gotham Narrow Bold"/>
                <w:b/>
                <w:sz w:val="16"/>
              </w:rPr>
            </w:pPr>
            <w:r>
              <w:rPr>
                <w:rFonts w:ascii="Gotham Narrow Bold"/>
                <w:b/>
                <w:color w:val="FFFFFF"/>
                <w:w w:val="95"/>
                <w:sz w:val="16"/>
              </w:rPr>
              <w:t>TITLE/NATURE OF CONSULTANCY</w:t>
            </w:r>
          </w:p>
        </w:tc>
      </w:tr>
      <w:tr>
        <w:trPr>
          <w:trHeight w:val="300" w:hRule="exact"/>
        </w:trPr>
        <w:tc>
          <w:tcPr>
            <w:tcW w:w="4587" w:type="dxa"/>
            <w:tcBorders>
              <w:top w:val="nil"/>
            </w:tcBorders>
            <w:shd w:val="clear" w:color="auto" w:fill="E6E7E8"/>
          </w:tcPr>
          <w:p>
            <w:pPr>
              <w:pStyle w:val="TableParagraph"/>
              <w:spacing w:before="72"/>
              <w:ind w:left="75"/>
              <w:jc w:val="left"/>
              <w:rPr>
                <w:sz w:val="16"/>
              </w:rPr>
            </w:pPr>
            <w:r>
              <w:rPr>
                <w:sz w:val="16"/>
              </w:rPr>
              <w:t>Uber Biz Pty Ltd</w:t>
            </w:r>
          </w:p>
        </w:tc>
        <w:tc>
          <w:tcPr>
            <w:tcW w:w="1313" w:type="dxa"/>
            <w:tcBorders>
              <w:top w:val="nil"/>
            </w:tcBorders>
            <w:shd w:val="clear" w:color="auto" w:fill="E6E7E8"/>
          </w:tcPr>
          <w:p>
            <w:pPr>
              <w:pStyle w:val="TableParagraph"/>
              <w:spacing w:before="72"/>
              <w:ind w:right="73"/>
              <w:rPr>
                <w:sz w:val="16"/>
              </w:rPr>
            </w:pPr>
            <w:r>
              <w:rPr>
                <w:w w:val="95"/>
                <w:sz w:val="16"/>
              </w:rPr>
              <w:t>93,055</w:t>
            </w:r>
          </w:p>
        </w:tc>
        <w:tc>
          <w:tcPr>
            <w:tcW w:w="4181" w:type="dxa"/>
            <w:tcBorders>
              <w:top w:val="nil"/>
            </w:tcBorders>
            <w:shd w:val="clear" w:color="auto" w:fill="E6E7E8"/>
          </w:tcPr>
          <w:p>
            <w:pPr>
              <w:pStyle w:val="TableParagraph"/>
              <w:spacing w:before="72"/>
              <w:ind w:left="74"/>
              <w:jc w:val="left"/>
              <w:rPr>
                <w:sz w:val="16"/>
              </w:rPr>
            </w:pPr>
            <w:r>
              <w:rPr>
                <w:sz w:val="16"/>
              </w:rPr>
              <w:t>Implementation for Strategic work for Western Online</w:t>
            </w:r>
          </w:p>
        </w:tc>
      </w:tr>
      <w:tr>
        <w:trPr>
          <w:trHeight w:val="300" w:hRule="exact"/>
        </w:trPr>
        <w:tc>
          <w:tcPr>
            <w:tcW w:w="4587" w:type="dxa"/>
            <w:shd w:val="clear" w:color="auto" w:fill="E6E7E8"/>
          </w:tcPr>
          <w:p>
            <w:pPr>
              <w:pStyle w:val="TableParagraph"/>
              <w:spacing w:before="67"/>
              <w:ind w:left="75"/>
              <w:jc w:val="left"/>
              <w:rPr>
                <w:sz w:val="16"/>
              </w:rPr>
            </w:pPr>
            <w:r>
              <w:rPr>
                <w:sz w:val="16"/>
              </w:rPr>
              <w:t>KPMG</w:t>
            </w:r>
          </w:p>
        </w:tc>
        <w:tc>
          <w:tcPr>
            <w:tcW w:w="1313" w:type="dxa"/>
            <w:shd w:val="clear" w:color="auto" w:fill="E6E7E8"/>
          </w:tcPr>
          <w:p>
            <w:pPr>
              <w:pStyle w:val="TableParagraph"/>
              <w:spacing w:before="67"/>
              <w:ind w:right="74"/>
              <w:rPr>
                <w:sz w:val="16"/>
              </w:rPr>
            </w:pPr>
            <w:r>
              <w:rPr>
                <w:w w:val="95"/>
                <w:sz w:val="16"/>
              </w:rPr>
              <w:t>92,466</w:t>
            </w:r>
          </w:p>
        </w:tc>
        <w:tc>
          <w:tcPr>
            <w:tcW w:w="4181" w:type="dxa"/>
            <w:shd w:val="clear" w:color="auto" w:fill="E6E7E8"/>
          </w:tcPr>
          <w:p>
            <w:pPr>
              <w:pStyle w:val="TableParagraph"/>
              <w:spacing w:before="67"/>
              <w:ind w:left="74"/>
              <w:jc w:val="left"/>
              <w:rPr>
                <w:sz w:val="16"/>
              </w:rPr>
            </w:pPr>
            <w:r>
              <w:rPr>
                <w:sz w:val="16"/>
              </w:rPr>
              <w:t>Evaluation Consultancy Project</w:t>
            </w:r>
          </w:p>
        </w:tc>
      </w:tr>
      <w:tr>
        <w:trPr>
          <w:trHeight w:val="300" w:hRule="exact"/>
        </w:trPr>
        <w:tc>
          <w:tcPr>
            <w:tcW w:w="4587" w:type="dxa"/>
            <w:shd w:val="clear" w:color="auto" w:fill="E6E7E8"/>
          </w:tcPr>
          <w:p>
            <w:pPr>
              <w:pStyle w:val="TableParagraph"/>
              <w:spacing w:before="67"/>
              <w:ind w:left="75"/>
              <w:jc w:val="left"/>
              <w:rPr>
                <w:sz w:val="16"/>
              </w:rPr>
            </w:pPr>
            <w:r>
              <w:rPr>
                <w:sz w:val="16"/>
              </w:rPr>
              <w:t>Cubewise Pty Ltd</w:t>
            </w:r>
          </w:p>
        </w:tc>
        <w:tc>
          <w:tcPr>
            <w:tcW w:w="1313" w:type="dxa"/>
            <w:shd w:val="clear" w:color="auto" w:fill="E6E7E8"/>
          </w:tcPr>
          <w:p>
            <w:pPr>
              <w:pStyle w:val="TableParagraph"/>
              <w:spacing w:before="67"/>
              <w:ind w:right="74"/>
              <w:rPr>
                <w:sz w:val="16"/>
              </w:rPr>
            </w:pPr>
            <w:r>
              <w:rPr>
                <w:w w:val="90"/>
                <w:sz w:val="16"/>
              </w:rPr>
              <w:t>86,775</w:t>
            </w:r>
          </w:p>
        </w:tc>
        <w:tc>
          <w:tcPr>
            <w:tcW w:w="4181" w:type="dxa"/>
            <w:shd w:val="clear" w:color="auto" w:fill="E6E7E8"/>
          </w:tcPr>
          <w:p>
            <w:pPr>
              <w:pStyle w:val="TableParagraph"/>
              <w:spacing w:before="67"/>
              <w:ind w:left="74"/>
              <w:jc w:val="left"/>
              <w:rPr>
                <w:sz w:val="16"/>
              </w:rPr>
            </w:pPr>
            <w:r>
              <w:rPr>
                <w:sz w:val="16"/>
              </w:rPr>
              <w:t>Predictive Modelling for Student Enrolment</w:t>
            </w:r>
          </w:p>
        </w:tc>
      </w:tr>
      <w:tr>
        <w:trPr>
          <w:trHeight w:val="300" w:hRule="exact"/>
        </w:trPr>
        <w:tc>
          <w:tcPr>
            <w:tcW w:w="4587" w:type="dxa"/>
            <w:shd w:val="clear" w:color="auto" w:fill="E6E7E8"/>
          </w:tcPr>
          <w:p>
            <w:pPr>
              <w:pStyle w:val="TableParagraph"/>
              <w:spacing w:before="67"/>
              <w:ind w:left="74"/>
              <w:jc w:val="left"/>
              <w:rPr>
                <w:sz w:val="16"/>
              </w:rPr>
            </w:pPr>
            <w:r>
              <w:rPr>
                <w:sz w:val="16"/>
              </w:rPr>
              <w:t>Landcom</w:t>
            </w:r>
          </w:p>
        </w:tc>
        <w:tc>
          <w:tcPr>
            <w:tcW w:w="1313" w:type="dxa"/>
            <w:shd w:val="clear" w:color="auto" w:fill="E6E7E8"/>
          </w:tcPr>
          <w:p>
            <w:pPr>
              <w:pStyle w:val="TableParagraph"/>
              <w:spacing w:before="67"/>
              <w:ind w:right="73"/>
              <w:rPr>
                <w:sz w:val="16"/>
              </w:rPr>
            </w:pPr>
            <w:r>
              <w:rPr>
                <w:w w:val="90"/>
                <w:sz w:val="16"/>
              </w:rPr>
              <w:t>85,236</w:t>
            </w:r>
          </w:p>
        </w:tc>
        <w:tc>
          <w:tcPr>
            <w:tcW w:w="4181" w:type="dxa"/>
            <w:shd w:val="clear" w:color="auto" w:fill="E6E7E8"/>
          </w:tcPr>
          <w:p>
            <w:pPr>
              <w:pStyle w:val="TableParagraph"/>
              <w:spacing w:before="67"/>
              <w:ind w:left="74"/>
              <w:jc w:val="left"/>
              <w:rPr>
                <w:sz w:val="16"/>
              </w:rPr>
            </w:pPr>
            <w:r>
              <w:rPr>
                <w:sz w:val="16"/>
              </w:rPr>
              <w:t>WSU Campbelltown Residential Development</w:t>
            </w:r>
          </w:p>
        </w:tc>
      </w:tr>
      <w:tr>
        <w:trPr>
          <w:trHeight w:val="300" w:hRule="exact"/>
        </w:trPr>
        <w:tc>
          <w:tcPr>
            <w:tcW w:w="4587" w:type="dxa"/>
            <w:shd w:val="clear" w:color="auto" w:fill="E6E7E8"/>
          </w:tcPr>
          <w:p>
            <w:pPr>
              <w:pStyle w:val="TableParagraph"/>
              <w:spacing w:before="67"/>
              <w:ind w:left="74"/>
              <w:jc w:val="left"/>
              <w:rPr>
                <w:sz w:val="16"/>
              </w:rPr>
            </w:pPr>
            <w:r>
              <w:rPr>
                <w:sz w:val="16"/>
              </w:rPr>
              <w:t>Lee Hecht Harrison Pty Ltd</w:t>
            </w:r>
          </w:p>
        </w:tc>
        <w:tc>
          <w:tcPr>
            <w:tcW w:w="1313" w:type="dxa"/>
            <w:shd w:val="clear" w:color="auto" w:fill="E6E7E8"/>
          </w:tcPr>
          <w:p>
            <w:pPr>
              <w:pStyle w:val="TableParagraph"/>
              <w:spacing w:before="67"/>
              <w:ind w:right="72"/>
              <w:rPr>
                <w:sz w:val="16"/>
              </w:rPr>
            </w:pPr>
            <w:r>
              <w:rPr>
                <w:w w:val="90"/>
                <w:sz w:val="16"/>
              </w:rPr>
              <w:t>83,527</w:t>
            </w:r>
          </w:p>
        </w:tc>
        <w:tc>
          <w:tcPr>
            <w:tcW w:w="4181" w:type="dxa"/>
            <w:shd w:val="clear" w:color="auto" w:fill="E6E7E8"/>
          </w:tcPr>
          <w:p>
            <w:pPr>
              <w:pStyle w:val="TableParagraph"/>
              <w:spacing w:before="67"/>
              <w:ind w:left="74"/>
              <w:jc w:val="left"/>
              <w:rPr>
                <w:sz w:val="16"/>
              </w:rPr>
            </w:pPr>
            <w:r>
              <w:rPr>
                <w:sz w:val="16"/>
              </w:rPr>
              <w:t>WSU</w:t>
            </w:r>
            <w:r>
              <w:rPr>
                <w:spacing w:val="-29"/>
                <w:sz w:val="16"/>
              </w:rPr>
              <w:t> </w:t>
            </w:r>
            <w:r>
              <w:rPr>
                <w:sz w:val="16"/>
              </w:rPr>
              <w:t>Lifting</w:t>
            </w:r>
            <w:r>
              <w:rPr>
                <w:spacing w:val="-29"/>
                <w:sz w:val="16"/>
              </w:rPr>
              <w:t> </w:t>
            </w:r>
            <w:r>
              <w:rPr>
                <w:sz w:val="16"/>
              </w:rPr>
              <w:t>Performance</w:t>
            </w:r>
            <w:r>
              <w:rPr>
                <w:spacing w:val="-29"/>
                <w:sz w:val="16"/>
              </w:rPr>
              <w:t> </w:t>
            </w:r>
            <w:r>
              <w:rPr>
                <w:sz w:val="16"/>
              </w:rPr>
              <w:t>Manager</w:t>
            </w:r>
            <w:r>
              <w:rPr>
                <w:spacing w:val="-29"/>
                <w:sz w:val="16"/>
              </w:rPr>
              <w:t> </w:t>
            </w:r>
            <w:r>
              <w:rPr>
                <w:sz w:val="16"/>
              </w:rPr>
              <w:t>Toolkit</w:t>
            </w:r>
            <w:r>
              <w:rPr>
                <w:spacing w:val="-29"/>
                <w:sz w:val="16"/>
              </w:rPr>
              <w:t> </w:t>
            </w:r>
            <w:r>
              <w:rPr>
                <w:sz w:val="16"/>
              </w:rPr>
              <w:t>and</w:t>
            </w:r>
            <w:r>
              <w:rPr>
                <w:spacing w:val="-29"/>
                <w:sz w:val="16"/>
              </w:rPr>
              <w:t> </w:t>
            </w:r>
            <w:r>
              <w:rPr>
                <w:sz w:val="16"/>
              </w:rPr>
              <w:t>Framework</w:t>
            </w:r>
          </w:p>
        </w:tc>
      </w:tr>
      <w:tr>
        <w:trPr>
          <w:trHeight w:val="300" w:hRule="exact"/>
        </w:trPr>
        <w:tc>
          <w:tcPr>
            <w:tcW w:w="4587" w:type="dxa"/>
            <w:shd w:val="clear" w:color="auto" w:fill="E6E7E8"/>
          </w:tcPr>
          <w:p>
            <w:pPr>
              <w:pStyle w:val="TableParagraph"/>
              <w:spacing w:before="67"/>
              <w:ind w:left="74"/>
              <w:jc w:val="left"/>
              <w:rPr>
                <w:sz w:val="16"/>
              </w:rPr>
            </w:pPr>
            <w:r>
              <w:rPr>
                <w:sz w:val="16"/>
              </w:rPr>
              <w:t>Ascender Pay Pty Ltd</w:t>
            </w:r>
          </w:p>
        </w:tc>
        <w:tc>
          <w:tcPr>
            <w:tcW w:w="1313" w:type="dxa"/>
            <w:shd w:val="clear" w:color="auto" w:fill="E6E7E8"/>
          </w:tcPr>
          <w:p>
            <w:pPr>
              <w:pStyle w:val="TableParagraph"/>
              <w:spacing w:before="67"/>
              <w:ind w:right="72"/>
              <w:rPr>
                <w:sz w:val="16"/>
              </w:rPr>
            </w:pPr>
            <w:r>
              <w:rPr>
                <w:sz w:val="16"/>
              </w:rPr>
              <w:t>74,040</w:t>
            </w:r>
          </w:p>
        </w:tc>
        <w:tc>
          <w:tcPr>
            <w:tcW w:w="4181" w:type="dxa"/>
            <w:shd w:val="clear" w:color="auto" w:fill="E6E7E8"/>
          </w:tcPr>
          <w:p>
            <w:pPr>
              <w:pStyle w:val="TableParagraph"/>
              <w:spacing w:before="67"/>
              <w:ind w:left="74"/>
              <w:jc w:val="left"/>
              <w:rPr>
                <w:sz w:val="16"/>
              </w:rPr>
            </w:pPr>
            <w:r>
              <w:rPr>
                <w:sz w:val="16"/>
              </w:rPr>
              <w:t>CEPI Project</w:t>
            </w:r>
          </w:p>
        </w:tc>
      </w:tr>
      <w:tr>
        <w:trPr>
          <w:trHeight w:val="300" w:hRule="exact"/>
        </w:trPr>
        <w:tc>
          <w:tcPr>
            <w:tcW w:w="4587" w:type="dxa"/>
            <w:shd w:val="clear" w:color="auto" w:fill="E6E7E8"/>
          </w:tcPr>
          <w:p>
            <w:pPr>
              <w:pStyle w:val="TableParagraph"/>
              <w:spacing w:before="67"/>
              <w:ind w:left="74"/>
              <w:jc w:val="left"/>
              <w:rPr>
                <w:sz w:val="16"/>
              </w:rPr>
            </w:pPr>
            <w:r>
              <w:rPr>
                <w:sz w:val="16"/>
              </w:rPr>
              <w:t>Red Rock Consulting Pty Ltd</w:t>
            </w:r>
          </w:p>
        </w:tc>
        <w:tc>
          <w:tcPr>
            <w:tcW w:w="1313" w:type="dxa"/>
            <w:shd w:val="clear" w:color="auto" w:fill="E6E7E8"/>
          </w:tcPr>
          <w:p>
            <w:pPr>
              <w:pStyle w:val="TableParagraph"/>
              <w:spacing w:before="67"/>
              <w:ind w:right="72"/>
              <w:rPr>
                <w:sz w:val="16"/>
              </w:rPr>
            </w:pPr>
            <w:r>
              <w:rPr>
                <w:w w:val="90"/>
                <w:sz w:val="16"/>
              </w:rPr>
              <w:t>73,688</w:t>
            </w:r>
          </w:p>
        </w:tc>
        <w:tc>
          <w:tcPr>
            <w:tcW w:w="4181" w:type="dxa"/>
            <w:shd w:val="clear" w:color="auto" w:fill="E6E7E8"/>
          </w:tcPr>
          <w:p>
            <w:pPr>
              <w:pStyle w:val="TableParagraph"/>
              <w:spacing w:before="67"/>
              <w:ind w:left="74"/>
              <w:jc w:val="left"/>
              <w:rPr>
                <w:sz w:val="16"/>
              </w:rPr>
            </w:pPr>
            <w:r>
              <w:rPr>
                <w:sz w:val="16"/>
              </w:rPr>
              <w:t>Oracle EBS Host</w:t>
            </w:r>
          </w:p>
        </w:tc>
      </w:tr>
      <w:tr>
        <w:trPr>
          <w:trHeight w:val="300" w:hRule="exact"/>
        </w:trPr>
        <w:tc>
          <w:tcPr>
            <w:tcW w:w="4587" w:type="dxa"/>
            <w:shd w:val="clear" w:color="auto" w:fill="E6E7E8"/>
          </w:tcPr>
          <w:p>
            <w:pPr>
              <w:pStyle w:val="TableParagraph"/>
              <w:spacing w:before="67"/>
              <w:ind w:left="74"/>
              <w:jc w:val="left"/>
              <w:rPr>
                <w:sz w:val="16"/>
              </w:rPr>
            </w:pPr>
            <w:r>
              <w:rPr>
                <w:sz w:val="16"/>
              </w:rPr>
              <w:t>4th Dialetic Pty Ltd</w:t>
            </w:r>
          </w:p>
        </w:tc>
        <w:tc>
          <w:tcPr>
            <w:tcW w:w="1313" w:type="dxa"/>
            <w:shd w:val="clear" w:color="auto" w:fill="E6E7E8"/>
          </w:tcPr>
          <w:p>
            <w:pPr>
              <w:pStyle w:val="TableParagraph"/>
              <w:spacing w:before="67"/>
              <w:ind w:right="74"/>
              <w:rPr>
                <w:sz w:val="16"/>
              </w:rPr>
            </w:pPr>
            <w:r>
              <w:rPr>
                <w:w w:val="90"/>
                <w:sz w:val="16"/>
              </w:rPr>
              <w:t>72,858</w:t>
            </w:r>
          </w:p>
        </w:tc>
        <w:tc>
          <w:tcPr>
            <w:tcW w:w="4181" w:type="dxa"/>
            <w:shd w:val="clear" w:color="auto" w:fill="E6E7E8"/>
          </w:tcPr>
          <w:p>
            <w:pPr>
              <w:pStyle w:val="TableParagraph"/>
              <w:spacing w:before="67"/>
              <w:ind w:left="74"/>
              <w:jc w:val="left"/>
              <w:rPr>
                <w:sz w:val="16"/>
              </w:rPr>
            </w:pPr>
            <w:r>
              <w:rPr>
                <w:sz w:val="16"/>
              </w:rPr>
              <w:t>Project Advice and Procurement Services</w:t>
            </w:r>
          </w:p>
        </w:tc>
      </w:tr>
      <w:tr>
        <w:trPr>
          <w:trHeight w:val="300" w:hRule="exact"/>
        </w:trPr>
        <w:tc>
          <w:tcPr>
            <w:tcW w:w="4587" w:type="dxa"/>
            <w:shd w:val="clear" w:color="auto" w:fill="E6E7E8"/>
          </w:tcPr>
          <w:p>
            <w:pPr>
              <w:pStyle w:val="TableParagraph"/>
              <w:spacing w:before="67"/>
              <w:ind w:left="74"/>
              <w:jc w:val="left"/>
              <w:rPr>
                <w:sz w:val="16"/>
              </w:rPr>
            </w:pPr>
            <w:r>
              <w:rPr>
                <w:sz w:val="16"/>
              </w:rPr>
              <w:t>Perrett Laver Pty Ltd</w:t>
            </w:r>
          </w:p>
        </w:tc>
        <w:tc>
          <w:tcPr>
            <w:tcW w:w="1313" w:type="dxa"/>
            <w:shd w:val="clear" w:color="auto" w:fill="E6E7E8"/>
          </w:tcPr>
          <w:p>
            <w:pPr>
              <w:pStyle w:val="TableParagraph"/>
              <w:spacing w:before="67"/>
              <w:ind w:right="72"/>
              <w:rPr>
                <w:sz w:val="16"/>
              </w:rPr>
            </w:pPr>
            <w:r>
              <w:rPr>
                <w:w w:val="95"/>
                <w:sz w:val="16"/>
              </w:rPr>
              <w:t>72,800</w:t>
            </w:r>
          </w:p>
        </w:tc>
        <w:tc>
          <w:tcPr>
            <w:tcW w:w="4181" w:type="dxa"/>
            <w:shd w:val="clear" w:color="auto" w:fill="E6E7E8"/>
          </w:tcPr>
          <w:p>
            <w:pPr>
              <w:pStyle w:val="TableParagraph"/>
              <w:spacing w:before="67"/>
              <w:ind w:left="75"/>
              <w:jc w:val="left"/>
              <w:rPr>
                <w:sz w:val="16"/>
              </w:rPr>
            </w:pPr>
            <w:r>
              <w:rPr>
                <w:sz w:val="16"/>
              </w:rPr>
              <w:t>Research Theme Chairs</w:t>
            </w:r>
          </w:p>
        </w:tc>
      </w:tr>
      <w:tr>
        <w:trPr>
          <w:trHeight w:val="300" w:hRule="exact"/>
        </w:trPr>
        <w:tc>
          <w:tcPr>
            <w:tcW w:w="4587" w:type="dxa"/>
            <w:shd w:val="clear" w:color="auto" w:fill="E6E7E8"/>
          </w:tcPr>
          <w:p>
            <w:pPr>
              <w:pStyle w:val="TableParagraph"/>
              <w:spacing w:before="67"/>
              <w:ind w:left="75"/>
              <w:jc w:val="left"/>
              <w:rPr>
                <w:sz w:val="16"/>
              </w:rPr>
            </w:pPr>
            <w:r>
              <w:rPr>
                <w:sz w:val="16"/>
              </w:rPr>
              <w:t>Alba Solutions Pty Ltd</w:t>
            </w:r>
          </w:p>
        </w:tc>
        <w:tc>
          <w:tcPr>
            <w:tcW w:w="1313" w:type="dxa"/>
            <w:shd w:val="clear" w:color="auto" w:fill="E6E7E8"/>
          </w:tcPr>
          <w:p>
            <w:pPr>
              <w:pStyle w:val="TableParagraph"/>
              <w:spacing w:before="67"/>
              <w:ind w:right="72"/>
              <w:rPr>
                <w:sz w:val="16"/>
              </w:rPr>
            </w:pPr>
            <w:r>
              <w:rPr>
                <w:w w:val="90"/>
                <w:sz w:val="16"/>
              </w:rPr>
              <w:t>65,255</w:t>
            </w:r>
          </w:p>
        </w:tc>
        <w:tc>
          <w:tcPr>
            <w:tcW w:w="4181" w:type="dxa"/>
            <w:shd w:val="clear" w:color="auto" w:fill="E6E7E8"/>
          </w:tcPr>
          <w:p>
            <w:pPr>
              <w:pStyle w:val="TableParagraph"/>
              <w:spacing w:before="67"/>
              <w:ind w:left="75"/>
              <w:jc w:val="left"/>
              <w:rPr>
                <w:sz w:val="16"/>
              </w:rPr>
            </w:pPr>
            <w:r>
              <w:rPr>
                <w:spacing w:val="3"/>
                <w:w w:val="101"/>
                <w:sz w:val="16"/>
              </w:rPr>
              <w:t>N</w:t>
            </w:r>
            <w:r>
              <w:rPr>
                <w:spacing w:val="1"/>
                <w:w w:val="95"/>
                <w:sz w:val="16"/>
              </w:rPr>
              <w:t>u</w:t>
            </w:r>
            <w:r>
              <w:rPr>
                <w:spacing w:val="2"/>
                <w:w w:val="95"/>
                <w:sz w:val="16"/>
              </w:rPr>
              <w:t>r</w:t>
            </w:r>
            <w:r>
              <w:rPr>
                <w:w w:val="95"/>
                <w:sz w:val="16"/>
              </w:rPr>
              <w:t>s</w:t>
            </w:r>
            <w:r>
              <w:rPr>
                <w:spacing w:val="1"/>
                <w:w w:val="95"/>
                <w:sz w:val="16"/>
              </w:rPr>
              <w:t>i</w:t>
            </w:r>
            <w:r>
              <w:rPr>
                <w:spacing w:val="2"/>
                <w:w w:val="95"/>
                <w:sz w:val="16"/>
              </w:rPr>
              <w:t>n</w:t>
            </w:r>
            <w:r>
              <w:rPr>
                <w:w w:val="102"/>
                <w:sz w:val="16"/>
              </w:rPr>
              <w:t>g</w:t>
            </w:r>
            <w:r>
              <w:rPr>
                <w:spacing w:val="-12"/>
                <w:sz w:val="16"/>
              </w:rPr>
              <w:t> </w:t>
            </w:r>
            <w:r>
              <w:rPr>
                <w:spacing w:val="2"/>
                <w:w w:val="94"/>
                <w:sz w:val="16"/>
              </w:rPr>
              <w:t>a</w:t>
            </w:r>
            <w:r>
              <w:rPr>
                <w:spacing w:val="2"/>
                <w:w w:val="95"/>
                <w:sz w:val="16"/>
              </w:rPr>
              <w:t>n</w:t>
            </w:r>
            <w:r>
              <w:rPr>
                <w:w w:val="102"/>
                <w:sz w:val="16"/>
              </w:rPr>
              <w:t>d</w:t>
            </w:r>
            <w:r>
              <w:rPr>
                <w:spacing w:val="-12"/>
                <w:sz w:val="16"/>
              </w:rPr>
              <w:t> </w:t>
            </w:r>
            <w:r>
              <w:rPr>
                <w:spacing w:val="2"/>
                <w:w w:val="97"/>
                <w:sz w:val="16"/>
              </w:rPr>
              <w:t>M</w:t>
            </w:r>
            <w:r>
              <w:rPr>
                <w:spacing w:val="1"/>
                <w:w w:val="95"/>
                <w:sz w:val="16"/>
              </w:rPr>
              <w:t>i</w:t>
            </w:r>
            <w:r>
              <w:rPr>
                <w:spacing w:val="1"/>
                <w:w w:val="102"/>
                <w:sz w:val="16"/>
              </w:rPr>
              <w:t>d</w:t>
            </w:r>
            <w:r>
              <w:rPr>
                <w:w w:val="101"/>
                <w:sz w:val="16"/>
              </w:rPr>
              <w:t>w</w:t>
            </w:r>
            <w:r>
              <w:rPr>
                <w:w w:val="95"/>
                <w:sz w:val="16"/>
              </w:rPr>
              <w:t>i</w:t>
            </w:r>
            <w:r>
              <w:rPr>
                <w:w w:val="98"/>
                <w:sz w:val="16"/>
              </w:rPr>
              <w:t>f</w:t>
            </w:r>
            <w:r>
              <w:rPr>
                <w:spacing w:val="2"/>
                <w:w w:val="95"/>
                <w:sz w:val="16"/>
              </w:rPr>
              <w:t>e</w:t>
            </w:r>
            <w:r>
              <w:rPr>
                <w:spacing w:val="5"/>
                <w:w w:val="95"/>
                <w:sz w:val="16"/>
              </w:rPr>
              <w:t>r</w:t>
            </w:r>
            <w:r>
              <w:rPr>
                <w:w w:val="101"/>
                <w:sz w:val="16"/>
              </w:rPr>
              <w:t>y</w:t>
            </w:r>
            <w:r>
              <w:rPr>
                <w:spacing w:val="-12"/>
                <w:sz w:val="16"/>
              </w:rPr>
              <w:t> </w:t>
            </w:r>
            <w:r>
              <w:rPr>
                <w:spacing w:val="2"/>
                <w:w w:val="93"/>
                <w:sz w:val="16"/>
              </w:rPr>
              <w:t>2</w:t>
            </w:r>
            <w:r>
              <w:rPr>
                <w:spacing w:val="1"/>
                <w:w w:val="111"/>
                <w:sz w:val="16"/>
              </w:rPr>
              <w:t>0</w:t>
            </w:r>
            <w:r>
              <w:rPr>
                <w:spacing w:val="2"/>
                <w:w w:val="54"/>
                <w:sz w:val="16"/>
              </w:rPr>
              <w:t>1</w:t>
            </w:r>
            <w:r>
              <w:rPr>
                <w:w w:val="95"/>
                <w:sz w:val="16"/>
              </w:rPr>
              <w:t>5</w:t>
            </w:r>
            <w:r>
              <w:rPr>
                <w:spacing w:val="-12"/>
                <w:sz w:val="16"/>
              </w:rPr>
              <w:t> </w:t>
            </w:r>
            <w:r>
              <w:rPr>
                <w:spacing w:val="-1"/>
                <w:w w:val="112"/>
                <w:sz w:val="16"/>
              </w:rPr>
              <w:t>A</w:t>
            </w:r>
            <w:r>
              <w:rPr>
                <w:spacing w:val="3"/>
                <w:w w:val="102"/>
                <w:sz w:val="16"/>
              </w:rPr>
              <w:t>c</w:t>
            </w:r>
            <w:r>
              <w:rPr>
                <w:spacing w:val="2"/>
                <w:w w:val="94"/>
                <w:sz w:val="16"/>
              </w:rPr>
              <w:t>a</w:t>
            </w:r>
            <w:r>
              <w:rPr>
                <w:spacing w:val="2"/>
                <w:w w:val="102"/>
                <w:sz w:val="16"/>
              </w:rPr>
              <w:t>d</w:t>
            </w:r>
            <w:r>
              <w:rPr>
                <w:spacing w:val="2"/>
                <w:w w:val="95"/>
                <w:sz w:val="16"/>
              </w:rPr>
              <w:t>e</w:t>
            </w:r>
            <w:r>
              <w:rPr>
                <w:spacing w:val="1"/>
                <w:w w:val="98"/>
                <w:sz w:val="16"/>
              </w:rPr>
              <w:t>m</w:t>
            </w:r>
            <w:r>
              <w:rPr>
                <w:spacing w:val="1"/>
                <w:w w:val="95"/>
                <w:sz w:val="16"/>
              </w:rPr>
              <w:t>i</w:t>
            </w:r>
            <w:r>
              <w:rPr>
                <w:w w:val="102"/>
                <w:sz w:val="16"/>
              </w:rPr>
              <w:t>c</w:t>
            </w:r>
            <w:r>
              <w:rPr>
                <w:spacing w:val="-12"/>
                <w:sz w:val="16"/>
              </w:rPr>
              <w:t> </w:t>
            </w:r>
            <w:r>
              <w:rPr>
                <w:spacing w:val="-4"/>
                <w:w w:val="105"/>
                <w:sz w:val="16"/>
              </w:rPr>
              <w:t>W</w:t>
            </w:r>
            <w:r>
              <w:rPr>
                <w:spacing w:val="2"/>
                <w:w w:val="100"/>
                <w:sz w:val="16"/>
              </w:rPr>
              <w:t>o</w:t>
            </w:r>
            <w:r>
              <w:rPr>
                <w:spacing w:val="2"/>
                <w:w w:val="95"/>
                <w:sz w:val="16"/>
              </w:rPr>
              <w:t>r</w:t>
            </w:r>
            <w:r>
              <w:rPr>
                <w:w w:val="96"/>
                <w:sz w:val="16"/>
              </w:rPr>
              <w:t>k</w:t>
            </w:r>
            <w:r>
              <w:rPr>
                <w:spacing w:val="-12"/>
                <w:sz w:val="16"/>
              </w:rPr>
              <w:t> </w:t>
            </w:r>
            <w:r>
              <w:rPr>
                <w:spacing w:val="1"/>
                <w:w w:val="104"/>
                <w:sz w:val="16"/>
              </w:rPr>
              <w:t>P</w:t>
            </w:r>
            <w:r>
              <w:rPr>
                <w:spacing w:val="1"/>
                <w:w w:val="95"/>
                <w:sz w:val="16"/>
              </w:rPr>
              <w:t>l</w:t>
            </w:r>
            <w:r>
              <w:rPr>
                <w:spacing w:val="2"/>
                <w:w w:val="94"/>
                <w:sz w:val="16"/>
              </w:rPr>
              <w:t>a</w:t>
            </w:r>
            <w:r>
              <w:rPr>
                <w:spacing w:val="2"/>
                <w:w w:val="95"/>
                <w:sz w:val="16"/>
              </w:rPr>
              <w:t>n</w:t>
            </w:r>
            <w:r>
              <w:rPr>
                <w:w w:val="95"/>
                <w:sz w:val="16"/>
              </w:rPr>
              <w:t>s</w:t>
            </w:r>
          </w:p>
        </w:tc>
      </w:tr>
      <w:tr>
        <w:trPr>
          <w:trHeight w:val="300" w:hRule="exact"/>
        </w:trPr>
        <w:tc>
          <w:tcPr>
            <w:tcW w:w="4587" w:type="dxa"/>
            <w:shd w:val="clear" w:color="auto" w:fill="E6E7E8"/>
          </w:tcPr>
          <w:p>
            <w:pPr>
              <w:pStyle w:val="TableParagraph"/>
              <w:spacing w:before="67"/>
              <w:ind w:left="75"/>
              <w:jc w:val="left"/>
              <w:rPr>
                <w:sz w:val="16"/>
              </w:rPr>
            </w:pPr>
            <w:r>
              <w:rPr>
                <w:sz w:val="16"/>
              </w:rPr>
              <w:t>Debowski Shelda Jane</w:t>
            </w:r>
          </w:p>
        </w:tc>
        <w:tc>
          <w:tcPr>
            <w:tcW w:w="1313" w:type="dxa"/>
            <w:shd w:val="clear" w:color="auto" w:fill="E6E7E8"/>
          </w:tcPr>
          <w:p>
            <w:pPr>
              <w:pStyle w:val="TableParagraph"/>
              <w:spacing w:before="67"/>
              <w:ind w:right="74"/>
              <w:rPr>
                <w:sz w:val="16"/>
              </w:rPr>
            </w:pPr>
            <w:r>
              <w:rPr>
                <w:w w:val="95"/>
                <w:sz w:val="16"/>
              </w:rPr>
              <w:t>62,576</w:t>
            </w:r>
          </w:p>
        </w:tc>
        <w:tc>
          <w:tcPr>
            <w:tcW w:w="4181" w:type="dxa"/>
            <w:shd w:val="clear" w:color="auto" w:fill="E6E7E8"/>
          </w:tcPr>
          <w:p>
            <w:pPr>
              <w:pStyle w:val="TableParagraph"/>
              <w:spacing w:before="67"/>
              <w:ind w:left="75"/>
              <w:jc w:val="left"/>
              <w:rPr>
                <w:sz w:val="16"/>
              </w:rPr>
            </w:pPr>
            <w:r>
              <w:rPr>
                <w:sz w:val="16"/>
              </w:rPr>
              <w:t>Academic Capabilities Framework</w:t>
            </w:r>
          </w:p>
        </w:tc>
      </w:tr>
      <w:tr>
        <w:trPr>
          <w:trHeight w:val="300" w:hRule="exact"/>
        </w:trPr>
        <w:tc>
          <w:tcPr>
            <w:tcW w:w="4587" w:type="dxa"/>
            <w:shd w:val="clear" w:color="auto" w:fill="E6E7E8"/>
          </w:tcPr>
          <w:p>
            <w:pPr>
              <w:pStyle w:val="TableParagraph"/>
              <w:spacing w:before="67"/>
              <w:ind w:left="75"/>
              <w:jc w:val="left"/>
              <w:rPr>
                <w:sz w:val="16"/>
              </w:rPr>
            </w:pPr>
            <w:r>
              <w:rPr>
                <w:sz w:val="16"/>
              </w:rPr>
              <w:t>Gibber Aust Pty Ltd</w:t>
            </w:r>
          </w:p>
        </w:tc>
        <w:tc>
          <w:tcPr>
            <w:tcW w:w="1313" w:type="dxa"/>
            <w:shd w:val="clear" w:color="auto" w:fill="E6E7E8"/>
          </w:tcPr>
          <w:p>
            <w:pPr>
              <w:pStyle w:val="TableParagraph"/>
              <w:spacing w:before="67"/>
              <w:ind w:right="67"/>
              <w:rPr>
                <w:sz w:val="16"/>
              </w:rPr>
            </w:pPr>
            <w:r>
              <w:rPr>
                <w:sz w:val="16"/>
              </w:rPr>
              <w:t>62,000</w:t>
            </w:r>
          </w:p>
        </w:tc>
        <w:tc>
          <w:tcPr>
            <w:tcW w:w="4181" w:type="dxa"/>
            <w:shd w:val="clear" w:color="auto" w:fill="E6E7E8"/>
          </w:tcPr>
          <w:p>
            <w:pPr>
              <w:pStyle w:val="TableParagraph"/>
              <w:spacing w:before="67"/>
              <w:ind w:left="75"/>
              <w:jc w:val="left"/>
              <w:rPr>
                <w:sz w:val="16"/>
              </w:rPr>
            </w:pPr>
            <w:r>
              <w:rPr>
                <w:spacing w:val="3"/>
                <w:w w:val="104"/>
                <w:sz w:val="16"/>
              </w:rPr>
              <w:t>B</w:t>
            </w:r>
            <w:r>
              <w:rPr>
                <w:spacing w:val="1"/>
                <w:w w:val="95"/>
                <w:sz w:val="16"/>
              </w:rPr>
              <w:t>u</w:t>
            </w:r>
            <w:r>
              <w:rPr>
                <w:w w:val="95"/>
                <w:sz w:val="16"/>
              </w:rPr>
              <w:t>i</w:t>
            </w:r>
            <w:r>
              <w:rPr>
                <w:spacing w:val="1"/>
                <w:w w:val="95"/>
                <w:sz w:val="16"/>
              </w:rPr>
              <w:t>l</w:t>
            </w:r>
            <w:r>
              <w:rPr>
                <w:spacing w:val="1"/>
                <w:w w:val="102"/>
                <w:sz w:val="16"/>
              </w:rPr>
              <w:t>d</w:t>
            </w:r>
            <w:r>
              <w:rPr>
                <w:spacing w:val="1"/>
                <w:w w:val="95"/>
                <w:sz w:val="16"/>
              </w:rPr>
              <w:t>i</w:t>
            </w:r>
            <w:r>
              <w:rPr>
                <w:spacing w:val="2"/>
                <w:w w:val="95"/>
                <w:sz w:val="16"/>
              </w:rPr>
              <w:t>n</w:t>
            </w:r>
            <w:r>
              <w:rPr>
                <w:w w:val="102"/>
                <w:sz w:val="16"/>
              </w:rPr>
              <w:t>g</w:t>
            </w:r>
            <w:r>
              <w:rPr>
                <w:spacing w:val="-12"/>
                <w:sz w:val="16"/>
              </w:rPr>
              <w:t> </w:t>
            </w:r>
            <w:r>
              <w:rPr>
                <w:spacing w:val="2"/>
                <w:w w:val="100"/>
                <w:sz w:val="16"/>
              </w:rPr>
              <w:t>o</w:t>
            </w:r>
            <w:r>
              <w:rPr>
                <w:w w:val="95"/>
                <w:sz w:val="16"/>
              </w:rPr>
              <w:t>n</w:t>
            </w:r>
            <w:r>
              <w:rPr>
                <w:spacing w:val="-12"/>
                <w:sz w:val="16"/>
              </w:rPr>
              <w:t> </w:t>
            </w:r>
            <w:r>
              <w:rPr>
                <w:spacing w:val="3"/>
                <w:w w:val="104"/>
                <w:sz w:val="16"/>
              </w:rPr>
              <w:t>B</w:t>
            </w:r>
            <w:r>
              <w:rPr>
                <w:spacing w:val="1"/>
                <w:w w:val="95"/>
                <w:sz w:val="16"/>
              </w:rPr>
              <w:t>r</w:t>
            </w:r>
            <w:r>
              <w:rPr>
                <w:spacing w:val="1"/>
                <w:w w:val="95"/>
                <w:sz w:val="16"/>
              </w:rPr>
              <w:t>i</w:t>
            </w:r>
            <w:r>
              <w:rPr>
                <w:spacing w:val="1"/>
                <w:w w:val="102"/>
                <w:sz w:val="16"/>
              </w:rPr>
              <w:t>d</w:t>
            </w:r>
            <w:r>
              <w:rPr>
                <w:spacing w:val="2"/>
                <w:w w:val="102"/>
                <w:sz w:val="16"/>
              </w:rPr>
              <w:t>g</w:t>
            </w:r>
            <w:r>
              <w:rPr>
                <w:spacing w:val="3"/>
                <w:w w:val="95"/>
                <w:sz w:val="16"/>
              </w:rPr>
              <w:t>e</w:t>
            </w:r>
            <w:r>
              <w:rPr>
                <w:w w:val="95"/>
                <w:sz w:val="16"/>
              </w:rPr>
              <w:t>s</w:t>
            </w:r>
            <w:r>
              <w:rPr>
                <w:spacing w:val="-12"/>
                <w:sz w:val="16"/>
              </w:rPr>
              <w:t> </w:t>
            </w:r>
            <w:r>
              <w:rPr>
                <w:spacing w:val="2"/>
                <w:w w:val="101"/>
                <w:sz w:val="16"/>
              </w:rPr>
              <w:t>N</w:t>
            </w:r>
            <w:r>
              <w:rPr>
                <w:spacing w:val="2"/>
                <w:w w:val="98"/>
                <w:sz w:val="16"/>
              </w:rPr>
              <w:t>S</w:t>
            </w:r>
            <w:r>
              <w:rPr>
                <w:w w:val="105"/>
                <w:sz w:val="16"/>
              </w:rPr>
              <w:t>W</w:t>
            </w:r>
            <w:r>
              <w:rPr>
                <w:spacing w:val="-12"/>
                <w:sz w:val="16"/>
              </w:rPr>
              <w:t> </w:t>
            </w:r>
            <w:r>
              <w:rPr>
                <w:spacing w:val="1"/>
                <w:w w:val="99"/>
                <w:sz w:val="16"/>
              </w:rPr>
              <w:t>R</w:t>
            </w:r>
            <w:r>
              <w:rPr>
                <w:spacing w:val="1"/>
                <w:w w:val="95"/>
                <w:sz w:val="16"/>
              </w:rPr>
              <w:t>u</w:t>
            </w:r>
            <w:r>
              <w:rPr>
                <w:spacing w:val="2"/>
                <w:w w:val="95"/>
                <w:sz w:val="16"/>
              </w:rPr>
              <w:t>r</w:t>
            </w:r>
            <w:r>
              <w:rPr>
                <w:spacing w:val="2"/>
                <w:w w:val="94"/>
                <w:sz w:val="16"/>
              </w:rPr>
              <w:t>a</w:t>
            </w:r>
            <w:r>
              <w:rPr>
                <w:w w:val="95"/>
                <w:sz w:val="16"/>
              </w:rPr>
              <w:t>l</w:t>
            </w:r>
            <w:r>
              <w:rPr>
                <w:spacing w:val="-12"/>
                <w:sz w:val="16"/>
              </w:rPr>
              <w:t> </w:t>
            </w:r>
            <w:r>
              <w:rPr>
                <w:spacing w:val="-9"/>
                <w:w w:val="92"/>
                <w:sz w:val="16"/>
              </w:rPr>
              <w:t>T</w:t>
            </w:r>
            <w:r>
              <w:rPr>
                <w:spacing w:val="2"/>
                <w:w w:val="100"/>
                <w:sz w:val="16"/>
              </w:rPr>
              <w:t>o</w:t>
            </w:r>
            <w:r>
              <w:rPr>
                <w:spacing w:val="1"/>
                <w:w w:val="95"/>
                <w:sz w:val="16"/>
              </w:rPr>
              <w:t>u</w:t>
            </w:r>
            <w:r>
              <w:rPr>
                <w:w w:val="95"/>
                <w:sz w:val="16"/>
              </w:rPr>
              <w:t>r</w:t>
            </w:r>
            <w:r>
              <w:rPr>
                <w:spacing w:val="-12"/>
                <w:sz w:val="16"/>
              </w:rPr>
              <w:t> </w:t>
            </w:r>
            <w:r>
              <w:rPr>
                <w:spacing w:val="-9"/>
                <w:w w:val="92"/>
                <w:sz w:val="16"/>
              </w:rPr>
              <w:t>T</w:t>
            </w:r>
            <w:r>
              <w:rPr>
                <w:spacing w:val="2"/>
                <w:w w:val="95"/>
                <w:sz w:val="16"/>
              </w:rPr>
              <w:t>e</w:t>
            </w:r>
            <w:r>
              <w:rPr>
                <w:spacing w:val="2"/>
                <w:w w:val="95"/>
                <w:sz w:val="16"/>
              </w:rPr>
              <w:t>r</w:t>
            </w:r>
            <w:r>
              <w:rPr>
                <w:w w:val="98"/>
                <w:sz w:val="16"/>
              </w:rPr>
              <w:t>m</w:t>
            </w:r>
            <w:r>
              <w:rPr>
                <w:spacing w:val="-12"/>
                <w:sz w:val="16"/>
              </w:rPr>
              <w:t> </w:t>
            </w:r>
            <w:r>
              <w:rPr>
                <w:spacing w:val="4"/>
                <w:w w:val="94"/>
                <w:sz w:val="16"/>
              </w:rPr>
              <w:t>3</w:t>
            </w:r>
            <w:r>
              <w:rPr>
                <w:w w:val="68"/>
                <w:sz w:val="16"/>
              </w:rPr>
              <w:t>,</w:t>
            </w:r>
            <w:r>
              <w:rPr>
                <w:spacing w:val="-12"/>
                <w:sz w:val="16"/>
              </w:rPr>
              <w:t> </w:t>
            </w:r>
            <w:r>
              <w:rPr>
                <w:spacing w:val="2"/>
                <w:w w:val="93"/>
                <w:sz w:val="16"/>
              </w:rPr>
              <w:t>2</w:t>
            </w:r>
            <w:r>
              <w:rPr>
                <w:spacing w:val="1"/>
                <w:w w:val="111"/>
                <w:sz w:val="16"/>
              </w:rPr>
              <w:t>0</w:t>
            </w:r>
            <w:r>
              <w:rPr>
                <w:spacing w:val="2"/>
                <w:w w:val="54"/>
                <w:sz w:val="16"/>
              </w:rPr>
              <w:t>1</w:t>
            </w:r>
            <w:r>
              <w:rPr>
                <w:w w:val="95"/>
                <w:sz w:val="16"/>
              </w:rPr>
              <w:t>5</w:t>
            </w:r>
          </w:p>
        </w:tc>
      </w:tr>
      <w:tr>
        <w:trPr>
          <w:trHeight w:val="300" w:hRule="exact"/>
        </w:trPr>
        <w:tc>
          <w:tcPr>
            <w:tcW w:w="4587" w:type="dxa"/>
            <w:shd w:val="clear" w:color="auto" w:fill="E6E7E8"/>
          </w:tcPr>
          <w:p>
            <w:pPr>
              <w:pStyle w:val="TableParagraph"/>
              <w:spacing w:before="67"/>
              <w:ind w:left="75"/>
              <w:jc w:val="left"/>
              <w:rPr>
                <w:sz w:val="16"/>
              </w:rPr>
            </w:pPr>
            <w:r>
              <w:rPr>
                <w:sz w:val="16"/>
              </w:rPr>
              <w:t>Vivid Qual Pty Ltd</w:t>
            </w:r>
          </w:p>
        </w:tc>
        <w:tc>
          <w:tcPr>
            <w:tcW w:w="1313" w:type="dxa"/>
            <w:shd w:val="clear" w:color="auto" w:fill="E6E7E8"/>
          </w:tcPr>
          <w:p>
            <w:pPr>
              <w:pStyle w:val="TableParagraph"/>
              <w:spacing w:before="67"/>
              <w:ind w:right="67"/>
              <w:rPr>
                <w:sz w:val="16"/>
              </w:rPr>
            </w:pPr>
            <w:r>
              <w:rPr>
                <w:sz w:val="16"/>
              </w:rPr>
              <w:t>62,000</w:t>
            </w:r>
          </w:p>
        </w:tc>
        <w:tc>
          <w:tcPr>
            <w:tcW w:w="4181" w:type="dxa"/>
            <w:shd w:val="clear" w:color="auto" w:fill="E6E7E8"/>
          </w:tcPr>
          <w:p>
            <w:pPr>
              <w:pStyle w:val="TableParagraph"/>
              <w:spacing w:before="67"/>
              <w:ind w:left="75"/>
              <w:jc w:val="left"/>
              <w:rPr>
                <w:sz w:val="16"/>
              </w:rPr>
            </w:pPr>
            <w:r>
              <w:rPr>
                <w:sz w:val="16"/>
              </w:rPr>
              <w:t>Information Gathering Research</w:t>
            </w:r>
          </w:p>
        </w:tc>
      </w:tr>
      <w:tr>
        <w:trPr>
          <w:trHeight w:val="300" w:hRule="exact"/>
        </w:trPr>
        <w:tc>
          <w:tcPr>
            <w:tcW w:w="4587" w:type="dxa"/>
            <w:shd w:val="clear" w:color="auto" w:fill="E6E7E8"/>
          </w:tcPr>
          <w:p>
            <w:pPr>
              <w:pStyle w:val="TableParagraph"/>
              <w:spacing w:before="67"/>
              <w:ind w:left="75"/>
              <w:jc w:val="left"/>
              <w:rPr>
                <w:sz w:val="16"/>
              </w:rPr>
            </w:pPr>
            <w:r>
              <w:rPr>
                <w:sz w:val="16"/>
              </w:rPr>
              <w:t>Youth Off The Streets</w:t>
            </w:r>
          </w:p>
        </w:tc>
        <w:tc>
          <w:tcPr>
            <w:tcW w:w="1313" w:type="dxa"/>
            <w:shd w:val="clear" w:color="auto" w:fill="E6E7E8"/>
          </w:tcPr>
          <w:p>
            <w:pPr>
              <w:pStyle w:val="TableParagraph"/>
              <w:spacing w:before="67"/>
              <w:ind w:right="67"/>
              <w:rPr>
                <w:sz w:val="16"/>
              </w:rPr>
            </w:pPr>
            <w:r>
              <w:rPr>
                <w:sz w:val="16"/>
              </w:rPr>
              <w:t>60,000</w:t>
            </w:r>
          </w:p>
        </w:tc>
        <w:tc>
          <w:tcPr>
            <w:tcW w:w="4181" w:type="dxa"/>
            <w:shd w:val="clear" w:color="auto" w:fill="E6E7E8"/>
          </w:tcPr>
          <w:p>
            <w:pPr>
              <w:pStyle w:val="TableParagraph"/>
              <w:spacing w:before="67"/>
              <w:ind w:left="75"/>
              <w:jc w:val="left"/>
              <w:rPr>
                <w:sz w:val="16"/>
              </w:rPr>
            </w:pPr>
            <w:r>
              <w:rPr>
                <w:sz w:val="16"/>
              </w:rPr>
              <w:t>Low SES</w:t>
            </w:r>
          </w:p>
        </w:tc>
      </w:tr>
      <w:tr>
        <w:trPr>
          <w:trHeight w:val="300" w:hRule="exact"/>
        </w:trPr>
        <w:tc>
          <w:tcPr>
            <w:tcW w:w="4587" w:type="dxa"/>
            <w:shd w:val="clear" w:color="auto" w:fill="E6E7E8"/>
          </w:tcPr>
          <w:p>
            <w:pPr>
              <w:pStyle w:val="TableParagraph"/>
              <w:spacing w:before="67"/>
              <w:ind w:left="75"/>
              <w:jc w:val="left"/>
              <w:rPr>
                <w:sz w:val="16"/>
              </w:rPr>
            </w:pPr>
            <w:r>
              <w:rPr>
                <w:sz w:val="16"/>
              </w:rPr>
              <w:t>Voice Project Pty Ltd</w:t>
            </w:r>
          </w:p>
        </w:tc>
        <w:tc>
          <w:tcPr>
            <w:tcW w:w="1313" w:type="dxa"/>
            <w:shd w:val="clear" w:color="auto" w:fill="E6E7E8"/>
          </w:tcPr>
          <w:p>
            <w:pPr>
              <w:pStyle w:val="TableParagraph"/>
              <w:spacing w:before="67"/>
              <w:ind w:right="72"/>
              <w:rPr>
                <w:sz w:val="16"/>
              </w:rPr>
            </w:pPr>
            <w:r>
              <w:rPr>
                <w:w w:val="95"/>
                <w:sz w:val="16"/>
              </w:rPr>
              <w:t>59,250</w:t>
            </w:r>
          </w:p>
        </w:tc>
        <w:tc>
          <w:tcPr>
            <w:tcW w:w="4181" w:type="dxa"/>
            <w:shd w:val="clear" w:color="auto" w:fill="E6E7E8"/>
          </w:tcPr>
          <w:p>
            <w:pPr>
              <w:pStyle w:val="TableParagraph"/>
              <w:spacing w:before="67"/>
              <w:ind w:left="75"/>
              <w:jc w:val="left"/>
              <w:rPr>
                <w:sz w:val="16"/>
              </w:rPr>
            </w:pPr>
            <w:r>
              <w:rPr>
                <w:sz w:val="16"/>
              </w:rPr>
              <w:t>MyVoice Survey</w:t>
            </w:r>
          </w:p>
        </w:tc>
      </w:tr>
      <w:tr>
        <w:trPr>
          <w:trHeight w:val="300" w:hRule="exact"/>
        </w:trPr>
        <w:tc>
          <w:tcPr>
            <w:tcW w:w="4587" w:type="dxa"/>
            <w:shd w:val="clear" w:color="auto" w:fill="E6E7E8"/>
          </w:tcPr>
          <w:p>
            <w:pPr>
              <w:pStyle w:val="TableParagraph"/>
              <w:spacing w:before="67"/>
              <w:ind w:left="75"/>
              <w:jc w:val="left"/>
              <w:rPr>
                <w:sz w:val="16"/>
              </w:rPr>
            </w:pPr>
            <w:r>
              <w:rPr>
                <w:sz w:val="16"/>
              </w:rPr>
              <w:t>Aust Indigenous Mentoring Experience Indigenous Corporation</w:t>
            </w:r>
          </w:p>
        </w:tc>
        <w:tc>
          <w:tcPr>
            <w:tcW w:w="1313" w:type="dxa"/>
            <w:shd w:val="clear" w:color="auto" w:fill="E6E7E8"/>
          </w:tcPr>
          <w:p>
            <w:pPr>
              <w:pStyle w:val="TableParagraph"/>
              <w:spacing w:before="67"/>
              <w:ind w:right="67"/>
              <w:rPr>
                <w:sz w:val="16"/>
              </w:rPr>
            </w:pPr>
            <w:r>
              <w:rPr>
                <w:sz w:val="16"/>
              </w:rPr>
              <w:t>55,000</w:t>
            </w:r>
          </w:p>
        </w:tc>
        <w:tc>
          <w:tcPr>
            <w:tcW w:w="4181" w:type="dxa"/>
            <w:shd w:val="clear" w:color="auto" w:fill="E6E7E8"/>
          </w:tcPr>
          <w:p>
            <w:pPr>
              <w:pStyle w:val="TableParagraph"/>
              <w:spacing w:before="67"/>
              <w:ind w:left="75"/>
              <w:jc w:val="left"/>
              <w:rPr>
                <w:sz w:val="16"/>
              </w:rPr>
            </w:pPr>
            <w:r>
              <w:rPr>
                <w:sz w:val="16"/>
              </w:rPr>
              <w:t>Mentoring Services ATSI High School</w:t>
            </w:r>
          </w:p>
        </w:tc>
      </w:tr>
      <w:tr>
        <w:trPr>
          <w:trHeight w:val="300" w:hRule="exact"/>
        </w:trPr>
        <w:tc>
          <w:tcPr>
            <w:tcW w:w="4587" w:type="dxa"/>
            <w:shd w:val="clear" w:color="auto" w:fill="E6E7E8"/>
          </w:tcPr>
          <w:p>
            <w:pPr>
              <w:pStyle w:val="TableParagraph"/>
              <w:spacing w:before="67"/>
              <w:ind w:left="75"/>
              <w:jc w:val="left"/>
              <w:rPr>
                <w:sz w:val="16"/>
              </w:rPr>
            </w:pPr>
            <w:r>
              <w:rPr>
                <w:sz w:val="16"/>
              </w:rPr>
              <w:t>IBM Aust Ltd</w:t>
            </w:r>
          </w:p>
        </w:tc>
        <w:tc>
          <w:tcPr>
            <w:tcW w:w="1313" w:type="dxa"/>
            <w:shd w:val="clear" w:color="auto" w:fill="E6E7E8"/>
          </w:tcPr>
          <w:p>
            <w:pPr>
              <w:pStyle w:val="TableParagraph"/>
              <w:spacing w:before="67"/>
              <w:ind w:right="72"/>
              <w:rPr>
                <w:sz w:val="16"/>
              </w:rPr>
            </w:pPr>
            <w:r>
              <w:rPr>
                <w:w w:val="95"/>
                <w:sz w:val="16"/>
              </w:rPr>
              <w:t>54,582</w:t>
            </w:r>
          </w:p>
        </w:tc>
        <w:tc>
          <w:tcPr>
            <w:tcW w:w="4181" w:type="dxa"/>
            <w:shd w:val="clear" w:color="auto" w:fill="E6E7E8"/>
          </w:tcPr>
          <w:p>
            <w:pPr>
              <w:pStyle w:val="TableParagraph"/>
              <w:spacing w:before="67"/>
              <w:ind w:left="75"/>
              <w:jc w:val="left"/>
              <w:rPr>
                <w:sz w:val="16"/>
              </w:rPr>
            </w:pPr>
            <w:r>
              <w:rPr>
                <w:sz w:val="16"/>
              </w:rPr>
              <w:t>SPSS Data Collection</w:t>
            </w:r>
          </w:p>
        </w:tc>
      </w:tr>
      <w:tr>
        <w:trPr>
          <w:trHeight w:val="300" w:hRule="exact"/>
        </w:trPr>
        <w:tc>
          <w:tcPr>
            <w:tcW w:w="4587" w:type="dxa"/>
            <w:shd w:val="clear" w:color="auto" w:fill="E6E7E8"/>
          </w:tcPr>
          <w:p>
            <w:pPr>
              <w:pStyle w:val="TableParagraph"/>
              <w:spacing w:before="67"/>
              <w:ind w:left="75"/>
              <w:jc w:val="left"/>
              <w:rPr>
                <w:sz w:val="16"/>
              </w:rPr>
            </w:pPr>
            <w:r>
              <w:rPr>
                <w:sz w:val="16"/>
              </w:rPr>
              <w:t>Paxus Aust Pty Ltd</w:t>
            </w:r>
          </w:p>
        </w:tc>
        <w:tc>
          <w:tcPr>
            <w:tcW w:w="1313" w:type="dxa"/>
            <w:shd w:val="clear" w:color="auto" w:fill="E6E7E8"/>
          </w:tcPr>
          <w:p>
            <w:pPr>
              <w:pStyle w:val="TableParagraph"/>
              <w:spacing w:before="67"/>
              <w:ind w:right="72"/>
              <w:rPr>
                <w:sz w:val="16"/>
              </w:rPr>
            </w:pPr>
            <w:r>
              <w:rPr>
                <w:w w:val="95"/>
                <w:sz w:val="16"/>
              </w:rPr>
              <w:t>54,462</w:t>
            </w:r>
          </w:p>
        </w:tc>
        <w:tc>
          <w:tcPr>
            <w:tcW w:w="4181" w:type="dxa"/>
            <w:shd w:val="clear" w:color="auto" w:fill="E6E7E8"/>
          </w:tcPr>
          <w:p>
            <w:pPr>
              <w:pStyle w:val="TableParagraph"/>
              <w:spacing w:before="67"/>
              <w:ind w:left="75"/>
              <w:jc w:val="left"/>
              <w:rPr>
                <w:sz w:val="16"/>
              </w:rPr>
            </w:pPr>
            <w:r>
              <w:rPr>
                <w:sz w:val="16"/>
              </w:rPr>
              <w:t>Blackboard Analytics Project</w:t>
            </w:r>
          </w:p>
        </w:tc>
      </w:tr>
      <w:tr>
        <w:trPr>
          <w:trHeight w:val="300" w:hRule="exact"/>
        </w:trPr>
        <w:tc>
          <w:tcPr>
            <w:tcW w:w="4587" w:type="dxa"/>
            <w:shd w:val="clear" w:color="auto" w:fill="E6E7E8"/>
          </w:tcPr>
          <w:p>
            <w:pPr>
              <w:pStyle w:val="TableParagraph"/>
              <w:spacing w:before="67"/>
              <w:ind w:left="75"/>
              <w:jc w:val="left"/>
              <w:rPr>
                <w:sz w:val="16"/>
              </w:rPr>
            </w:pPr>
            <w:r>
              <w:rPr>
                <w:sz w:val="16"/>
              </w:rPr>
              <w:t>GHO Sydney Pty Ltd</w:t>
            </w:r>
          </w:p>
        </w:tc>
        <w:tc>
          <w:tcPr>
            <w:tcW w:w="1313" w:type="dxa"/>
            <w:shd w:val="clear" w:color="auto" w:fill="E6E7E8"/>
          </w:tcPr>
          <w:p>
            <w:pPr>
              <w:pStyle w:val="TableParagraph"/>
              <w:spacing w:before="67"/>
              <w:ind w:right="72"/>
              <w:rPr>
                <w:sz w:val="16"/>
              </w:rPr>
            </w:pPr>
            <w:r>
              <w:rPr>
                <w:w w:val="85"/>
                <w:sz w:val="16"/>
              </w:rPr>
              <w:t>53,128</w:t>
            </w:r>
          </w:p>
        </w:tc>
        <w:tc>
          <w:tcPr>
            <w:tcW w:w="4181" w:type="dxa"/>
            <w:shd w:val="clear" w:color="auto" w:fill="E6E7E8"/>
          </w:tcPr>
          <w:p>
            <w:pPr>
              <w:pStyle w:val="TableParagraph"/>
              <w:spacing w:before="67"/>
              <w:ind w:left="75"/>
              <w:jc w:val="left"/>
              <w:rPr>
                <w:sz w:val="16"/>
              </w:rPr>
            </w:pPr>
            <w:r>
              <w:rPr>
                <w:sz w:val="16"/>
              </w:rPr>
              <w:t>Digital and Mobile Design Standards</w:t>
            </w:r>
          </w:p>
        </w:tc>
      </w:tr>
      <w:tr>
        <w:trPr>
          <w:trHeight w:val="300" w:hRule="exact"/>
        </w:trPr>
        <w:tc>
          <w:tcPr>
            <w:tcW w:w="4587" w:type="dxa"/>
            <w:shd w:val="clear" w:color="auto" w:fill="E6E7E8"/>
          </w:tcPr>
          <w:p>
            <w:pPr>
              <w:pStyle w:val="TableParagraph"/>
              <w:spacing w:before="67"/>
              <w:ind w:left="75"/>
              <w:jc w:val="left"/>
              <w:rPr>
                <w:sz w:val="16"/>
              </w:rPr>
            </w:pPr>
            <w:r>
              <w:rPr>
                <w:sz w:val="16"/>
              </w:rPr>
              <w:t>Axicom Pty Ltd</w:t>
            </w:r>
          </w:p>
        </w:tc>
        <w:tc>
          <w:tcPr>
            <w:tcW w:w="1313" w:type="dxa"/>
            <w:shd w:val="clear" w:color="auto" w:fill="E6E7E8"/>
          </w:tcPr>
          <w:p>
            <w:pPr>
              <w:pStyle w:val="TableParagraph"/>
              <w:spacing w:before="67"/>
              <w:ind w:right="67"/>
              <w:rPr>
                <w:sz w:val="16"/>
              </w:rPr>
            </w:pPr>
            <w:r>
              <w:rPr>
                <w:sz w:val="16"/>
              </w:rPr>
              <w:t>50,000</w:t>
            </w:r>
          </w:p>
        </w:tc>
        <w:tc>
          <w:tcPr>
            <w:tcW w:w="4181" w:type="dxa"/>
            <w:shd w:val="clear" w:color="auto" w:fill="E6E7E8"/>
          </w:tcPr>
          <w:p>
            <w:pPr>
              <w:pStyle w:val="TableParagraph"/>
              <w:spacing w:before="67"/>
              <w:ind w:left="75"/>
              <w:jc w:val="left"/>
              <w:rPr>
                <w:sz w:val="16"/>
              </w:rPr>
            </w:pPr>
            <w:r>
              <w:rPr>
                <w:sz w:val="16"/>
              </w:rPr>
              <w:t>Telco Relocation Project</w:t>
            </w:r>
          </w:p>
        </w:tc>
      </w:tr>
      <w:tr>
        <w:trPr>
          <w:trHeight w:val="300" w:hRule="exact"/>
        </w:trPr>
        <w:tc>
          <w:tcPr>
            <w:tcW w:w="4587" w:type="dxa"/>
            <w:shd w:val="clear" w:color="auto" w:fill="E6E7E8"/>
          </w:tcPr>
          <w:p>
            <w:pPr>
              <w:pStyle w:val="TableParagraph"/>
              <w:spacing w:before="67"/>
              <w:ind w:left="75"/>
              <w:jc w:val="left"/>
              <w:rPr>
                <w:sz w:val="16"/>
              </w:rPr>
            </w:pPr>
            <w:r>
              <w:rPr>
                <w:sz w:val="16"/>
              </w:rPr>
              <w:t>ID Consulting Pty Ltd</w:t>
            </w:r>
          </w:p>
        </w:tc>
        <w:tc>
          <w:tcPr>
            <w:tcW w:w="1313" w:type="dxa"/>
            <w:shd w:val="clear" w:color="auto" w:fill="E6E7E8"/>
          </w:tcPr>
          <w:p>
            <w:pPr>
              <w:pStyle w:val="TableParagraph"/>
              <w:spacing w:before="67"/>
              <w:ind w:right="67"/>
              <w:rPr>
                <w:sz w:val="16"/>
              </w:rPr>
            </w:pPr>
            <w:r>
              <w:rPr>
                <w:sz w:val="16"/>
              </w:rPr>
              <w:t>50,000</w:t>
            </w:r>
          </w:p>
        </w:tc>
        <w:tc>
          <w:tcPr>
            <w:tcW w:w="4181" w:type="dxa"/>
            <w:shd w:val="clear" w:color="auto" w:fill="E6E7E8"/>
          </w:tcPr>
          <w:p>
            <w:pPr>
              <w:pStyle w:val="TableParagraph"/>
              <w:spacing w:before="67"/>
              <w:ind w:left="75"/>
              <w:jc w:val="left"/>
              <w:rPr>
                <w:sz w:val="16"/>
              </w:rPr>
            </w:pPr>
            <w:r>
              <w:rPr>
                <w:sz w:val="16"/>
              </w:rPr>
              <w:t>40 Year Journey to Work Scenarios</w:t>
            </w:r>
          </w:p>
        </w:tc>
      </w:tr>
      <w:tr>
        <w:trPr>
          <w:trHeight w:val="300" w:hRule="exact"/>
        </w:trPr>
        <w:tc>
          <w:tcPr>
            <w:tcW w:w="4587" w:type="dxa"/>
            <w:shd w:val="clear" w:color="auto" w:fill="E6E7E8"/>
          </w:tcPr>
          <w:p>
            <w:pPr>
              <w:pStyle w:val="TableParagraph"/>
              <w:spacing w:before="67"/>
              <w:ind w:left="75"/>
              <w:jc w:val="left"/>
              <w:rPr>
                <w:sz w:val="16"/>
              </w:rPr>
            </w:pPr>
            <w:r>
              <w:rPr>
                <w:sz w:val="16"/>
              </w:rPr>
              <w:t>Life Without Barriers</w:t>
            </w:r>
          </w:p>
        </w:tc>
        <w:tc>
          <w:tcPr>
            <w:tcW w:w="1313" w:type="dxa"/>
            <w:shd w:val="clear" w:color="auto" w:fill="E6E7E8"/>
          </w:tcPr>
          <w:p>
            <w:pPr>
              <w:pStyle w:val="TableParagraph"/>
              <w:spacing w:before="67"/>
              <w:ind w:right="67"/>
              <w:rPr>
                <w:sz w:val="16"/>
              </w:rPr>
            </w:pPr>
            <w:r>
              <w:rPr>
                <w:sz w:val="16"/>
              </w:rPr>
              <w:t>50,000</w:t>
            </w:r>
          </w:p>
        </w:tc>
        <w:tc>
          <w:tcPr>
            <w:tcW w:w="4181" w:type="dxa"/>
            <w:shd w:val="clear" w:color="auto" w:fill="E6E7E8"/>
          </w:tcPr>
          <w:p>
            <w:pPr>
              <w:pStyle w:val="TableParagraph"/>
              <w:spacing w:before="67"/>
              <w:ind w:left="75"/>
              <w:jc w:val="left"/>
              <w:rPr>
                <w:sz w:val="16"/>
              </w:rPr>
            </w:pPr>
            <w:r>
              <w:rPr>
                <w:sz w:val="16"/>
              </w:rPr>
              <w:t>Reach Program</w:t>
            </w:r>
          </w:p>
        </w:tc>
      </w:tr>
      <w:tr>
        <w:trPr>
          <w:trHeight w:val="300" w:hRule="exact"/>
        </w:trPr>
        <w:tc>
          <w:tcPr>
            <w:tcW w:w="4587" w:type="dxa"/>
            <w:shd w:val="clear" w:color="auto" w:fill="E6E7E8"/>
          </w:tcPr>
          <w:p>
            <w:pPr>
              <w:pStyle w:val="TableParagraph"/>
              <w:spacing w:before="67"/>
              <w:ind w:left="75"/>
              <w:jc w:val="left"/>
              <w:rPr>
                <w:sz w:val="16"/>
              </w:rPr>
            </w:pPr>
            <w:r>
              <w:rPr>
                <w:sz w:val="16"/>
              </w:rPr>
              <w:t>Ted Noffs Foundation Inc</w:t>
            </w:r>
          </w:p>
        </w:tc>
        <w:tc>
          <w:tcPr>
            <w:tcW w:w="1313" w:type="dxa"/>
            <w:shd w:val="clear" w:color="auto" w:fill="E6E7E8"/>
          </w:tcPr>
          <w:p>
            <w:pPr>
              <w:pStyle w:val="TableParagraph"/>
              <w:spacing w:before="67"/>
              <w:ind w:right="67"/>
              <w:rPr>
                <w:sz w:val="16"/>
              </w:rPr>
            </w:pPr>
            <w:r>
              <w:rPr>
                <w:sz w:val="16"/>
              </w:rPr>
              <w:t>50,000</w:t>
            </w:r>
          </w:p>
        </w:tc>
        <w:tc>
          <w:tcPr>
            <w:tcW w:w="4181" w:type="dxa"/>
            <w:shd w:val="clear" w:color="auto" w:fill="E6E7E8"/>
          </w:tcPr>
          <w:p>
            <w:pPr>
              <w:pStyle w:val="TableParagraph"/>
              <w:spacing w:before="67"/>
              <w:ind w:left="75"/>
              <w:jc w:val="left"/>
              <w:rPr>
                <w:sz w:val="16"/>
              </w:rPr>
            </w:pPr>
            <w:r>
              <w:rPr>
                <w:sz w:val="16"/>
              </w:rPr>
              <w:t>Streets University</w:t>
            </w:r>
          </w:p>
        </w:tc>
      </w:tr>
      <w:tr>
        <w:trPr>
          <w:trHeight w:val="300" w:hRule="exact"/>
        </w:trPr>
        <w:tc>
          <w:tcPr>
            <w:tcW w:w="4587" w:type="dxa"/>
            <w:shd w:val="clear" w:color="auto" w:fill="E6E7E8"/>
          </w:tcPr>
          <w:p>
            <w:pPr>
              <w:pStyle w:val="TableParagraph"/>
              <w:spacing w:before="75"/>
              <w:ind w:left="75"/>
              <w:jc w:val="left"/>
              <w:rPr>
                <w:rFonts w:ascii="Calibri"/>
                <w:sz w:val="16"/>
              </w:rPr>
            </w:pPr>
            <w:r>
              <w:rPr>
                <w:rFonts w:ascii="Calibri"/>
                <w:w w:val="110"/>
                <w:sz w:val="16"/>
              </w:rPr>
              <w:t>Subtotal</w:t>
            </w:r>
          </w:p>
        </w:tc>
        <w:tc>
          <w:tcPr>
            <w:tcW w:w="1313" w:type="dxa"/>
            <w:shd w:val="clear" w:color="auto" w:fill="E6E7E8"/>
          </w:tcPr>
          <w:p>
            <w:pPr>
              <w:pStyle w:val="TableParagraph"/>
              <w:spacing w:before="75"/>
              <w:ind w:right="72"/>
              <w:rPr>
                <w:rFonts w:ascii="Calibri"/>
                <w:sz w:val="16"/>
              </w:rPr>
            </w:pPr>
            <w:r>
              <w:rPr>
                <w:rFonts w:ascii="Calibri"/>
                <w:sz w:val="16"/>
              </w:rPr>
              <w:t>8,681,852</w:t>
            </w:r>
          </w:p>
        </w:tc>
        <w:tc>
          <w:tcPr>
            <w:tcW w:w="4181" w:type="dxa"/>
            <w:shd w:val="clear" w:color="auto" w:fill="E6E7E8"/>
          </w:tcPr>
          <w:p>
            <w:pPr/>
          </w:p>
        </w:tc>
      </w:tr>
      <w:tr>
        <w:trPr>
          <w:trHeight w:val="300" w:hRule="exact"/>
        </w:trPr>
        <w:tc>
          <w:tcPr>
            <w:tcW w:w="10081" w:type="dxa"/>
            <w:gridSpan w:val="3"/>
            <w:shd w:val="clear" w:color="auto" w:fill="E6E7E8"/>
          </w:tcPr>
          <w:p>
            <w:pPr>
              <w:pStyle w:val="TableParagraph"/>
              <w:spacing w:before="75"/>
              <w:ind w:left="75"/>
              <w:jc w:val="left"/>
              <w:rPr>
                <w:rFonts w:ascii="Calibri"/>
                <w:sz w:val="16"/>
              </w:rPr>
            </w:pPr>
            <w:r>
              <w:rPr>
                <w:rFonts w:ascii="Calibri"/>
                <w:w w:val="110"/>
                <w:sz w:val="16"/>
              </w:rPr>
              <w:t>Organisational Review</w:t>
            </w:r>
          </w:p>
        </w:tc>
      </w:tr>
      <w:tr>
        <w:trPr>
          <w:trHeight w:val="300" w:hRule="exact"/>
        </w:trPr>
        <w:tc>
          <w:tcPr>
            <w:tcW w:w="4587" w:type="dxa"/>
            <w:shd w:val="clear" w:color="auto" w:fill="E6E7E8"/>
          </w:tcPr>
          <w:p>
            <w:pPr>
              <w:pStyle w:val="TableParagraph"/>
              <w:spacing w:before="67"/>
              <w:ind w:left="75"/>
              <w:jc w:val="left"/>
              <w:rPr>
                <w:sz w:val="16"/>
              </w:rPr>
            </w:pPr>
            <w:r>
              <w:rPr>
                <w:sz w:val="16"/>
              </w:rPr>
              <w:t>Nous Group Pty Ltd</w:t>
            </w:r>
          </w:p>
        </w:tc>
        <w:tc>
          <w:tcPr>
            <w:tcW w:w="1313" w:type="dxa"/>
            <w:shd w:val="clear" w:color="auto" w:fill="E6E7E8"/>
          </w:tcPr>
          <w:p>
            <w:pPr>
              <w:pStyle w:val="TableParagraph"/>
              <w:spacing w:before="67"/>
              <w:ind w:right="72"/>
              <w:rPr>
                <w:sz w:val="16"/>
              </w:rPr>
            </w:pPr>
            <w:r>
              <w:rPr>
                <w:w w:val="90"/>
                <w:sz w:val="16"/>
              </w:rPr>
              <w:t>263,543</w:t>
            </w:r>
          </w:p>
        </w:tc>
        <w:tc>
          <w:tcPr>
            <w:tcW w:w="4181" w:type="dxa"/>
            <w:shd w:val="clear" w:color="auto" w:fill="E6E7E8"/>
          </w:tcPr>
          <w:p>
            <w:pPr>
              <w:pStyle w:val="TableParagraph"/>
              <w:spacing w:before="67"/>
              <w:ind w:left="75"/>
              <w:jc w:val="left"/>
              <w:rPr>
                <w:sz w:val="16"/>
              </w:rPr>
            </w:pPr>
            <w:r>
              <w:rPr>
                <w:sz w:val="16"/>
              </w:rPr>
              <w:t>Divisional Review</w:t>
            </w:r>
          </w:p>
        </w:tc>
      </w:tr>
      <w:tr>
        <w:trPr>
          <w:trHeight w:val="300" w:hRule="exact"/>
        </w:trPr>
        <w:tc>
          <w:tcPr>
            <w:tcW w:w="4587" w:type="dxa"/>
            <w:tcBorders>
              <w:bottom w:val="nil"/>
            </w:tcBorders>
            <w:shd w:val="clear" w:color="auto" w:fill="E6E7E8"/>
          </w:tcPr>
          <w:p>
            <w:pPr>
              <w:pStyle w:val="TableParagraph"/>
              <w:spacing w:before="75"/>
              <w:ind w:left="75"/>
              <w:jc w:val="left"/>
              <w:rPr>
                <w:rFonts w:ascii="Calibri"/>
                <w:sz w:val="16"/>
              </w:rPr>
            </w:pPr>
            <w:r>
              <w:rPr>
                <w:rFonts w:ascii="Calibri"/>
                <w:w w:val="110"/>
                <w:sz w:val="16"/>
              </w:rPr>
              <w:t>Subtotal</w:t>
            </w:r>
          </w:p>
        </w:tc>
        <w:tc>
          <w:tcPr>
            <w:tcW w:w="1313" w:type="dxa"/>
            <w:tcBorders>
              <w:bottom w:val="nil"/>
            </w:tcBorders>
            <w:shd w:val="clear" w:color="auto" w:fill="E6E7E8"/>
          </w:tcPr>
          <w:p>
            <w:pPr>
              <w:pStyle w:val="TableParagraph"/>
              <w:spacing w:before="75"/>
              <w:ind w:right="71"/>
              <w:rPr>
                <w:rFonts w:ascii="Calibri"/>
                <w:sz w:val="16"/>
              </w:rPr>
            </w:pPr>
            <w:r>
              <w:rPr>
                <w:rFonts w:ascii="Calibri"/>
                <w:w w:val="105"/>
                <w:sz w:val="16"/>
              </w:rPr>
              <w:t>263,543</w:t>
            </w:r>
          </w:p>
        </w:tc>
        <w:tc>
          <w:tcPr>
            <w:tcW w:w="4181" w:type="dxa"/>
            <w:tcBorders>
              <w:bottom w:val="nil"/>
            </w:tcBorders>
            <w:shd w:val="clear" w:color="auto" w:fill="E6E7E8"/>
          </w:tcPr>
          <w:p>
            <w:pPr/>
          </w:p>
        </w:tc>
      </w:tr>
      <w:tr>
        <w:trPr>
          <w:trHeight w:val="300" w:hRule="exact"/>
        </w:trPr>
        <w:tc>
          <w:tcPr>
            <w:tcW w:w="4587" w:type="dxa"/>
            <w:tcBorders>
              <w:top w:val="nil"/>
              <w:left w:val="nil"/>
              <w:bottom w:val="nil"/>
              <w:right w:val="single" w:sz="4" w:space="0" w:color="FFFFFF"/>
            </w:tcBorders>
            <w:shd w:val="clear" w:color="auto" w:fill="939598"/>
          </w:tcPr>
          <w:p>
            <w:pPr>
              <w:pStyle w:val="TableParagraph"/>
              <w:spacing w:before="80"/>
              <w:ind w:left="80"/>
              <w:jc w:val="left"/>
              <w:rPr>
                <w:rFonts w:ascii="Calibri"/>
                <w:sz w:val="16"/>
              </w:rPr>
            </w:pPr>
            <w:r>
              <w:rPr>
                <w:rFonts w:ascii="Calibri"/>
                <w:color w:val="FFFFFF"/>
                <w:w w:val="110"/>
                <w:sz w:val="16"/>
              </w:rPr>
              <w:t>Total consultancies equal to or greater than $50,000</w:t>
            </w:r>
          </w:p>
        </w:tc>
        <w:tc>
          <w:tcPr>
            <w:tcW w:w="5494" w:type="dxa"/>
            <w:gridSpan w:val="2"/>
            <w:tcBorders>
              <w:top w:val="nil"/>
              <w:left w:val="single" w:sz="4" w:space="0" w:color="FFFFFF"/>
              <w:bottom w:val="nil"/>
              <w:right w:val="nil"/>
            </w:tcBorders>
            <w:shd w:val="clear" w:color="auto" w:fill="939598"/>
          </w:tcPr>
          <w:p>
            <w:pPr>
              <w:pStyle w:val="TableParagraph"/>
              <w:spacing w:before="80"/>
              <w:ind w:left="353"/>
              <w:jc w:val="left"/>
              <w:rPr>
                <w:rFonts w:ascii="Calibri"/>
                <w:sz w:val="16"/>
              </w:rPr>
            </w:pPr>
            <w:r>
              <w:rPr>
                <w:rFonts w:ascii="Calibri"/>
                <w:color w:val="FFFFFF"/>
                <w:w w:val="105"/>
                <w:sz w:val="16"/>
              </w:rPr>
              <w:t>$10,066,130</w:t>
            </w:r>
          </w:p>
        </w:tc>
      </w:tr>
      <w:tr>
        <w:trPr>
          <w:trHeight w:val="300" w:hRule="exact"/>
        </w:trPr>
        <w:tc>
          <w:tcPr>
            <w:tcW w:w="10081" w:type="dxa"/>
            <w:gridSpan w:val="3"/>
            <w:tcBorders>
              <w:top w:val="nil"/>
            </w:tcBorders>
            <w:shd w:val="clear" w:color="auto" w:fill="E6E7E8"/>
          </w:tcPr>
          <w:p>
            <w:pPr>
              <w:pStyle w:val="TableParagraph"/>
              <w:spacing w:before="80"/>
              <w:ind w:left="75"/>
              <w:jc w:val="left"/>
              <w:rPr>
                <w:rFonts w:ascii="Calibri"/>
                <w:sz w:val="16"/>
              </w:rPr>
            </w:pPr>
            <w:r>
              <w:rPr>
                <w:rFonts w:ascii="Calibri"/>
                <w:w w:val="105"/>
                <w:sz w:val="16"/>
              </w:rPr>
              <w:t>During 2015 other consultancies were engaged in the following areas:</w:t>
            </w:r>
          </w:p>
        </w:tc>
      </w:tr>
      <w:tr>
        <w:trPr>
          <w:trHeight w:val="300" w:hRule="exact"/>
        </w:trPr>
        <w:tc>
          <w:tcPr>
            <w:tcW w:w="4587" w:type="dxa"/>
            <w:shd w:val="clear" w:color="auto" w:fill="E6E7E8"/>
          </w:tcPr>
          <w:p>
            <w:pPr>
              <w:pStyle w:val="TableParagraph"/>
              <w:spacing w:before="67"/>
              <w:ind w:left="75"/>
              <w:jc w:val="left"/>
              <w:rPr>
                <w:sz w:val="16"/>
              </w:rPr>
            </w:pPr>
            <w:r>
              <w:rPr>
                <w:sz w:val="16"/>
              </w:rPr>
              <w:t>Finance and accounting/tax</w:t>
            </w:r>
          </w:p>
        </w:tc>
        <w:tc>
          <w:tcPr>
            <w:tcW w:w="1313" w:type="dxa"/>
            <w:shd w:val="clear" w:color="auto" w:fill="E6E7E8"/>
          </w:tcPr>
          <w:p>
            <w:pPr>
              <w:pStyle w:val="TableParagraph"/>
              <w:spacing w:before="67"/>
              <w:ind w:right="67"/>
              <w:rPr>
                <w:sz w:val="16"/>
              </w:rPr>
            </w:pPr>
            <w:r>
              <w:rPr>
                <w:sz w:val="16"/>
              </w:rPr>
              <w:t>24,000</w:t>
            </w:r>
          </w:p>
        </w:tc>
        <w:tc>
          <w:tcPr>
            <w:tcW w:w="4181" w:type="dxa"/>
            <w:shd w:val="clear" w:color="auto" w:fill="E6E7E8"/>
          </w:tcPr>
          <w:p>
            <w:pPr/>
          </w:p>
        </w:tc>
      </w:tr>
      <w:tr>
        <w:trPr>
          <w:trHeight w:val="300" w:hRule="exact"/>
        </w:trPr>
        <w:tc>
          <w:tcPr>
            <w:tcW w:w="4587" w:type="dxa"/>
            <w:shd w:val="clear" w:color="auto" w:fill="E6E7E8"/>
          </w:tcPr>
          <w:p>
            <w:pPr>
              <w:pStyle w:val="TableParagraph"/>
              <w:spacing w:before="67"/>
              <w:ind w:left="75"/>
              <w:jc w:val="left"/>
              <w:rPr>
                <w:sz w:val="16"/>
              </w:rPr>
            </w:pPr>
            <w:r>
              <w:rPr>
                <w:sz w:val="16"/>
              </w:rPr>
              <w:t>Information technology</w:t>
            </w:r>
          </w:p>
        </w:tc>
        <w:tc>
          <w:tcPr>
            <w:tcW w:w="1313" w:type="dxa"/>
            <w:shd w:val="clear" w:color="auto" w:fill="E6E7E8"/>
          </w:tcPr>
          <w:p>
            <w:pPr>
              <w:pStyle w:val="TableParagraph"/>
              <w:spacing w:before="67"/>
              <w:ind w:right="72"/>
              <w:rPr>
                <w:sz w:val="16"/>
              </w:rPr>
            </w:pPr>
            <w:r>
              <w:rPr>
                <w:w w:val="95"/>
                <w:sz w:val="16"/>
              </w:rPr>
              <w:t>674,502</w:t>
            </w:r>
          </w:p>
        </w:tc>
        <w:tc>
          <w:tcPr>
            <w:tcW w:w="4181" w:type="dxa"/>
            <w:shd w:val="clear" w:color="auto" w:fill="E6E7E8"/>
          </w:tcPr>
          <w:p>
            <w:pPr/>
          </w:p>
        </w:tc>
      </w:tr>
      <w:tr>
        <w:trPr>
          <w:trHeight w:val="300" w:hRule="exact"/>
        </w:trPr>
        <w:tc>
          <w:tcPr>
            <w:tcW w:w="4587" w:type="dxa"/>
            <w:shd w:val="clear" w:color="auto" w:fill="E6E7E8"/>
          </w:tcPr>
          <w:p>
            <w:pPr>
              <w:pStyle w:val="TableParagraph"/>
              <w:spacing w:before="67"/>
              <w:ind w:left="75"/>
              <w:jc w:val="left"/>
              <w:rPr>
                <w:sz w:val="16"/>
              </w:rPr>
            </w:pPr>
            <w:r>
              <w:rPr>
                <w:sz w:val="16"/>
              </w:rPr>
              <w:t>Management services</w:t>
            </w:r>
          </w:p>
        </w:tc>
        <w:tc>
          <w:tcPr>
            <w:tcW w:w="1313" w:type="dxa"/>
            <w:shd w:val="clear" w:color="auto" w:fill="E6E7E8"/>
          </w:tcPr>
          <w:p>
            <w:pPr>
              <w:pStyle w:val="TableParagraph"/>
              <w:spacing w:before="67"/>
              <w:ind w:right="72"/>
              <w:rPr>
                <w:sz w:val="16"/>
              </w:rPr>
            </w:pPr>
            <w:r>
              <w:rPr>
                <w:spacing w:val="4"/>
                <w:w w:val="54"/>
                <w:sz w:val="16"/>
              </w:rPr>
              <w:t>1</w:t>
            </w:r>
            <w:r>
              <w:rPr>
                <w:spacing w:val="6"/>
                <w:w w:val="68"/>
                <w:sz w:val="16"/>
              </w:rPr>
              <w:t>,</w:t>
            </w:r>
            <w:r>
              <w:rPr>
                <w:spacing w:val="3"/>
                <w:w w:val="94"/>
                <w:sz w:val="16"/>
              </w:rPr>
              <w:t>3</w:t>
            </w:r>
            <w:r>
              <w:rPr>
                <w:spacing w:val="-3"/>
                <w:w w:val="111"/>
                <w:sz w:val="16"/>
              </w:rPr>
              <w:t>0</w:t>
            </w:r>
            <w:r>
              <w:rPr>
                <w:spacing w:val="-9"/>
                <w:w w:val="83"/>
                <w:sz w:val="16"/>
              </w:rPr>
              <w:t>7</w:t>
            </w:r>
            <w:r>
              <w:rPr>
                <w:w w:val="83"/>
                <w:sz w:val="16"/>
              </w:rPr>
              <w:t>,</w:t>
            </w:r>
            <w:r>
              <w:rPr>
                <w:spacing w:val="2"/>
                <w:w w:val="54"/>
                <w:sz w:val="16"/>
              </w:rPr>
              <w:t>1</w:t>
            </w:r>
            <w:r>
              <w:rPr>
                <w:spacing w:val="3"/>
                <w:w w:val="94"/>
                <w:sz w:val="16"/>
              </w:rPr>
              <w:t>3</w:t>
            </w:r>
            <w:r>
              <w:rPr>
                <w:w w:val="94"/>
                <w:sz w:val="16"/>
              </w:rPr>
              <w:t>3</w:t>
            </w:r>
          </w:p>
        </w:tc>
        <w:tc>
          <w:tcPr>
            <w:tcW w:w="4181" w:type="dxa"/>
            <w:shd w:val="clear" w:color="auto" w:fill="E6E7E8"/>
          </w:tcPr>
          <w:p>
            <w:pPr/>
          </w:p>
        </w:tc>
      </w:tr>
      <w:tr>
        <w:trPr>
          <w:trHeight w:val="300" w:hRule="exact"/>
        </w:trPr>
        <w:tc>
          <w:tcPr>
            <w:tcW w:w="4587" w:type="dxa"/>
            <w:tcBorders>
              <w:bottom w:val="nil"/>
            </w:tcBorders>
            <w:shd w:val="clear" w:color="auto" w:fill="E6E7E8"/>
          </w:tcPr>
          <w:p>
            <w:pPr>
              <w:pStyle w:val="TableParagraph"/>
              <w:spacing w:before="67"/>
              <w:ind w:left="75"/>
              <w:jc w:val="left"/>
              <w:rPr>
                <w:sz w:val="16"/>
              </w:rPr>
            </w:pPr>
            <w:r>
              <w:rPr>
                <w:sz w:val="16"/>
              </w:rPr>
              <w:t>Recruitment services</w:t>
            </w:r>
          </w:p>
        </w:tc>
        <w:tc>
          <w:tcPr>
            <w:tcW w:w="1313" w:type="dxa"/>
            <w:tcBorders>
              <w:bottom w:val="nil"/>
            </w:tcBorders>
            <w:shd w:val="clear" w:color="auto" w:fill="E6E7E8"/>
          </w:tcPr>
          <w:p>
            <w:pPr>
              <w:pStyle w:val="TableParagraph"/>
              <w:spacing w:before="67"/>
              <w:ind w:right="68"/>
              <w:rPr>
                <w:sz w:val="16"/>
              </w:rPr>
            </w:pPr>
            <w:r>
              <w:rPr>
                <w:sz w:val="16"/>
              </w:rPr>
              <w:t>40,640</w:t>
            </w:r>
          </w:p>
        </w:tc>
        <w:tc>
          <w:tcPr>
            <w:tcW w:w="4181" w:type="dxa"/>
            <w:tcBorders>
              <w:bottom w:val="nil"/>
            </w:tcBorders>
            <w:shd w:val="clear" w:color="auto" w:fill="E6E7E8"/>
          </w:tcPr>
          <w:p>
            <w:pPr/>
          </w:p>
        </w:tc>
      </w:tr>
      <w:tr>
        <w:trPr>
          <w:trHeight w:val="300" w:hRule="exact"/>
        </w:trPr>
        <w:tc>
          <w:tcPr>
            <w:tcW w:w="4587" w:type="dxa"/>
            <w:tcBorders>
              <w:top w:val="nil"/>
              <w:left w:val="nil"/>
              <w:bottom w:val="single" w:sz="4" w:space="0" w:color="FFFFFF"/>
              <w:right w:val="single" w:sz="4" w:space="0" w:color="FFFFFF"/>
            </w:tcBorders>
            <w:shd w:val="clear" w:color="auto" w:fill="939598"/>
          </w:tcPr>
          <w:p>
            <w:pPr>
              <w:pStyle w:val="TableParagraph"/>
              <w:spacing w:before="80"/>
              <w:ind w:left="80"/>
              <w:jc w:val="left"/>
              <w:rPr>
                <w:rFonts w:ascii="Calibri"/>
                <w:sz w:val="16"/>
              </w:rPr>
            </w:pPr>
            <w:r>
              <w:rPr>
                <w:rFonts w:ascii="Calibri"/>
                <w:color w:val="FFFFFF"/>
                <w:w w:val="110"/>
                <w:sz w:val="16"/>
              </w:rPr>
              <w:t>Total consultancies less than $50,000</w:t>
            </w:r>
          </w:p>
        </w:tc>
        <w:tc>
          <w:tcPr>
            <w:tcW w:w="5494" w:type="dxa"/>
            <w:gridSpan w:val="2"/>
            <w:tcBorders>
              <w:top w:val="nil"/>
              <w:left w:val="single" w:sz="4" w:space="0" w:color="FFFFFF"/>
              <w:bottom w:val="single" w:sz="4" w:space="0" w:color="FFFFFF"/>
              <w:right w:val="nil"/>
            </w:tcBorders>
            <w:shd w:val="clear" w:color="auto" w:fill="939598"/>
          </w:tcPr>
          <w:p>
            <w:pPr>
              <w:pStyle w:val="TableParagraph"/>
              <w:spacing w:before="80"/>
              <w:ind w:left="401"/>
              <w:jc w:val="left"/>
              <w:rPr>
                <w:rFonts w:ascii="Calibri"/>
                <w:sz w:val="16"/>
              </w:rPr>
            </w:pPr>
            <w:r>
              <w:rPr>
                <w:rFonts w:ascii="Calibri"/>
                <w:color w:val="FFFFFF"/>
                <w:w w:val="110"/>
                <w:sz w:val="16"/>
              </w:rPr>
              <w:t>$2,046,275</w:t>
            </w:r>
          </w:p>
        </w:tc>
      </w:tr>
      <w:tr>
        <w:trPr>
          <w:trHeight w:val="300" w:hRule="exact"/>
        </w:trPr>
        <w:tc>
          <w:tcPr>
            <w:tcW w:w="4587" w:type="dxa"/>
            <w:tcBorders>
              <w:top w:val="single" w:sz="4" w:space="0" w:color="FFFFFF"/>
              <w:left w:val="nil"/>
              <w:bottom w:val="nil"/>
              <w:right w:val="single" w:sz="4" w:space="0" w:color="FFFFFF"/>
            </w:tcBorders>
            <w:shd w:val="clear" w:color="auto" w:fill="939598"/>
          </w:tcPr>
          <w:p>
            <w:pPr>
              <w:pStyle w:val="TableParagraph"/>
              <w:spacing w:before="75"/>
              <w:ind w:left="80"/>
              <w:jc w:val="left"/>
              <w:rPr>
                <w:rFonts w:ascii="Calibri"/>
                <w:sz w:val="16"/>
              </w:rPr>
            </w:pPr>
            <w:r>
              <w:rPr>
                <w:rFonts w:ascii="Calibri"/>
                <w:color w:val="FFFFFF"/>
                <w:w w:val="110"/>
                <w:sz w:val="16"/>
              </w:rPr>
              <w:t>Total consultancies</w:t>
            </w:r>
          </w:p>
        </w:tc>
        <w:tc>
          <w:tcPr>
            <w:tcW w:w="5494" w:type="dxa"/>
            <w:gridSpan w:val="2"/>
            <w:tcBorders>
              <w:top w:val="single" w:sz="4" w:space="0" w:color="FFFFFF"/>
              <w:left w:val="single" w:sz="4" w:space="0" w:color="FFFFFF"/>
              <w:bottom w:val="nil"/>
              <w:right w:val="nil"/>
            </w:tcBorders>
            <w:shd w:val="clear" w:color="auto" w:fill="939598"/>
          </w:tcPr>
          <w:p>
            <w:pPr>
              <w:pStyle w:val="TableParagraph"/>
              <w:spacing w:before="75"/>
              <w:ind w:left="411"/>
              <w:jc w:val="left"/>
              <w:rPr>
                <w:rFonts w:ascii="Calibri"/>
                <w:sz w:val="16"/>
              </w:rPr>
            </w:pPr>
            <w:r>
              <w:rPr>
                <w:rFonts w:ascii="Calibri"/>
                <w:color w:val="FFFFFF"/>
                <w:sz w:val="16"/>
              </w:rPr>
              <w:t>$12,112,405</w:t>
            </w:r>
          </w:p>
        </w:tc>
      </w:tr>
    </w:tbl>
    <w:p>
      <w:pPr>
        <w:spacing w:after="0"/>
        <w:jc w:val="left"/>
        <w:rPr>
          <w:rFonts w:ascii="Calibri"/>
          <w:sz w:val="16"/>
        </w:rPr>
        <w:sectPr>
          <w:pgSz w:w="11910" w:h="16840"/>
          <w:pgMar w:header="494" w:footer="473" w:top="680" w:bottom="660" w:left="580" w:right="580"/>
        </w:sectPr>
      </w:pPr>
    </w:p>
    <w:p>
      <w:pPr>
        <w:pStyle w:val="BodyText"/>
        <w:spacing w:before="9"/>
        <w:rPr>
          <w:rFonts w:ascii="Gotham Narrow Bold"/>
          <w:b/>
          <w:sz w:val="28"/>
        </w:rPr>
      </w:pPr>
      <w:r>
        <w:rPr/>
        <w:pict>
          <v:rect style="position:absolute;margin-left:34.015999pt;margin-top:45.355015pt;width:527.244pt;height:751.181pt;mso-position-horizontal-relative:page;mso-position-vertical-relative:page;z-index:-331672" filled="true" fillcolor="#e6e7e8" stroked="false">
            <v:fill type="solid"/>
            <w10:wrap type="none"/>
          </v:rect>
        </w:pict>
      </w:r>
    </w:p>
    <w:p>
      <w:pPr>
        <w:spacing w:before="30"/>
        <w:ind w:left="327" w:right="7611" w:firstLine="0"/>
        <w:jc w:val="left"/>
        <w:rPr>
          <w:rFonts w:ascii="Gotham Narrow Bold"/>
          <w:b/>
          <w:sz w:val="40"/>
        </w:rPr>
      </w:pPr>
      <w:r>
        <w:rPr>
          <w:rFonts w:ascii="Gotham Narrow Bold"/>
          <w:b/>
          <w:w w:val="95"/>
          <w:sz w:val="40"/>
        </w:rPr>
        <w:t>APPENDIX 10</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spacing w:before="58"/>
        <w:ind w:left="327" w:right="5322" w:firstLine="0"/>
        <w:jc w:val="left"/>
        <w:rPr>
          <w:rFonts w:ascii="Gotham Narrow Bold"/>
          <w:b/>
          <w:sz w:val="24"/>
        </w:rPr>
      </w:pPr>
      <w:r>
        <w:rPr>
          <w:rFonts w:ascii="Gotham Narrow Bold"/>
          <w:b/>
          <w:w w:val="95"/>
          <w:sz w:val="24"/>
        </w:rPr>
        <w:t>EQUITY AND DIVERSITY STATISTICS</w:t>
      </w:r>
    </w:p>
    <w:p>
      <w:pPr>
        <w:spacing w:before="215"/>
        <w:ind w:left="327" w:right="411" w:firstLine="0"/>
        <w:jc w:val="left"/>
        <w:rPr>
          <w:rFonts w:ascii="Gotham Narrow Bold" w:hAnsi="Gotham Narrow Bold"/>
          <w:b/>
          <w:sz w:val="16"/>
        </w:rPr>
      </w:pPr>
      <w:r>
        <w:rPr>
          <w:rFonts w:ascii="Gotham Narrow Bold" w:hAnsi="Gotham Narrow Bold"/>
          <w:b/>
          <w:color w:val="636466"/>
          <w:sz w:val="16"/>
        </w:rPr>
        <w:t>Table A.1 Trends in the Representation of Equal Employment Opportunity (EEO) Groups – Academic staff</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2244"/>
        <w:gridCol w:w="1120"/>
        <w:gridCol w:w="1120"/>
        <w:gridCol w:w="1120"/>
        <w:gridCol w:w="1120"/>
        <w:gridCol w:w="1120"/>
        <w:gridCol w:w="1120"/>
        <w:gridCol w:w="1120"/>
      </w:tblGrid>
      <w:tr>
        <w:trPr>
          <w:trHeight w:val="488" w:hRule="exact"/>
        </w:trPr>
        <w:tc>
          <w:tcPr>
            <w:tcW w:w="2244" w:type="dxa"/>
            <w:tcBorders>
              <w:top w:val="nil"/>
              <w:left w:val="nil"/>
              <w:bottom w:val="nil"/>
              <w:right w:val="nil"/>
            </w:tcBorders>
            <w:shd w:val="clear" w:color="auto" w:fill="939598"/>
          </w:tcPr>
          <w:p>
            <w:pPr>
              <w:pStyle w:val="TableParagraph"/>
              <w:spacing w:line="249" w:lineRule="auto" w:before="54"/>
              <w:ind w:left="79" w:right="375"/>
              <w:jc w:val="left"/>
              <w:rPr>
                <w:rFonts w:ascii="Gotham Narrow Bold"/>
                <w:b/>
                <w:sz w:val="16"/>
              </w:rPr>
            </w:pPr>
            <w:r>
              <w:rPr>
                <w:rFonts w:ascii="Gotham Narrow Bold"/>
                <w:b/>
                <w:color w:val="FFFFFF"/>
                <w:sz w:val="16"/>
              </w:rPr>
              <w:t>EEO GROUPS: </w:t>
            </w:r>
            <w:r>
              <w:rPr>
                <w:rFonts w:ascii="Gotham Narrow Bold"/>
                <w:b/>
                <w:color w:val="FFFFFF"/>
                <w:w w:val="95"/>
                <w:sz w:val="16"/>
              </w:rPr>
              <w:t>ACADEMIC STAFF</w:t>
            </w:r>
          </w:p>
        </w:tc>
        <w:tc>
          <w:tcPr>
            <w:tcW w:w="1120" w:type="dxa"/>
            <w:tcBorders>
              <w:top w:val="nil"/>
              <w:left w:val="nil"/>
              <w:bottom w:val="nil"/>
              <w:right w:val="nil"/>
            </w:tcBorders>
            <w:shd w:val="clear" w:color="auto" w:fill="939598"/>
          </w:tcPr>
          <w:p>
            <w:pPr>
              <w:pStyle w:val="TableParagraph"/>
              <w:spacing w:line="249" w:lineRule="auto" w:before="54"/>
              <w:ind w:left="207" w:right="62" w:hanging="119"/>
              <w:jc w:val="left"/>
              <w:rPr>
                <w:rFonts w:ascii="Gotham Narrow Bold"/>
                <w:b/>
                <w:sz w:val="16"/>
              </w:rPr>
            </w:pPr>
            <w:r>
              <w:rPr>
                <w:rFonts w:ascii="Gotham Narrow Bold"/>
                <w:b/>
                <w:color w:val="FFFFFF"/>
                <w:w w:val="95"/>
                <w:sz w:val="16"/>
              </w:rPr>
              <w:t>BENCHMARK OR TARGET</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2010</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2011</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2012</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2013</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2014</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2015</w:t>
            </w:r>
          </w:p>
        </w:tc>
      </w:tr>
      <w:tr>
        <w:trPr>
          <w:trHeight w:val="340" w:hRule="exact"/>
        </w:trPr>
        <w:tc>
          <w:tcPr>
            <w:tcW w:w="2244" w:type="dxa"/>
            <w:tcBorders>
              <w:top w:val="nil"/>
            </w:tcBorders>
            <w:shd w:val="clear" w:color="auto" w:fill="E6E7E8"/>
          </w:tcPr>
          <w:p>
            <w:pPr>
              <w:pStyle w:val="TableParagraph"/>
              <w:spacing w:before="74"/>
              <w:ind w:left="74" w:right="88"/>
              <w:jc w:val="left"/>
              <w:rPr>
                <w:sz w:val="16"/>
              </w:rPr>
            </w:pPr>
            <w:r>
              <w:rPr>
                <w:sz w:val="16"/>
              </w:rPr>
              <w:t>Women</w:t>
            </w:r>
          </w:p>
        </w:tc>
        <w:tc>
          <w:tcPr>
            <w:tcW w:w="1120" w:type="dxa"/>
            <w:tcBorders>
              <w:top w:val="nil"/>
            </w:tcBorders>
            <w:shd w:val="clear" w:color="auto" w:fill="E6E7E8"/>
          </w:tcPr>
          <w:p>
            <w:pPr>
              <w:pStyle w:val="TableParagraph"/>
              <w:spacing w:before="74"/>
              <w:ind w:right="69"/>
              <w:rPr>
                <w:sz w:val="16"/>
              </w:rPr>
            </w:pPr>
            <w:r>
              <w:rPr>
                <w:w w:val="90"/>
                <w:sz w:val="16"/>
              </w:rPr>
              <w:t>50%</w:t>
            </w:r>
          </w:p>
        </w:tc>
        <w:tc>
          <w:tcPr>
            <w:tcW w:w="1120" w:type="dxa"/>
            <w:tcBorders>
              <w:top w:val="nil"/>
            </w:tcBorders>
            <w:shd w:val="clear" w:color="auto" w:fill="E6E7E8"/>
          </w:tcPr>
          <w:p>
            <w:pPr>
              <w:pStyle w:val="TableParagraph"/>
              <w:spacing w:before="74"/>
              <w:ind w:right="73"/>
              <w:rPr>
                <w:sz w:val="16"/>
              </w:rPr>
            </w:pPr>
            <w:r>
              <w:rPr>
                <w:w w:val="90"/>
                <w:sz w:val="16"/>
              </w:rPr>
              <w:t>49%</w:t>
            </w:r>
          </w:p>
        </w:tc>
        <w:tc>
          <w:tcPr>
            <w:tcW w:w="1120" w:type="dxa"/>
            <w:tcBorders>
              <w:top w:val="nil"/>
            </w:tcBorders>
            <w:shd w:val="clear" w:color="auto" w:fill="E6E7E8"/>
          </w:tcPr>
          <w:p>
            <w:pPr>
              <w:pStyle w:val="TableParagraph"/>
              <w:spacing w:before="74"/>
              <w:ind w:right="69"/>
              <w:rPr>
                <w:sz w:val="16"/>
              </w:rPr>
            </w:pPr>
            <w:r>
              <w:rPr>
                <w:w w:val="90"/>
                <w:sz w:val="16"/>
              </w:rPr>
              <w:t>50%</w:t>
            </w:r>
          </w:p>
        </w:tc>
        <w:tc>
          <w:tcPr>
            <w:tcW w:w="1120" w:type="dxa"/>
            <w:tcBorders>
              <w:top w:val="nil"/>
            </w:tcBorders>
            <w:shd w:val="clear" w:color="auto" w:fill="E6E7E8"/>
          </w:tcPr>
          <w:p>
            <w:pPr>
              <w:pStyle w:val="TableParagraph"/>
              <w:spacing w:before="74"/>
              <w:ind w:right="69"/>
              <w:rPr>
                <w:sz w:val="16"/>
              </w:rPr>
            </w:pPr>
            <w:r>
              <w:rPr>
                <w:w w:val="85"/>
                <w:sz w:val="16"/>
              </w:rPr>
              <w:t>48%</w:t>
            </w:r>
          </w:p>
        </w:tc>
        <w:tc>
          <w:tcPr>
            <w:tcW w:w="1120" w:type="dxa"/>
            <w:tcBorders>
              <w:top w:val="nil"/>
            </w:tcBorders>
            <w:shd w:val="clear" w:color="auto" w:fill="E6E7E8"/>
          </w:tcPr>
          <w:p>
            <w:pPr>
              <w:pStyle w:val="TableParagraph"/>
              <w:spacing w:before="74"/>
              <w:ind w:right="73"/>
              <w:rPr>
                <w:sz w:val="16"/>
              </w:rPr>
            </w:pPr>
            <w:r>
              <w:rPr>
                <w:w w:val="90"/>
                <w:sz w:val="16"/>
              </w:rPr>
              <w:t>49%</w:t>
            </w:r>
          </w:p>
        </w:tc>
        <w:tc>
          <w:tcPr>
            <w:tcW w:w="1120" w:type="dxa"/>
            <w:tcBorders>
              <w:top w:val="nil"/>
            </w:tcBorders>
            <w:shd w:val="clear" w:color="auto" w:fill="E6E7E8"/>
          </w:tcPr>
          <w:p>
            <w:pPr>
              <w:pStyle w:val="TableParagraph"/>
              <w:spacing w:before="74"/>
              <w:ind w:right="73"/>
              <w:rPr>
                <w:sz w:val="16"/>
              </w:rPr>
            </w:pPr>
            <w:r>
              <w:rPr>
                <w:w w:val="90"/>
                <w:sz w:val="16"/>
              </w:rPr>
              <w:t>49%</w:t>
            </w:r>
          </w:p>
        </w:tc>
        <w:tc>
          <w:tcPr>
            <w:tcW w:w="1120" w:type="dxa"/>
            <w:tcBorders>
              <w:top w:val="nil"/>
            </w:tcBorders>
            <w:shd w:val="clear" w:color="auto" w:fill="E6E7E8"/>
          </w:tcPr>
          <w:p>
            <w:pPr>
              <w:pStyle w:val="TableParagraph"/>
              <w:spacing w:before="74"/>
              <w:ind w:right="73"/>
              <w:rPr>
                <w:sz w:val="16"/>
              </w:rPr>
            </w:pPr>
            <w:r>
              <w:rPr>
                <w:w w:val="90"/>
                <w:sz w:val="16"/>
              </w:rPr>
              <w:t>49%</w:t>
            </w:r>
          </w:p>
        </w:tc>
      </w:tr>
      <w:tr>
        <w:trPr>
          <w:trHeight w:val="488" w:hRule="exact"/>
        </w:trPr>
        <w:tc>
          <w:tcPr>
            <w:tcW w:w="2244" w:type="dxa"/>
            <w:shd w:val="clear" w:color="auto" w:fill="E6E7E8"/>
          </w:tcPr>
          <w:p>
            <w:pPr>
              <w:pStyle w:val="TableParagraph"/>
              <w:spacing w:line="249" w:lineRule="auto" w:before="43"/>
              <w:ind w:left="74" w:right="88"/>
              <w:jc w:val="left"/>
              <w:rPr>
                <w:sz w:val="16"/>
              </w:rPr>
            </w:pPr>
            <w:r>
              <w:rPr>
                <w:sz w:val="16"/>
              </w:rPr>
              <w:t>Aboriginal and Torres Strait Islander people</w:t>
            </w:r>
          </w:p>
        </w:tc>
        <w:tc>
          <w:tcPr>
            <w:tcW w:w="1120" w:type="dxa"/>
            <w:shd w:val="clear" w:color="auto" w:fill="E6E7E8"/>
          </w:tcPr>
          <w:p>
            <w:pPr>
              <w:pStyle w:val="TableParagraph"/>
              <w:spacing w:before="143"/>
              <w:ind w:right="68"/>
              <w:rPr>
                <w:sz w:val="16"/>
              </w:rPr>
            </w:pPr>
            <w:r>
              <w:rPr>
                <w:w w:val="80"/>
                <w:sz w:val="16"/>
              </w:rPr>
              <w:t>2%</w:t>
            </w:r>
          </w:p>
        </w:tc>
        <w:tc>
          <w:tcPr>
            <w:tcW w:w="1120" w:type="dxa"/>
            <w:shd w:val="clear" w:color="auto" w:fill="E6E7E8"/>
          </w:tcPr>
          <w:p>
            <w:pPr>
              <w:pStyle w:val="TableParagraph"/>
              <w:spacing w:before="143"/>
              <w:ind w:right="70"/>
              <w:rPr>
                <w:sz w:val="16"/>
              </w:rPr>
            </w:pPr>
            <w:r>
              <w:rPr>
                <w:w w:val="65"/>
                <w:sz w:val="16"/>
              </w:rPr>
              <w:t>1%</w:t>
            </w:r>
          </w:p>
        </w:tc>
        <w:tc>
          <w:tcPr>
            <w:tcW w:w="1120" w:type="dxa"/>
            <w:shd w:val="clear" w:color="auto" w:fill="E6E7E8"/>
          </w:tcPr>
          <w:p>
            <w:pPr>
              <w:pStyle w:val="TableParagraph"/>
              <w:spacing w:before="143"/>
              <w:ind w:right="68"/>
              <w:rPr>
                <w:sz w:val="16"/>
              </w:rPr>
            </w:pPr>
            <w:r>
              <w:rPr>
                <w:w w:val="80"/>
                <w:sz w:val="16"/>
              </w:rPr>
              <w:t>2%</w:t>
            </w:r>
          </w:p>
        </w:tc>
        <w:tc>
          <w:tcPr>
            <w:tcW w:w="1120" w:type="dxa"/>
            <w:shd w:val="clear" w:color="auto" w:fill="E6E7E8"/>
          </w:tcPr>
          <w:p>
            <w:pPr>
              <w:pStyle w:val="TableParagraph"/>
              <w:spacing w:before="143"/>
              <w:ind w:right="68"/>
              <w:rPr>
                <w:sz w:val="16"/>
              </w:rPr>
            </w:pPr>
            <w:r>
              <w:rPr>
                <w:w w:val="80"/>
                <w:sz w:val="16"/>
              </w:rPr>
              <w:t>2%</w:t>
            </w:r>
          </w:p>
        </w:tc>
        <w:tc>
          <w:tcPr>
            <w:tcW w:w="1120" w:type="dxa"/>
            <w:shd w:val="clear" w:color="auto" w:fill="E6E7E8"/>
          </w:tcPr>
          <w:p>
            <w:pPr>
              <w:pStyle w:val="TableParagraph"/>
              <w:spacing w:before="143"/>
              <w:ind w:right="68"/>
              <w:rPr>
                <w:sz w:val="16"/>
              </w:rPr>
            </w:pPr>
            <w:r>
              <w:rPr>
                <w:w w:val="80"/>
                <w:sz w:val="16"/>
              </w:rPr>
              <w:t>2%</w:t>
            </w:r>
          </w:p>
        </w:tc>
        <w:tc>
          <w:tcPr>
            <w:tcW w:w="1120" w:type="dxa"/>
            <w:shd w:val="clear" w:color="auto" w:fill="E6E7E8"/>
          </w:tcPr>
          <w:p>
            <w:pPr>
              <w:pStyle w:val="TableParagraph"/>
              <w:spacing w:before="143"/>
              <w:ind w:right="71"/>
              <w:rPr>
                <w:sz w:val="16"/>
              </w:rPr>
            </w:pPr>
            <w:r>
              <w:rPr>
                <w:w w:val="80"/>
                <w:sz w:val="16"/>
              </w:rPr>
              <w:t>3%</w:t>
            </w:r>
          </w:p>
        </w:tc>
        <w:tc>
          <w:tcPr>
            <w:tcW w:w="1120" w:type="dxa"/>
            <w:shd w:val="clear" w:color="auto" w:fill="E6E7E8"/>
          </w:tcPr>
          <w:p>
            <w:pPr>
              <w:pStyle w:val="TableParagraph"/>
              <w:spacing w:before="143"/>
              <w:ind w:right="68"/>
              <w:rPr>
                <w:sz w:val="16"/>
              </w:rPr>
            </w:pPr>
            <w:r>
              <w:rPr>
                <w:w w:val="80"/>
                <w:sz w:val="16"/>
              </w:rPr>
              <w:t>2%</w:t>
            </w:r>
          </w:p>
        </w:tc>
      </w:tr>
      <w:tr>
        <w:trPr>
          <w:trHeight w:val="688" w:hRule="exact"/>
        </w:trPr>
        <w:tc>
          <w:tcPr>
            <w:tcW w:w="2244" w:type="dxa"/>
            <w:shd w:val="clear" w:color="auto" w:fill="E6E7E8"/>
          </w:tcPr>
          <w:p>
            <w:pPr>
              <w:pStyle w:val="TableParagraph"/>
              <w:spacing w:line="249" w:lineRule="auto" w:before="43"/>
              <w:ind w:left="74" w:right="88"/>
              <w:jc w:val="left"/>
              <w:rPr>
                <w:sz w:val="16"/>
              </w:rPr>
            </w:pPr>
            <w:r>
              <w:rPr>
                <w:sz w:val="16"/>
              </w:rPr>
              <w:t>People whose language first spoken as a child was not English</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3"/>
              <w:rPr>
                <w:sz w:val="16"/>
              </w:rPr>
            </w:pPr>
            <w:r>
              <w:rPr>
                <w:w w:val="75"/>
                <w:sz w:val="16"/>
              </w:rPr>
              <w:t>19%</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2"/>
              <w:rPr>
                <w:sz w:val="16"/>
              </w:rPr>
            </w:pPr>
            <w:r>
              <w:rPr>
                <w:w w:val="85"/>
                <w:sz w:val="16"/>
              </w:rPr>
              <w:t>26%</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2"/>
              <w:rPr>
                <w:sz w:val="16"/>
              </w:rPr>
            </w:pPr>
            <w:r>
              <w:rPr>
                <w:w w:val="85"/>
                <w:sz w:val="16"/>
              </w:rPr>
              <w:t>26%</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2"/>
              <w:rPr>
                <w:sz w:val="16"/>
              </w:rPr>
            </w:pPr>
            <w:r>
              <w:rPr>
                <w:w w:val="85"/>
                <w:sz w:val="16"/>
              </w:rPr>
              <w:t>26%</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3"/>
              <w:rPr>
                <w:sz w:val="16"/>
              </w:rPr>
            </w:pPr>
            <w:r>
              <w:rPr>
                <w:w w:val="85"/>
                <w:sz w:val="16"/>
              </w:rPr>
              <w:t>28%</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3"/>
              <w:rPr>
                <w:sz w:val="16"/>
              </w:rPr>
            </w:pPr>
            <w:r>
              <w:rPr>
                <w:w w:val="85"/>
                <w:sz w:val="16"/>
              </w:rPr>
              <w:t>27%</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3"/>
              <w:rPr>
                <w:sz w:val="16"/>
              </w:rPr>
            </w:pPr>
            <w:r>
              <w:rPr>
                <w:w w:val="90"/>
                <w:sz w:val="16"/>
              </w:rPr>
              <w:t>30%</w:t>
            </w:r>
          </w:p>
        </w:tc>
      </w:tr>
      <w:tr>
        <w:trPr>
          <w:trHeight w:val="340" w:hRule="exact"/>
        </w:trPr>
        <w:tc>
          <w:tcPr>
            <w:tcW w:w="2244" w:type="dxa"/>
            <w:shd w:val="clear" w:color="auto" w:fill="E6E7E8"/>
          </w:tcPr>
          <w:p>
            <w:pPr>
              <w:pStyle w:val="TableParagraph"/>
              <w:spacing w:before="69"/>
              <w:ind w:left="74" w:right="88"/>
              <w:jc w:val="left"/>
              <w:rPr>
                <w:sz w:val="16"/>
              </w:rPr>
            </w:pPr>
            <w:r>
              <w:rPr>
                <w:sz w:val="16"/>
              </w:rPr>
              <w:t>People with a disability</w:t>
            </w:r>
          </w:p>
        </w:tc>
        <w:tc>
          <w:tcPr>
            <w:tcW w:w="1120" w:type="dxa"/>
            <w:shd w:val="clear" w:color="auto" w:fill="E6E7E8"/>
          </w:tcPr>
          <w:p>
            <w:pPr>
              <w:pStyle w:val="TableParagraph"/>
              <w:spacing w:before="69"/>
              <w:ind w:right="83"/>
              <w:rPr>
                <w:sz w:val="16"/>
              </w:rPr>
            </w:pPr>
            <w:r>
              <w:rPr>
                <w:w w:val="105"/>
                <w:sz w:val="16"/>
              </w:rPr>
              <w:t>N/A</w:t>
            </w:r>
          </w:p>
        </w:tc>
        <w:tc>
          <w:tcPr>
            <w:tcW w:w="1120" w:type="dxa"/>
            <w:shd w:val="clear" w:color="auto" w:fill="E6E7E8"/>
          </w:tcPr>
          <w:p>
            <w:pPr>
              <w:pStyle w:val="TableParagraph"/>
              <w:spacing w:before="69"/>
              <w:ind w:right="69"/>
              <w:rPr>
                <w:sz w:val="16"/>
              </w:rPr>
            </w:pPr>
            <w:r>
              <w:rPr>
                <w:w w:val="80"/>
                <w:sz w:val="16"/>
              </w:rPr>
              <w:t>8%</w:t>
            </w:r>
          </w:p>
        </w:tc>
        <w:tc>
          <w:tcPr>
            <w:tcW w:w="1120" w:type="dxa"/>
            <w:shd w:val="clear" w:color="auto" w:fill="E6E7E8"/>
          </w:tcPr>
          <w:p>
            <w:pPr>
              <w:pStyle w:val="TableParagraph"/>
              <w:spacing w:before="69"/>
              <w:ind w:right="69"/>
              <w:rPr>
                <w:sz w:val="16"/>
              </w:rPr>
            </w:pPr>
            <w:r>
              <w:rPr>
                <w:w w:val="80"/>
                <w:sz w:val="16"/>
              </w:rPr>
              <w:t>7%</w:t>
            </w:r>
          </w:p>
        </w:tc>
        <w:tc>
          <w:tcPr>
            <w:tcW w:w="1120" w:type="dxa"/>
            <w:shd w:val="clear" w:color="auto" w:fill="E6E7E8"/>
          </w:tcPr>
          <w:p>
            <w:pPr>
              <w:pStyle w:val="TableParagraph"/>
              <w:spacing w:before="69"/>
              <w:ind w:right="69"/>
              <w:rPr>
                <w:sz w:val="16"/>
              </w:rPr>
            </w:pPr>
            <w:r>
              <w:rPr>
                <w:w w:val="80"/>
                <w:sz w:val="16"/>
              </w:rPr>
              <w:t>8%</w:t>
            </w:r>
          </w:p>
        </w:tc>
        <w:tc>
          <w:tcPr>
            <w:tcW w:w="1120" w:type="dxa"/>
            <w:shd w:val="clear" w:color="auto" w:fill="E6E7E8"/>
          </w:tcPr>
          <w:p>
            <w:pPr>
              <w:pStyle w:val="TableParagraph"/>
              <w:spacing w:before="69"/>
              <w:ind w:right="72"/>
              <w:rPr>
                <w:sz w:val="16"/>
              </w:rPr>
            </w:pPr>
            <w:r>
              <w:rPr>
                <w:w w:val="80"/>
                <w:sz w:val="16"/>
              </w:rPr>
              <w:t>6%</w:t>
            </w:r>
          </w:p>
        </w:tc>
        <w:tc>
          <w:tcPr>
            <w:tcW w:w="1120" w:type="dxa"/>
            <w:shd w:val="clear" w:color="auto" w:fill="E6E7E8"/>
          </w:tcPr>
          <w:p>
            <w:pPr>
              <w:pStyle w:val="TableParagraph"/>
              <w:spacing w:before="69"/>
              <w:ind w:right="69"/>
              <w:rPr>
                <w:sz w:val="16"/>
              </w:rPr>
            </w:pPr>
            <w:r>
              <w:rPr>
                <w:w w:val="80"/>
                <w:sz w:val="16"/>
              </w:rPr>
              <w:t>7%</w:t>
            </w:r>
          </w:p>
        </w:tc>
        <w:tc>
          <w:tcPr>
            <w:tcW w:w="1120" w:type="dxa"/>
            <w:shd w:val="clear" w:color="auto" w:fill="E6E7E8"/>
          </w:tcPr>
          <w:p>
            <w:pPr>
              <w:pStyle w:val="TableParagraph"/>
              <w:spacing w:before="69"/>
              <w:ind w:right="69"/>
              <w:rPr>
                <w:sz w:val="16"/>
              </w:rPr>
            </w:pPr>
            <w:r>
              <w:rPr>
                <w:w w:val="80"/>
                <w:sz w:val="16"/>
              </w:rPr>
              <w:t>7%</w:t>
            </w:r>
          </w:p>
        </w:tc>
      </w:tr>
      <w:tr>
        <w:trPr>
          <w:trHeight w:val="488" w:hRule="exact"/>
        </w:trPr>
        <w:tc>
          <w:tcPr>
            <w:tcW w:w="2244" w:type="dxa"/>
            <w:shd w:val="clear" w:color="auto" w:fill="E6E7E8"/>
          </w:tcPr>
          <w:p>
            <w:pPr>
              <w:pStyle w:val="TableParagraph"/>
              <w:spacing w:line="249" w:lineRule="auto" w:before="43"/>
              <w:ind w:left="74" w:right="88"/>
              <w:jc w:val="left"/>
              <w:rPr>
                <w:sz w:val="16"/>
              </w:rPr>
            </w:pPr>
            <w:r>
              <w:rPr>
                <w:sz w:val="16"/>
              </w:rPr>
              <w:t>People with a disability requiring adjustment at work</w:t>
            </w:r>
          </w:p>
        </w:tc>
        <w:tc>
          <w:tcPr>
            <w:tcW w:w="1120" w:type="dxa"/>
            <w:shd w:val="clear" w:color="auto" w:fill="E6E7E8"/>
          </w:tcPr>
          <w:p>
            <w:pPr>
              <w:pStyle w:val="TableParagraph"/>
              <w:spacing w:before="143"/>
              <w:ind w:right="69"/>
              <w:rPr>
                <w:sz w:val="16"/>
              </w:rPr>
            </w:pPr>
            <w:r>
              <w:rPr>
                <w:w w:val="80"/>
                <w:sz w:val="16"/>
              </w:rPr>
              <w:t>1.50%</w:t>
            </w:r>
          </w:p>
        </w:tc>
        <w:tc>
          <w:tcPr>
            <w:tcW w:w="1120" w:type="dxa"/>
            <w:shd w:val="clear" w:color="auto" w:fill="E6E7E8"/>
          </w:tcPr>
          <w:p>
            <w:pPr>
              <w:pStyle w:val="TableParagraph"/>
              <w:spacing w:before="143"/>
              <w:ind w:right="68"/>
              <w:rPr>
                <w:sz w:val="16"/>
              </w:rPr>
            </w:pPr>
            <w:r>
              <w:rPr>
                <w:w w:val="80"/>
                <w:sz w:val="16"/>
              </w:rPr>
              <w:t>2%</w:t>
            </w:r>
          </w:p>
        </w:tc>
        <w:tc>
          <w:tcPr>
            <w:tcW w:w="1120" w:type="dxa"/>
            <w:shd w:val="clear" w:color="auto" w:fill="E6E7E8"/>
          </w:tcPr>
          <w:p>
            <w:pPr>
              <w:pStyle w:val="TableParagraph"/>
              <w:spacing w:before="143"/>
              <w:ind w:right="68"/>
              <w:rPr>
                <w:sz w:val="16"/>
              </w:rPr>
            </w:pPr>
            <w:r>
              <w:rPr>
                <w:w w:val="80"/>
                <w:sz w:val="16"/>
              </w:rPr>
              <w:t>2%</w:t>
            </w:r>
          </w:p>
        </w:tc>
        <w:tc>
          <w:tcPr>
            <w:tcW w:w="1120" w:type="dxa"/>
            <w:shd w:val="clear" w:color="auto" w:fill="E6E7E8"/>
          </w:tcPr>
          <w:p>
            <w:pPr>
              <w:pStyle w:val="TableParagraph"/>
              <w:spacing w:before="143"/>
              <w:ind w:right="68"/>
              <w:rPr>
                <w:sz w:val="16"/>
              </w:rPr>
            </w:pPr>
            <w:r>
              <w:rPr>
                <w:w w:val="80"/>
                <w:sz w:val="16"/>
              </w:rPr>
              <w:t>2%</w:t>
            </w:r>
          </w:p>
        </w:tc>
        <w:tc>
          <w:tcPr>
            <w:tcW w:w="1120" w:type="dxa"/>
            <w:shd w:val="clear" w:color="auto" w:fill="E6E7E8"/>
          </w:tcPr>
          <w:p>
            <w:pPr>
              <w:pStyle w:val="TableParagraph"/>
              <w:spacing w:before="143"/>
              <w:ind w:right="70"/>
              <w:rPr>
                <w:sz w:val="16"/>
              </w:rPr>
            </w:pPr>
            <w:r>
              <w:rPr>
                <w:w w:val="65"/>
                <w:sz w:val="16"/>
              </w:rPr>
              <w:t>1%</w:t>
            </w:r>
          </w:p>
        </w:tc>
        <w:tc>
          <w:tcPr>
            <w:tcW w:w="1120" w:type="dxa"/>
            <w:shd w:val="clear" w:color="auto" w:fill="E6E7E8"/>
          </w:tcPr>
          <w:p>
            <w:pPr>
              <w:pStyle w:val="TableParagraph"/>
              <w:spacing w:before="143"/>
              <w:ind w:right="70"/>
              <w:rPr>
                <w:sz w:val="16"/>
              </w:rPr>
            </w:pPr>
            <w:r>
              <w:rPr>
                <w:w w:val="65"/>
                <w:sz w:val="16"/>
              </w:rPr>
              <w:t>1%</w:t>
            </w:r>
          </w:p>
        </w:tc>
        <w:tc>
          <w:tcPr>
            <w:tcW w:w="1120" w:type="dxa"/>
            <w:shd w:val="clear" w:color="auto" w:fill="E6E7E8"/>
          </w:tcPr>
          <w:p>
            <w:pPr>
              <w:pStyle w:val="TableParagraph"/>
              <w:spacing w:before="143"/>
              <w:ind w:right="68"/>
              <w:rPr>
                <w:sz w:val="16"/>
              </w:rPr>
            </w:pPr>
            <w:r>
              <w:rPr>
                <w:w w:val="80"/>
                <w:sz w:val="16"/>
              </w:rPr>
              <w:t>2%</w:t>
            </w:r>
          </w:p>
        </w:tc>
      </w:tr>
    </w:tbl>
    <w:p>
      <w:pPr>
        <w:pStyle w:val="BodyText"/>
        <w:spacing w:before="2"/>
        <w:rPr>
          <w:rFonts w:ascii="Gotham Narrow Bold"/>
          <w:b/>
          <w:sz w:val="17"/>
        </w:rPr>
      </w:pPr>
    </w:p>
    <w:p>
      <w:pPr>
        <w:spacing w:before="72"/>
        <w:ind w:left="326" w:right="411" w:firstLine="0"/>
        <w:jc w:val="left"/>
        <w:rPr>
          <w:rFonts w:ascii="Gotham Narrow Bold" w:hAnsi="Gotham Narrow Bold"/>
          <w:b/>
          <w:sz w:val="16"/>
        </w:rPr>
      </w:pPr>
      <w:r>
        <w:rPr>
          <w:rFonts w:ascii="Gotham Narrow Bold" w:hAnsi="Gotham Narrow Bold"/>
          <w:b/>
          <w:color w:val="636466"/>
          <w:sz w:val="16"/>
        </w:rPr>
        <w:t>Table A.2 Trends in the Representation of EEO Groups – General staff</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2244"/>
        <w:gridCol w:w="1120"/>
        <w:gridCol w:w="1120"/>
        <w:gridCol w:w="1120"/>
        <w:gridCol w:w="1120"/>
        <w:gridCol w:w="1120"/>
        <w:gridCol w:w="1120"/>
        <w:gridCol w:w="1120"/>
      </w:tblGrid>
      <w:tr>
        <w:trPr>
          <w:trHeight w:val="488" w:hRule="exact"/>
        </w:trPr>
        <w:tc>
          <w:tcPr>
            <w:tcW w:w="2244" w:type="dxa"/>
            <w:tcBorders>
              <w:top w:val="nil"/>
              <w:left w:val="nil"/>
              <w:bottom w:val="nil"/>
              <w:right w:val="nil"/>
            </w:tcBorders>
            <w:shd w:val="clear" w:color="auto" w:fill="939598"/>
          </w:tcPr>
          <w:p>
            <w:pPr>
              <w:pStyle w:val="TableParagraph"/>
              <w:spacing w:line="249" w:lineRule="auto" w:before="54"/>
              <w:ind w:left="79" w:right="375"/>
              <w:jc w:val="left"/>
              <w:rPr>
                <w:rFonts w:ascii="Gotham Narrow Bold"/>
                <w:b/>
                <w:sz w:val="16"/>
              </w:rPr>
            </w:pPr>
            <w:r>
              <w:rPr>
                <w:rFonts w:ascii="Gotham Narrow Bold"/>
                <w:b/>
                <w:color w:val="FFFFFF"/>
                <w:sz w:val="16"/>
              </w:rPr>
              <w:t>EEO GROUPS: </w:t>
            </w:r>
            <w:r>
              <w:rPr>
                <w:rFonts w:ascii="Gotham Narrow Bold"/>
                <w:b/>
                <w:color w:val="FFFFFF"/>
                <w:w w:val="95"/>
                <w:sz w:val="16"/>
              </w:rPr>
              <w:t>PROFESSIONAL STAFF</w:t>
            </w:r>
          </w:p>
        </w:tc>
        <w:tc>
          <w:tcPr>
            <w:tcW w:w="1120" w:type="dxa"/>
            <w:tcBorders>
              <w:top w:val="nil"/>
              <w:left w:val="nil"/>
              <w:bottom w:val="nil"/>
              <w:right w:val="nil"/>
            </w:tcBorders>
            <w:shd w:val="clear" w:color="auto" w:fill="939598"/>
          </w:tcPr>
          <w:p>
            <w:pPr>
              <w:pStyle w:val="TableParagraph"/>
              <w:spacing w:line="249" w:lineRule="auto" w:before="54"/>
              <w:ind w:left="207" w:right="62" w:hanging="119"/>
              <w:jc w:val="left"/>
              <w:rPr>
                <w:rFonts w:ascii="Gotham Narrow Bold"/>
                <w:b/>
                <w:sz w:val="16"/>
              </w:rPr>
            </w:pPr>
            <w:r>
              <w:rPr>
                <w:rFonts w:ascii="Gotham Narrow Bold"/>
                <w:b/>
                <w:color w:val="FFFFFF"/>
                <w:w w:val="95"/>
                <w:sz w:val="16"/>
              </w:rPr>
              <w:t>BENCHMARK OR TARGET</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2010</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2011</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2012</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2013</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2014</w:t>
            </w:r>
          </w:p>
        </w:tc>
        <w:tc>
          <w:tcPr>
            <w:tcW w:w="1120" w:type="dxa"/>
            <w:tcBorders>
              <w:top w:val="nil"/>
              <w:left w:val="nil"/>
              <w:bottom w:val="nil"/>
              <w:right w:val="nil"/>
            </w:tcBorders>
            <w:shd w:val="clear" w:color="auto" w:fill="939598"/>
          </w:tcPr>
          <w:p>
            <w:pPr>
              <w:pStyle w:val="TableParagraph"/>
              <w:spacing w:before="10"/>
              <w:jc w:val="left"/>
              <w:rPr>
                <w:rFonts w:ascii="Gotham Narrow Bold"/>
                <w:b/>
                <w:sz w:val="12"/>
              </w:rPr>
            </w:pPr>
          </w:p>
          <w:p>
            <w:pPr>
              <w:pStyle w:val="TableParagraph"/>
              <w:spacing w:before="0"/>
              <w:ind w:right="77"/>
              <w:rPr>
                <w:rFonts w:ascii="Gotham Narrow Bold"/>
                <w:b/>
                <w:sz w:val="16"/>
              </w:rPr>
            </w:pPr>
            <w:r>
              <w:rPr>
                <w:rFonts w:ascii="Gotham Narrow Bold"/>
                <w:b/>
                <w:color w:val="FFFFFF"/>
                <w:w w:val="95"/>
                <w:sz w:val="16"/>
              </w:rPr>
              <w:t>2015</w:t>
            </w:r>
          </w:p>
        </w:tc>
      </w:tr>
      <w:tr>
        <w:trPr>
          <w:trHeight w:val="340" w:hRule="exact"/>
        </w:trPr>
        <w:tc>
          <w:tcPr>
            <w:tcW w:w="2244" w:type="dxa"/>
            <w:tcBorders>
              <w:top w:val="nil"/>
            </w:tcBorders>
            <w:shd w:val="clear" w:color="auto" w:fill="E6E7E8"/>
          </w:tcPr>
          <w:p>
            <w:pPr>
              <w:pStyle w:val="TableParagraph"/>
              <w:spacing w:before="74"/>
              <w:ind w:left="74" w:right="88"/>
              <w:jc w:val="left"/>
              <w:rPr>
                <w:sz w:val="16"/>
              </w:rPr>
            </w:pPr>
            <w:r>
              <w:rPr>
                <w:sz w:val="16"/>
              </w:rPr>
              <w:t>Women</w:t>
            </w:r>
          </w:p>
        </w:tc>
        <w:tc>
          <w:tcPr>
            <w:tcW w:w="1120" w:type="dxa"/>
            <w:tcBorders>
              <w:top w:val="nil"/>
            </w:tcBorders>
            <w:shd w:val="clear" w:color="auto" w:fill="E6E7E8"/>
          </w:tcPr>
          <w:p>
            <w:pPr>
              <w:pStyle w:val="TableParagraph"/>
              <w:spacing w:before="74"/>
              <w:ind w:right="69"/>
              <w:rPr>
                <w:sz w:val="16"/>
              </w:rPr>
            </w:pPr>
            <w:r>
              <w:rPr>
                <w:w w:val="90"/>
                <w:sz w:val="16"/>
              </w:rPr>
              <w:t>50%</w:t>
            </w:r>
          </w:p>
        </w:tc>
        <w:tc>
          <w:tcPr>
            <w:tcW w:w="1120" w:type="dxa"/>
            <w:tcBorders>
              <w:top w:val="nil"/>
            </w:tcBorders>
            <w:shd w:val="clear" w:color="auto" w:fill="E6E7E8"/>
          </w:tcPr>
          <w:p>
            <w:pPr>
              <w:pStyle w:val="TableParagraph"/>
              <w:spacing w:before="74"/>
              <w:ind w:right="72"/>
              <w:rPr>
                <w:sz w:val="16"/>
              </w:rPr>
            </w:pPr>
            <w:r>
              <w:rPr>
                <w:w w:val="90"/>
                <w:sz w:val="16"/>
              </w:rPr>
              <w:t>66%</w:t>
            </w:r>
          </w:p>
        </w:tc>
        <w:tc>
          <w:tcPr>
            <w:tcW w:w="1120" w:type="dxa"/>
            <w:tcBorders>
              <w:top w:val="nil"/>
            </w:tcBorders>
            <w:shd w:val="clear" w:color="auto" w:fill="E6E7E8"/>
          </w:tcPr>
          <w:p>
            <w:pPr>
              <w:pStyle w:val="TableParagraph"/>
              <w:spacing w:before="74"/>
              <w:ind w:right="69"/>
              <w:rPr>
                <w:sz w:val="16"/>
              </w:rPr>
            </w:pPr>
            <w:r>
              <w:rPr>
                <w:w w:val="85"/>
                <w:sz w:val="16"/>
              </w:rPr>
              <w:t>68%</w:t>
            </w:r>
          </w:p>
        </w:tc>
        <w:tc>
          <w:tcPr>
            <w:tcW w:w="1120" w:type="dxa"/>
            <w:tcBorders>
              <w:top w:val="nil"/>
            </w:tcBorders>
            <w:shd w:val="clear" w:color="auto" w:fill="E6E7E8"/>
          </w:tcPr>
          <w:p>
            <w:pPr>
              <w:pStyle w:val="TableParagraph"/>
              <w:spacing w:before="74"/>
              <w:ind w:right="72"/>
              <w:rPr>
                <w:sz w:val="16"/>
              </w:rPr>
            </w:pPr>
            <w:r>
              <w:rPr>
                <w:w w:val="90"/>
                <w:sz w:val="16"/>
              </w:rPr>
              <w:t>67%</w:t>
            </w:r>
          </w:p>
        </w:tc>
        <w:tc>
          <w:tcPr>
            <w:tcW w:w="1120" w:type="dxa"/>
            <w:tcBorders>
              <w:top w:val="nil"/>
            </w:tcBorders>
            <w:shd w:val="clear" w:color="auto" w:fill="E6E7E8"/>
          </w:tcPr>
          <w:p>
            <w:pPr>
              <w:pStyle w:val="TableParagraph"/>
              <w:spacing w:before="74"/>
              <w:ind w:right="69"/>
              <w:rPr>
                <w:sz w:val="16"/>
              </w:rPr>
            </w:pPr>
            <w:r>
              <w:rPr>
                <w:w w:val="85"/>
                <w:sz w:val="16"/>
              </w:rPr>
              <w:t>68%</w:t>
            </w:r>
          </w:p>
        </w:tc>
        <w:tc>
          <w:tcPr>
            <w:tcW w:w="1120" w:type="dxa"/>
            <w:tcBorders>
              <w:top w:val="nil"/>
            </w:tcBorders>
            <w:shd w:val="clear" w:color="auto" w:fill="E6E7E8"/>
          </w:tcPr>
          <w:p>
            <w:pPr>
              <w:pStyle w:val="TableParagraph"/>
              <w:spacing w:before="74"/>
              <w:ind w:right="72"/>
              <w:rPr>
                <w:sz w:val="16"/>
              </w:rPr>
            </w:pPr>
            <w:r>
              <w:rPr>
                <w:w w:val="90"/>
                <w:sz w:val="16"/>
              </w:rPr>
              <w:t>67%</w:t>
            </w:r>
          </w:p>
        </w:tc>
        <w:tc>
          <w:tcPr>
            <w:tcW w:w="1120" w:type="dxa"/>
            <w:tcBorders>
              <w:top w:val="nil"/>
            </w:tcBorders>
            <w:shd w:val="clear" w:color="auto" w:fill="E6E7E8"/>
          </w:tcPr>
          <w:p>
            <w:pPr>
              <w:pStyle w:val="TableParagraph"/>
              <w:spacing w:before="74"/>
              <w:ind w:right="69"/>
              <w:rPr>
                <w:sz w:val="16"/>
              </w:rPr>
            </w:pPr>
            <w:r>
              <w:rPr>
                <w:w w:val="85"/>
                <w:sz w:val="16"/>
              </w:rPr>
              <w:t>68%</w:t>
            </w:r>
          </w:p>
        </w:tc>
      </w:tr>
      <w:tr>
        <w:trPr>
          <w:trHeight w:val="488" w:hRule="exact"/>
        </w:trPr>
        <w:tc>
          <w:tcPr>
            <w:tcW w:w="2244" w:type="dxa"/>
            <w:shd w:val="clear" w:color="auto" w:fill="E6E7E8"/>
          </w:tcPr>
          <w:p>
            <w:pPr>
              <w:pStyle w:val="TableParagraph"/>
              <w:spacing w:line="249" w:lineRule="auto" w:before="43"/>
              <w:ind w:left="74" w:right="88"/>
              <w:jc w:val="left"/>
              <w:rPr>
                <w:sz w:val="16"/>
              </w:rPr>
            </w:pPr>
            <w:r>
              <w:rPr>
                <w:sz w:val="16"/>
              </w:rPr>
              <w:t>Aboriginal and Torres Strait Islander people</w:t>
            </w:r>
          </w:p>
        </w:tc>
        <w:tc>
          <w:tcPr>
            <w:tcW w:w="1120" w:type="dxa"/>
            <w:shd w:val="clear" w:color="auto" w:fill="E6E7E8"/>
          </w:tcPr>
          <w:p>
            <w:pPr>
              <w:pStyle w:val="TableParagraph"/>
              <w:spacing w:before="143"/>
              <w:ind w:right="68"/>
              <w:rPr>
                <w:sz w:val="16"/>
              </w:rPr>
            </w:pPr>
            <w:r>
              <w:rPr>
                <w:w w:val="80"/>
                <w:sz w:val="16"/>
              </w:rPr>
              <w:t>2%</w:t>
            </w:r>
          </w:p>
        </w:tc>
        <w:tc>
          <w:tcPr>
            <w:tcW w:w="1120" w:type="dxa"/>
            <w:shd w:val="clear" w:color="auto" w:fill="E6E7E8"/>
          </w:tcPr>
          <w:p>
            <w:pPr>
              <w:pStyle w:val="TableParagraph"/>
              <w:spacing w:before="143"/>
              <w:ind w:right="68"/>
              <w:rPr>
                <w:sz w:val="16"/>
              </w:rPr>
            </w:pPr>
            <w:r>
              <w:rPr>
                <w:w w:val="80"/>
                <w:sz w:val="16"/>
              </w:rPr>
              <w:t>2%</w:t>
            </w:r>
          </w:p>
        </w:tc>
        <w:tc>
          <w:tcPr>
            <w:tcW w:w="1120" w:type="dxa"/>
            <w:shd w:val="clear" w:color="auto" w:fill="E6E7E8"/>
          </w:tcPr>
          <w:p>
            <w:pPr>
              <w:pStyle w:val="TableParagraph"/>
              <w:spacing w:before="143"/>
              <w:ind w:right="71"/>
              <w:rPr>
                <w:sz w:val="16"/>
              </w:rPr>
            </w:pPr>
            <w:r>
              <w:rPr>
                <w:w w:val="80"/>
                <w:sz w:val="16"/>
              </w:rPr>
              <w:t>3%</w:t>
            </w:r>
          </w:p>
        </w:tc>
        <w:tc>
          <w:tcPr>
            <w:tcW w:w="1120" w:type="dxa"/>
            <w:shd w:val="clear" w:color="auto" w:fill="E6E7E8"/>
          </w:tcPr>
          <w:p>
            <w:pPr>
              <w:pStyle w:val="TableParagraph"/>
              <w:spacing w:before="143"/>
              <w:ind w:right="71"/>
              <w:rPr>
                <w:sz w:val="16"/>
              </w:rPr>
            </w:pPr>
            <w:r>
              <w:rPr>
                <w:w w:val="80"/>
                <w:sz w:val="16"/>
              </w:rPr>
              <w:t>3%</w:t>
            </w:r>
          </w:p>
        </w:tc>
        <w:tc>
          <w:tcPr>
            <w:tcW w:w="1120" w:type="dxa"/>
            <w:shd w:val="clear" w:color="auto" w:fill="E6E7E8"/>
          </w:tcPr>
          <w:p>
            <w:pPr>
              <w:pStyle w:val="TableParagraph"/>
              <w:spacing w:before="143"/>
              <w:ind w:right="73"/>
              <w:rPr>
                <w:sz w:val="16"/>
              </w:rPr>
            </w:pPr>
            <w:r>
              <w:rPr>
                <w:w w:val="85"/>
                <w:sz w:val="16"/>
              </w:rPr>
              <w:t>4%</w:t>
            </w:r>
          </w:p>
        </w:tc>
        <w:tc>
          <w:tcPr>
            <w:tcW w:w="1120" w:type="dxa"/>
            <w:shd w:val="clear" w:color="auto" w:fill="E6E7E8"/>
          </w:tcPr>
          <w:p>
            <w:pPr>
              <w:pStyle w:val="TableParagraph"/>
              <w:spacing w:before="143"/>
              <w:ind w:right="73"/>
              <w:rPr>
                <w:sz w:val="16"/>
              </w:rPr>
            </w:pPr>
            <w:r>
              <w:rPr>
                <w:w w:val="85"/>
                <w:sz w:val="16"/>
              </w:rPr>
              <w:t>4%</w:t>
            </w:r>
          </w:p>
        </w:tc>
        <w:tc>
          <w:tcPr>
            <w:tcW w:w="1120" w:type="dxa"/>
            <w:shd w:val="clear" w:color="auto" w:fill="E6E7E8"/>
          </w:tcPr>
          <w:p>
            <w:pPr>
              <w:pStyle w:val="TableParagraph"/>
              <w:spacing w:before="143"/>
              <w:ind w:right="71"/>
              <w:rPr>
                <w:sz w:val="16"/>
              </w:rPr>
            </w:pPr>
            <w:r>
              <w:rPr>
                <w:w w:val="80"/>
                <w:sz w:val="16"/>
              </w:rPr>
              <w:t>3%</w:t>
            </w:r>
          </w:p>
        </w:tc>
      </w:tr>
      <w:tr>
        <w:trPr>
          <w:trHeight w:val="688" w:hRule="exact"/>
        </w:trPr>
        <w:tc>
          <w:tcPr>
            <w:tcW w:w="2244" w:type="dxa"/>
            <w:shd w:val="clear" w:color="auto" w:fill="E6E7E8"/>
          </w:tcPr>
          <w:p>
            <w:pPr>
              <w:pStyle w:val="TableParagraph"/>
              <w:spacing w:line="249" w:lineRule="auto" w:before="43"/>
              <w:ind w:left="74" w:right="88"/>
              <w:jc w:val="left"/>
              <w:rPr>
                <w:sz w:val="16"/>
              </w:rPr>
            </w:pPr>
            <w:r>
              <w:rPr>
                <w:sz w:val="16"/>
              </w:rPr>
              <w:t>People whose language first spoken as a child was not English</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3"/>
              <w:rPr>
                <w:sz w:val="16"/>
              </w:rPr>
            </w:pPr>
            <w:r>
              <w:rPr>
                <w:w w:val="75"/>
                <w:sz w:val="16"/>
              </w:rPr>
              <w:t>19%</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2"/>
              <w:rPr>
                <w:sz w:val="16"/>
              </w:rPr>
            </w:pPr>
            <w:r>
              <w:rPr>
                <w:w w:val="70"/>
                <w:sz w:val="16"/>
              </w:rPr>
              <w:t>17%</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2"/>
              <w:rPr>
                <w:sz w:val="16"/>
              </w:rPr>
            </w:pPr>
            <w:r>
              <w:rPr>
                <w:w w:val="70"/>
                <w:sz w:val="16"/>
              </w:rPr>
              <w:t>17%</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69"/>
              <w:rPr>
                <w:sz w:val="16"/>
              </w:rPr>
            </w:pPr>
            <w:r>
              <w:rPr>
                <w:w w:val="75"/>
                <w:sz w:val="16"/>
              </w:rPr>
              <w:t>18%</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69"/>
              <w:rPr>
                <w:sz w:val="16"/>
              </w:rPr>
            </w:pPr>
            <w:r>
              <w:rPr>
                <w:w w:val="75"/>
                <w:sz w:val="16"/>
              </w:rPr>
              <w:t>18%</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2"/>
              <w:rPr>
                <w:sz w:val="16"/>
              </w:rPr>
            </w:pPr>
            <w:r>
              <w:rPr>
                <w:w w:val="70"/>
                <w:sz w:val="16"/>
              </w:rPr>
              <w:t>17%</w:t>
            </w:r>
          </w:p>
        </w:tc>
        <w:tc>
          <w:tcPr>
            <w:tcW w:w="1120" w:type="dxa"/>
            <w:shd w:val="clear" w:color="auto" w:fill="E6E7E8"/>
          </w:tcPr>
          <w:p>
            <w:pPr>
              <w:pStyle w:val="TableParagraph"/>
              <w:spacing w:before="2"/>
              <w:jc w:val="left"/>
              <w:rPr>
                <w:rFonts w:ascii="Gotham Narrow Bold"/>
                <w:b/>
                <w:sz w:val="20"/>
              </w:rPr>
            </w:pPr>
          </w:p>
          <w:p>
            <w:pPr>
              <w:pStyle w:val="TableParagraph"/>
              <w:spacing w:before="1"/>
              <w:ind w:right="72"/>
              <w:rPr>
                <w:sz w:val="16"/>
              </w:rPr>
            </w:pPr>
            <w:r>
              <w:rPr>
                <w:w w:val="75"/>
                <w:sz w:val="16"/>
              </w:rPr>
              <w:t>19%</w:t>
            </w:r>
          </w:p>
        </w:tc>
      </w:tr>
      <w:tr>
        <w:trPr>
          <w:trHeight w:val="340" w:hRule="exact"/>
        </w:trPr>
        <w:tc>
          <w:tcPr>
            <w:tcW w:w="2244" w:type="dxa"/>
            <w:shd w:val="clear" w:color="auto" w:fill="E6E7E8"/>
          </w:tcPr>
          <w:p>
            <w:pPr>
              <w:pStyle w:val="TableParagraph"/>
              <w:spacing w:before="69"/>
              <w:ind w:left="74" w:right="88"/>
              <w:jc w:val="left"/>
              <w:rPr>
                <w:sz w:val="16"/>
              </w:rPr>
            </w:pPr>
            <w:r>
              <w:rPr>
                <w:sz w:val="16"/>
              </w:rPr>
              <w:t>People with a disability</w:t>
            </w:r>
          </w:p>
        </w:tc>
        <w:tc>
          <w:tcPr>
            <w:tcW w:w="1120" w:type="dxa"/>
            <w:shd w:val="clear" w:color="auto" w:fill="E6E7E8"/>
          </w:tcPr>
          <w:p>
            <w:pPr>
              <w:pStyle w:val="TableParagraph"/>
              <w:spacing w:before="69"/>
              <w:ind w:right="81"/>
              <w:rPr>
                <w:sz w:val="16"/>
              </w:rPr>
            </w:pPr>
            <w:r>
              <w:rPr>
                <w:w w:val="105"/>
                <w:sz w:val="16"/>
              </w:rPr>
              <w:t>N/A</w:t>
            </w:r>
          </w:p>
        </w:tc>
        <w:tc>
          <w:tcPr>
            <w:tcW w:w="1120" w:type="dxa"/>
            <w:shd w:val="clear" w:color="auto" w:fill="E6E7E8"/>
          </w:tcPr>
          <w:p>
            <w:pPr>
              <w:pStyle w:val="TableParagraph"/>
              <w:spacing w:before="69"/>
              <w:ind w:right="69"/>
              <w:rPr>
                <w:sz w:val="16"/>
              </w:rPr>
            </w:pPr>
            <w:r>
              <w:rPr>
                <w:w w:val="75"/>
                <w:sz w:val="16"/>
              </w:rPr>
              <w:t>10%</w:t>
            </w:r>
          </w:p>
        </w:tc>
        <w:tc>
          <w:tcPr>
            <w:tcW w:w="1120" w:type="dxa"/>
            <w:shd w:val="clear" w:color="auto" w:fill="E6E7E8"/>
          </w:tcPr>
          <w:p>
            <w:pPr>
              <w:pStyle w:val="TableParagraph"/>
              <w:spacing w:before="69"/>
              <w:ind w:right="69"/>
              <w:rPr>
                <w:sz w:val="16"/>
              </w:rPr>
            </w:pPr>
            <w:r>
              <w:rPr>
                <w:w w:val="75"/>
                <w:sz w:val="16"/>
              </w:rPr>
              <w:t>10%</w:t>
            </w:r>
          </w:p>
        </w:tc>
        <w:tc>
          <w:tcPr>
            <w:tcW w:w="1120" w:type="dxa"/>
            <w:shd w:val="clear" w:color="auto" w:fill="E6E7E8"/>
          </w:tcPr>
          <w:p>
            <w:pPr>
              <w:pStyle w:val="TableParagraph"/>
              <w:spacing w:before="69"/>
              <w:ind w:right="68"/>
              <w:rPr>
                <w:sz w:val="16"/>
              </w:rPr>
            </w:pPr>
            <w:r>
              <w:rPr>
                <w:w w:val="80"/>
                <w:sz w:val="16"/>
              </w:rPr>
              <w:t>9%</w:t>
            </w:r>
          </w:p>
        </w:tc>
        <w:tc>
          <w:tcPr>
            <w:tcW w:w="1120" w:type="dxa"/>
            <w:shd w:val="clear" w:color="auto" w:fill="E6E7E8"/>
          </w:tcPr>
          <w:p>
            <w:pPr>
              <w:pStyle w:val="TableParagraph"/>
              <w:spacing w:before="69"/>
              <w:ind w:right="69"/>
              <w:rPr>
                <w:sz w:val="16"/>
              </w:rPr>
            </w:pPr>
            <w:r>
              <w:rPr>
                <w:w w:val="80"/>
                <w:sz w:val="16"/>
              </w:rPr>
              <w:t>8%</w:t>
            </w:r>
          </w:p>
        </w:tc>
        <w:tc>
          <w:tcPr>
            <w:tcW w:w="1120" w:type="dxa"/>
            <w:shd w:val="clear" w:color="auto" w:fill="E6E7E8"/>
          </w:tcPr>
          <w:p>
            <w:pPr>
              <w:pStyle w:val="TableParagraph"/>
              <w:spacing w:before="69"/>
              <w:ind w:right="69"/>
              <w:rPr>
                <w:sz w:val="16"/>
              </w:rPr>
            </w:pPr>
            <w:r>
              <w:rPr>
                <w:w w:val="80"/>
                <w:sz w:val="16"/>
              </w:rPr>
              <w:t>7%</w:t>
            </w:r>
          </w:p>
        </w:tc>
        <w:tc>
          <w:tcPr>
            <w:tcW w:w="1120" w:type="dxa"/>
            <w:shd w:val="clear" w:color="auto" w:fill="E6E7E8"/>
          </w:tcPr>
          <w:p>
            <w:pPr>
              <w:pStyle w:val="TableParagraph"/>
              <w:spacing w:before="69"/>
              <w:ind w:right="69"/>
              <w:rPr>
                <w:sz w:val="16"/>
              </w:rPr>
            </w:pPr>
            <w:r>
              <w:rPr>
                <w:w w:val="80"/>
                <w:sz w:val="16"/>
              </w:rPr>
              <w:t>8%</w:t>
            </w:r>
          </w:p>
        </w:tc>
      </w:tr>
      <w:tr>
        <w:trPr>
          <w:trHeight w:val="488" w:hRule="exact"/>
        </w:trPr>
        <w:tc>
          <w:tcPr>
            <w:tcW w:w="2244" w:type="dxa"/>
            <w:shd w:val="clear" w:color="auto" w:fill="E6E7E8"/>
          </w:tcPr>
          <w:p>
            <w:pPr>
              <w:pStyle w:val="TableParagraph"/>
              <w:spacing w:line="249" w:lineRule="auto" w:before="43"/>
              <w:ind w:left="75" w:right="87"/>
              <w:jc w:val="left"/>
              <w:rPr>
                <w:sz w:val="16"/>
              </w:rPr>
            </w:pPr>
            <w:r>
              <w:rPr>
                <w:sz w:val="16"/>
              </w:rPr>
              <w:t>People with a disability requiring adjustment at work</w:t>
            </w:r>
          </w:p>
        </w:tc>
        <w:tc>
          <w:tcPr>
            <w:tcW w:w="1120" w:type="dxa"/>
            <w:shd w:val="clear" w:color="auto" w:fill="E6E7E8"/>
          </w:tcPr>
          <w:p>
            <w:pPr>
              <w:pStyle w:val="TableParagraph"/>
              <w:spacing w:before="143"/>
              <w:ind w:right="69"/>
              <w:rPr>
                <w:sz w:val="16"/>
              </w:rPr>
            </w:pPr>
            <w:r>
              <w:rPr>
                <w:w w:val="80"/>
                <w:sz w:val="16"/>
              </w:rPr>
              <w:t>1.50%</w:t>
            </w:r>
          </w:p>
        </w:tc>
        <w:tc>
          <w:tcPr>
            <w:tcW w:w="1120" w:type="dxa"/>
            <w:shd w:val="clear" w:color="auto" w:fill="E6E7E8"/>
          </w:tcPr>
          <w:p>
            <w:pPr>
              <w:pStyle w:val="TableParagraph"/>
              <w:spacing w:before="143"/>
              <w:ind w:right="71"/>
              <w:rPr>
                <w:sz w:val="16"/>
              </w:rPr>
            </w:pPr>
            <w:r>
              <w:rPr>
                <w:w w:val="80"/>
                <w:sz w:val="16"/>
              </w:rPr>
              <w:t>3%</w:t>
            </w:r>
          </w:p>
        </w:tc>
        <w:tc>
          <w:tcPr>
            <w:tcW w:w="1120" w:type="dxa"/>
            <w:shd w:val="clear" w:color="auto" w:fill="E6E7E8"/>
          </w:tcPr>
          <w:p>
            <w:pPr>
              <w:pStyle w:val="TableParagraph"/>
              <w:spacing w:before="143"/>
              <w:ind w:right="71"/>
              <w:rPr>
                <w:sz w:val="16"/>
              </w:rPr>
            </w:pPr>
            <w:r>
              <w:rPr>
                <w:w w:val="80"/>
                <w:sz w:val="16"/>
              </w:rPr>
              <w:t>3%</w:t>
            </w:r>
          </w:p>
        </w:tc>
        <w:tc>
          <w:tcPr>
            <w:tcW w:w="1120" w:type="dxa"/>
            <w:shd w:val="clear" w:color="auto" w:fill="E6E7E8"/>
          </w:tcPr>
          <w:p>
            <w:pPr>
              <w:pStyle w:val="TableParagraph"/>
              <w:spacing w:before="143"/>
              <w:ind w:right="71"/>
              <w:rPr>
                <w:sz w:val="16"/>
              </w:rPr>
            </w:pPr>
            <w:r>
              <w:rPr>
                <w:w w:val="80"/>
                <w:sz w:val="16"/>
              </w:rPr>
              <w:t>3%</w:t>
            </w:r>
          </w:p>
        </w:tc>
        <w:tc>
          <w:tcPr>
            <w:tcW w:w="1120" w:type="dxa"/>
            <w:shd w:val="clear" w:color="auto" w:fill="E6E7E8"/>
          </w:tcPr>
          <w:p>
            <w:pPr>
              <w:pStyle w:val="TableParagraph"/>
              <w:spacing w:before="143"/>
              <w:ind w:right="71"/>
              <w:rPr>
                <w:sz w:val="16"/>
              </w:rPr>
            </w:pPr>
            <w:r>
              <w:rPr>
                <w:w w:val="80"/>
                <w:sz w:val="16"/>
              </w:rPr>
              <w:t>3%</w:t>
            </w:r>
          </w:p>
        </w:tc>
        <w:tc>
          <w:tcPr>
            <w:tcW w:w="1120" w:type="dxa"/>
            <w:shd w:val="clear" w:color="auto" w:fill="E6E7E8"/>
          </w:tcPr>
          <w:p>
            <w:pPr>
              <w:pStyle w:val="TableParagraph"/>
              <w:spacing w:before="143"/>
              <w:ind w:right="68"/>
              <w:rPr>
                <w:sz w:val="16"/>
              </w:rPr>
            </w:pPr>
            <w:r>
              <w:rPr>
                <w:w w:val="80"/>
                <w:sz w:val="16"/>
              </w:rPr>
              <w:t>2%</w:t>
            </w:r>
          </w:p>
        </w:tc>
        <w:tc>
          <w:tcPr>
            <w:tcW w:w="1120" w:type="dxa"/>
            <w:shd w:val="clear" w:color="auto" w:fill="E6E7E8"/>
          </w:tcPr>
          <w:p>
            <w:pPr>
              <w:pStyle w:val="TableParagraph"/>
              <w:spacing w:before="143"/>
              <w:ind w:right="71"/>
              <w:rPr>
                <w:sz w:val="16"/>
              </w:rPr>
            </w:pPr>
            <w:r>
              <w:rPr>
                <w:w w:val="80"/>
                <w:sz w:val="16"/>
              </w:rPr>
              <w:t>3%</w:t>
            </w:r>
          </w:p>
        </w:tc>
      </w:tr>
    </w:tbl>
    <w:p>
      <w:pPr>
        <w:pStyle w:val="BodyText"/>
        <w:spacing w:before="2"/>
        <w:rPr>
          <w:rFonts w:ascii="Gotham Narrow Bold"/>
          <w:b/>
          <w:sz w:val="17"/>
        </w:rPr>
      </w:pPr>
    </w:p>
    <w:p>
      <w:pPr>
        <w:spacing w:before="72"/>
        <w:ind w:left="327" w:right="411" w:firstLine="0"/>
        <w:jc w:val="left"/>
        <w:rPr>
          <w:rFonts w:ascii="Gotham Narrow Bold" w:hAnsi="Gotham Narrow Bold"/>
          <w:b/>
          <w:sz w:val="16"/>
        </w:rPr>
      </w:pPr>
      <w:r>
        <w:rPr>
          <w:rFonts w:ascii="Gotham Narrow Bold" w:hAnsi="Gotham Narrow Bold"/>
          <w:b/>
          <w:color w:val="636466"/>
          <w:sz w:val="16"/>
        </w:rPr>
        <w:t>Table B.1. Trends in the Distribution of EEO Groups – Academic staff</w:t>
      </w:r>
    </w:p>
    <w:p>
      <w:pPr>
        <w:spacing w:before="93"/>
        <w:ind w:left="327" w:right="7611" w:firstLine="0"/>
        <w:jc w:val="left"/>
        <w:rPr>
          <w:rFonts w:ascii="Gotham Narrow Book"/>
          <w:b w:val="0"/>
          <w:i/>
          <w:sz w:val="16"/>
        </w:rPr>
      </w:pPr>
      <w:r>
        <w:rPr>
          <w:rFonts w:ascii="Gotham Narrow Book"/>
          <w:b w:val="0"/>
          <w:i/>
          <w:sz w:val="16"/>
        </w:rPr>
        <w:t>Distribution index</w:t>
      </w:r>
    </w:p>
    <w:p>
      <w:pPr>
        <w:pStyle w:val="BodyText"/>
        <w:spacing w:before="4"/>
        <w:rPr>
          <w:rFonts w:ascii="Gotham Narrow Book"/>
          <w:b w:val="0"/>
          <w:i/>
          <w:sz w:val="13"/>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2244"/>
        <w:gridCol w:w="1120"/>
        <w:gridCol w:w="1120"/>
        <w:gridCol w:w="1120"/>
        <w:gridCol w:w="1120"/>
        <w:gridCol w:w="1120"/>
        <w:gridCol w:w="1120"/>
        <w:gridCol w:w="1120"/>
      </w:tblGrid>
      <w:tr>
        <w:trPr>
          <w:trHeight w:val="488" w:hRule="exact"/>
        </w:trPr>
        <w:tc>
          <w:tcPr>
            <w:tcW w:w="2244" w:type="dxa"/>
            <w:tcBorders>
              <w:top w:val="nil"/>
              <w:left w:val="nil"/>
              <w:bottom w:val="nil"/>
              <w:right w:val="nil"/>
            </w:tcBorders>
            <w:shd w:val="clear" w:color="auto" w:fill="939598"/>
          </w:tcPr>
          <w:p>
            <w:pPr>
              <w:pStyle w:val="TableParagraph"/>
              <w:spacing w:line="249" w:lineRule="auto" w:before="54"/>
              <w:ind w:left="79" w:right="375"/>
              <w:jc w:val="left"/>
              <w:rPr>
                <w:rFonts w:ascii="Gotham Narrow Bold"/>
                <w:b/>
                <w:sz w:val="16"/>
              </w:rPr>
            </w:pPr>
            <w:r>
              <w:rPr>
                <w:rFonts w:ascii="Gotham Narrow Bold"/>
                <w:b/>
                <w:color w:val="FFFFFF"/>
                <w:sz w:val="16"/>
              </w:rPr>
              <w:t>EEO GROUPS: </w:t>
            </w:r>
            <w:r>
              <w:rPr>
                <w:rFonts w:ascii="Gotham Narrow Bold"/>
                <w:b/>
                <w:color w:val="FFFFFF"/>
                <w:w w:val="95"/>
                <w:sz w:val="16"/>
              </w:rPr>
              <w:t>ACADEMIC STAFF</w:t>
            </w:r>
          </w:p>
        </w:tc>
        <w:tc>
          <w:tcPr>
            <w:tcW w:w="1120" w:type="dxa"/>
            <w:tcBorders>
              <w:top w:val="nil"/>
              <w:left w:val="nil"/>
              <w:bottom w:val="nil"/>
              <w:right w:val="nil"/>
            </w:tcBorders>
            <w:shd w:val="clear" w:color="auto" w:fill="939598"/>
          </w:tcPr>
          <w:p>
            <w:pPr>
              <w:pStyle w:val="TableParagraph"/>
              <w:spacing w:line="249" w:lineRule="auto" w:before="54"/>
              <w:ind w:left="213" w:hanging="119"/>
              <w:jc w:val="left"/>
              <w:rPr>
                <w:rFonts w:ascii="Gotham Narrow Bold"/>
                <w:b/>
                <w:sz w:val="16"/>
              </w:rPr>
            </w:pPr>
            <w:r>
              <w:rPr>
                <w:rFonts w:ascii="Gotham Narrow Bold"/>
                <w:b/>
                <w:color w:val="FFFFFF"/>
                <w:w w:val="95"/>
                <w:sz w:val="16"/>
              </w:rPr>
              <w:t>BENCHMARK OR TARGET</w:t>
            </w:r>
          </w:p>
        </w:tc>
        <w:tc>
          <w:tcPr>
            <w:tcW w:w="1120"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7"/>
              <w:rPr>
                <w:rFonts w:ascii="Gotham Narrow Bold"/>
                <w:b/>
                <w:sz w:val="16"/>
              </w:rPr>
            </w:pPr>
            <w:r>
              <w:rPr>
                <w:rFonts w:ascii="Gotham Narrow Bold"/>
                <w:b/>
                <w:color w:val="FFFFFF"/>
                <w:w w:val="95"/>
                <w:sz w:val="16"/>
              </w:rPr>
              <w:t>2010</w:t>
            </w:r>
          </w:p>
        </w:tc>
        <w:tc>
          <w:tcPr>
            <w:tcW w:w="1120"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7"/>
              <w:rPr>
                <w:rFonts w:ascii="Gotham Narrow Bold"/>
                <w:b/>
                <w:sz w:val="16"/>
              </w:rPr>
            </w:pPr>
            <w:r>
              <w:rPr>
                <w:rFonts w:ascii="Gotham Narrow Bold"/>
                <w:b/>
                <w:color w:val="FFFFFF"/>
                <w:w w:val="95"/>
                <w:sz w:val="16"/>
              </w:rPr>
              <w:t>2011</w:t>
            </w:r>
          </w:p>
        </w:tc>
        <w:tc>
          <w:tcPr>
            <w:tcW w:w="1120"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7"/>
              <w:rPr>
                <w:rFonts w:ascii="Gotham Narrow Bold"/>
                <w:b/>
                <w:sz w:val="16"/>
              </w:rPr>
            </w:pPr>
            <w:r>
              <w:rPr>
                <w:rFonts w:ascii="Gotham Narrow Bold"/>
                <w:b/>
                <w:color w:val="FFFFFF"/>
                <w:w w:val="95"/>
                <w:sz w:val="16"/>
              </w:rPr>
              <w:t>2012</w:t>
            </w:r>
          </w:p>
        </w:tc>
        <w:tc>
          <w:tcPr>
            <w:tcW w:w="1120"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7"/>
              <w:rPr>
                <w:rFonts w:ascii="Gotham Narrow Bold"/>
                <w:b/>
                <w:sz w:val="16"/>
              </w:rPr>
            </w:pPr>
            <w:r>
              <w:rPr>
                <w:rFonts w:ascii="Gotham Narrow Bold"/>
                <w:b/>
                <w:color w:val="FFFFFF"/>
                <w:w w:val="95"/>
                <w:sz w:val="16"/>
              </w:rPr>
              <w:t>2013</w:t>
            </w:r>
          </w:p>
        </w:tc>
        <w:tc>
          <w:tcPr>
            <w:tcW w:w="1120"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7"/>
              <w:rPr>
                <w:rFonts w:ascii="Gotham Narrow Bold"/>
                <w:b/>
                <w:sz w:val="16"/>
              </w:rPr>
            </w:pPr>
            <w:r>
              <w:rPr>
                <w:rFonts w:ascii="Gotham Narrow Bold"/>
                <w:b/>
                <w:color w:val="FFFFFF"/>
                <w:w w:val="95"/>
                <w:sz w:val="16"/>
              </w:rPr>
              <w:t>2014</w:t>
            </w:r>
          </w:p>
        </w:tc>
        <w:tc>
          <w:tcPr>
            <w:tcW w:w="1120"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7"/>
              <w:rPr>
                <w:rFonts w:ascii="Gotham Narrow Bold"/>
                <w:b/>
                <w:sz w:val="16"/>
              </w:rPr>
            </w:pPr>
            <w:r>
              <w:rPr>
                <w:rFonts w:ascii="Gotham Narrow Bold"/>
                <w:b/>
                <w:color w:val="FFFFFF"/>
                <w:w w:val="95"/>
                <w:sz w:val="16"/>
              </w:rPr>
              <w:t>2015</w:t>
            </w:r>
          </w:p>
        </w:tc>
      </w:tr>
      <w:tr>
        <w:trPr>
          <w:trHeight w:val="340" w:hRule="exact"/>
        </w:trPr>
        <w:tc>
          <w:tcPr>
            <w:tcW w:w="2244" w:type="dxa"/>
            <w:tcBorders>
              <w:top w:val="nil"/>
            </w:tcBorders>
            <w:shd w:val="clear" w:color="auto" w:fill="E6E7E8"/>
          </w:tcPr>
          <w:p>
            <w:pPr>
              <w:pStyle w:val="TableParagraph"/>
              <w:spacing w:before="74"/>
              <w:ind w:left="74" w:right="88"/>
              <w:jc w:val="left"/>
              <w:rPr>
                <w:sz w:val="16"/>
              </w:rPr>
            </w:pPr>
            <w:r>
              <w:rPr>
                <w:sz w:val="16"/>
              </w:rPr>
              <w:t>Women</w:t>
            </w:r>
          </w:p>
        </w:tc>
        <w:tc>
          <w:tcPr>
            <w:tcW w:w="1120" w:type="dxa"/>
            <w:tcBorders>
              <w:top w:val="nil"/>
            </w:tcBorders>
            <w:shd w:val="clear" w:color="auto" w:fill="E6E7E8"/>
          </w:tcPr>
          <w:p>
            <w:pPr>
              <w:pStyle w:val="TableParagraph"/>
              <w:spacing w:before="74"/>
              <w:ind w:right="73"/>
              <w:rPr>
                <w:sz w:val="16"/>
              </w:rPr>
            </w:pPr>
            <w:r>
              <w:rPr>
                <w:w w:val="90"/>
                <w:sz w:val="16"/>
              </w:rPr>
              <w:t>100</w:t>
            </w:r>
          </w:p>
        </w:tc>
        <w:tc>
          <w:tcPr>
            <w:tcW w:w="1120" w:type="dxa"/>
            <w:tcBorders>
              <w:top w:val="nil"/>
            </w:tcBorders>
            <w:shd w:val="clear" w:color="auto" w:fill="E6E7E8"/>
          </w:tcPr>
          <w:p>
            <w:pPr>
              <w:pStyle w:val="TableParagraph"/>
              <w:spacing w:before="74"/>
              <w:ind w:right="69"/>
              <w:rPr>
                <w:sz w:val="16"/>
              </w:rPr>
            </w:pPr>
            <w:r>
              <w:rPr>
                <w:w w:val="95"/>
                <w:sz w:val="16"/>
              </w:rPr>
              <w:t>85</w:t>
            </w:r>
          </w:p>
        </w:tc>
        <w:tc>
          <w:tcPr>
            <w:tcW w:w="1120" w:type="dxa"/>
            <w:tcBorders>
              <w:top w:val="nil"/>
            </w:tcBorders>
            <w:shd w:val="clear" w:color="auto" w:fill="E6E7E8"/>
          </w:tcPr>
          <w:p>
            <w:pPr>
              <w:pStyle w:val="TableParagraph"/>
              <w:spacing w:before="74"/>
              <w:ind w:right="68"/>
              <w:rPr>
                <w:sz w:val="16"/>
              </w:rPr>
            </w:pPr>
            <w:r>
              <w:rPr>
                <w:w w:val="95"/>
                <w:sz w:val="16"/>
              </w:rPr>
              <w:t>83</w:t>
            </w:r>
          </w:p>
        </w:tc>
        <w:tc>
          <w:tcPr>
            <w:tcW w:w="1120" w:type="dxa"/>
            <w:tcBorders>
              <w:top w:val="nil"/>
            </w:tcBorders>
            <w:shd w:val="clear" w:color="auto" w:fill="E6E7E8"/>
          </w:tcPr>
          <w:p>
            <w:pPr>
              <w:pStyle w:val="TableParagraph"/>
              <w:spacing w:before="74"/>
              <w:ind w:right="72"/>
              <w:rPr>
                <w:sz w:val="16"/>
              </w:rPr>
            </w:pPr>
            <w:r>
              <w:rPr>
                <w:w w:val="95"/>
                <w:sz w:val="16"/>
              </w:rPr>
              <w:t>87</w:t>
            </w:r>
          </w:p>
        </w:tc>
        <w:tc>
          <w:tcPr>
            <w:tcW w:w="1120" w:type="dxa"/>
            <w:tcBorders>
              <w:top w:val="nil"/>
            </w:tcBorders>
            <w:shd w:val="clear" w:color="auto" w:fill="E6E7E8"/>
          </w:tcPr>
          <w:p>
            <w:pPr>
              <w:pStyle w:val="TableParagraph"/>
              <w:spacing w:before="74"/>
              <w:ind w:right="69"/>
              <w:rPr>
                <w:sz w:val="16"/>
              </w:rPr>
            </w:pPr>
            <w:r>
              <w:rPr>
                <w:w w:val="95"/>
                <w:sz w:val="16"/>
              </w:rPr>
              <w:t>85</w:t>
            </w:r>
          </w:p>
        </w:tc>
        <w:tc>
          <w:tcPr>
            <w:tcW w:w="1120" w:type="dxa"/>
            <w:tcBorders>
              <w:top w:val="nil"/>
            </w:tcBorders>
            <w:shd w:val="clear" w:color="auto" w:fill="E6E7E8"/>
          </w:tcPr>
          <w:p>
            <w:pPr>
              <w:pStyle w:val="TableParagraph"/>
              <w:spacing w:before="74"/>
              <w:ind w:right="66"/>
              <w:rPr>
                <w:sz w:val="16"/>
              </w:rPr>
            </w:pPr>
            <w:r>
              <w:rPr>
                <w:w w:val="95"/>
                <w:sz w:val="16"/>
              </w:rPr>
              <w:t>88</w:t>
            </w:r>
          </w:p>
        </w:tc>
        <w:tc>
          <w:tcPr>
            <w:tcW w:w="1120" w:type="dxa"/>
            <w:tcBorders>
              <w:top w:val="nil"/>
            </w:tcBorders>
            <w:shd w:val="clear" w:color="auto" w:fill="E6E7E8"/>
          </w:tcPr>
          <w:p>
            <w:pPr>
              <w:pStyle w:val="TableParagraph"/>
              <w:spacing w:before="74"/>
              <w:ind w:right="67"/>
              <w:rPr>
                <w:sz w:val="16"/>
              </w:rPr>
            </w:pPr>
            <w:r>
              <w:rPr>
                <w:w w:val="105"/>
                <w:sz w:val="16"/>
              </w:rPr>
              <w:t>90</w:t>
            </w:r>
          </w:p>
        </w:tc>
      </w:tr>
      <w:tr>
        <w:trPr>
          <w:trHeight w:val="488" w:hRule="exact"/>
        </w:trPr>
        <w:tc>
          <w:tcPr>
            <w:tcW w:w="2244" w:type="dxa"/>
            <w:shd w:val="clear" w:color="auto" w:fill="E6E7E8"/>
          </w:tcPr>
          <w:p>
            <w:pPr>
              <w:pStyle w:val="TableParagraph"/>
              <w:spacing w:line="249" w:lineRule="auto" w:before="43"/>
              <w:ind w:left="75" w:right="88"/>
              <w:jc w:val="left"/>
              <w:rPr>
                <w:sz w:val="16"/>
              </w:rPr>
            </w:pPr>
            <w:r>
              <w:rPr>
                <w:sz w:val="16"/>
              </w:rPr>
              <w:t>Aboriginal and Torres Strait Islander people</w:t>
            </w:r>
          </w:p>
        </w:tc>
        <w:tc>
          <w:tcPr>
            <w:tcW w:w="1120" w:type="dxa"/>
            <w:shd w:val="clear" w:color="auto" w:fill="E6E7E8"/>
          </w:tcPr>
          <w:p>
            <w:pPr>
              <w:pStyle w:val="TableParagraph"/>
              <w:spacing w:before="143"/>
              <w:ind w:right="72"/>
              <w:rPr>
                <w:sz w:val="16"/>
              </w:rPr>
            </w:pPr>
            <w:r>
              <w:rPr>
                <w:w w:val="90"/>
                <w:sz w:val="16"/>
              </w:rPr>
              <w:t>100</w:t>
            </w:r>
          </w:p>
        </w:tc>
        <w:tc>
          <w:tcPr>
            <w:tcW w:w="1120" w:type="dxa"/>
            <w:shd w:val="clear" w:color="auto" w:fill="E6E7E8"/>
          </w:tcPr>
          <w:p>
            <w:pPr>
              <w:pStyle w:val="TableParagraph"/>
              <w:spacing w:before="143"/>
              <w:ind w:right="77"/>
              <w:rPr>
                <w:sz w:val="16"/>
              </w:rPr>
            </w:pPr>
            <w:r>
              <w:rPr>
                <w:sz w:val="16"/>
              </w:rPr>
              <w:t>n/a</w:t>
            </w:r>
          </w:p>
        </w:tc>
        <w:tc>
          <w:tcPr>
            <w:tcW w:w="1120" w:type="dxa"/>
            <w:shd w:val="clear" w:color="auto" w:fill="E6E7E8"/>
          </w:tcPr>
          <w:p>
            <w:pPr>
              <w:pStyle w:val="TableParagraph"/>
              <w:spacing w:before="143"/>
              <w:ind w:right="77"/>
              <w:rPr>
                <w:sz w:val="16"/>
              </w:rPr>
            </w:pPr>
            <w:r>
              <w:rPr>
                <w:sz w:val="16"/>
              </w:rPr>
              <w:t>n/a</w:t>
            </w:r>
          </w:p>
        </w:tc>
        <w:tc>
          <w:tcPr>
            <w:tcW w:w="1120" w:type="dxa"/>
            <w:shd w:val="clear" w:color="auto" w:fill="E6E7E8"/>
          </w:tcPr>
          <w:p>
            <w:pPr>
              <w:pStyle w:val="TableParagraph"/>
              <w:spacing w:before="143"/>
              <w:ind w:right="73"/>
              <w:rPr>
                <w:sz w:val="16"/>
              </w:rPr>
            </w:pPr>
            <w:r>
              <w:rPr>
                <w:w w:val="95"/>
                <w:sz w:val="16"/>
              </w:rPr>
              <w:t>76</w:t>
            </w:r>
          </w:p>
        </w:tc>
        <w:tc>
          <w:tcPr>
            <w:tcW w:w="1120" w:type="dxa"/>
            <w:shd w:val="clear" w:color="auto" w:fill="E6E7E8"/>
          </w:tcPr>
          <w:p>
            <w:pPr>
              <w:pStyle w:val="TableParagraph"/>
              <w:spacing w:before="143"/>
              <w:ind w:right="71"/>
              <w:rPr>
                <w:sz w:val="16"/>
              </w:rPr>
            </w:pPr>
            <w:r>
              <w:rPr>
                <w:w w:val="95"/>
                <w:sz w:val="16"/>
              </w:rPr>
              <w:t>79</w:t>
            </w:r>
          </w:p>
        </w:tc>
        <w:tc>
          <w:tcPr>
            <w:tcW w:w="1120" w:type="dxa"/>
            <w:shd w:val="clear" w:color="auto" w:fill="E6E7E8"/>
          </w:tcPr>
          <w:p>
            <w:pPr>
              <w:pStyle w:val="TableParagraph"/>
              <w:spacing w:before="143"/>
              <w:ind w:right="68"/>
              <w:rPr>
                <w:sz w:val="16"/>
              </w:rPr>
            </w:pPr>
            <w:r>
              <w:rPr>
                <w:w w:val="95"/>
                <w:sz w:val="16"/>
              </w:rPr>
              <w:t>83</w:t>
            </w:r>
          </w:p>
        </w:tc>
        <w:tc>
          <w:tcPr>
            <w:tcW w:w="1120" w:type="dxa"/>
            <w:shd w:val="clear" w:color="auto" w:fill="E6E7E8"/>
          </w:tcPr>
          <w:p>
            <w:pPr>
              <w:pStyle w:val="TableParagraph"/>
              <w:spacing w:before="143"/>
              <w:ind w:right="81"/>
              <w:rPr>
                <w:sz w:val="16"/>
              </w:rPr>
            </w:pPr>
            <w:r>
              <w:rPr>
                <w:w w:val="105"/>
                <w:sz w:val="16"/>
              </w:rPr>
              <w:t>N/A</w:t>
            </w:r>
          </w:p>
        </w:tc>
      </w:tr>
      <w:tr>
        <w:trPr>
          <w:trHeight w:val="688" w:hRule="exact"/>
        </w:trPr>
        <w:tc>
          <w:tcPr>
            <w:tcW w:w="2244" w:type="dxa"/>
            <w:shd w:val="clear" w:color="auto" w:fill="E6E7E8"/>
          </w:tcPr>
          <w:p>
            <w:pPr>
              <w:pStyle w:val="TableParagraph"/>
              <w:spacing w:line="249" w:lineRule="auto" w:before="43"/>
              <w:ind w:left="75" w:right="88"/>
              <w:jc w:val="left"/>
              <w:rPr>
                <w:sz w:val="16"/>
              </w:rPr>
            </w:pPr>
            <w:r>
              <w:rPr>
                <w:sz w:val="16"/>
              </w:rPr>
              <w:t>People whose language first spoken as a child was not English</w:t>
            </w:r>
          </w:p>
        </w:tc>
        <w:tc>
          <w:tcPr>
            <w:tcW w:w="1120" w:type="dxa"/>
            <w:shd w:val="clear" w:color="auto" w:fill="E6E7E8"/>
          </w:tcPr>
          <w:p>
            <w:pPr>
              <w:pStyle w:val="TableParagraph"/>
              <w:spacing w:before="2"/>
              <w:jc w:val="left"/>
              <w:rPr>
                <w:rFonts w:ascii="Gotham Narrow Book"/>
                <w:b w:val="0"/>
                <w:i/>
                <w:sz w:val="20"/>
              </w:rPr>
            </w:pPr>
          </w:p>
          <w:p>
            <w:pPr>
              <w:pStyle w:val="TableParagraph"/>
              <w:spacing w:before="1"/>
              <w:ind w:right="72"/>
              <w:rPr>
                <w:sz w:val="16"/>
              </w:rPr>
            </w:pPr>
            <w:r>
              <w:rPr>
                <w:w w:val="90"/>
                <w:sz w:val="16"/>
              </w:rPr>
              <w:t>100</w:t>
            </w:r>
          </w:p>
        </w:tc>
        <w:tc>
          <w:tcPr>
            <w:tcW w:w="1120" w:type="dxa"/>
            <w:shd w:val="clear" w:color="auto" w:fill="E6E7E8"/>
          </w:tcPr>
          <w:p>
            <w:pPr>
              <w:pStyle w:val="TableParagraph"/>
              <w:spacing w:before="2"/>
              <w:jc w:val="left"/>
              <w:rPr>
                <w:rFonts w:ascii="Gotham Narrow Book"/>
                <w:b w:val="0"/>
                <w:i/>
                <w:sz w:val="20"/>
              </w:rPr>
            </w:pPr>
          </w:p>
          <w:p>
            <w:pPr>
              <w:pStyle w:val="TableParagraph"/>
              <w:spacing w:before="1"/>
              <w:ind w:right="69"/>
              <w:rPr>
                <w:sz w:val="16"/>
              </w:rPr>
            </w:pPr>
            <w:r>
              <w:rPr>
                <w:w w:val="95"/>
                <w:sz w:val="16"/>
              </w:rPr>
              <w:t>95</w:t>
            </w:r>
          </w:p>
        </w:tc>
        <w:tc>
          <w:tcPr>
            <w:tcW w:w="1120" w:type="dxa"/>
            <w:shd w:val="clear" w:color="auto" w:fill="E6E7E8"/>
          </w:tcPr>
          <w:p>
            <w:pPr>
              <w:pStyle w:val="TableParagraph"/>
              <w:spacing w:before="2"/>
              <w:jc w:val="left"/>
              <w:rPr>
                <w:rFonts w:ascii="Gotham Narrow Book"/>
                <w:b w:val="0"/>
                <w:i/>
                <w:sz w:val="20"/>
              </w:rPr>
            </w:pPr>
          </w:p>
          <w:p>
            <w:pPr>
              <w:pStyle w:val="TableParagraph"/>
              <w:spacing w:before="1"/>
              <w:ind w:right="73"/>
              <w:rPr>
                <w:sz w:val="16"/>
              </w:rPr>
            </w:pPr>
            <w:r>
              <w:rPr>
                <w:w w:val="95"/>
                <w:sz w:val="16"/>
              </w:rPr>
              <w:t>97</w:t>
            </w:r>
          </w:p>
        </w:tc>
        <w:tc>
          <w:tcPr>
            <w:tcW w:w="1120" w:type="dxa"/>
            <w:shd w:val="clear" w:color="auto" w:fill="E6E7E8"/>
          </w:tcPr>
          <w:p>
            <w:pPr>
              <w:pStyle w:val="TableParagraph"/>
              <w:spacing w:before="2"/>
              <w:jc w:val="left"/>
              <w:rPr>
                <w:rFonts w:ascii="Gotham Narrow Book"/>
                <w:b w:val="0"/>
                <w:i/>
                <w:sz w:val="20"/>
              </w:rPr>
            </w:pPr>
          </w:p>
          <w:p>
            <w:pPr>
              <w:pStyle w:val="TableParagraph"/>
              <w:spacing w:before="1"/>
              <w:ind w:right="72"/>
              <w:rPr>
                <w:sz w:val="16"/>
              </w:rPr>
            </w:pPr>
            <w:r>
              <w:rPr>
                <w:sz w:val="16"/>
              </w:rPr>
              <w:t>98</w:t>
            </w:r>
          </w:p>
        </w:tc>
        <w:tc>
          <w:tcPr>
            <w:tcW w:w="1120" w:type="dxa"/>
            <w:shd w:val="clear" w:color="auto" w:fill="E6E7E8"/>
          </w:tcPr>
          <w:p>
            <w:pPr>
              <w:pStyle w:val="TableParagraph"/>
              <w:spacing w:before="2"/>
              <w:jc w:val="left"/>
              <w:rPr>
                <w:rFonts w:ascii="Gotham Narrow Book"/>
                <w:b w:val="0"/>
                <w:i/>
                <w:sz w:val="20"/>
              </w:rPr>
            </w:pPr>
          </w:p>
          <w:p>
            <w:pPr>
              <w:pStyle w:val="TableParagraph"/>
              <w:spacing w:before="1"/>
              <w:ind w:right="72"/>
              <w:rPr>
                <w:sz w:val="16"/>
              </w:rPr>
            </w:pPr>
            <w:r>
              <w:rPr>
                <w:w w:val="95"/>
                <w:sz w:val="16"/>
              </w:rPr>
              <w:t>93</w:t>
            </w:r>
          </w:p>
        </w:tc>
        <w:tc>
          <w:tcPr>
            <w:tcW w:w="1120" w:type="dxa"/>
            <w:shd w:val="clear" w:color="auto" w:fill="E6E7E8"/>
          </w:tcPr>
          <w:p>
            <w:pPr>
              <w:pStyle w:val="TableParagraph"/>
              <w:spacing w:before="2"/>
              <w:jc w:val="left"/>
              <w:rPr>
                <w:rFonts w:ascii="Gotham Narrow Book"/>
                <w:b w:val="0"/>
                <w:i/>
                <w:sz w:val="20"/>
              </w:rPr>
            </w:pPr>
          </w:p>
          <w:p>
            <w:pPr>
              <w:pStyle w:val="TableParagraph"/>
              <w:spacing w:before="1"/>
              <w:ind w:right="67"/>
              <w:rPr>
                <w:sz w:val="16"/>
              </w:rPr>
            </w:pPr>
            <w:r>
              <w:rPr>
                <w:w w:val="105"/>
                <w:sz w:val="16"/>
              </w:rPr>
              <w:t>90</w:t>
            </w:r>
          </w:p>
        </w:tc>
        <w:tc>
          <w:tcPr>
            <w:tcW w:w="1120" w:type="dxa"/>
            <w:shd w:val="clear" w:color="auto" w:fill="E6E7E8"/>
          </w:tcPr>
          <w:p>
            <w:pPr>
              <w:pStyle w:val="TableParagraph"/>
              <w:spacing w:before="2"/>
              <w:jc w:val="left"/>
              <w:rPr>
                <w:rFonts w:ascii="Gotham Narrow Book"/>
                <w:b w:val="0"/>
                <w:i/>
                <w:sz w:val="20"/>
              </w:rPr>
            </w:pPr>
          </w:p>
          <w:p>
            <w:pPr>
              <w:pStyle w:val="TableParagraph"/>
              <w:spacing w:before="1"/>
              <w:ind w:right="67"/>
              <w:rPr>
                <w:sz w:val="16"/>
              </w:rPr>
            </w:pPr>
            <w:r>
              <w:rPr>
                <w:w w:val="105"/>
                <w:sz w:val="16"/>
              </w:rPr>
              <w:t>90</w:t>
            </w:r>
          </w:p>
        </w:tc>
      </w:tr>
      <w:tr>
        <w:trPr>
          <w:trHeight w:val="340" w:hRule="exact"/>
        </w:trPr>
        <w:tc>
          <w:tcPr>
            <w:tcW w:w="2244" w:type="dxa"/>
            <w:shd w:val="clear" w:color="auto" w:fill="E6E7E8"/>
          </w:tcPr>
          <w:p>
            <w:pPr>
              <w:pStyle w:val="TableParagraph"/>
              <w:spacing w:before="69"/>
              <w:ind w:left="75" w:right="88"/>
              <w:jc w:val="left"/>
              <w:rPr>
                <w:sz w:val="16"/>
              </w:rPr>
            </w:pPr>
            <w:r>
              <w:rPr>
                <w:sz w:val="16"/>
              </w:rPr>
              <w:t>People with a disability</w:t>
            </w:r>
          </w:p>
        </w:tc>
        <w:tc>
          <w:tcPr>
            <w:tcW w:w="1120" w:type="dxa"/>
            <w:shd w:val="clear" w:color="auto" w:fill="E6E7E8"/>
          </w:tcPr>
          <w:p>
            <w:pPr>
              <w:pStyle w:val="TableParagraph"/>
              <w:spacing w:before="69"/>
              <w:ind w:right="72"/>
              <w:rPr>
                <w:sz w:val="16"/>
              </w:rPr>
            </w:pPr>
            <w:r>
              <w:rPr>
                <w:w w:val="90"/>
                <w:sz w:val="16"/>
              </w:rPr>
              <w:t>100</w:t>
            </w:r>
          </w:p>
        </w:tc>
        <w:tc>
          <w:tcPr>
            <w:tcW w:w="1120" w:type="dxa"/>
            <w:shd w:val="clear" w:color="auto" w:fill="E6E7E8"/>
          </w:tcPr>
          <w:p>
            <w:pPr>
              <w:pStyle w:val="TableParagraph"/>
              <w:spacing w:before="69"/>
              <w:ind w:right="67"/>
              <w:rPr>
                <w:sz w:val="16"/>
              </w:rPr>
            </w:pPr>
            <w:r>
              <w:rPr>
                <w:w w:val="105"/>
                <w:sz w:val="16"/>
              </w:rPr>
              <w:t>90</w:t>
            </w:r>
          </w:p>
        </w:tc>
        <w:tc>
          <w:tcPr>
            <w:tcW w:w="1120" w:type="dxa"/>
            <w:shd w:val="clear" w:color="auto" w:fill="E6E7E8"/>
          </w:tcPr>
          <w:p>
            <w:pPr>
              <w:pStyle w:val="TableParagraph"/>
              <w:spacing w:before="69"/>
              <w:ind w:right="72"/>
              <w:rPr>
                <w:sz w:val="16"/>
              </w:rPr>
            </w:pPr>
            <w:r>
              <w:rPr>
                <w:w w:val="95"/>
                <w:sz w:val="16"/>
              </w:rPr>
              <w:t>87</w:t>
            </w:r>
          </w:p>
        </w:tc>
        <w:tc>
          <w:tcPr>
            <w:tcW w:w="1120" w:type="dxa"/>
            <w:shd w:val="clear" w:color="auto" w:fill="E6E7E8"/>
          </w:tcPr>
          <w:p>
            <w:pPr>
              <w:pStyle w:val="TableParagraph"/>
              <w:spacing w:before="69"/>
              <w:ind w:right="66"/>
              <w:rPr>
                <w:sz w:val="16"/>
              </w:rPr>
            </w:pPr>
            <w:r>
              <w:rPr>
                <w:w w:val="95"/>
                <w:sz w:val="16"/>
              </w:rPr>
              <w:t>88</w:t>
            </w:r>
          </w:p>
        </w:tc>
        <w:tc>
          <w:tcPr>
            <w:tcW w:w="1120" w:type="dxa"/>
            <w:shd w:val="clear" w:color="auto" w:fill="E6E7E8"/>
          </w:tcPr>
          <w:p>
            <w:pPr>
              <w:pStyle w:val="TableParagraph"/>
              <w:spacing w:before="69"/>
              <w:ind w:right="72"/>
              <w:rPr>
                <w:sz w:val="16"/>
              </w:rPr>
            </w:pPr>
            <w:r>
              <w:rPr>
                <w:sz w:val="16"/>
              </w:rPr>
              <w:t>86</w:t>
            </w:r>
          </w:p>
        </w:tc>
        <w:tc>
          <w:tcPr>
            <w:tcW w:w="1120" w:type="dxa"/>
            <w:shd w:val="clear" w:color="auto" w:fill="E6E7E8"/>
          </w:tcPr>
          <w:p>
            <w:pPr>
              <w:pStyle w:val="TableParagraph"/>
              <w:spacing w:before="69"/>
              <w:ind w:right="72"/>
              <w:rPr>
                <w:sz w:val="16"/>
              </w:rPr>
            </w:pPr>
            <w:r>
              <w:rPr>
                <w:sz w:val="16"/>
              </w:rPr>
              <w:t>86</w:t>
            </w:r>
          </w:p>
        </w:tc>
        <w:tc>
          <w:tcPr>
            <w:tcW w:w="1120" w:type="dxa"/>
            <w:shd w:val="clear" w:color="auto" w:fill="E6E7E8"/>
          </w:tcPr>
          <w:p>
            <w:pPr>
              <w:pStyle w:val="TableParagraph"/>
              <w:spacing w:before="69"/>
              <w:ind w:right="72"/>
              <w:rPr>
                <w:sz w:val="16"/>
              </w:rPr>
            </w:pPr>
            <w:r>
              <w:rPr>
                <w:w w:val="85"/>
                <w:sz w:val="16"/>
              </w:rPr>
              <w:t>103</w:t>
            </w:r>
          </w:p>
        </w:tc>
      </w:tr>
      <w:tr>
        <w:trPr>
          <w:trHeight w:val="488" w:hRule="exact"/>
        </w:trPr>
        <w:tc>
          <w:tcPr>
            <w:tcW w:w="2244" w:type="dxa"/>
            <w:shd w:val="clear" w:color="auto" w:fill="E6E7E8"/>
          </w:tcPr>
          <w:p>
            <w:pPr>
              <w:pStyle w:val="TableParagraph"/>
              <w:spacing w:line="249" w:lineRule="auto" w:before="43"/>
              <w:ind w:left="75" w:right="87"/>
              <w:jc w:val="left"/>
              <w:rPr>
                <w:sz w:val="16"/>
              </w:rPr>
            </w:pPr>
            <w:r>
              <w:rPr>
                <w:sz w:val="16"/>
              </w:rPr>
              <w:t>People with a disability requiring adjustment at work</w:t>
            </w:r>
          </w:p>
        </w:tc>
        <w:tc>
          <w:tcPr>
            <w:tcW w:w="1120" w:type="dxa"/>
            <w:shd w:val="clear" w:color="auto" w:fill="E6E7E8"/>
          </w:tcPr>
          <w:p>
            <w:pPr>
              <w:pStyle w:val="TableParagraph"/>
              <w:spacing w:before="143"/>
              <w:ind w:right="72"/>
              <w:rPr>
                <w:sz w:val="16"/>
              </w:rPr>
            </w:pPr>
            <w:r>
              <w:rPr>
                <w:w w:val="90"/>
                <w:sz w:val="16"/>
              </w:rPr>
              <w:t>100</w:t>
            </w:r>
          </w:p>
        </w:tc>
        <w:tc>
          <w:tcPr>
            <w:tcW w:w="1120" w:type="dxa"/>
            <w:shd w:val="clear" w:color="auto" w:fill="E6E7E8"/>
          </w:tcPr>
          <w:p>
            <w:pPr>
              <w:pStyle w:val="TableParagraph"/>
              <w:spacing w:before="143"/>
              <w:ind w:right="77"/>
              <w:rPr>
                <w:sz w:val="16"/>
              </w:rPr>
            </w:pPr>
            <w:r>
              <w:rPr>
                <w:sz w:val="16"/>
              </w:rPr>
              <w:t>n/a</w:t>
            </w:r>
          </w:p>
        </w:tc>
        <w:tc>
          <w:tcPr>
            <w:tcW w:w="1120" w:type="dxa"/>
            <w:shd w:val="clear" w:color="auto" w:fill="E6E7E8"/>
          </w:tcPr>
          <w:p>
            <w:pPr>
              <w:pStyle w:val="TableParagraph"/>
              <w:spacing w:before="143"/>
              <w:ind w:right="77"/>
              <w:rPr>
                <w:sz w:val="16"/>
              </w:rPr>
            </w:pPr>
            <w:r>
              <w:rPr>
                <w:sz w:val="16"/>
              </w:rPr>
              <w:t>n/a</w:t>
            </w:r>
          </w:p>
        </w:tc>
        <w:tc>
          <w:tcPr>
            <w:tcW w:w="1120" w:type="dxa"/>
            <w:shd w:val="clear" w:color="auto" w:fill="E6E7E8"/>
          </w:tcPr>
          <w:p>
            <w:pPr>
              <w:pStyle w:val="TableParagraph"/>
              <w:spacing w:before="143"/>
              <w:ind w:right="66"/>
              <w:rPr>
                <w:sz w:val="16"/>
              </w:rPr>
            </w:pPr>
            <w:r>
              <w:rPr>
                <w:w w:val="95"/>
                <w:sz w:val="16"/>
              </w:rPr>
              <w:t>88</w:t>
            </w:r>
          </w:p>
        </w:tc>
        <w:tc>
          <w:tcPr>
            <w:tcW w:w="1120" w:type="dxa"/>
            <w:shd w:val="clear" w:color="auto" w:fill="E6E7E8"/>
          </w:tcPr>
          <w:p>
            <w:pPr>
              <w:pStyle w:val="TableParagraph"/>
              <w:spacing w:before="143"/>
              <w:ind w:right="77"/>
              <w:rPr>
                <w:sz w:val="16"/>
              </w:rPr>
            </w:pPr>
            <w:r>
              <w:rPr>
                <w:sz w:val="16"/>
              </w:rPr>
              <w:t>n/a</w:t>
            </w:r>
          </w:p>
        </w:tc>
        <w:tc>
          <w:tcPr>
            <w:tcW w:w="1120" w:type="dxa"/>
            <w:shd w:val="clear" w:color="auto" w:fill="E6E7E8"/>
          </w:tcPr>
          <w:p>
            <w:pPr>
              <w:pStyle w:val="TableParagraph"/>
              <w:spacing w:before="143"/>
              <w:ind w:right="81"/>
              <w:rPr>
                <w:sz w:val="16"/>
              </w:rPr>
            </w:pPr>
            <w:r>
              <w:rPr>
                <w:w w:val="105"/>
                <w:sz w:val="16"/>
              </w:rPr>
              <w:t>N/A</w:t>
            </w:r>
          </w:p>
        </w:tc>
        <w:tc>
          <w:tcPr>
            <w:tcW w:w="1120" w:type="dxa"/>
            <w:shd w:val="clear" w:color="auto" w:fill="E6E7E8"/>
          </w:tcPr>
          <w:p>
            <w:pPr>
              <w:pStyle w:val="TableParagraph"/>
              <w:spacing w:before="143"/>
              <w:ind w:right="71"/>
              <w:rPr>
                <w:sz w:val="16"/>
              </w:rPr>
            </w:pPr>
            <w:r>
              <w:rPr>
                <w:w w:val="65"/>
                <w:sz w:val="16"/>
              </w:rPr>
              <w:t>117</w:t>
            </w:r>
          </w:p>
        </w:tc>
      </w:tr>
    </w:tbl>
    <w:p>
      <w:pPr>
        <w:spacing w:after="0"/>
        <w:rPr>
          <w:sz w:val="16"/>
        </w:rPr>
        <w:sectPr>
          <w:pgSz w:w="11910" w:h="16840"/>
          <w:pgMar w:header="494" w:footer="473" w:top="680" w:bottom="660" w:left="580" w:right="580"/>
        </w:sectPr>
      </w:pPr>
    </w:p>
    <w:p>
      <w:pPr>
        <w:pStyle w:val="BodyText"/>
        <w:spacing w:before="9"/>
        <w:rPr>
          <w:rFonts w:ascii="Gotham Narrow Book"/>
          <w:b w:val="0"/>
          <w:i/>
          <w:sz w:val="28"/>
        </w:rPr>
      </w:pPr>
      <w:r>
        <w:rPr/>
        <w:pict>
          <v:rect style="position:absolute;margin-left:34.015999pt;margin-top:45.355015pt;width:527.244pt;height:751.181pt;mso-position-horizontal-relative:page;mso-position-vertical-relative:page;z-index:-331648" filled="true" fillcolor="#e6e7e8" stroked="false">
            <v:fill type="solid"/>
            <w10:wrap type="none"/>
          </v:rect>
        </w:pict>
      </w:r>
    </w:p>
    <w:p>
      <w:pPr>
        <w:pStyle w:val="Heading1"/>
      </w:pPr>
      <w:r>
        <w:rPr>
          <w:w w:val="95"/>
        </w:rPr>
        <w:t>APPENDIX 10</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25"/>
        </w:rPr>
      </w:pPr>
    </w:p>
    <w:p>
      <w:pPr>
        <w:pStyle w:val="Heading8"/>
        <w:spacing w:before="72"/>
        <w:ind w:left="327" w:right="5322"/>
      </w:pPr>
      <w:r>
        <w:rPr>
          <w:color w:val="636466"/>
        </w:rPr>
        <w:t>Table B.1. Trends in the Distribution of EEO Groups – General staff</w:t>
      </w:r>
    </w:p>
    <w:p>
      <w:pPr>
        <w:spacing w:before="93"/>
        <w:ind w:left="327" w:right="7611" w:firstLine="0"/>
        <w:jc w:val="left"/>
        <w:rPr>
          <w:rFonts w:ascii="Gotham Narrow Book"/>
          <w:b w:val="0"/>
          <w:i/>
          <w:sz w:val="16"/>
        </w:rPr>
      </w:pPr>
      <w:r>
        <w:rPr>
          <w:rFonts w:ascii="Gotham Narrow Book"/>
          <w:b w:val="0"/>
          <w:i/>
          <w:sz w:val="16"/>
        </w:rPr>
        <w:t>Distribution index</w:t>
      </w:r>
    </w:p>
    <w:p>
      <w:pPr>
        <w:pStyle w:val="BodyText"/>
        <w:spacing w:before="4"/>
        <w:rPr>
          <w:rFonts w:ascii="Gotham Narrow Book"/>
          <w:b w:val="0"/>
          <w:i/>
          <w:sz w:val="13"/>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2187"/>
        <w:gridCol w:w="1106"/>
        <w:gridCol w:w="1134"/>
        <w:gridCol w:w="1134"/>
        <w:gridCol w:w="1134"/>
        <w:gridCol w:w="1134"/>
        <w:gridCol w:w="1134"/>
        <w:gridCol w:w="1134"/>
      </w:tblGrid>
      <w:tr>
        <w:trPr>
          <w:trHeight w:val="488" w:hRule="exact"/>
        </w:trPr>
        <w:tc>
          <w:tcPr>
            <w:tcW w:w="2187" w:type="dxa"/>
            <w:tcBorders>
              <w:top w:val="nil"/>
              <w:left w:val="nil"/>
              <w:bottom w:val="nil"/>
              <w:right w:val="nil"/>
            </w:tcBorders>
            <w:shd w:val="clear" w:color="auto" w:fill="939598"/>
          </w:tcPr>
          <w:p>
            <w:pPr>
              <w:pStyle w:val="TableParagraph"/>
              <w:spacing w:line="249" w:lineRule="auto" w:before="54"/>
              <w:ind w:left="79"/>
              <w:jc w:val="left"/>
              <w:rPr>
                <w:rFonts w:ascii="Gotham Narrow Bold"/>
                <w:b/>
                <w:sz w:val="16"/>
              </w:rPr>
            </w:pPr>
            <w:r>
              <w:rPr>
                <w:rFonts w:ascii="Gotham Narrow Bold"/>
                <w:b/>
                <w:color w:val="FFFFFF"/>
                <w:sz w:val="16"/>
              </w:rPr>
              <w:t>EEO GROUPS: </w:t>
            </w:r>
            <w:r>
              <w:rPr>
                <w:rFonts w:ascii="Gotham Narrow Bold"/>
                <w:b/>
                <w:color w:val="FFFFFF"/>
                <w:w w:val="95"/>
                <w:sz w:val="16"/>
              </w:rPr>
              <w:t>PROFESSIONAL STAFF</w:t>
            </w:r>
          </w:p>
        </w:tc>
        <w:tc>
          <w:tcPr>
            <w:tcW w:w="1106" w:type="dxa"/>
            <w:tcBorders>
              <w:top w:val="nil"/>
              <w:left w:val="nil"/>
              <w:bottom w:val="nil"/>
              <w:right w:val="nil"/>
            </w:tcBorders>
            <w:shd w:val="clear" w:color="auto" w:fill="939598"/>
          </w:tcPr>
          <w:p>
            <w:pPr>
              <w:pStyle w:val="TableParagraph"/>
              <w:spacing w:line="249" w:lineRule="auto" w:before="54"/>
              <w:ind w:left="199" w:hanging="119"/>
              <w:jc w:val="left"/>
              <w:rPr>
                <w:rFonts w:ascii="Gotham Narrow Bold"/>
                <w:b/>
                <w:sz w:val="16"/>
              </w:rPr>
            </w:pPr>
            <w:r>
              <w:rPr>
                <w:rFonts w:ascii="Gotham Narrow Bold"/>
                <w:b/>
                <w:color w:val="FFFFFF"/>
                <w:w w:val="95"/>
                <w:sz w:val="16"/>
              </w:rPr>
              <w:t>BENCHMARK OR TARGET</w:t>
            </w:r>
          </w:p>
        </w:tc>
        <w:tc>
          <w:tcPr>
            <w:tcW w:w="1134"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2010</w:t>
            </w:r>
          </w:p>
        </w:tc>
        <w:tc>
          <w:tcPr>
            <w:tcW w:w="1134"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2011</w:t>
            </w:r>
          </w:p>
        </w:tc>
        <w:tc>
          <w:tcPr>
            <w:tcW w:w="1134"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2012</w:t>
            </w:r>
          </w:p>
        </w:tc>
        <w:tc>
          <w:tcPr>
            <w:tcW w:w="1134"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2013</w:t>
            </w:r>
          </w:p>
        </w:tc>
        <w:tc>
          <w:tcPr>
            <w:tcW w:w="1134"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2014</w:t>
            </w:r>
          </w:p>
        </w:tc>
        <w:tc>
          <w:tcPr>
            <w:tcW w:w="1134" w:type="dxa"/>
            <w:tcBorders>
              <w:top w:val="nil"/>
              <w:left w:val="nil"/>
              <w:bottom w:val="nil"/>
              <w:right w:val="nil"/>
            </w:tcBorders>
            <w:shd w:val="clear" w:color="auto" w:fill="939598"/>
          </w:tcPr>
          <w:p>
            <w:pPr>
              <w:pStyle w:val="TableParagraph"/>
              <w:spacing w:before="10"/>
              <w:jc w:val="left"/>
              <w:rPr>
                <w:rFonts w:ascii="Gotham Narrow Book"/>
                <w:b w:val="0"/>
                <w:i/>
                <w:sz w:val="12"/>
              </w:rPr>
            </w:pPr>
          </w:p>
          <w:p>
            <w:pPr>
              <w:pStyle w:val="TableParagraph"/>
              <w:spacing w:before="0"/>
              <w:ind w:right="78"/>
              <w:rPr>
                <w:rFonts w:ascii="Gotham Narrow Bold"/>
                <w:b/>
                <w:sz w:val="16"/>
              </w:rPr>
            </w:pPr>
            <w:r>
              <w:rPr>
                <w:rFonts w:ascii="Gotham Narrow Bold"/>
                <w:b/>
                <w:color w:val="FFFFFF"/>
                <w:w w:val="95"/>
                <w:sz w:val="16"/>
              </w:rPr>
              <w:t>2015</w:t>
            </w:r>
          </w:p>
        </w:tc>
      </w:tr>
      <w:tr>
        <w:trPr>
          <w:trHeight w:val="340" w:hRule="exact"/>
        </w:trPr>
        <w:tc>
          <w:tcPr>
            <w:tcW w:w="2187" w:type="dxa"/>
            <w:tcBorders>
              <w:top w:val="nil"/>
            </w:tcBorders>
            <w:shd w:val="clear" w:color="auto" w:fill="E6E7E8"/>
          </w:tcPr>
          <w:p>
            <w:pPr>
              <w:pStyle w:val="TableParagraph"/>
              <w:spacing w:before="74"/>
              <w:ind w:left="74" w:right="30"/>
              <w:jc w:val="left"/>
              <w:rPr>
                <w:sz w:val="16"/>
              </w:rPr>
            </w:pPr>
            <w:r>
              <w:rPr>
                <w:sz w:val="16"/>
              </w:rPr>
              <w:t>Women</w:t>
            </w:r>
          </w:p>
        </w:tc>
        <w:tc>
          <w:tcPr>
            <w:tcW w:w="1106" w:type="dxa"/>
            <w:tcBorders>
              <w:top w:val="nil"/>
            </w:tcBorders>
            <w:shd w:val="clear" w:color="auto" w:fill="E6E7E8"/>
          </w:tcPr>
          <w:p>
            <w:pPr>
              <w:pStyle w:val="TableParagraph"/>
              <w:spacing w:before="74"/>
              <w:ind w:right="73"/>
              <w:rPr>
                <w:sz w:val="16"/>
              </w:rPr>
            </w:pPr>
            <w:r>
              <w:rPr>
                <w:w w:val="90"/>
                <w:sz w:val="16"/>
              </w:rPr>
              <w:t>100</w:t>
            </w:r>
          </w:p>
        </w:tc>
        <w:tc>
          <w:tcPr>
            <w:tcW w:w="1134" w:type="dxa"/>
            <w:tcBorders>
              <w:top w:val="nil"/>
            </w:tcBorders>
            <w:shd w:val="clear" w:color="auto" w:fill="E6E7E8"/>
          </w:tcPr>
          <w:p>
            <w:pPr>
              <w:pStyle w:val="TableParagraph"/>
              <w:spacing w:before="74"/>
              <w:ind w:right="68"/>
              <w:rPr>
                <w:sz w:val="16"/>
              </w:rPr>
            </w:pPr>
            <w:r>
              <w:rPr>
                <w:w w:val="105"/>
                <w:sz w:val="16"/>
              </w:rPr>
              <w:t>90</w:t>
            </w:r>
          </w:p>
        </w:tc>
        <w:tc>
          <w:tcPr>
            <w:tcW w:w="1134" w:type="dxa"/>
            <w:tcBorders>
              <w:top w:val="nil"/>
            </w:tcBorders>
            <w:shd w:val="clear" w:color="auto" w:fill="E6E7E8"/>
          </w:tcPr>
          <w:p>
            <w:pPr>
              <w:pStyle w:val="TableParagraph"/>
              <w:spacing w:before="74"/>
              <w:ind w:right="69"/>
              <w:rPr>
                <w:sz w:val="16"/>
              </w:rPr>
            </w:pPr>
            <w:r>
              <w:rPr>
                <w:sz w:val="16"/>
              </w:rPr>
              <w:t>89</w:t>
            </w:r>
          </w:p>
        </w:tc>
        <w:tc>
          <w:tcPr>
            <w:tcW w:w="1134" w:type="dxa"/>
            <w:tcBorders>
              <w:top w:val="nil"/>
            </w:tcBorders>
            <w:shd w:val="clear" w:color="auto" w:fill="E6E7E8"/>
          </w:tcPr>
          <w:p>
            <w:pPr>
              <w:pStyle w:val="TableParagraph"/>
              <w:spacing w:before="74"/>
              <w:ind w:right="69"/>
              <w:rPr>
                <w:sz w:val="16"/>
              </w:rPr>
            </w:pPr>
            <w:r>
              <w:rPr>
                <w:sz w:val="16"/>
              </w:rPr>
              <w:t>89</w:t>
            </w:r>
          </w:p>
        </w:tc>
        <w:tc>
          <w:tcPr>
            <w:tcW w:w="1134" w:type="dxa"/>
            <w:tcBorders>
              <w:top w:val="nil"/>
            </w:tcBorders>
            <w:shd w:val="clear" w:color="auto" w:fill="E6E7E8"/>
          </w:tcPr>
          <w:p>
            <w:pPr>
              <w:pStyle w:val="TableParagraph"/>
              <w:spacing w:before="74"/>
              <w:ind w:right="68"/>
              <w:rPr>
                <w:sz w:val="16"/>
              </w:rPr>
            </w:pPr>
            <w:r>
              <w:rPr>
                <w:w w:val="105"/>
                <w:sz w:val="16"/>
              </w:rPr>
              <w:t>90</w:t>
            </w:r>
          </w:p>
        </w:tc>
        <w:tc>
          <w:tcPr>
            <w:tcW w:w="1134" w:type="dxa"/>
            <w:tcBorders>
              <w:top w:val="nil"/>
            </w:tcBorders>
            <w:shd w:val="clear" w:color="auto" w:fill="E6E7E8"/>
          </w:tcPr>
          <w:p>
            <w:pPr>
              <w:pStyle w:val="TableParagraph"/>
              <w:spacing w:before="74"/>
              <w:ind w:right="70"/>
              <w:rPr>
                <w:sz w:val="16"/>
              </w:rPr>
            </w:pPr>
            <w:r>
              <w:rPr>
                <w:w w:val="95"/>
                <w:sz w:val="16"/>
              </w:rPr>
              <w:t>92</w:t>
            </w:r>
          </w:p>
        </w:tc>
        <w:tc>
          <w:tcPr>
            <w:tcW w:w="1134" w:type="dxa"/>
            <w:tcBorders>
              <w:top w:val="nil"/>
            </w:tcBorders>
            <w:shd w:val="clear" w:color="auto" w:fill="E6E7E8"/>
          </w:tcPr>
          <w:p>
            <w:pPr>
              <w:pStyle w:val="TableParagraph"/>
              <w:spacing w:before="74"/>
              <w:ind w:right="68"/>
              <w:rPr>
                <w:sz w:val="16"/>
              </w:rPr>
            </w:pPr>
            <w:r>
              <w:rPr>
                <w:w w:val="105"/>
                <w:sz w:val="16"/>
              </w:rPr>
              <w:t>90</w:t>
            </w:r>
          </w:p>
        </w:tc>
      </w:tr>
      <w:tr>
        <w:trPr>
          <w:trHeight w:val="488" w:hRule="exact"/>
        </w:trPr>
        <w:tc>
          <w:tcPr>
            <w:tcW w:w="2187" w:type="dxa"/>
            <w:shd w:val="clear" w:color="auto" w:fill="E6E7E8"/>
          </w:tcPr>
          <w:p>
            <w:pPr>
              <w:pStyle w:val="TableParagraph"/>
              <w:spacing w:line="249" w:lineRule="auto" w:before="43"/>
              <w:ind w:left="74" w:right="30"/>
              <w:jc w:val="left"/>
              <w:rPr>
                <w:sz w:val="16"/>
              </w:rPr>
            </w:pPr>
            <w:r>
              <w:rPr>
                <w:sz w:val="16"/>
              </w:rPr>
              <w:t>Aboriginal and Torres Strait Islander people</w:t>
            </w:r>
          </w:p>
        </w:tc>
        <w:tc>
          <w:tcPr>
            <w:tcW w:w="1106" w:type="dxa"/>
            <w:shd w:val="clear" w:color="auto" w:fill="E6E7E8"/>
          </w:tcPr>
          <w:p>
            <w:pPr>
              <w:pStyle w:val="TableParagraph"/>
              <w:spacing w:before="143"/>
              <w:ind w:right="73"/>
              <w:rPr>
                <w:sz w:val="16"/>
              </w:rPr>
            </w:pPr>
            <w:r>
              <w:rPr>
                <w:w w:val="90"/>
                <w:sz w:val="16"/>
              </w:rPr>
              <w:t>100</w:t>
            </w:r>
          </w:p>
        </w:tc>
        <w:tc>
          <w:tcPr>
            <w:tcW w:w="1134" w:type="dxa"/>
            <w:shd w:val="clear" w:color="auto" w:fill="E6E7E8"/>
          </w:tcPr>
          <w:p>
            <w:pPr>
              <w:pStyle w:val="TableParagraph"/>
              <w:spacing w:before="143"/>
              <w:ind w:right="72"/>
              <w:rPr>
                <w:sz w:val="16"/>
              </w:rPr>
            </w:pPr>
            <w:r>
              <w:rPr>
                <w:w w:val="85"/>
                <w:sz w:val="16"/>
              </w:rPr>
              <w:t>103</w:t>
            </w:r>
          </w:p>
        </w:tc>
        <w:tc>
          <w:tcPr>
            <w:tcW w:w="1134" w:type="dxa"/>
            <w:shd w:val="clear" w:color="auto" w:fill="E6E7E8"/>
          </w:tcPr>
          <w:p>
            <w:pPr>
              <w:pStyle w:val="TableParagraph"/>
              <w:spacing w:before="143"/>
              <w:ind w:right="74"/>
              <w:rPr>
                <w:sz w:val="16"/>
              </w:rPr>
            </w:pPr>
            <w:r>
              <w:rPr>
                <w:w w:val="95"/>
                <w:sz w:val="16"/>
              </w:rPr>
              <w:t>97</w:t>
            </w:r>
          </w:p>
        </w:tc>
        <w:tc>
          <w:tcPr>
            <w:tcW w:w="1134" w:type="dxa"/>
            <w:shd w:val="clear" w:color="auto" w:fill="E6E7E8"/>
          </w:tcPr>
          <w:p>
            <w:pPr>
              <w:pStyle w:val="TableParagraph"/>
              <w:spacing w:before="143"/>
              <w:ind w:right="73"/>
              <w:rPr>
                <w:sz w:val="16"/>
              </w:rPr>
            </w:pPr>
            <w:r>
              <w:rPr>
                <w:sz w:val="16"/>
              </w:rPr>
              <w:t>98</w:t>
            </w:r>
          </w:p>
        </w:tc>
        <w:tc>
          <w:tcPr>
            <w:tcW w:w="1134" w:type="dxa"/>
            <w:shd w:val="clear" w:color="auto" w:fill="E6E7E8"/>
          </w:tcPr>
          <w:p>
            <w:pPr>
              <w:pStyle w:val="TableParagraph"/>
              <w:spacing w:before="143"/>
              <w:ind w:right="69"/>
              <w:rPr>
                <w:sz w:val="16"/>
              </w:rPr>
            </w:pPr>
            <w:r>
              <w:rPr>
                <w:w w:val="95"/>
                <w:sz w:val="16"/>
              </w:rPr>
              <w:t>95</w:t>
            </w:r>
          </w:p>
        </w:tc>
        <w:tc>
          <w:tcPr>
            <w:tcW w:w="1134" w:type="dxa"/>
            <w:shd w:val="clear" w:color="auto" w:fill="E6E7E8"/>
          </w:tcPr>
          <w:p>
            <w:pPr>
              <w:pStyle w:val="TableParagraph"/>
              <w:spacing w:before="143"/>
              <w:ind w:right="69"/>
              <w:rPr>
                <w:sz w:val="16"/>
              </w:rPr>
            </w:pPr>
            <w:r>
              <w:rPr>
                <w:w w:val="95"/>
                <w:sz w:val="16"/>
              </w:rPr>
              <w:t>95</w:t>
            </w:r>
          </w:p>
        </w:tc>
        <w:tc>
          <w:tcPr>
            <w:tcW w:w="1134" w:type="dxa"/>
            <w:shd w:val="clear" w:color="auto" w:fill="E6E7E8"/>
          </w:tcPr>
          <w:p>
            <w:pPr>
              <w:pStyle w:val="TableParagraph"/>
              <w:spacing w:before="143"/>
              <w:ind w:right="73"/>
              <w:rPr>
                <w:sz w:val="16"/>
              </w:rPr>
            </w:pPr>
            <w:r>
              <w:rPr>
                <w:sz w:val="16"/>
              </w:rPr>
              <w:t>98</w:t>
            </w:r>
          </w:p>
        </w:tc>
      </w:tr>
      <w:tr>
        <w:trPr>
          <w:trHeight w:val="688" w:hRule="exact"/>
        </w:trPr>
        <w:tc>
          <w:tcPr>
            <w:tcW w:w="2187" w:type="dxa"/>
            <w:shd w:val="clear" w:color="auto" w:fill="E6E7E8"/>
          </w:tcPr>
          <w:p>
            <w:pPr>
              <w:pStyle w:val="TableParagraph"/>
              <w:spacing w:line="249" w:lineRule="auto" w:before="43"/>
              <w:ind w:left="74" w:right="30"/>
              <w:jc w:val="left"/>
              <w:rPr>
                <w:sz w:val="16"/>
              </w:rPr>
            </w:pPr>
            <w:r>
              <w:rPr>
                <w:sz w:val="16"/>
              </w:rPr>
              <w:t>People whose language first spoken as a child was not English</w:t>
            </w:r>
          </w:p>
        </w:tc>
        <w:tc>
          <w:tcPr>
            <w:tcW w:w="1106" w:type="dxa"/>
            <w:shd w:val="clear" w:color="auto" w:fill="E6E7E8"/>
          </w:tcPr>
          <w:p>
            <w:pPr>
              <w:pStyle w:val="TableParagraph"/>
              <w:spacing w:before="2"/>
              <w:jc w:val="left"/>
              <w:rPr>
                <w:rFonts w:ascii="Gotham Narrow Book"/>
                <w:b w:val="0"/>
                <w:i/>
                <w:sz w:val="20"/>
              </w:rPr>
            </w:pPr>
          </w:p>
          <w:p>
            <w:pPr>
              <w:pStyle w:val="TableParagraph"/>
              <w:spacing w:before="1"/>
              <w:ind w:right="73"/>
              <w:rPr>
                <w:sz w:val="16"/>
              </w:rPr>
            </w:pPr>
            <w:r>
              <w:rPr>
                <w:w w:val="90"/>
                <w:sz w:val="16"/>
              </w:rPr>
              <w:t>100</w:t>
            </w:r>
          </w:p>
        </w:tc>
        <w:tc>
          <w:tcPr>
            <w:tcW w:w="1134" w:type="dxa"/>
            <w:shd w:val="clear" w:color="auto" w:fill="E6E7E8"/>
          </w:tcPr>
          <w:p>
            <w:pPr>
              <w:pStyle w:val="TableParagraph"/>
              <w:spacing w:before="2"/>
              <w:jc w:val="left"/>
              <w:rPr>
                <w:rFonts w:ascii="Gotham Narrow Book"/>
                <w:b w:val="0"/>
                <w:i/>
                <w:sz w:val="20"/>
              </w:rPr>
            </w:pPr>
          </w:p>
          <w:p>
            <w:pPr>
              <w:pStyle w:val="TableParagraph"/>
              <w:spacing w:before="1"/>
              <w:ind w:right="74"/>
              <w:rPr>
                <w:sz w:val="16"/>
              </w:rPr>
            </w:pPr>
            <w:r>
              <w:rPr>
                <w:w w:val="95"/>
                <w:sz w:val="16"/>
              </w:rPr>
              <w:t>97</w:t>
            </w:r>
          </w:p>
        </w:tc>
        <w:tc>
          <w:tcPr>
            <w:tcW w:w="1134" w:type="dxa"/>
            <w:shd w:val="clear" w:color="auto" w:fill="E6E7E8"/>
          </w:tcPr>
          <w:p>
            <w:pPr>
              <w:pStyle w:val="TableParagraph"/>
              <w:spacing w:before="2"/>
              <w:jc w:val="left"/>
              <w:rPr>
                <w:rFonts w:ascii="Gotham Narrow Book"/>
                <w:b w:val="0"/>
                <w:i/>
                <w:sz w:val="20"/>
              </w:rPr>
            </w:pPr>
          </w:p>
          <w:p>
            <w:pPr>
              <w:pStyle w:val="TableParagraph"/>
              <w:spacing w:before="1"/>
              <w:ind w:right="69"/>
              <w:rPr>
                <w:sz w:val="16"/>
              </w:rPr>
            </w:pPr>
            <w:r>
              <w:rPr>
                <w:sz w:val="16"/>
              </w:rPr>
              <w:t>99</w:t>
            </w:r>
          </w:p>
        </w:tc>
        <w:tc>
          <w:tcPr>
            <w:tcW w:w="1134" w:type="dxa"/>
            <w:shd w:val="clear" w:color="auto" w:fill="E6E7E8"/>
          </w:tcPr>
          <w:p>
            <w:pPr>
              <w:pStyle w:val="TableParagraph"/>
              <w:spacing w:before="2"/>
              <w:jc w:val="left"/>
              <w:rPr>
                <w:rFonts w:ascii="Gotham Narrow Book"/>
                <w:b w:val="0"/>
                <w:i/>
                <w:sz w:val="20"/>
              </w:rPr>
            </w:pPr>
          </w:p>
          <w:p>
            <w:pPr>
              <w:pStyle w:val="TableParagraph"/>
              <w:spacing w:before="1"/>
              <w:ind w:right="72"/>
              <w:rPr>
                <w:sz w:val="16"/>
              </w:rPr>
            </w:pPr>
            <w:r>
              <w:rPr>
                <w:sz w:val="16"/>
              </w:rPr>
              <w:t>98</w:t>
            </w:r>
          </w:p>
        </w:tc>
        <w:tc>
          <w:tcPr>
            <w:tcW w:w="1134" w:type="dxa"/>
            <w:shd w:val="clear" w:color="auto" w:fill="E6E7E8"/>
          </w:tcPr>
          <w:p>
            <w:pPr>
              <w:pStyle w:val="TableParagraph"/>
              <w:spacing w:before="2"/>
              <w:jc w:val="left"/>
              <w:rPr>
                <w:rFonts w:ascii="Gotham Narrow Book"/>
                <w:b w:val="0"/>
                <w:i/>
                <w:sz w:val="20"/>
              </w:rPr>
            </w:pPr>
          </w:p>
          <w:p>
            <w:pPr>
              <w:pStyle w:val="TableParagraph"/>
              <w:spacing w:before="1"/>
              <w:ind w:right="72"/>
              <w:rPr>
                <w:sz w:val="16"/>
              </w:rPr>
            </w:pPr>
            <w:r>
              <w:rPr>
                <w:sz w:val="16"/>
              </w:rPr>
              <w:t>98</w:t>
            </w:r>
          </w:p>
        </w:tc>
        <w:tc>
          <w:tcPr>
            <w:tcW w:w="1134" w:type="dxa"/>
            <w:shd w:val="clear" w:color="auto" w:fill="E6E7E8"/>
          </w:tcPr>
          <w:p>
            <w:pPr>
              <w:pStyle w:val="TableParagraph"/>
              <w:spacing w:before="2"/>
              <w:jc w:val="left"/>
              <w:rPr>
                <w:rFonts w:ascii="Gotham Narrow Book"/>
                <w:b w:val="0"/>
                <w:i/>
                <w:sz w:val="20"/>
              </w:rPr>
            </w:pPr>
          </w:p>
          <w:p>
            <w:pPr>
              <w:pStyle w:val="TableParagraph"/>
              <w:spacing w:before="1"/>
              <w:ind w:right="69"/>
              <w:rPr>
                <w:sz w:val="16"/>
              </w:rPr>
            </w:pPr>
            <w:r>
              <w:rPr>
                <w:sz w:val="16"/>
              </w:rPr>
              <w:t>99</w:t>
            </w:r>
          </w:p>
        </w:tc>
        <w:tc>
          <w:tcPr>
            <w:tcW w:w="1134" w:type="dxa"/>
            <w:shd w:val="clear" w:color="auto" w:fill="E6E7E8"/>
          </w:tcPr>
          <w:p>
            <w:pPr>
              <w:pStyle w:val="TableParagraph"/>
              <w:spacing w:before="2"/>
              <w:jc w:val="left"/>
              <w:rPr>
                <w:rFonts w:ascii="Gotham Narrow Book"/>
                <w:b w:val="0"/>
                <w:i/>
                <w:sz w:val="20"/>
              </w:rPr>
            </w:pPr>
          </w:p>
          <w:p>
            <w:pPr>
              <w:pStyle w:val="TableParagraph"/>
              <w:spacing w:before="1"/>
              <w:ind w:right="68"/>
              <w:rPr>
                <w:sz w:val="16"/>
              </w:rPr>
            </w:pPr>
            <w:r>
              <w:rPr>
                <w:sz w:val="16"/>
              </w:rPr>
              <w:t>99</w:t>
            </w:r>
          </w:p>
        </w:tc>
      </w:tr>
      <w:tr>
        <w:trPr>
          <w:trHeight w:val="340" w:hRule="exact"/>
        </w:trPr>
        <w:tc>
          <w:tcPr>
            <w:tcW w:w="2187" w:type="dxa"/>
            <w:shd w:val="clear" w:color="auto" w:fill="E6E7E8"/>
          </w:tcPr>
          <w:p>
            <w:pPr>
              <w:pStyle w:val="TableParagraph"/>
              <w:spacing w:before="69"/>
              <w:ind w:left="75" w:right="30"/>
              <w:jc w:val="left"/>
              <w:rPr>
                <w:sz w:val="16"/>
              </w:rPr>
            </w:pPr>
            <w:r>
              <w:rPr>
                <w:sz w:val="16"/>
              </w:rPr>
              <w:t>People with a disability</w:t>
            </w:r>
          </w:p>
        </w:tc>
        <w:tc>
          <w:tcPr>
            <w:tcW w:w="1106" w:type="dxa"/>
            <w:shd w:val="clear" w:color="auto" w:fill="E6E7E8"/>
          </w:tcPr>
          <w:p>
            <w:pPr>
              <w:pStyle w:val="TableParagraph"/>
              <w:spacing w:before="69"/>
              <w:ind w:right="72"/>
              <w:rPr>
                <w:sz w:val="16"/>
              </w:rPr>
            </w:pPr>
            <w:r>
              <w:rPr>
                <w:w w:val="90"/>
                <w:sz w:val="16"/>
              </w:rPr>
              <w:t>100</w:t>
            </w:r>
          </w:p>
        </w:tc>
        <w:tc>
          <w:tcPr>
            <w:tcW w:w="1134" w:type="dxa"/>
            <w:shd w:val="clear" w:color="auto" w:fill="E6E7E8"/>
          </w:tcPr>
          <w:p>
            <w:pPr>
              <w:pStyle w:val="TableParagraph"/>
              <w:spacing w:before="69"/>
              <w:ind w:right="72"/>
              <w:rPr>
                <w:sz w:val="16"/>
              </w:rPr>
            </w:pPr>
            <w:r>
              <w:rPr>
                <w:spacing w:val="4"/>
                <w:w w:val="54"/>
                <w:sz w:val="16"/>
              </w:rPr>
              <w:t>1</w:t>
            </w:r>
            <w:r>
              <w:rPr>
                <w:spacing w:val="1"/>
                <w:w w:val="111"/>
                <w:sz w:val="16"/>
              </w:rPr>
              <w:t>0</w:t>
            </w:r>
            <w:r>
              <w:rPr>
                <w:w w:val="54"/>
                <w:sz w:val="16"/>
              </w:rPr>
              <w:t>1</w:t>
            </w:r>
          </w:p>
        </w:tc>
        <w:tc>
          <w:tcPr>
            <w:tcW w:w="1134" w:type="dxa"/>
            <w:shd w:val="clear" w:color="auto" w:fill="E6E7E8"/>
          </w:tcPr>
          <w:p>
            <w:pPr>
              <w:pStyle w:val="TableParagraph"/>
              <w:spacing w:before="69"/>
              <w:ind w:right="72"/>
              <w:rPr>
                <w:sz w:val="16"/>
              </w:rPr>
            </w:pPr>
            <w:r>
              <w:rPr>
                <w:sz w:val="16"/>
              </w:rPr>
              <w:t>98</w:t>
            </w:r>
          </w:p>
        </w:tc>
        <w:tc>
          <w:tcPr>
            <w:tcW w:w="1134" w:type="dxa"/>
            <w:shd w:val="clear" w:color="auto" w:fill="E6E7E8"/>
          </w:tcPr>
          <w:p>
            <w:pPr>
              <w:pStyle w:val="TableParagraph"/>
              <w:spacing w:before="69"/>
              <w:ind w:right="72"/>
              <w:rPr>
                <w:sz w:val="16"/>
              </w:rPr>
            </w:pPr>
            <w:r>
              <w:rPr>
                <w:w w:val="90"/>
                <w:sz w:val="16"/>
              </w:rPr>
              <w:t>100</w:t>
            </w:r>
          </w:p>
        </w:tc>
        <w:tc>
          <w:tcPr>
            <w:tcW w:w="1134" w:type="dxa"/>
            <w:shd w:val="clear" w:color="auto" w:fill="E6E7E8"/>
          </w:tcPr>
          <w:p>
            <w:pPr>
              <w:pStyle w:val="TableParagraph"/>
              <w:spacing w:before="69"/>
              <w:ind w:right="72"/>
              <w:rPr>
                <w:sz w:val="16"/>
              </w:rPr>
            </w:pPr>
            <w:r>
              <w:rPr>
                <w:w w:val="85"/>
                <w:sz w:val="16"/>
              </w:rPr>
              <w:t>103</w:t>
            </w:r>
          </w:p>
        </w:tc>
        <w:tc>
          <w:tcPr>
            <w:tcW w:w="1134" w:type="dxa"/>
            <w:shd w:val="clear" w:color="auto" w:fill="E6E7E8"/>
          </w:tcPr>
          <w:p>
            <w:pPr>
              <w:pStyle w:val="TableParagraph"/>
              <w:spacing w:before="69"/>
              <w:ind w:right="73"/>
              <w:rPr>
                <w:sz w:val="16"/>
              </w:rPr>
            </w:pPr>
            <w:r>
              <w:rPr>
                <w:w w:val="85"/>
                <w:sz w:val="16"/>
              </w:rPr>
              <w:t>103</w:t>
            </w:r>
          </w:p>
        </w:tc>
        <w:tc>
          <w:tcPr>
            <w:tcW w:w="1134" w:type="dxa"/>
            <w:shd w:val="clear" w:color="auto" w:fill="E6E7E8"/>
          </w:tcPr>
          <w:p>
            <w:pPr>
              <w:pStyle w:val="TableParagraph"/>
              <w:spacing w:before="69"/>
              <w:ind w:right="72"/>
              <w:rPr>
                <w:sz w:val="16"/>
              </w:rPr>
            </w:pPr>
            <w:r>
              <w:rPr>
                <w:spacing w:val="4"/>
                <w:w w:val="54"/>
                <w:sz w:val="16"/>
              </w:rPr>
              <w:t>1</w:t>
            </w:r>
            <w:r>
              <w:rPr>
                <w:spacing w:val="1"/>
                <w:w w:val="111"/>
                <w:sz w:val="16"/>
              </w:rPr>
              <w:t>0</w:t>
            </w:r>
            <w:r>
              <w:rPr>
                <w:w w:val="54"/>
                <w:sz w:val="16"/>
              </w:rPr>
              <w:t>1</w:t>
            </w:r>
          </w:p>
        </w:tc>
      </w:tr>
      <w:tr>
        <w:trPr>
          <w:trHeight w:val="488" w:hRule="exact"/>
        </w:trPr>
        <w:tc>
          <w:tcPr>
            <w:tcW w:w="2187" w:type="dxa"/>
            <w:shd w:val="clear" w:color="auto" w:fill="E6E7E8"/>
          </w:tcPr>
          <w:p>
            <w:pPr>
              <w:pStyle w:val="TableParagraph"/>
              <w:spacing w:line="249" w:lineRule="auto" w:before="43"/>
              <w:ind w:left="75" w:right="30"/>
              <w:jc w:val="left"/>
              <w:rPr>
                <w:sz w:val="16"/>
              </w:rPr>
            </w:pPr>
            <w:r>
              <w:rPr>
                <w:sz w:val="16"/>
              </w:rPr>
              <w:t>People with a disability requiring adjustment at work</w:t>
            </w:r>
          </w:p>
        </w:tc>
        <w:tc>
          <w:tcPr>
            <w:tcW w:w="1106" w:type="dxa"/>
            <w:shd w:val="clear" w:color="auto" w:fill="E6E7E8"/>
          </w:tcPr>
          <w:p>
            <w:pPr>
              <w:pStyle w:val="TableParagraph"/>
              <w:spacing w:before="143"/>
              <w:ind w:right="72"/>
              <w:rPr>
                <w:sz w:val="16"/>
              </w:rPr>
            </w:pPr>
            <w:r>
              <w:rPr>
                <w:w w:val="90"/>
                <w:sz w:val="16"/>
              </w:rPr>
              <w:t>100</w:t>
            </w:r>
          </w:p>
        </w:tc>
        <w:tc>
          <w:tcPr>
            <w:tcW w:w="1134" w:type="dxa"/>
            <w:shd w:val="clear" w:color="auto" w:fill="E6E7E8"/>
          </w:tcPr>
          <w:p>
            <w:pPr>
              <w:pStyle w:val="TableParagraph"/>
              <w:spacing w:before="143"/>
              <w:ind w:right="72"/>
              <w:rPr>
                <w:sz w:val="16"/>
              </w:rPr>
            </w:pPr>
            <w:r>
              <w:rPr>
                <w:spacing w:val="4"/>
                <w:w w:val="54"/>
                <w:sz w:val="16"/>
              </w:rPr>
              <w:t>1</w:t>
            </w:r>
            <w:r>
              <w:rPr>
                <w:spacing w:val="1"/>
                <w:w w:val="111"/>
                <w:sz w:val="16"/>
              </w:rPr>
              <w:t>0</w:t>
            </w:r>
            <w:r>
              <w:rPr>
                <w:w w:val="54"/>
                <w:sz w:val="16"/>
              </w:rPr>
              <w:t>1</w:t>
            </w:r>
          </w:p>
        </w:tc>
        <w:tc>
          <w:tcPr>
            <w:tcW w:w="1134" w:type="dxa"/>
            <w:shd w:val="clear" w:color="auto" w:fill="E6E7E8"/>
          </w:tcPr>
          <w:p>
            <w:pPr>
              <w:pStyle w:val="TableParagraph"/>
              <w:spacing w:before="143"/>
              <w:ind w:right="72"/>
              <w:rPr>
                <w:sz w:val="16"/>
              </w:rPr>
            </w:pPr>
            <w:r>
              <w:rPr>
                <w:w w:val="90"/>
                <w:sz w:val="16"/>
              </w:rPr>
              <w:t>104</w:t>
            </w:r>
          </w:p>
        </w:tc>
        <w:tc>
          <w:tcPr>
            <w:tcW w:w="1134" w:type="dxa"/>
            <w:shd w:val="clear" w:color="auto" w:fill="E6E7E8"/>
          </w:tcPr>
          <w:p>
            <w:pPr>
              <w:pStyle w:val="TableParagraph"/>
              <w:spacing w:before="143"/>
              <w:ind w:right="75"/>
              <w:rPr>
                <w:sz w:val="16"/>
              </w:rPr>
            </w:pPr>
            <w:r>
              <w:rPr>
                <w:w w:val="85"/>
                <w:sz w:val="16"/>
              </w:rPr>
              <w:t>107</w:t>
            </w:r>
          </w:p>
        </w:tc>
        <w:tc>
          <w:tcPr>
            <w:tcW w:w="1134" w:type="dxa"/>
            <w:shd w:val="clear" w:color="auto" w:fill="E6E7E8"/>
          </w:tcPr>
          <w:p>
            <w:pPr>
              <w:pStyle w:val="TableParagraph"/>
              <w:spacing w:before="143"/>
              <w:ind w:right="68"/>
              <w:rPr>
                <w:sz w:val="16"/>
              </w:rPr>
            </w:pPr>
            <w:r>
              <w:rPr>
                <w:w w:val="85"/>
                <w:sz w:val="16"/>
              </w:rPr>
              <w:t>109</w:t>
            </w:r>
          </w:p>
        </w:tc>
        <w:tc>
          <w:tcPr>
            <w:tcW w:w="1134" w:type="dxa"/>
            <w:shd w:val="clear" w:color="auto" w:fill="E6E7E8"/>
          </w:tcPr>
          <w:p>
            <w:pPr>
              <w:pStyle w:val="TableParagraph"/>
              <w:spacing w:before="143"/>
              <w:ind w:right="69"/>
              <w:rPr>
                <w:sz w:val="16"/>
              </w:rPr>
            </w:pPr>
            <w:r>
              <w:rPr>
                <w:w w:val="55"/>
                <w:sz w:val="16"/>
              </w:rPr>
              <w:t>111</w:t>
            </w:r>
          </w:p>
        </w:tc>
        <w:tc>
          <w:tcPr>
            <w:tcW w:w="1134" w:type="dxa"/>
            <w:shd w:val="clear" w:color="auto" w:fill="E6E7E8"/>
          </w:tcPr>
          <w:p>
            <w:pPr>
              <w:pStyle w:val="TableParagraph"/>
              <w:spacing w:before="143"/>
              <w:ind w:right="69"/>
              <w:rPr>
                <w:sz w:val="16"/>
              </w:rPr>
            </w:pPr>
            <w:r>
              <w:rPr>
                <w:w w:val="85"/>
                <w:sz w:val="16"/>
              </w:rPr>
              <w:t>105</w:t>
            </w:r>
          </w:p>
        </w:tc>
      </w:tr>
    </w:tbl>
    <w:p>
      <w:pPr>
        <w:spacing w:after="0"/>
        <w:rPr>
          <w:sz w:val="16"/>
        </w:rPr>
        <w:sectPr>
          <w:pgSz w:w="11910" w:h="16840"/>
          <w:pgMar w:header="494" w:footer="473" w:top="680" w:bottom="660" w:left="580" w:right="580"/>
        </w:sectPr>
      </w:pPr>
    </w:p>
    <w:p>
      <w:pPr>
        <w:pStyle w:val="BodyText"/>
        <w:spacing w:before="9"/>
        <w:rPr>
          <w:rFonts w:ascii="Gotham Narrow Book"/>
          <w:b w:val="0"/>
          <w:i/>
          <w:sz w:val="28"/>
        </w:rPr>
      </w:pPr>
      <w:r>
        <w:rPr/>
        <w:pict>
          <v:rect style="position:absolute;margin-left:34.015999pt;margin-top:45.355015pt;width:527.244pt;height:751.181pt;mso-position-horizontal-relative:page;mso-position-vertical-relative:page;z-index:-331624" filled="true" fillcolor="#e6e7e8" stroked="false">
            <v:fill type="solid"/>
            <w10:wrap type="none"/>
          </v:rect>
        </w:pict>
      </w:r>
    </w:p>
    <w:p>
      <w:pPr>
        <w:pStyle w:val="Heading1"/>
      </w:pPr>
      <w:r>
        <w:rPr>
          <w:w w:val="95"/>
        </w:rPr>
        <w:t>APPENDIX 11</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7"/>
        <w:rPr>
          <w:rFonts w:ascii="Gotham Narrow Bold"/>
          <w:b/>
          <w:sz w:val="25"/>
        </w:rPr>
      </w:pPr>
    </w:p>
    <w:p>
      <w:pPr>
        <w:pStyle w:val="Heading5"/>
        <w:spacing w:before="58"/>
        <w:ind w:left="327" w:right="6585"/>
      </w:pPr>
      <w:r>
        <w:rPr>
          <w:w w:val="95"/>
        </w:rPr>
        <w:t>STUDENT ENROLMENT DATA</w:t>
      </w:r>
    </w:p>
    <w:p>
      <w:pPr>
        <w:pStyle w:val="Heading8"/>
        <w:spacing w:before="215"/>
        <w:ind w:left="327" w:right="5322"/>
      </w:pPr>
      <w:r>
        <w:rPr>
          <w:color w:val="636466"/>
          <w:w w:val="95"/>
        </w:rPr>
        <w:t>Table 1: Student Headcount by Residency Status, 2011–15 (p)</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434"/>
        <w:gridCol w:w="1106"/>
        <w:gridCol w:w="1106"/>
        <w:gridCol w:w="1106"/>
        <w:gridCol w:w="1106"/>
        <w:gridCol w:w="1106"/>
      </w:tblGrid>
      <w:tr>
        <w:trPr>
          <w:trHeight w:val="312" w:hRule="exact"/>
        </w:trPr>
        <w:tc>
          <w:tcPr>
            <w:tcW w:w="8962" w:type="dxa"/>
            <w:gridSpan w:val="6"/>
            <w:tcBorders>
              <w:top w:val="nil"/>
              <w:left w:val="nil"/>
              <w:bottom w:val="nil"/>
              <w:right w:val="nil"/>
            </w:tcBorders>
            <w:shd w:val="clear" w:color="auto" w:fill="939598"/>
          </w:tcPr>
          <w:p>
            <w:pPr>
              <w:pStyle w:val="TableParagraph"/>
              <w:tabs>
                <w:tab w:pos="4145" w:val="left" w:leader="none"/>
                <w:tab w:pos="5223" w:val="left" w:leader="none"/>
                <w:tab w:pos="6329" w:val="left" w:leader="none"/>
                <w:tab w:pos="7425" w:val="left" w:leader="none"/>
                <w:tab w:pos="8283" w:val="left" w:leader="none"/>
              </w:tabs>
              <w:spacing w:before="66"/>
              <w:ind w:left="80"/>
              <w:jc w:val="left"/>
              <w:rPr>
                <w:rFonts w:ascii="Gotham Narrow Bold"/>
                <w:b/>
                <w:sz w:val="16"/>
              </w:rPr>
            </w:pPr>
            <w:r>
              <w:rPr>
                <w:rFonts w:ascii="Gotham Narrow Bold"/>
                <w:b/>
                <w:color w:val="FFFFFF"/>
                <w:spacing w:val="3"/>
                <w:sz w:val="16"/>
              </w:rPr>
              <w:t>RESIDENCY</w:t>
            </w:r>
            <w:r>
              <w:rPr>
                <w:rFonts w:ascii="Gotham Narrow Bold"/>
                <w:b/>
                <w:color w:val="FFFFFF"/>
                <w:spacing w:val="-25"/>
                <w:sz w:val="16"/>
              </w:rPr>
              <w:t> </w:t>
            </w:r>
            <w:r>
              <w:rPr>
                <w:rFonts w:ascii="Gotham Narrow Bold"/>
                <w:b/>
                <w:color w:val="FFFFFF"/>
                <w:sz w:val="16"/>
              </w:rPr>
              <w:t>STATUS</w:t>
              <w:tab/>
              <w:t>2011</w:t>
              <w:tab/>
              <w:t>2012</w:t>
              <w:tab/>
              <w:t>2013</w:t>
              <w:tab/>
              <w:t>2014</w:t>
              <w:tab/>
              <w:t>2015</w:t>
            </w:r>
            <w:r>
              <w:rPr>
                <w:rFonts w:ascii="Gotham Narrow Bold"/>
                <w:b/>
                <w:color w:val="FFFFFF"/>
                <w:spacing w:val="-29"/>
                <w:sz w:val="16"/>
              </w:rPr>
              <w:t> </w:t>
            </w:r>
            <w:r>
              <w:rPr>
                <w:rFonts w:ascii="Gotham Narrow Bold"/>
                <w:b/>
                <w:color w:val="FFFFFF"/>
                <w:spacing w:val="-4"/>
                <w:sz w:val="16"/>
              </w:rPr>
              <w:t>(p)</w:t>
            </w:r>
          </w:p>
        </w:tc>
      </w:tr>
      <w:tr>
        <w:trPr>
          <w:trHeight w:val="312" w:hRule="exact"/>
        </w:trPr>
        <w:tc>
          <w:tcPr>
            <w:tcW w:w="3434" w:type="dxa"/>
            <w:tcBorders>
              <w:top w:val="nil"/>
            </w:tcBorders>
            <w:shd w:val="clear" w:color="auto" w:fill="E6E7E8"/>
          </w:tcPr>
          <w:p>
            <w:pPr>
              <w:pStyle w:val="TableParagraph"/>
              <w:spacing w:before="60"/>
              <w:ind w:left="74"/>
              <w:jc w:val="left"/>
              <w:rPr>
                <w:sz w:val="16"/>
              </w:rPr>
            </w:pPr>
            <w:r>
              <w:rPr>
                <w:sz w:val="16"/>
              </w:rPr>
              <w:t>Domestic</w:t>
            </w:r>
          </w:p>
        </w:tc>
        <w:tc>
          <w:tcPr>
            <w:tcW w:w="1106" w:type="dxa"/>
            <w:tcBorders>
              <w:top w:val="nil"/>
            </w:tcBorders>
            <w:shd w:val="clear" w:color="auto" w:fill="E6E7E8"/>
          </w:tcPr>
          <w:p>
            <w:pPr>
              <w:pStyle w:val="TableParagraph"/>
              <w:spacing w:before="60"/>
              <w:ind w:right="73"/>
              <w:rPr>
                <w:sz w:val="16"/>
              </w:rPr>
            </w:pPr>
            <w:r>
              <w:rPr>
                <w:w w:val="95"/>
                <w:sz w:val="16"/>
              </w:rPr>
              <w:t>34,989</w:t>
            </w:r>
          </w:p>
        </w:tc>
        <w:tc>
          <w:tcPr>
            <w:tcW w:w="1106" w:type="dxa"/>
            <w:tcBorders>
              <w:top w:val="nil"/>
            </w:tcBorders>
            <w:shd w:val="clear" w:color="auto" w:fill="E6E7E8"/>
          </w:tcPr>
          <w:p>
            <w:pPr>
              <w:pStyle w:val="TableParagraph"/>
              <w:spacing w:before="60"/>
              <w:ind w:right="73"/>
              <w:rPr>
                <w:sz w:val="16"/>
              </w:rPr>
            </w:pPr>
            <w:r>
              <w:rPr>
                <w:w w:val="95"/>
                <w:sz w:val="16"/>
              </w:rPr>
              <w:t>35,986</w:t>
            </w:r>
          </w:p>
        </w:tc>
        <w:tc>
          <w:tcPr>
            <w:tcW w:w="1106" w:type="dxa"/>
            <w:tcBorders>
              <w:top w:val="nil"/>
            </w:tcBorders>
            <w:shd w:val="clear" w:color="auto" w:fill="E6E7E8"/>
          </w:tcPr>
          <w:p>
            <w:pPr>
              <w:pStyle w:val="TableParagraph"/>
              <w:spacing w:before="60"/>
              <w:ind w:right="73"/>
              <w:rPr>
                <w:sz w:val="16"/>
              </w:rPr>
            </w:pPr>
            <w:r>
              <w:rPr>
                <w:w w:val="90"/>
                <w:sz w:val="16"/>
              </w:rPr>
              <w:t>37,596</w:t>
            </w:r>
          </w:p>
        </w:tc>
        <w:tc>
          <w:tcPr>
            <w:tcW w:w="1106" w:type="dxa"/>
            <w:tcBorders>
              <w:top w:val="nil"/>
            </w:tcBorders>
            <w:shd w:val="clear" w:color="auto" w:fill="E6E7E8"/>
          </w:tcPr>
          <w:p>
            <w:pPr>
              <w:pStyle w:val="TableParagraph"/>
              <w:spacing w:before="60"/>
              <w:ind w:right="73"/>
              <w:rPr>
                <w:sz w:val="16"/>
              </w:rPr>
            </w:pPr>
            <w:r>
              <w:rPr>
                <w:sz w:val="16"/>
              </w:rPr>
              <w:t>39,086</w:t>
            </w:r>
          </w:p>
        </w:tc>
        <w:tc>
          <w:tcPr>
            <w:tcW w:w="1106" w:type="dxa"/>
            <w:tcBorders>
              <w:top w:val="nil"/>
            </w:tcBorders>
            <w:shd w:val="clear" w:color="auto" w:fill="E6E7E8"/>
          </w:tcPr>
          <w:p>
            <w:pPr>
              <w:pStyle w:val="TableParagraph"/>
              <w:spacing w:before="60"/>
              <w:ind w:right="73"/>
              <w:rPr>
                <w:sz w:val="16"/>
              </w:rPr>
            </w:pPr>
            <w:r>
              <w:rPr>
                <w:w w:val="95"/>
                <w:sz w:val="16"/>
              </w:rPr>
              <w:t>40,328</w:t>
            </w:r>
          </w:p>
        </w:tc>
      </w:tr>
      <w:tr>
        <w:trPr>
          <w:trHeight w:val="312" w:hRule="exact"/>
        </w:trPr>
        <w:tc>
          <w:tcPr>
            <w:tcW w:w="3434" w:type="dxa"/>
            <w:shd w:val="clear" w:color="auto" w:fill="E6E7E8"/>
          </w:tcPr>
          <w:p>
            <w:pPr>
              <w:pStyle w:val="TableParagraph"/>
              <w:ind w:left="74"/>
              <w:jc w:val="left"/>
              <w:rPr>
                <w:sz w:val="16"/>
              </w:rPr>
            </w:pPr>
            <w:r>
              <w:rPr>
                <w:w w:val="95"/>
                <w:sz w:val="16"/>
              </w:rPr>
              <w:t>International – onshore</w:t>
            </w:r>
          </w:p>
        </w:tc>
        <w:tc>
          <w:tcPr>
            <w:tcW w:w="1106" w:type="dxa"/>
            <w:shd w:val="clear" w:color="auto" w:fill="E6E7E8"/>
          </w:tcPr>
          <w:p>
            <w:pPr>
              <w:pStyle w:val="TableParagraph"/>
              <w:ind w:right="73"/>
              <w:rPr>
                <w:sz w:val="16"/>
              </w:rPr>
            </w:pPr>
            <w:r>
              <w:rPr>
                <w:w w:val="90"/>
                <w:sz w:val="16"/>
              </w:rPr>
              <w:t>4,021</w:t>
            </w:r>
          </w:p>
        </w:tc>
        <w:tc>
          <w:tcPr>
            <w:tcW w:w="1106" w:type="dxa"/>
            <w:shd w:val="clear" w:color="auto" w:fill="E6E7E8"/>
          </w:tcPr>
          <w:p>
            <w:pPr>
              <w:pStyle w:val="TableParagraph"/>
              <w:ind w:right="68"/>
              <w:rPr>
                <w:sz w:val="16"/>
              </w:rPr>
            </w:pPr>
            <w:r>
              <w:rPr>
                <w:w w:val="95"/>
                <w:sz w:val="16"/>
              </w:rPr>
              <w:t>3,846</w:t>
            </w:r>
          </w:p>
        </w:tc>
        <w:tc>
          <w:tcPr>
            <w:tcW w:w="1106" w:type="dxa"/>
            <w:shd w:val="clear" w:color="auto" w:fill="E6E7E8"/>
          </w:tcPr>
          <w:p>
            <w:pPr>
              <w:pStyle w:val="TableParagraph"/>
              <w:ind w:right="73"/>
              <w:rPr>
                <w:sz w:val="16"/>
              </w:rPr>
            </w:pPr>
            <w:r>
              <w:rPr>
                <w:w w:val="95"/>
                <w:sz w:val="16"/>
              </w:rPr>
              <w:t>3,896</w:t>
            </w:r>
          </w:p>
        </w:tc>
        <w:tc>
          <w:tcPr>
            <w:tcW w:w="1106" w:type="dxa"/>
            <w:shd w:val="clear" w:color="auto" w:fill="E6E7E8"/>
          </w:tcPr>
          <w:p>
            <w:pPr>
              <w:pStyle w:val="TableParagraph"/>
              <w:ind w:right="73"/>
              <w:rPr>
                <w:sz w:val="16"/>
              </w:rPr>
            </w:pPr>
            <w:r>
              <w:rPr>
                <w:w w:val="95"/>
                <w:sz w:val="16"/>
              </w:rPr>
              <w:t>4,306</w:t>
            </w:r>
          </w:p>
        </w:tc>
        <w:tc>
          <w:tcPr>
            <w:tcW w:w="1106" w:type="dxa"/>
            <w:shd w:val="clear" w:color="auto" w:fill="E6E7E8"/>
          </w:tcPr>
          <w:p>
            <w:pPr>
              <w:pStyle w:val="TableParagraph"/>
              <w:ind w:right="73"/>
              <w:rPr>
                <w:sz w:val="16"/>
              </w:rPr>
            </w:pPr>
            <w:r>
              <w:rPr>
                <w:w w:val="90"/>
                <w:sz w:val="16"/>
              </w:rPr>
              <w:t>4,277</w:t>
            </w:r>
          </w:p>
        </w:tc>
      </w:tr>
      <w:tr>
        <w:trPr>
          <w:trHeight w:val="312" w:hRule="exact"/>
        </w:trPr>
        <w:tc>
          <w:tcPr>
            <w:tcW w:w="3434" w:type="dxa"/>
            <w:shd w:val="clear" w:color="auto" w:fill="E6E7E8"/>
          </w:tcPr>
          <w:p>
            <w:pPr>
              <w:pStyle w:val="TableParagraph"/>
              <w:ind w:left="74"/>
              <w:jc w:val="left"/>
              <w:rPr>
                <w:sz w:val="16"/>
              </w:rPr>
            </w:pPr>
            <w:r>
              <w:rPr>
                <w:sz w:val="16"/>
              </w:rPr>
              <w:t>International – offshore</w:t>
            </w:r>
          </w:p>
        </w:tc>
        <w:tc>
          <w:tcPr>
            <w:tcW w:w="1106" w:type="dxa"/>
            <w:shd w:val="clear" w:color="auto" w:fill="E6E7E8"/>
          </w:tcPr>
          <w:p>
            <w:pPr>
              <w:pStyle w:val="TableParagraph"/>
              <w:ind w:right="74"/>
              <w:rPr>
                <w:sz w:val="16"/>
              </w:rPr>
            </w:pPr>
            <w:r>
              <w:rPr>
                <w:w w:val="85"/>
                <w:sz w:val="16"/>
              </w:rPr>
              <w:t>451</w:t>
            </w:r>
          </w:p>
        </w:tc>
        <w:tc>
          <w:tcPr>
            <w:tcW w:w="1106" w:type="dxa"/>
            <w:shd w:val="clear" w:color="auto" w:fill="E6E7E8"/>
          </w:tcPr>
          <w:p>
            <w:pPr>
              <w:pStyle w:val="TableParagraph"/>
              <w:ind w:right="72"/>
              <w:rPr>
                <w:sz w:val="16"/>
              </w:rPr>
            </w:pPr>
            <w:r>
              <w:rPr>
                <w:w w:val="95"/>
                <w:sz w:val="16"/>
              </w:rPr>
              <w:t>425</w:t>
            </w:r>
          </w:p>
        </w:tc>
        <w:tc>
          <w:tcPr>
            <w:tcW w:w="1106" w:type="dxa"/>
            <w:shd w:val="clear" w:color="auto" w:fill="E6E7E8"/>
          </w:tcPr>
          <w:p>
            <w:pPr>
              <w:pStyle w:val="TableParagraph"/>
              <w:ind w:right="73"/>
              <w:rPr>
                <w:sz w:val="16"/>
              </w:rPr>
            </w:pPr>
            <w:r>
              <w:rPr>
                <w:w w:val="85"/>
                <w:sz w:val="16"/>
              </w:rPr>
              <w:t>431</w:t>
            </w:r>
          </w:p>
        </w:tc>
        <w:tc>
          <w:tcPr>
            <w:tcW w:w="1106" w:type="dxa"/>
            <w:shd w:val="clear" w:color="auto" w:fill="E6E7E8"/>
          </w:tcPr>
          <w:p>
            <w:pPr>
              <w:pStyle w:val="TableParagraph"/>
              <w:ind w:right="73"/>
              <w:rPr>
                <w:sz w:val="16"/>
              </w:rPr>
            </w:pPr>
            <w:r>
              <w:rPr>
                <w:w w:val="80"/>
                <w:sz w:val="16"/>
              </w:rPr>
              <w:t>391</w:t>
            </w:r>
          </w:p>
        </w:tc>
        <w:tc>
          <w:tcPr>
            <w:tcW w:w="1106" w:type="dxa"/>
            <w:shd w:val="clear" w:color="auto" w:fill="E6E7E8"/>
          </w:tcPr>
          <w:p>
            <w:pPr>
              <w:pStyle w:val="TableParagraph"/>
              <w:ind w:right="73"/>
              <w:rPr>
                <w:sz w:val="16"/>
              </w:rPr>
            </w:pPr>
            <w:r>
              <w:rPr>
                <w:w w:val="95"/>
                <w:sz w:val="16"/>
              </w:rPr>
              <w:t>325</w:t>
            </w:r>
          </w:p>
        </w:tc>
      </w:tr>
      <w:tr>
        <w:trPr>
          <w:trHeight w:val="312" w:hRule="exact"/>
        </w:trPr>
        <w:tc>
          <w:tcPr>
            <w:tcW w:w="3434" w:type="dxa"/>
            <w:shd w:val="clear" w:color="auto" w:fill="E6E7E8"/>
          </w:tcPr>
          <w:p>
            <w:pPr>
              <w:pStyle w:val="TableParagraph"/>
              <w:spacing w:before="62"/>
              <w:ind w:left="74"/>
              <w:jc w:val="left"/>
              <w:rPr>
                <w:rFonts w:ascii="Calibri"/>
                <w:sz w:val="16"/>
              </w:rPr>
            </w:pPr>
            <w:r>
              <w:rPr>
                <w:rFonts w:ascii="Calibri"/>
                <w:w w:val="110"/>
                <w:sz w:val="16"/>
              </w:rPr>
              <w:t>Total</w:t>
            </w:r>
          </w:p>
        </w:tc>
        <w:tc>
          <w:tcPr>
            <w:tcW w:w="1106" w:type="dxa"/>
            <w:shd w:val="clear" w:color="auto" w:fill="E6E7E8"/>
          </w:tcPr>
          <w:p>
            <w:pPr>
              <w:pStyle w:val="TableParagraph"/>
              <w:spacing w:before="62"/>
              <w:ind w:right="73"/>
              <w:rPr>
                <w:rFonts w:ascii="Calibri"/>
                <w:sz w:val="16"/>
              </w:rPr>
            </w:pPr>
            <w:r>
              <w:rPr>
                <w:rFonts w:ascii="Calibri"/>
                <w:w w:val="105"/>
                <w:sz w:val="16"/>
              </w:rPr>
              <w:t>39,461</w:t>
            </w:r>
          </w:p>
        </w:tc>
        <w:tc>
          <w:tcPr>
            <w:tcW w:w="1106" w:type="dxa"/>
            <w:shd w:val="clear" w:color="auto" w:fill="E6E7E8"/>
          </w:tcPr>
          <w:p>
            <w:pPr>
              <w:pStyle w:val="TableParagraph"/>
              <w:spacing w:before="62"/>
              <w:ind w:right="72"/>
              <w:rPr>
                <w:rFonts w:ascii="Calibri"/>
                <w:sz w:val="16"/>
              </w:rPr>
            </w:pPr>
            <w:r>
              <w:rPr>
                <w:rFonts w:ascii="Calibri"/>
                <w:w w:val="110"/>
                <w:sz w:val="16"/>
              </w:rPr>
              <w:t>40,257</w:t>
            </w:r>
          </w:p>
        </w:tc>
        <w:tc>
          <w:tcPr>
            <w:tcW w:w="1106" w:type="dxa"/>
            <w:shd w:val="clear" w:color="auto" w:fill="E6E7E8"/>
          </w:tcPr>
          <w:p>
            <w:pPr>
              <w:pStyle w:val="TableParagraph"/>
              <w:spacing w:before="62"/>
              <w:ind w:right="73"/>
              <w:rPr>
                <w:rFonts w:ascii="Calibri"/>
                <w:sz w:val="16"/>
              </w:rPr>
            </w:pPr>
            <w:r>
              <w:rPr>
                <w:rFonts w:ascii="Calibri"/>
                <w:sz w:val="16"/>
              </w:rPr>
              <w:t>41,923</w:t>
            </w:r>
          </w:p>
        </w:tc>
        <w:tc>
          <w:tcPr>
            <w:tcW w:w="1106" w:type="dxa"/>
            <w:shd w:val="clear" w:color="auto" w:fill="E6E7E8"/>
          </w:tcPr>
          <w:p>
            <w:pPr>
              <w:pStyle w:val="TableParagraph"/>
              <w:spacing w:before="62"/>
              <w:ind w:right="73"/>
              <w:rPr>
                <w:rFonts w:ascii="Calibri"/>
                <w:sz w:val="16"/>
              </w:rPr>
            </w:pPr>
            <w:r>
              <w:rPr>
                <w:rFonts w:ascii="Calibri"/>
                <w:w w:val="105"/>
                <w:sz w:val="16"/>
              </w:rPr>
              <w:t>43,783</w:t>
            </w:r>
          </w:p>
        </w:tc>
        <w:tc>
          <w:tcPr>
            <w:tcW w:w="1106" w:type="dxa"/>
            <w:shd w:val="clear" w:color="auto" w:fill="E6E7E8"/>
          </w:tcPr>
          <w:p>
            <w:pPr>
              <w:pStyle w:val="TableParagraph"/>
              <w:spacing w:before="62"/>
              <w:ind w:right="73"/>
              <w:rPr>
                <w:rFonts w:ascii="Calibri"/>
                <w:sz w:val="16"/>
              </w:rPr>
            </w:pPr>
            <w:r>
              <w:rPr>
                <w:rFonts w:ascii="Calibri"/>
                <w:w w:val="110"/>
                <w:sz w:val="16"/>
              </w:rPr>
              <w:t>44,934</w:t>
            </w:r>
          </w:p>
        </w:tc>
      </w:tr>
    </w:tbl>
    <w:p>
      <w:pPr>
        <w:pStyle w:val="BodyText"/>
        <w:spacing w:before="51"/>
        <w:ind w:left="332" w:right="411"/>
      </w:pPr>
      <w:r>
        <w:rPr/>
        <w:t>(Source: Enrolment submissions to the Department of Education and Training)</w:t>
      </w:r>
    </w:p>
    <w:p>
      <w:pPr>
        <w:pStyle w:val="BodyText"/>
        <w:spacing w:before="2"/>
        <w:rPr>
          <w:sz w:val="20"/>
        </w:rPr>
      </w:pPr>
    </w:p>
    <w:p>
      <w:pPr>
        <w:pStyle w:val="Heading8"/>
        <w:ind w:left="327" w:right="411"/>
      </w:pPr>
      <w:r>
        <w:rPr>
          <w:color w:val="636466"/>
          <w:w w:val="95"/>
        </w:rPr>
        <w:t>Table 2: Commencing Student Headcount by Residency Status, 2011–15 (p)</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434"/>
        <w:gridCol w:w="1106"/>
        <w:gridCol w:w="1106"/>
        <w:gridCol w:w="1106"/>
        <w:gridCol w:w="1106"/>
        <w:gridCol w:w="1106"/>
      </w:tblGrid>
      <w:tr>
        <w:trPr>
          <w:trHeight w:val="312" w:hRule="exact"/>
        </w:trPr>
        <w:tc>
          <w:tcPr>
            <w:tcW w:w="8962" w:type="dxa"/>
            <w:gridSpan w:val="6"/>
            <w:tcBorders>
              <w:top w:val="nil"/>
              <w:left w:val="nil"/>
              <w:bottom w:val="nil"/>
              <w:right w:val="nil"/>
            </w:tcBorders>
            <w:shd w:val="clear" w:color="auto" w:fill="939598"/>
          </w:tcPr>
          <w:p>
            <w:pPr>
              <w:pStyle w:val="TableParagraph"/>
              <w:tabs>
                <w:tab w:pos="4145" w:val="left" w:leader="none"/>
                <w:tab w:pos="5223" w:val="left" w:leader="none"/>
                <w:tab w:pos="6329" w:val="left" w:leader="none"/>
                <w:tab w:pos="7425" w:val="left" w:leader="none"/>
                <w:tab w:pos="8283" w:val="left" w:leader="none"/>
              </w:tabs>
              <w:spacing w:before="66"/>
              <w:ind w:left="80"/>
              <w:jc w:val="left"/>
              <w:rPr>
                <w:rFonts w:ascii="Gotham Narrow Bold"/>
                <w:b/>
                <w:sz w:val="16"/>
              </w:rPr>
            </w:pPr>
            <w:r>
              <w:rPr>
                <w:rFonts w:ascii="Gotham Narrow Bold"/>
                <w:b/>
                <w:color w:val="FFFFFF"/>
                <w:spacing w:val="3"/>
                <w:sz w:val="16"/>
              </w:rPr>
              <w:t>RESIDENCY</w:t>
            </w:r>
            <w:r>
              <w:rPr>
                <w:rFonts w:ascii="Gotham Narrow Bold"/>
                <w:b/>
                <w:color w:val="FFFFFF"/>
                <w:spacing w:val="-25"/>
                <w:sz w:val="16"/>
              </w:rPr>
              <w:t> </w:t>
            </w:r>
            <w:r>
              <w:rPr>
                <w:rFonts w:ascii="Gotham Narrow Bold"/>
                <w:b/>
                <w:color w:val="FFFFFF"/>
                <w:sz w:val="16"/>
              </w:rPr>
              <w:t>STATUS</w:t>
              <w:tab/>
              <w:t>2011</w:t>
              <w:tab/>
              <w:t>2012</w:t>
              <w:tab/>
              <w:t>2013</w:t>
              <w:tab/>
              <w:t>2014</w:t>
              <w:tab/>
              <w:t>2015</w:t>
            </w:r>
            <w:r>
              <w:rPr>
                <w:rFonts w:ascii="Gotham Narrow Bold"/>
                <w:b/>
                <w:color w:val="FFFFFF"/>
                <w:spacing w:val="-29"/>
                <w:sz w:val="16"/>
              </w:rPr>
              <w:t> </w:t>
            </w:r>
            <w:r>
              <w:rPr>
                <w:rFonts w:ascii="Gotham Narrow Bold"/>
                <w:b/>
                <w:color w:val="FFFFFF"/>
                <w:spacing w:val="-4"/>
                <w:sz w:val="16"/>
              </w:rPr>
              <w:t>(p)</w:t>
            </w:r>
          </w:p>
        </w:tc>
      </w:tr>
      <w:tr>
        <w:trPr>
          <w:trHeight w:val="312" w:hRule="exact"/>
        </w:trPr>
        <w:tc>
          <w:tcPr>
            <w:tcW w:w="3434" w:type="dxa"/>
            <w:tcBorders>
              <w:top w:val="nil"/>
            </w:tcBorders>
            <w:shd w:val="clear" w:color="auto" w:fill="E6E7E8"/>
          </w:tcPr>
          <w:p>
            <w:pPr>
              <w:pStyle w:val="TableParagraph"/>
              <w:spacing w:before="60"/>
              <w:ind w:left="74"/>
              <w:jc w:val="left"/>
              <w:rPr>
                <w:sz w:val="16"/>
              </w:rPr>
            </w:pPr>
            <w:r>
              <w:rPr>
                <w:sz w:val="16"/>
              </w:rPr>
              <w:t>Domestic</w:t>
            </w:r>
          </w:p>
        </w:tc>
        <w:tc>
          <w:tcPr>
            <w:tcW w:w="1106" w:type="dxa"/>
            <w:tcBorders>
              <w:top w:val="nil"/>
            </w:tcBorders>
            <w:shd w:val="clear" w:color="auto" w:fill="E6E7E8"/>
          </w:tcPr>
          <w:p>
            <w:pPr>
              <w:pStyle w:val="TableParagraph"/>
              <w:spacing w:before="60"/>
              <w:ind w:right="72"/>
              <w:rPr>
                <w:sz w:val="16"/>
              </w:rPr>
            </w:pPr>
            <w:r>
              <w:rPr>
                <w:w w:val="85"/>
                <w:sz w:val="16"/>
              </w:rPr>
              <w:t>13,339</w:t>
            </w:r>
          </w:p>
        </w:tc>
        <w:tc>
          <w:tcPr>
            <w:tcW w:w="1106" w:type="dxa"/>
            <w:tcBorders>
              <w:top w:val="nil"/>
            </w:tcBorders>
            <w:shd w:val="clear" w:color="auto" w:fill="E6E7E8"/>
          </w:tcPr>
          <w:p>
            <w:pPr>
              <w:pStyle w:val="TableParagraph"/>
              <w:spacing w:before="60"/>
              <w:ind w:right="73"/>
              <w:rPr>
                <w:sz w:val="16"/>
              </w:rPr>
            </w:pPr>
            <w:r>
              <w:rPr>
                <w:w w:val="75"/>
                <w:sz w:val="16"/>
              </w:rPr>
              <w:t>13,219</w:t>
            </w:r>
          </w:p>
        </w:tc>
        <w:tc>
          <w:tcPr>
            <w:tcW w:w="1106" w:type="dxa"/>
            <w:tcBorders>
              <w:top w:val="nil"/>
            </w:tcBorders>
            <w:shd w:val="clear" w:color="auto" w:fill="E6E7E8"/>
          </w:tcPr>
          <w:p>
            <w:pPr>
              <w:pStyle w:val="TableParagraph"/>
              <w:spacing w:before="60"/>
              <w:ind w:right="73"/>
              <w:rPr>
                <w:sz w:val="16"/>
              </w:rPr>
            </w:pPr>
            <w:r>
              <w:rPr>
                <w:w w:val="85"/>
                <w:sz w:val="16"/>
              </w:rPr>
              <w:t>14,288</w:t>
            </w:r>
          </w:p>
        </w:tc>
        <w:tc>
          <w:tcPr>
            <w:tcW w:w="1106" w:type="dxa"/>
            <w:tcBorders>
              <w:top w:val="nil"/>
            </w:tcBorders>
            <w:shd w:val="clear" w:color="auto" w:fill="E6E7E8"/>
          </w:tcPr>
          <w:p>
            <w:pPr>
              <w:pStyle w:val="TableParagraph"/>
              <w:spacing w:before="60"/>
              <w:ind w:right="73"/>
              <w:rPr>
                <w:sz w:val="16"/>
              </w:rPr>
            </w:pPr>
            <w:r>
              <w:rPr>
                <w:spacing w:val="2"/>
                <w:w w:val="54"/>
                <w:sz w:val="16"/>
              </w:rPr>
              <w:t>1</w:t>
            </w:r>
            <w:r>
              <w:rPr>
                <w:spacing w:val="4"/>
                <w:w w:val="103"/>
                <w:sz w:val="16"/>
              </w:rPr>
              <w:t>4</w:t>
            </w:r>
            <w:r>
              <w:rPr>
                <w:spacing w:val="5"/>
                <w:w w:val="68"/>
                <w:sz w:val="16"/>
              </w:rPr>
              <w:t>,</w:t>
            </w:r>
            <w:r>
              <w:rPr>
                <w:spacing w:val="4"/>
                <w:w w:val="98"/>
                <w:sz w:val="16"/>
              </w:rPr>
              <w:t>8</w:t>
            </w:r>
            <w:r>
              <w:rPr>
                <w:spacing w:val="1"/>
                <w:w w:val="111"/>
                <w:sz w:val="16"/>
              </w:rPr>
              <w:t>0</w:t>
            </w:r>
            <w:r>
              <w:rPr>
                <w:w w:val="54"/>
                <w:sz w:val="16"/>
              </w:rPr>
              <w:t>1</w:t>
            </w:r>
          </w:p>
        </w:tc>
        <w:tc>
          <w:tcPr>
            <w:tcW w:w="1106" w:type="dxa"/>
            <w:tcBorders>
              <w:top w:val="nil"/>
            </w:tcBorders>
            <w:shd w:val="clear" w:color="auto" w:fill="E6E7E8"/>
          </w:tcPr>
          <w:p>
            <w:pPr>
              <w:pStyle w:val="TableParagraph"/>
              <w:spacing w:before="60"/>
              <w:ind w:right="69"/>
              <w:rPr>
                <w:sz w:val="16"/>
              </w:rPr>
            </w:pPr>
            <w:r>
              <w:rPr>
                <w:w w:val="90"/>
                <w:sz w:val="16"/>
              </w:rPr>
              <w:t>15,940</w:t>
            </w:r>
          </w:p>
        </w:tc>
      </w:tr>
      <w:tr>
        <w:trPr>
          <w:trHeight w:val="312" w:hRule="exact"/>
        </w:trPr>
        <w:tc>
          <w:tcPr>
            <w:tcW w:w="3434" w:type="dxa"/>
            <w:shd w:val="clear" w:color="auto" w:fill="E6E7E8"/>
          </w:tcPr>
          <w:p>
            <w:pPr>
              <w:pStyle w:val="TableParagraph"/>
              <w:ind w:left="74"/>
              <w:jc w:val="left"/>
              <w:rPr>
                <w:sz w:val="16"/>
              </w:rPr>
            </w:pPr>
            <w:r>
              <w:rPr>
                <w:w w:val="95"/>
                <w:sz w:val="16"/>
              </w:rPr>
              <w:t>International – onshore</w:t>
            </w:r>
          </w:p>
        </w:tc>
        <w:tc>
          <w:tcPr>
            <w:tcW w:w="1106" w:type="dxa"/>
            <w:shd w:val="clear" w:color="auto" w:fill="E6E7E8"/>
          </w:tcPr>
          <w:p>
            <w:pPr>
              <w:pStyle w:val="TableParagraph"/>
              <w:ind w:right="70"/>
              <w:rPr>
                <w:sz w:val="16"/>
              </w:rPr>
            </w:pPr>
            <w:r>
              <w:rPr>
                <w:w w:val="85"/>
                <w:sz w:val="16"/>
              </w:rPr>
              <w:t>1,928</w:t>
            </w:r>
          </w:p>
        </w:tc>
        <w:tc>
          <w:tcPr>
            <w:tcW w:w="1106" w:type="dxa"/>
            <w:shd w:val="clear" w:color="auto" w:fill="E6E7E8"/>
          </w:tcPr>
          <w:p>
            <w:pPr>
              <w:pStyle w:val="TableParagraph"/>
              <w:ind w:right="73"/>
              <w:rPr>
                <w:sz w:val="16"/>
              </w:rPr>
            </w:pPr>
            <w:r>
              <w:rPr>
                <w:w w:val="80"/>
                <w:sz w:val="16"/>
              </w:rPr>
              <w:t>1,792</w:t>
            </w:r>
          </w:p>
        </w:tc>
        <w:tc>
          <w:tcPr>
            <w:tcW w:w="1106" w:type="dxa"/>
            <w:shd w:val="clear" w:color="auto" w:fill="E6E7E8"/>
          </w:tcPr>
          <w:p>
            <w:pPr>
              <w:pStyle w:val="TableParagraph"/>
              <w:ind w:right="68"/>
              <w:rPr>
                <w:sz w:val="16"/>
              </w:rPr>
            </w:pPr>
            <w:r>
              <w:rPr>
                <w:w w:val="90"/>
                <w:sz w:val="16"/>
              </w:rPr>
              <w:t>1,900</w:t>
            </w:r>
          </w:p>
        </w:tc>
        <w:tc>
          <w:tcPr>
            <w:tcW w:w="1106" w:type="dxa"/>
            <w:shd w:val="clear" w:color="auto" w:fill="E6E7E8"/>
          </w:tcPr>
          <w:p>
            <w:pPr>
              <w:pStyle w:val="TableParagraph"/>
              <w:ind w:right="73"/>
              <w:rPr>
                <w:sz w:val="16"/>
              </w:rPr>
            </w:pPr>
            <w:r>
              <w:rPr>
                <w:w w:val="80"/>
                <w:sz w:val="16"/>
              </w:rPr>
              <w:t>2,218</w:t>
            </w:r>
          </w:p>
        </w:tc>
        <w:tc>
          <w:tcPr>
            <w:tcW w:w="1106" w:type="dxa"/>
            <w:shd w:val="clear" w:color="auto" w:fill="E6E7E8"/>
          </w:tcPr>
          <w:p>
            <w:pPr>
              <w:pStyle w:val="TableParagraph"/>
              <w:ind w:right="73"/>
              <w:rPr>
                <w:sz w:val="16"/>
              </w:rPr>
            </w:pPr>
            <w:r>
              <w:rPr>
                <w:spacing w:val="2"/>
                <w:w w:val="93"/>
                <w:sz w:val="16"/>
              </w:rPr>
              <w:t>2</w:t>
            </w:r>
            <w:r>
              <w:rPr>
                <w:spacing w:val="1"/>
                <w:w w:val="68"/>
                <w:sz w:val="16"/>
              </w:rPr>
              <w:t>,</w:t>
            </w:r>
            <w:r>
              <w:rPr>
                <w:spacing w:val="1"/>
                <w:w w:val="111"/>
                <w:sz w:val="16"/>
              </w:rPr>
              <w:t>0</w:t>
            </w:r>
            <w:r>
              <w:rPr>
                <w:spacing w:val="2"/>
                <w:w w:val="54"/>
                <w:sz w:val="16"/>
              </w:rPr>
              <w:t>1</w:t>
            </w:r>
            <w:r>
              <w:rPr>
                <w:w w:val="94"/>
                <w:sz w:val="16"/>
              </w:rPr>
              <w:t>3</w:t>
            </w:r>
          </w:p>
        </w:tc>
      </w:tr>
      <w:tr>
        <w:trPr>
          <w:trHeight w:val="312" w:hRule="exact"/>
        </w:trPr>
        <w:tc>
          <w:tcPr>
            <w:tcW w:w="3434" w:type="dxa"/>
            <w:shd w:val="clear" w:color="auto" w:fill="E6E7E8"/>
          </w:tcPr>
          <w:p>
            <w:pPr>
              <w:pStyle w:val="TableParagraph"/>
              <w:ind w:left="74"/>
              <w:jc w:val="left"/>
              <w:rPr>
                <w:sz w:val="16"/>
              </w:rPr>
            </w:pPr>
            <w:r>
              <w:rPr>
                <w:sz w:val="16"/>
              </w:rPr>
              <w:t>International – offshore</w:t>
            </w:r>
          </w:p>
        </w:tc>
        <w:tc>
          <w:tcPr>
            <w:tcW w:w="1106" w:type="dxa"/>
            <w:shd w:val="clear" w:color="auto" w:fill="E6E7E8"/>
          </w:tcPr>
          <w:p>
            <w:pPr>
              <w:pStyle w:val="TableParagraph"/>
              <w:ind w:right="70"/>
              <w:rPr>
                <w:sz w:val="16"/>
              </w:rPr>
            </w:pPr>
            <w:r>
              <w:rPr>
                <w:w w:val="80"/>
                <w:sz w:val="16"/>
              </w:rPr>
              <w:t>163</w:t>
            </w:r>
          </w:p>
        </w:tc>
        <w:tc>
          <w:tcPr>
            <w:tcW w:w="1106" w:type="dxa"/>
            <w:shd w:val="clear" w:color="auto" w:fill="E6E7E8"/>
          </w:tcPr>
          <w:p>
            <w:pPr>
              <w:pStyle w:val="TableParagraph"/>
              <w:ind w:right="72"/>
              <w:rPr>
                <w:sz w:val="16"/>
              </w:rPr>
            </w:pPr>
            <w:r>
              <w:rPr>
                <w:w w:val="85"/>
                <w:sz w:val="16"/>
              </w:rPr>
              <w:t>145</w:t>
            </w:r>
          </w:p>
        </w:tc>
        <w:tc>
          <w:tcPr>
            <w:tcW w:w="1106" w:type="dxa"/>
            <w:shd w:val="clear" w:color="auto" w:fill="E6E7E8"/>
          </w:tcPr>
          <w:p>
            <w:pPr>
              <w:pStyle w:val="TableParagraph"/>
              <w:ind w:right="69"/>
              <w:rPr>
                <w:sz w:val="16"/>
              </w:rPr>
            </w:pPr>
            <w:r>
              <w:rPr>
                <w:w w:val="70"/>
                <w:sz w:val="16"/>
              </w:rPr>
              <w:t>161</w:t>
            </w:r>
          </w:p>
        </w:tc>
        <w:tc>
          <w:tcPr>
            <w:tcW w:w="1106" w:type="dxa"/>
            <w:shd w:val="clear" w:color="auto" w:fill="E6E7E8"/>
          </w:tcPr>
          <w:p>
            <w:pPr>
              <w:pStyle w:val="TableParagraph"/>
              <w:ind w:right="73"/>
              <w:rPr>
                <w:sz w:val="16"/>
              </w:rPr>
            </w:pPr>
            <w:r>
              <w:rPr>
                <w:w w:val="80"/>
                <w:sz w:val="16"/>
              </w:rPr>
              <w:t>125</w:t>
            </w:r>
          </w:p>
        </w:tc>
        <w:tc>
          <w:tcPr>
            <w:tcW w:w="1106" w:type="dxa"/>
            <w:shd w:val="clear" w:color="auto" w:fill="E6E7E8"/>
          </w:tcPr>
          <w:p>
            <w:pPr>
              <w:pStyle w:val="TableParagraph"/>
              <w:ind w:right="73"/>
              <w:rPr>
                <w:sz w:val="16"/>
              </w:rPr>
            </w:pPr>
            <w:r>
              <w:rPr>
                <w:w w:val="70"/>
                <w:sz w:val="16"/>
              </w:rPr>
              <w:t>141</w:t>
            </w:r>
          </w:p>
        </w:tc>
      </w:tr>
      <w:tr>
        <w:trPr>
          <w:trHeight w:val="312" w:hRule="exact"/>
        </w:trPr>
        <w:tc>
          <w:tcPr>
            <w:tcW w:w="3434" w:type="dxa"/>
            <w:shd w:val="clear" w:color="auto" w:fill="E6E7E8"/>
          </w:tcPr>
          <w:p>
            <w:pPr>
              <w:pStyle w:val="TableParagraph"/>
              <w:spacing w:before="62"/>
              <w:ind w:left="74"/>
              <w:jc w:val="left"/>
              <w:rPr>
                <w:rFonts w:ascii="Calibri"/>
                <w:sz w:val="16"/>
              </w:rPr>
            </w:pPr>
            <w:r>
              <w:rPr>
                <w:rFonts w:ascii="Calibri"/>
                <w:w w:val="110"/>
                <w:sz w:val="16"/>
              </w:rPr>
              <w:t>Total</w:t>
            </w:r>
          </w:p>
        </w:tc>
        <w:tc>
          <w:tcPr>
            <w:tcW w:w="1106" w:type="dxa"/>
            <w:shd w:val="clear" w:color="auto" w:fill="E6E7E8"/>
          </w:tcPr>
          <w:p>
            <w:pPr>
              <w:pStyle w:val="TableParagraph"/>
              <w:spacing w:before="62"/>
              <w:ind w:right="70"/>
              <w:rPr>
                <w:rFonts w:ascii="Calibri"/>
                <w:sz w:val="16"/>
              </w:rPr>
            </w:pPr>
            <w:r>
              <w:rPr>
                <w:rFonts w:ascii="Calibri"/>
                <w:sz w:val="16"/>
              </w:rPr>
              <w:t>15,430</w:t>
            </w:r>
          </w:p>
        </w:tc>
        <w:tc>
          <w:tcPr>
            <w:tcW w:w="1106" w:type="dxa"/>
            <w:shd w:val="clear" w:color="auto" w:fill="E6E7E8"/>
          </w:tcPr>
          <w:p>
            <w:pPr>
              <w:pStyle w:val="TableParagraph"/>
              <w:spacing w:before="62"/>
              <w:ind w:right="73"/>
              <w:rPr>
                <w:rFonts w:ascii="Calibri"/>
                <w:sz w:val="16"/>
              </w:rPr>
            </w:pPr>
            <w:r>
              <w:rPr>
                <w:rFonts w:ascii="Calibri"/>
                <w:w w:val="95"/>
                <w:sz w:val="16"/>
              </w:rPr>
              <w:t>15,156</w:t>
            </w:r>
          </w:p>
        </w:tc>
        <w:tc>
          <w:tcPr>
            <w:tcW w:w="1106" w:type="dxa"/>
            <w:shd w:val="clear" w:color="auto" w:fill="E6E7E8"/>
          </w:tcPr>
          <w:p>
            <w:pPr>
              <w:pStyle w:val="TableParagraph"/>
              <w:spacing w:before="62"/>
              <w:ind w:right="72"/>
              <w:rPr>
                <w:rFonts w:ascii="Calibri"/>
                <w:sz w:val="16"/>
              </w:rPr>
            </w:pPr>
            <w:r>
              <w:rPr>
                <w:rFonts w:ascii="Calibri"/>
                <w:sz w:val="16"/>
              </w:rPr>
              <w:t>16,349</w:t>
            </w:r>
          </w:p>
        </w:tc>
        <w:tc>
          <w:tcPr>
            <w:tcW w:w="1106" w:type="dxa"/>
            <w:shd w:val="clear" w:color="auto" w:fill="E6E7E8"/>
          </w:tcPr>
          <w:p>
            <w:pPr>
              <w:pStyle w:val="TableParagraph"/>
              <w:spacing w:before="62"/>
              <w:ind w:right="73"/>
              <w:rPr>
                <w:rFonts w:ascii="Calibri"/>
                <w:sz w:val="16"/>
              </w:rPr>
            </w:pPr>
            <w:r>
              <w:rPr>
                <w:rFonts w:ascii="Calibri"/>
                <w:w w:val="95"/>
                <w:sz w:val="16"/>
              </w:rPr>
              <w:t>17,144</w:t>
            </w:r>
          </w:p>
        </w:tc>
        <w:tc>
          <w:tcPr>
            <w:tcW w:w="1106" w:type="dxa"/>
            <w:shd w:val="clear" w:color="auto" w:fill="E6E7E8"/>
          </w:tcPr>
          <w:p>
            <w:pPr>
              <w:pStyle w:val="TableParagraph"/>
              <w:spacing w:before="62"/>
              <w:ind w:right="73"/>
              <w:rPr>
                <w:rFonts w:ascii="Calibri"/>
                <w:sz w:val="16"/>
              </w:rPr>
            </w:pPr>
            <w:r>
              <w:rPr>
                <w:rFonts w:ascii="Calibri"/>
                <w:w w:val="105"/>
                <w:sz w:val="16"/>
              </w:rPr>
              <w:t>18,098</w:t>
            </w:r>
          </w:p>
        </w:tc>
      </w:tr>
    </w:tbl>
    <w:p>
      <w:pPr>
        <w:pStyle w:val="BodyText"/>
        <w:spacing w:before="79"/>
        <w:ind w:left="331" w:right="411"/>
      </w:pPr>
      <w:r>
        <w:rPr/>
        <w:t>(Source: Enrolment submissions to the Department of Education and Training)</w:t>
      </w:r>
    </w:p>
    <w:p>
      <w:pPr>
        <w:pStyle w:val="BodyText"/>
      </w:pPr>
    </w:p>
    <w:p>
      <w:pPr>
        <w:pStyle w:val="Heading8"/>
        <w:spacing w:before="134"/>
        <w:ind w:left="326" w:right="5322"/>
      </w:pPr>
      <w:r>
        <w:rPr>
          <w:color w:val="636466"/>
        </w:rPr>
        <w:t>Table 3: Student Headcount by Gender, 2011–15 (p)</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434"/>
        <w:gridCol w:w="1106"/>
        <w:gridCol w:w="1106"/>
        <w:gridCol w:w="1106"/>
        <w:gridCol w:w="1106"/>
        <w:gridCol w:w="1106"/>
      </w:tblGrid>
      <w:tr>
        <w:trPr>
          <w:trHeight w:val="312" w:hRule="exact"/>
        </w:trPr>
        <w:tc>
          <w:tcPr>
            <w:tcW w:w="8962" w:type="dxa"/>
            <w:gridSpan w:val="6"/>
            <w:tcBorders>
              <w:top w:val="nil"/>
              <w:left w:val="nil"/>
              <w:bottom w:val="nil"/>
              <w:right w:val="nil"/>
            </w:tcBorders>
            <w:shd w:val="clear" w:color="auto" w:fill="939598"/>
          </w:tcPr>
          <w:p>
            <w:pPr>
              <w:pStyle w:val="TableParagraph"/>
              <w:tabs>
                <w:tab w:pos="4145" w:val="left" w:leader="none"/>
                <w:tab w:pos="5223" w:val="left" w:leader="none"/>
                <w:tab w:pos="6329" w:val="left" w:leader="none"/>
                <w:tab w:pos="7425" w:val="left" w:leader="none"/>
                <w:tab w:pos="8283" w:val="left" w:leader="none"/>
              </w:tabs>
              <w:spacing w:before="66"/>
              <w:ind w:left="80"/>
              <w:jc w:val="left"/>
              <w:rPr>
                <w:rFonts w:ascii="Gotham Narrow Bold"/>
                <w:b/>
                <w:sz w:val="16"/>
              </w:rPr>
            </w:pPr>
            <w:r>
              <w:rPr>
                <w:rFonts w:ascii="Gotham Narrow Bold"/>
                <w:b/>
                <w:color w:val="FFFFFF"/>
                <w:spacing w:val="3"/>
                <w:sz w:val="16"/>
              </w:rPr>
              <w:t>GENDER</w:t>
              <w:tab/>
            </w:r>
            <w:r>
              <w:rPr>
                <w:rFonts w:ascii="Gotham Narrow Bold"/>
                <w:b/>
                <w:color w:val="FFFFFF"/>
                <w:sz w:val="16"/>
              </w:rPr>
              <w:t>2011</w:t>
              <w:tab/>
              <w:t>2012</w:t>
              <w:tab/>
              <w:t>2013</w:t>
              <w:tab/>
              <w:t>2014</w:t>
              <w:tab/>
              <w:t>2015</w:t>
            </w:r>
            <w:r>
              <w:rPr>
                <w:rFonts w:ascii="Gotham Narrow Bold"/>
                <w:b/>
                <w:color w:val="FFFFFF"/>
                <w:spacing w:val="-29"/>
                <w:sz w:val="16"/>
              </w:rPr>
              <w:t> </w:t>
            </w:r>
            <w:r>
              <w:rPr>
                <w:rFonts w:ascii="Gotham Narrow Bold"/>
                <w:b/>
                <w:color w:val="FFFFFF"/>
                <w:spacing w:val="-4"/>
                <w:sz w:val="16"/>
              </w:rPr>
              <w:t>(p)</w:t>
            </w:r>
          </w:p>
        </w:tc>
      </w:tr>
      <w:tr>
        <w:trPr>
          <w:trHeight w:val="312" w:hRule="exact"/>
        </w:trPr>
        <w:tc>
          <w:tcPr>
            <w:tcW w:w="3434" w:type="dxa"/>
            <w:tcBorders>
              <w:top w:val="nil"/>
            </w:tcBorders>
            <w:shd w:val="clear" w:color="auto" w:fill="E6E7E8"/>
          </w:tcPr>
          <w:p>
            <w:pPr>
              <w:pStyle w:val="TableParagraph"/>
              <w:spacing w:before="60"/>
              <w:ind w:left="74"/>
              <w:jc w:val="left"/>
              <w:rPr>
                <w:sz w:val="16"/>
              </w:rPr>
            </w:pPr>
            <w:r>
              <w:rPr>
                <w:sz w:val="16"/>
              </w:rPr>
              <w:t>Females</w:t>
            </w:r>
          </w:p>
        </w:tc>
        <w:tc>
          <w:tcPr>
            <w:tcW w:w="1106" w:type="dxa"/>
            <w:tcBorders>
              <w:top w:val="nil"/>
            </w:tcBorders>
            <w:shd w:val="clear" w:color="auto" w:fill="E6E7E8"/>
          </w:tcPr>
          <w:p>
            <w:pPr>
              <w:pStyle w:val="TableParagraph"/>
              <w:spacing w:before="60"/>
              <w:ind w:right="72"/>
              <w:rPr>
                <w:sz w:val="16"/>
              </w:rPr>
            </w:pPr>
            <w:r>
              <w:rPr>
                <w:w w:val="85"/>
                <w:sz w:val="16"/>
              </w:rPr>
              <w:t>21,852</w:t>
            </w:r>
          </w:p>
        </w:tc>
        <w:tc>
          <w:tcPr>
            <w:tcW w:w="1106" w:type="dxa"/>
            <w:tcBorders>
              <w:top w:val="nil"/>
            </w:tcBorders>
            <w:shd w:val="clear" w:color="auto" w:fill="E6E7E8"/>
          </w:tcPr>
          <w:p>
            <w:pPr>
              <w:pStyle w:val="TableParagraph"/>
              <w:spacing w:before="60"/>
              <w:ind w:right="69"/>
              <w:rPr>
                <w:sz w:val="16"/>
              </w:rPr>
            </w:pPr>
            <w:r>
              <w:rPr>
                <w:w w:val="90"/>
                <w:sz w:val="16"/>
              </w:rPr>
              <w:t>22,372</w:t>
            </w:r>
          </w:p>
        </w:tc>
        <w:tc>
          <w:tcPr>
            <w:tcW w:w="1106" w:type="dxa"/>
            <w:tcBorders>
              <w:top w:val="nil"/>
            </w:tcBorders>
            <w:shd w:val="clear" w:color="auto" w:fill="E6E7E8"/>
          </w:tcPr>
          <w:p>
            <w:pPr>
              <w:pStyle w:val="TableParagraph"/>
              <w:spacing w:before="60"/>
              <w:ind w:right="69"/>
              <w:rPr>
                <w:sz w:val="16"/>
              </w:rPr>
            </w:pPr>
            <w:r>
              <w:rPr>
                <w:w w:val="85"/>
                <w:sz w:val="16"/>
              </w:rPr>
              <w:t>23,109</w:t>
            </w:r>
          </w:p>
        </w:tc>
        <w:tc>
          <w:tcPr>
            <w:tcW w:w="1106" w:type="dxa"/>
            <w:tcBorders>
              <w:top w:val="nil"/>
            </w:tcBorders>
            <w:shd w:val="clear" w:color="auto" w:fill="E6E7E8"/>
          </w:tcPr>
          <w:p>
            <w:pPr>
              <w:pStyle w:val="TableParagraph"/>
              <w:spacing w:before="60"/>
              <w:ind w:right="73"/>
              <w:rPr>
                <w:sz w:val="16"/>
              </w:rPr>
            </w:pPr>
            <w:r>
              <w:rPr>
                <w:w w:val="95"/>
                <w:sz w:val="16"/>
              </w:rPr>
              <w:t>24,073</w:t>
            </w:r>
          </w:p>
        </w:tc>
        <w:tc>
          <w:tcPr>
            <w:tcW w:w="1106" w:type="dxa"/>
            <w:tcBorders>
              <w:top w:val="nil"/>
            </w:tcBorders>
            <w:shd w:val="clear" w:color="auto" w:fill="E6E7E8"/>
          </w:tcPr>
          <w:p>
            <w:pPr>
              <w:pStyle w:val="TableParagraph"/>
              <w:spacing w:before="60"/>
              <w:ind w:right="73"/>
              <w:rPr>
                <w:sz w:val="16"/>
              </w:rPr>
            </w:pPr>
            <w:r>
              <w:rPr>
                <w:sz w:val="16"/>
              </w:rPr>
              <w:t>24,609</w:t>
            </w:r>
          </w:p>
        </w:tc>
      </w:tr>
      <w:tr>
        <w:trPr>
          <w:trHeight w:val="312" w:hRule="exact"/>
        </w:trPr>
        <w:tc>
          <w:tcPr>
            <w:tcW w:w="3434" w:type="dxa"/>
            <w:shd w:val="clear" w:color="auto" w:fill="E6E7E8"/>
          </w:tcPr>
          <w:p>
            <w:pPr>
              <w:pStyle w:val="TableParagraph"/>
              <w:ind w:left="74"/>
              <w:jc w:val="left"/>
              <w:rPr>
                <w:sz w:val="16"/>
              </w:rPr>
            </w:pPr>
            <w:r>
              <w:rPr>
                <w:sz w:val="16"/>
              </w:rPr>
              <w:t>Males</w:t>
            </w:r>
          </w:p>
        </w:tc>
        <w:tc>
          <w:tcPr>
            <w:tcW w:w="1106" w:type="dxa"/>
            <w:shd w:val="clear" w:color="auto" w:fill="E6E7E8"/>
          </w:tcPr>
          <w:p>
            <w:pPr>
              <w:pStyle w:val="TableParagraph"/>
              <w:ind w:right="73"/>
              <w:rPr>
                <w:sz w:val="16"/>
              </w:rPr>
            </w:pPr>
            <w:r>
              <w:rPr>
                <w:w w:val="54"/>
                <w:sz w:val="16"/>
              </w:rPr>
              <w:t>1</w:t>
            </w:r>
            <w:r>
              <w:rPr>
                <w:spacing w:val="-9"/>
                <w:w w:val="83"/>
                <w:sz w:val="16"/>
              </w:rPr>
              <w:t>7</w:t>
            </w:r>
            <w:r>
              <w:rPr>
                <w:spacing w:val="3"/>
                <w:w w:val="83"/>
                <w:sz w:val="16"/>
              </w:rPr>
              <w:t>,</w:t>
            </w:r>
            <w:r>
              <w:rPr>
                <w:spacing w:val="3"/>
                <w:w w:val="101"/>
                <w:sz w:val="16"/>
              </w:rPr>
              <w:t>6</w:t>
            </w:r>
            <w:r>
              <w:rPr>
                <w:spacing w:val="3"/>
                <w:w w:val="111"/>
                <w:sz w:val="16"/>
              </w:rPr>
              <w:t>0</w:t>
            </w:r>
            <w:r>
              <w:rPr>
                <w:w w:val="101"/>
                <w:sz w:val="16"/>
              </w:rPr>
              <w:t>9</w:t>
            </w:r>
          </w:p>
        </w:tc>
        <w:tc>
          <w:tcPr>
            <w:tcW w:w="1106" w:type="dxa"/>
            <w:shd w:val="clear" w:color="auto" w:fill="E6E7E8"/>
          </w:tcPr>
          <w:p>
            <w:pPr>
              <w:pStyle w:val="TableParagraph"/>
              <w:ind w:right="73"/>
              <w:rPr>
                <w:sz w:val="16"/>
              </w:rPr>
            </w:pPr>
            <w:r>
              <w:rPr>
                <w:w w:val="85"/>
                <w:sz w:val="16"/>
              </w:rPr>
              <w:t>17,885</w:t>
            </w:r>
          </w:p>
        </w:tc>
        <w:tc>
          <w:tcPr>
            <w:tcW w:w="1106" w:type="dxa"/>
            <w:shd w:val="clear" w:color="auto" w:fill="E6E7E8"/>
          </w:tcPr>
          <w:p>
            <w:pPr>
              <w:pStyle w:val="TableParagraph"/>
              <w:ind w:right="70"/>
              <w:rPr>
                <w:sz w:val="16"/>
              </w:rPr>
            </w:pPr>
            <w:r>
              <w:rPr>
                <w:w w:val="80"/>
                <w:sz w:val="16"/>
              </w:rPr>
              <w:t>18,814</w:t>
            </w:r>
          </w:p>
        </w:tc>
        <w:tc>
          <w:tcPr>
            <w:tcW w:w="1106" w:type="dxa"/>
            <w:shd w:val="clear" w:color="auto" w:fill="E6E7E8"/>
          </w:tcPr>
          <w:p>
            <w:pPr>
              <w:pStyle w:val="TableParagraph"/>
              <w:ind w:right="73"/>
              <w:rPr>
                <w:sz w:val="16"/>
              </w:rPr>
            </w:pPr>
            <w:r>
              <w:rPr>
                <w:spacing w:val="2"/>
                <w:w w:val="54"/>
                <w:sz w:val="16"/>
              </w:rPr>
              <w:t>1</w:t>
            </w:r>
            <w:r>
              <w:rPr>
                <w:spacing w:val="1"/>
                <w:w w:val="101"/>
                <w:sz w:val="16"/>
              </w:rPr>
              <w:t>9</w:t>
            </w:r>
            <w:r>
              <w:rPr>
                <w:w w:val="83"/>
                <w:sz w:val="16"/>
              </w:rPr>
              <w:t>,</w:t>
            </w:r>
            <w:r>
              <w:rPr>
                <w:spacing w:val="6"/>
                <w:w w:val="83"/>
                <w:sz w:val="16"/>
              </w:rPr>
              <w:t>7</w:t>
            </w:r>
            <w:r>
              <w:rPr>
                <w:spacing w:val="4"/>
                <w:w w:val="54"/>
                <w:sz w:val="16"/>
              </w:rPr>
              <w:t>1</w:t>
            </w:r>
            <w:r>
              <w:rPr>
                <w:w w:val="111"/>
                <w:sz w:val="16"/>
              </w:rPr>
              <w:t>0</w:t>
            </w:r>
          </w:p>
        </w:tc>
        <w:tc>
          <w:tcPr>
            <w:tcW w:w="1106" w:type="dxa"/>
            <w:shd w:val="clear" w:color="auto" w:fill="E6E7E8"/>
          </w:tcPr>
          <w:p>
            <w:pPr>
              <w:pStyle w:val="TableParagraph"/>
              <w:ind w:right="73"/>
              <w:rPr>
                <w:sz w:val="16"/>
              </w:rPr>
            </w:pPr>
            <w:r>
              <w:rPr>
                <w:w w:val="90"/>
                <w:sz w:val="16"/>
              </w:rPr>
              <w:t>20,322</w:t>
            </w:r>
          </w:p>
        </w:tc>
      </w:tr>
      <w:tr>
        <w:trPr>
          <w:trHeight w:val="312" w:hRule="exact"/>
        </w:trPr>
        <w:tc>
          <w:tcPr>
            <w:tcW w:w="3434" w:type="dxa"/>
            <w:shd w:val="clear" w:color="auto" w:fill="E6E7E8"/>
          </w:tcPr>
          <w:p>
            <w:pPr>
              <w:pStyle w:val="TableParagraph"/>
              <w:spacing w:before="62"/>
              <w:ind w:left="74"/>
              <w:jc w:val="left"/>
              <w:rPr>
                <w:rFonts w:ascii="Calibri"/>
                <w:sz w:val="16"/>
              </w:rPr>
            </w:pPr>
            <w:r>
              <w:rPr>
                <w:rFonts w:ascii="Calibri"/>
                <w:w w:val="105"/>
                <w:sz w:val="16"/>
              </w:rPr>
              <w:t>Total*</w:t>
            </w:r>
          </w:p>
        </w:tc>
        <w:tc>
          <w:tcPr>
            <w:tcW w:w="1106" w:type="dxa"/>
            <w:shd w:val="clear" w:color="auto" w:fill="E6E7E8"/>
          </w:tcPr>
          <w:p>
            <w:pPr>
              <w:pStyle w:val="TableParagraph"/>
              <w:spacing w:before="62"/>
              <w:ind w:right="73"/>
              <w:rPr>
                <w:rFonts w:ascii="Calibri"/>
                <w:sz w:val="16"/>
              </w:rPr>
            </w:pPr>
            <w:r>
              <w:rPr>
                <w:rFonts w:ascii="Calibri"/>
                <w:w w:val="105"/>
                <w:sz w:val="16"/>
              </w:rPr>
              <w:t>39,461</w:t>
            </w:r>
          </w:p>
        </w:tc>
        <w:tc>
          <w:tcPr>
            <w:tcW w:w="1106" w:type="dxa"/>
            <w:shd w:val="clear" w:color="auto" w:fill="E6E7E8"/>
          </w:tcPr>
          <w:p>
            <w:pPr>
              <w:pStyle w:val="TableParagraph"/>
              <w:spacing w:before="62"/>
              <w:ind w:right="72"/>
              <w:rPr>
                <w:rFonts w:ascii="Calibri"/>
                <w:sz w:val="16"/>
              </w:rPr>
            </w:pPr>
            <w:r>
              <w:rPr>
                <w:rFonts w:ascii="Calibri"/>
                <w:w w:val="110"/>
                <w:sz w:val="16"/>
              </w:rPr>
              <w:t>40,257</w:t>
            </w:r>
          </w:p>
        </w:tc>
        <w:tc>
          <w:tcPr>
            <w:tcW w:w="1106" w:type="dxa"/>
            <w:shd w:val="clear" w:color="auto" w:fill="E6E7E8"/>
          </w:tcPr>
          <w:p>
            <w:pPr>
              <w:pStyle w:val="TableParagraph"/>
              <w:spacing w:before="62"/>
              <w:ind w:right="72"/>
              <w:rPr>
                <w:rFonts w:ascii="Calibri"/>
                <w:sz w:val="16"/>
              </w:rPr>
            </w:pPr>
            <w:r>
              <w:rPr>
                <w:rFonts w:ascii="Calibri"/>
                <w:sz w:val="16"/>
              </w:rPr>
              <w:t>41,923</w:t>
            </w:r>
          </w:p>
        </w:tc>
        <w:tc>
          <w:tcPr>
            <w:tcW w:w="1106" w:type="dxa"/>
            <w:shd w:val="clear" w:color="auto" w:fill="E6E7E8"/>
          </w:tcPr>
          <w:p>
            <w:pPr>
              <w:pStyle w:val="TableParagraph"/>
              <w:spacing w:before="62"/>
              <w:ind w:right="73"/>
              <w:rPr>
                <w:rFonts w:ascii="Calibri"/>
                <w:sz w:val="16"/>
              </w:rPr>
            </w:pPr>
            <w:r>
              <w:rPr>
                <w:rFonts w:ascii="Calibri"/>
                <w:w w:val="105"/>
                <w:sz w:val="16"/>
              </w:rPr>
              <w:t>43,783</w:t>
            </w:r>
          </w:p>
        </w:tc>
        <w:tc>
          <w:tcPr>
            <w:tcW w:w="1106" w:type="dxa"/>
            <w:shd w:val="clear" w:color="auto" w:fill="E6E7E8"/>
          </w:tcPr>
          <w:p>
            <w:pPr>
              <w:pStyle w:val="TableParagraph"/>
              <w:spacing w:before="62"/>
              <w:ind w:right="72"/>
              <w:rPr>
                <w:rFonts w:ascii="Calibri"/>
                <w:sz w:val="16"/>
              </w:rPr>
            </w:pPr>
            <w:r>
              <w:rPr>
                <w:rFonts w:ascii="Calibri"/>
                <w:w w:val="110"/>
                <w:sz w:val="16"/>
              </w:rPr>
              <w:t>44,934</w:t>
            </w:r>
          </w:p>
        </w:tc>
      </w:tr>
    </w:tbl>
    <w:p>
      <w:pPr>
        <w:pStyle w:val="BodyText"/>
        <w:spacing w:before="51"/>
        <w:ind w:left="332" w:right="7611"/>
      </w:pPr>
      <w:r>
        <w:rPr/>
        <w:t>* Includes gender not specified</w:t>
      </w:r>
    </w:p>
    <w:p>
      <w:pPr>
        <w:pStyle w:val="BodyText"/>
        <w:spacing w:before="7"/>
        <w:ind w:left="332" w:right="411"/>
      </w:pPr>
      <w:r>
        <w:rPr/>
        <w:t>(Source: Enrolment submissions to the Department of Education and Training)</w:t>
      </w:r>
    </w:p>
    <w:p>
      <w:pPr>
        <w:pStyle w:val="BodyText"/>
        <w:spacing w:before="2"/>
        <w:rPr>
          <w:sz w:val="20"/>
        </w:rPr>
      </w:pPr>
    </w:p>
    <w:p>
      <w:pPr>
        <w:pStyle w:val="Heading8"/>
        <w:ind w:left="327" w:right="5322"/>
      </w:pPr>
      <w:r>
        <w:rPr>
          <w:color w:val="636466"/>
        </w:rPr>
        <w:t>Table 4: Student Headcount by Course Level, 2013–15 (p)</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434"/>
        <w:gridCol w:w="1106"/>
        <w:gridCol w:w="1106"/>
        <w:gridCol w:w="1106"/>
        <w:gridCol w:w="1106"/>
        <w:gridCol w:w="1106"/>
        <w:gridCol w:w="1119"/>
      </w:tblGrid>
      <w:tr>
        <w:trPr>
          <w:trHeight w:val="312" w:hRule="exact"/>
        </w:trPr>
        <w:tc>
          <w:tcPr>
            <w:tcW w:w="3434" w:type="dxa"/>
            <w:tcBorders>
              <w:top w:val="nil"/>
              <w:left w:val="nil"/>
              <w:bottom w:val="nil"/>
              <w:right w:val="nil"/>
            </w:tcBorders>
            <w:shd w:val="clear" w:color="auto" w:fill="939598"/>
          </w:tcPr>
          <w:p>
            <w:pPr>
              <w:pStyle w:val="TableParagraph"/>
              <w:spacing w:before="66"/>
              <w:ind w:left="80"/>
              <w:jc w:val="left"/>
              <w:rPr>
                <w:rFonts w:ascii="Gotham Narrow Bold"/>
                <w:b/>
                <w:sz w:val="16"/>
              </w:rPr>
            </w:pPr>
            <w:r>
              <w:rPr>
                <w:rFonts w:ascii="Gotham Narrow Bold"/>
                <w:b/>
                <w:color w:val="FFFFFF"/>
                <w:w w:val="95"/>
                <w:sz w:val="16"/>
              </w:rPr>
              <w:t>COURSE LEVEL</w:t>
            </w:r>
          </w:p>
        </w:tc>
        <w:tc>
          <w:tcPr>
            <w:tcW w:w="2211" w:type="dxa"/>
            <w:gridSpan w:val="2"/>
            <w:tcBorders>
              <w:top w:val="nil"/>
              <w:left w:val="nil"/>
              <w:bottom w:val="nil"/>
              <w:right w:val="nil"/>
            </w:tcBorders>
            <w:shd w:val="clear" w:color="auto" w:fill="939598"/>
          </w:tcPr>
          <w:p>
            <w:pPr>
              <w:pStyle w:val="TableParagraph"/>
              <w:tabs>
                <w:tab w:pos="2007" w:val="left" w:leader="none"/>
              </w:tabs>
              <w:spacing w:before="66"/>
              <w:ind w:left="684"/>
              <w:jc w:val="left"/>
              <w:rPr>
                <w:rFonts w:ascii="Gotham Narrow Bold"/>
                <w:b/>
                <w:sz w:val="16"/>
              </w:rPr>
            </w:pPr>
            <w:r>
              <w:rPr>
                <w:rFonts w:ascii="Gotham Narrow Bold"/>
                <w:b/>
                <w:color w:val="FFFFFF"/>
                <w:sz w:val="16"/>
              </w:rPr>
              <w:t>2013</w:t>
              <w:tab/>
              <w:t>%</w:t>
            </w:r>
          </w:p>
        </w:tc>
        <w:tc>
          <w:tcPr>
            <w:tcW w:w="2211" w:type="dxa"/>
            <w:gridSpan w:val="2"/>
            <w:tcBorders>
              <w:top w:val="nil"/>
              <w:left w:val="nil"/>
              <w:bottom w:val="nil"/>
              <w:right w:val="nil"/>
            </w:tcBorders>
            <w:shd w:val="clear" w:color="auto" w:fill="939598"/>
          </w:tcPr>
          <w:p>
            <w:pPr>
              <w:pStyle w:val="TableParagraph"/>
              <w:tabs>
                <w:tab w:pos="2007" w:val="left" w:leader="none"/>
              </w:tabs>
              <w:spacing w:before="66"/>
              <w:ind w:left="674"/>
              <w:jc w:val="left"/>
              <w:rPr>
                <w:rFonts w:ascii="Gotham Narrow Bold"/>
                <w:b/>
                <w:sz w:val="16"/>
              </w:rPr>
            </w:pPr>
            <w:r>
              <w:rPr>
                <w:rFonts w:ascii="Gotham Narrow Bold"/>
                <w:b/>
                <w:color w:val="FFFFFF"/>
                <w:sz w:val="16"/>
              </w:rPr>
              <w:t>2014</w:t>
              <w:tab/>
              <w:t>%</w:t>
            </w:r>
          </w:p>
        </w:tc>
        <w:tc>
          <w:tcPr>
            <w:tcW w:w="2225" w:type="dxa"/>
            <w:gridSpan w:val="2"/>
            <w:tcBorders>
              <w:top w:val="nil"/>
              <w:left w:val="nil"/>
              <w:bottom w:val="nil"/>
              <w:right w:val="nil"/>
            </w:tcBorders>
            <w:shd w:val="clear" w:color="auto" w:fill="939598"/>
          </w:tcPr>
          <w:p>
            <w:pPr>
              <w:pStyle w:val="TableParagraph"/>
              <w:tabs>
                <w:tab w:pos="2021" w:val="left" w:leader="none"/>
              </w:tabs>
              <w:spacing w:before="66"/>
              <w:ind w:left="427"/>
              <w:jc w:val="left"/>
              <w:rPr>
                <w:rFonts w:ascii="Gotham Narrow Bold"/>
                <w:b/>
                <w:sz w:val="16"/>
              </w:rPr>
            </w:pPr>
            <w:r>
              <w:rPr>
                <w:rFonts w:ascii="Gotham Narrow Bold"/>
                <w:b/>
                <w:color w:val="FFFFFF"/>
                <w:sz w:val="16"/>
              </w:rPr>
              <w:t>2015</w:t>
            </w:r>
            <w:r>
              <w:rPr>
                <w:rFonts w:ascii="Gotham Narrow Bold"/>
                <w:b/>
                <w:color w:val="FFFFFF"/>
                <w:spacing w:val="-13"/>
                <w:sz w:val="16"/>
              </w:rPr>
              <w:t> </w:t>
            </w:r>
            <w:r>
              <w:rPr>
                <w:rFonts w:ascii="Gotham Narrow Bold"/>
                <w:b/>
                <w:color w:val="FFFFFF"/>
                <w:sz w:val="16"/>
              </w:rPr>
              <w:t>(p)</w:t>
              <w:tab/>
              <w:t>%</w:t>
            </w:r>
          </w:p>
        </w:tc>
      </w:tr>
      <w:tr>
        <w:trPr>
          <w:trHeight w:val="312" w:hRule="exact"/>
        </w:trPr>
        <w:tc>
          <w:tcPr>
            <w:tcW w:w="3434" w:type="dxa"/>
            <w:tcBorders>
              <w:top w:val="nil"/>
            </w:tcBorders>
            <w:shd w:val="clear" w:color="auto" w:fill="E6E7E8"/>
          </w:tcPr>
          <w:p>
            <w:pPr>
              <w:pStyle w:val="TableParagraph"/>
              <w:spacing w:before="60"/>
              <w:ind w:left="75"/>
              <w:jc w:val="left"/>
              <w:rPr>
                <w:sz w:val="16"/>
              </w:rPr>
            </w:pPr>
            <w:r>
              <w:rPr>
                <w:sz w:val="16"/>
              </w:rPr>
              <w:t>Undergraduate</w:t>
            </w:r>
          </w:p>
        </w:tc>
        <w:tc>
          <w:tcPr>
            <w:tcW w:w="1106" w:type="dxa"/>
            <w:tcBorders>
              <w:top w:val="nil"/>
            </w:tcBorders>
            <w:shd w:val="clear" w:color="auto" w:fill="E6E7E8"/>
          </w:tcPr>
          <w:p>
            <w:pPr>
              <w:pStyle w:val="TableParagraph"/>
              <w:spacing w:before="60"/>
              <w:ind w:right="75"/>
              <w:rPr>
                <w:sz w:val="16"/>
              </w:rPr>
            </w:pPr>
            <w:r>
              <w:rPr>
                <w:w w:val="95"/>
                <w:sz w:val="16"/>
              </w:rPr>
              <w:t>34,207</w:t>
            </w:r>
          </w:p>
        </w:tc>
        <w:tc>
          <w:tcPr>
            <w:tcW w:w="1106" w:type="dxa"/>
            <w:tcBorders>
              <w:top w:val="nil"/>
            </w:tcBorders>
            <w:shd w:val="clear" w:color="auto" w:fill="E6E7E8"/>
          </w:tcPr>
          <w:p>
            <w:pPr>
              <w:pStyle w:val="TableParagraph"/>
              <w:spacing w:before="60"/>
              <w:ind w:right="71"/>
              <w:rPr>
                <w:sz w:val="16"/>
              </w:rPr>
            </w:pPr>
            <w:r>
              <w:rPr>
                <w:w w:val="80"/>
                <w:sz w:val="16"/>
              </w:rPr>
              <w:t>81.6%</w:t>
            </w:r>
          </w:p>
        </w:tc>
        <w:tc>
          <w:tcPr>
            <w:tcW w:w="1106" w:type="dxa"/>
            <w:tcBorders>
              <w:top w:val="nil"/>
            </w:tcBorders>
            <w:shd w:val="clear" w:color="auto" w:fill="E6E7E8"/>
          </w:tcPr>
          <w:p>
            <w:pPr>
              <w:pStyle w:val="TableParagraph"/>
              <w:spacing w:before="60"/>
              <w:ind w:right="72"/>
              <w:rPr>
                <w:sz w:val="16"/>
              </w:rPr>
            </w:pPr>
            <w:r>
              <w:rPr>
                <w:w w:val="95"/>
                <w:sz w:val="16"/>
              </w:rPr>
              <w:t>35,243</w:t>
            </w:r>
          </w:p>
        </w:tc>
        <w:tc>
          <w:tcPr>
            <w:tcW w:w="1106" w:type="dxa"/>
            <w:tcBorders>
              <w:top w:val="nil"/>
            </w:tcBorders>
            <w:shd w:val="clear" w:color="auto" w:fill="E6E7E8"/>
          </w:tcPr>
          <w:p>
            <w:pPr>
              <w:pStyle w:val="TableParagraph"/>
              <w:spacing w:before="60"/>
              <w:ind w:right="71"/>
              <w:rPr>
                <w:sz w:val="16"/>
              </w:rPr>
            </w:pPr>
            <w:r>
              <w:rPr>
                <w:w w:val="85"/>
                <w:sz w:val="16"/>
              </w:rPr>
              <w:t>80.5%</w:t>
            </w:r>
          </w:p>
        </w:tc>
        <w:tc>
          <w:tcPr>
            <w:tcW w:w="1106" w:type="dxa"/>
            <w:tcBorders>
              <w:top w:val="nil"/>
            </w:tcBorders>
            <w:shd w:val="clear" w:color="auto" w:fill="E6E7E8"/>
          </w:tcPr>
          <w:p>
            <w:pPr>
              <w:pStyle w:val="TableParagraph"/>
              <w:spacing w:before="60"/>
              <w:ind w:right="72"/>
              <w:rPr>
                <w:sz w:val="16"/>
              </w:rPr>
            </w:pPr>
            <w:r>
              <w:rPr>
                <w:spacing w:val="3"/>
                <w:w w:val="94"/>
                <w:sz w:val="16"/>
              </w:rPr>
              <w:t>3</w:t>
            </w:r>
            <w:r>
              <w:rPr>
                <w:spacing w:val="-9"/>
                <w:w w:val="83"/>
                <w:sz w:val="16"/>
              </w:rPr>
              <w:t>7</w:t>
            </w:r>
            <w:r>
              <w:rPr>
                <w:spacing w:val="1"/>
                <w:w w:val="83"/>
                <w:sz w:val="16"/>
              </w:rPr>
              <w:t>,</w:t>
            </w:r>
            <w:r>
              <w:rPr>
                <w:spacing w:val="4"/>
                <w:w w:val="111"/>
                <w:sz w:val="16"/>
              </w:rPr>
              <w:t>0</w:t>
            </w:r>
            <w:r>
              <w:rPr>
                <w:spacing w:val="-1"/>
                <w:w w:val="103"/>
                <w:sz w:val="16"/>
              </w:rPr>
              <w:t>4</w:t>
            </w:r>
            <w:r>
              <w:rPr>
                <w:w w:val="54"/>
                <w:sz w:val="16"/>
              </w:rPr>
              <w:t>1</w:t>
            </w:r>
          </w:p>
        </w:tc>
        <w:tc>
          <w:tcPr>
            <w:tcW w:w="1119" w:type="dxa"/>
            <w:tcBorders>
              <w:top w:val="nil"/>
            </w:tcBorders>
            <w:shd w:val="clear" w:color="auto" w:fill="E6E7E8"/>
          </w:tcPr>
          <w:p>
            <w:pPr>
              <w:pStyle w:val="TableParagraph"/>
              <w:spacing w:before="60"/>
              <w:ind w:right="73"/>
              <w:rPr>
                <w:sz w:val="16"/>
              </w:rPr>
            </w:pPr>
            <w:r>
              <w:rPr>
                <w:w w:val="85"/>
                <w:sz w:val="16"/>
              </w:rPr>
              <w:t>82.4%</w:t>
            </w:r>
          </w:p>
        </w:tc>
      </w:tr>
      <w:tr>
        <w:trPr>
          <w:trHeight w:val="312" w:hRule="exact"/>
        </w:trPr>
        <w:tc>
          <w:tcPr>
            <w:tcW w:w="3434" w:type="dxa"/>
            <w:shd w:val="clear" w:color="auto" w:fill="E6E7E8"/>
          </w:tcPr>
          <w:p>
            <w:pPr>
              <w:pStyle w:val="TableParagraph"/>
              <w:ind w:left="75"/>
              <w:jc w:val="left"/>
              <w:rPr>
                <w:sz w:val="16"/>
              </w:rPr>
            </w:pPr>
            <w:r>
              <w:rPr>
                <w:sz w:val="16"/>
              </w:rPr>
              <w:t>Higher degree by coursework</w:t>
            </w:r>
          </w:p>
        </w:tc>
        <w:tc>
          <w:tcPr>
            <w:tcW w:w="1106" w:type="dxa"/>
            <w:shd w:val="clear" w:color="auto" w:fill="E6E7E8"/>
          </w:tcPr>
          <w:p>
            <w:pPr>
              <w:pStyle w:val="TableParagraph"/>
              <w:ind w:right="72"/>
              <w:rPr>
                <w:sz w:val="16"/>
              </w:rPr>
            </w:pPr>
            <w:r>
              <w:rPr>
                <w:w w:val="90"/>
                <w:sz w:val="16"/>
              </w:rPr>
              <w:t>5,792</w:t>
            </w:r>
          </w:p>
        </w:tc>
        <w:tc>
          <w:tcPr>
            <w:tcW w:w="1106" w:type="dxa"/>
            <w:shd w:val="clear" w:color="auto" w:fill="E6E7E8"/>
          </w:tcPr>
          <w:p>
            <w:pPr>
              <w:pStyle w:val="TableParagraph"/>
              <w:ind w:right="72"/>
              <w:rPr>
                <w:sz w:val="16"/>
              </w:rPr>
            </w:pPr>
            <w:r>
              <w:rPr>
                <w:w w:val="75"/>
                <w:sz w:val="16"/>
              </w:rPr>
              <w:t>13.8%</w:t>
            </w:r>
          </w:p>
        </w:tc>
        <w:tc>
          <w:tcPr>
            <w:tcW w:w="1106" w:type="dxa"/>
            <w:shd w:val="clear" w:color="auto" w:fill="E6E7E8"/>
          </w:tcPr>
          <w:p>
            <w:pPr>
              <w:pStyle w:val="TableParagraph"/>
              <w:ind w:right="72"/>
              <w:rPr>
                <w:sz w:val="16"/>
              </w:rPr>
            </w:pPr>
            <w:r>
              <w:rPr>
                <w:w w:val="85"/>
                <w:sz w:val="16"/>
              </w:rPr>
              <w:t>6,144</w:t>
            </w:r>
          </w:p>
        </w:tc>
        <w:tc>
          <w:tcPr>
            <w:tcW w:w="1106" w:type="dxa"/>
            <w:shd w:val="clear" w:color="auto" w:fill="E6E7E8"/>
          </w:tcPr>
          <w:p>
            <w:pPr>
              <w:pStyle w:val="TableParagraph"/>
              <w:ind w:right="74"/>
              <w:rPr>
                <w:sz w:val="16"/>
              </w:rPr>
            </w:pPr>
            <w:r>
              <w:rPr>
                <w:w w:val="85"/>
                <w:sz w:val="16"/>
              </w:rPr>
              <w:t>14.0%</w:t>
            </w:r>
          </w:p>
        </w:tc>
        <w:tc>
          <w:tcPr>
            <w:tcW w:w="1106" w:type="dxa"/>
            <w:shd w:val="clear" w:color="auto" w:fill="E6E7E8"/>
          </w:tcPr>
          <w:p>
            <w:pPr>
              <w:pStyle w:val="TableParagraph"/>
              <w:ind w:right="73"/>
              <w:rPr>
                <w:sz w:val="16"/>
              </w:rPr>
            </w:pPr>
            <w:r>
              <w:rPr>
                <w:w w:val="95"/>
                <w:sz w:val="16"/>
              </w:rPr>
              <w:t>5,628</w:t>
            </w:r>
          </w:p>
        </w:tc>
        <w:tc>
          <w:tcPr>
            <w:tcW w:w="1119" w:type="dxa"/>
            <w:shd w:val="clear" w:color="auto" w:fill="E6E7E8"/>
          </w:tcPr>
          <w:p>
            <w:pPr>
              <w:pStyle w:val="TableParagraph"/>
              <w:ind w:right="71"/>
              <w:rPr>
                <w:sz w:val="16"/>
              </w:rPr>
            </w:pPr>
            <w:r>
              <w:rPr>
                <w:w w:val="75"/>
                <w:sz w:val="16"/>
              </w:rPr>
              <w:t>12.5%</w:t>
            </w:r>
          </w:p>
        </w:tc>
      </w:tr>
      <w:tr>
        <w:trPr>
          <w:trHeight w:val="312" w:hRule="exact"/>
        </w:trPr>
        <w:tc>
          <w:tcPr>
            <w:tcW w:w="3434" w:type="dxa"/>
            <w:shd w:val="clear" w:color="auto" w:fill="E6E7E8"/>
          </w:tcPr>
          <w:p>
            <w:pPr>
              <w:pStyle w:val="TableParagraph"/>
              <w:ind w:left="75"/>
              <w:jc w:val="left"/>
              <w:rPr>
                <w:sz w:val="16"/>
              </w:rPr>
            </w:pPr>
            <w:r>
              <w:rPr>
                <w:sz w:val="16"/>
              </w:rPr>
              <w:t>Higher degree by research</w:t>
            </w:r>
          </w:p>
        </w:tc>
        <w:tc>
          <w:tcPr>
            <w:tcW w:w="1106" w:type="dxa"/>
            <w:shd w:val="clear" w:color="auto" w:fill="E6E7E8"/>
          </w:tcPr>
          <w:p>
            <w:pPr>
              <w:pStyle w:val="TableParagraph"/>
              <w:ind w:right="68"/>
              <w:rPr>
                <w:sz w:val="16"/>
              </w:rPr>
            </w:pPr>
            <w:r>
              <w:rPr>
                <w:w w:val="95"/>
                <w:sz w:val="16"/>
              </w:rPr>
              <w:t>983</w:t>
            </w:r>
          </w:p>
        </w:tc>
        <w:tc>
          <w:tcPr>
            <w:tcW w:w="1106" w:type="dxa"/>
            <w:shd w:val="clear" w:color="auto" w:fill="E6E7E8"/>
          </w:tcPr>
          <w:p>
            <w:pPr>
              <w:pStyle w:val="TableParagraph"/>
              <w:ind w:right="71"/>
              <w:rPr>
                <w:sz w:val="16"/>
              </w:rPr>
            </w:pPr>
            <w:r>
              <w:rPr>
                <w:w w:val="80"/>
                <w:sz w:val="16"/>
              </w:rPr>
              <w:t>2.3%</w:t>
            </w:r>
          </w:p>
        </w:tc>
        <w:tc>
          <w:tcPr>
            <w:tcW w:w="1106" w:type="dxa"/>
            <w:shd w:val="clear" w:color="auto" w:fill="E6E7E8"/>
          </w:tcPr>
          <w:p>
            <w:pPr>
              <w:pStyle w:val="TableParagraph"/>
              <w:ind w:right="73"/>
              <w:rPr>
                <w:sz w:val="16"/>
              </w:rPr>
            </w:pPr>
            <w:r>
              <w:rPr>
                <w:w w:val="95"/>
                <w:sz w:val="16"/>
              </w:rPr>
              <w:t>955</w:t>
            </w:r>
          </w:p>
        </w:tc>
        <w:tc>
          <w:tcPr>
            <w:tcW w:w="1106" w:type="dxa"/>
            <w:shd w:val="clear" w:color="auto" w:fill="E6E7E8"/>
          </w:tcPr>
          <w:p>
            <w:pPr>
              <w:pStyle w:val="TableParagraph"/>
              <w:ind w:right="73"/>
              <w:rPr>
                <w:sz w:val="16"/>
              </w:rPr>
            </w:pPr>
            <w:r>
              <w:rPr>
                <w:w w:val="80"/>
                <w:sz w:val="16"/>
              </w:rPr>
              <w:t>2.2%</w:t>
            </w:r>
          </w:p>
        </w:tc>
        <w:tc>
          <w:tcPr>
            <w:tcW w:w="1106" w:type="dxa"/>
            <w:shd w:val="clear" w:color="auto" w:fill="E6E7E8"/>
          </w:tcPr>
          <w:p>
            <w:pPr>
              <w:pStyle w:val="TableParagraph"/>
              <w:ind w:right="68"/>
              <w:rPr>
                <w:sz w:val="16"/>
              </w:rPr>
            </w:pPr>
            <w:r>
              <w:rPr>
                <w:w w:val="90"/>
                <w:sz w:val="16"/>
              </w:rPr>
              <w:t>1,080</w:t>
            </w:r>
          </w:p>
        </w:tc>
        <w:tc>
          <w:tcPr>
            <w:tcW w:w="1119" w:type="dxa"/>
            <w:shd w:val="clear" w:color="auto" w:fill="E6E7E8"/>
          </w:tcPr>
          <w:p>
            <w:pPr>
              <w:pStyle w:val="TableParagraph"/>
              <w:ind w:right="73"/>
              <w:rPr>
                <w:sz w:val="16"/>
              </w:rPr>
            </w:pPr>
            <w:r>
              <w:rPr>
                <w:w w:val="85"/>
                <w:sz w:val="16"/>
              </w:rPr>
              <w:t>2.4%</w:t>
            </w:r>
          </w:p>
        </w:tc>
      </w:tr>
      <w:tr>
        <w:trPr>
          <w:trHeight w:val="312" w:hRule="exact"/>
        </w:trPr>
        <w:tc>
          <w:tcPr>
            <w:tcW w:w="3434" w:type="dxa"/>
            <w:shd w:val="clear" w:color="auto" w:fill="E6E7E8"/>
          </w:tcPr>
          <w:p>
            <w:pPr>
              <w:pStyle w:val="TableParagraph"/>
              <w:ind w:left="74"/>
              <w:jc w:val="left"/>
              <w:rPr>
                <w:sz w:val="16"/>
              </w:rPr>
            </w:pPr>
            <w:r>
              <w:rPr>
                <w:sz w:val="16"/>
              </w:rPr>
              <w:t>Other*</w:t>
            </w:r>
          </w:p>
        </w:tc>
        <w:tc>
          <w:tcPr>
            <w:tcW w:w="1106" w:type="dxa"/>
            <w:shd w:val="clear" w:color="auto" w:fill="E6E7E8"/>
          </w:tcPr>
          <w:p>
            <w:pPr>
              <w:pStyle w:val="TableParagraph"/>
              <w:ind w:right="73"/>
              <w:rPr>
                <w:sz w:val="16"/>
              </w:rPr>
            </w:pPr>
            <w:r>
              <w:rPr>
                <w:w w:val="85"/>
                <w:sz w:val="16"/>
              </w:rPr>
              <w:t>941</w:t>
            </w:r>
          </w:p>
        </w:tc>
        <w:tc>
          <w:tcPr>
            <w:tcW w:w="1106" w:type="dxa"/>
            <w:shd w:val="clear" w:color="auto" w:fill="E6E7E8"/>
          </w:tcPr>
          <w:p>
            <w:pPr>
              <w:pStyle w:val="TableParagraph"/>
              <w:ind w:right="73"/>
              <w:rPr>
                <w:sz w:val="16"/>
              </w:rPr>
            </w:pPr>
            <w:r>
              <w:rPr>
                <w:w w:val="80"/>
                <w:sz w:val="16"/>
              </w:rPr>
              <w:t>2.2%</w:t>
            </w:r>
          </w:p>
        </w:tc>
        <w:tc>
          <w:tcPr>
            <w:tcW w:w="1106" w:type="dxa"/>
            <w:shd w:val="clear" w:color="auto" w:fill="E6E7E8"/>
          </w:tcPr>
          <w:p>
            <w:pPr>
              <w:pStyle w:val="TableParagraph"/>
              <w:ind w:right="73"/>
              <w:rPr>
                <w:sz w:val="16"/>
              </w:rPr>
            </w:pPr>
            <w:r>
              <w:rPr>
                <w:w w:val="75"/>
                <w:sz w:val="16"/>
              </w:rPr>
              <w:t>1,441</w:t>
            </w:r>
          </w:p>
        </w:tc>
        <w:tc>
          <w:tcPr>
            <w:tcW w:w="1106" w:type="dxa"/>
            <w:shd w:val="clear" w:color="auto" w:fill="E6E7E8"/>
          </w:tcPr>
          <w:p>
            <w:pPr>
              <w:pStyle w:val="TableParagraph"/>
              <w:ind w:right="71"/>
              <w:rPr>
                <w:sz w:val="16"/>
              </w:rPr>
            </w:pPr>
            <w:r>
              <w:rPr>
                <w:w w:val="80"/>
                <w:sz w:val="16"/>
              </w:rPr>
              <w:t>3.3%</w:t>
            </w:r>
          </w:p>
        </w:tc>
        <w:tc>
          <w:tcPr>
            <w:tcW w:w="1106" w:type="dxa"/>
            <w:shd w:val="clear" w:color="auto" w:fill="E6E7E8"/>
          </w:tcPr>
          <w:p>
            <w:pPr>
              <w:pStyle w:val="TableParagraph"/>
              <w:ind w:right="74"/>
              <w:rPr>
                <w:sz w:val="16"/>
              </w:rPr>
            </w:pPr>
            <w:r>
              <w:rPr>
                <w:w w:val="70"/>
                <w:sz w:val="16"/>
              </w:rPr>
              <w:t>1,185</w:t>
            </w:r>
          </w:p>
        </w:tc>
        <w:tc>
          <w:tcPr>
            <w:tcW w:w="1119" w:type="dxa"/>
            <w:shd w:val="clear" w:color="auto" w:fill="E6E7E8"/>
          </w:tcPr>
          <w:p>
            <w:pPr>
              <w:pStyle w:val="TableParagraph"/>
              <w:ind w:right="72"/>
              <w:rPr>
                <w:sz w:val="16"/>
              </w:rPr>
            </w:pPr>
            <w:r>
              <w:rPr>
                <w:w w:val="85"/>
                <w:sz w:val="16"/>
              </w:rPr>
              <w:t>2.6%</w:t>
            </w:r>
          </w:p>
        </w:tc>
      </w:tr>
      <w:tr>
        <w:trPr>
          <w:trHeight w:val="312" w:hRule="exact"/>
        </w:trPr>
        <w:tc>
          <w:tcPr>
            <w:tcW w:w="3434" w:type="dxa"/>
            <w:shd w:val="clear" w:color="auto" w:fill="E6E7E8"/>
          </w:tcPr>
          <w:p>
            <w:pPr>
              <w:pStyle w:val="TableParagraph"/>
              <w:spacing w:before="62"/>
              <w:ind w:left="75"/>
              <w:jc w:val="left"/>
              <w:rPr>
                <w:rFonts w:ascii="Calibri"/>
                <w:sz w:val="16"/>
              </w:rPr>
            </w:pPr>
            <w:r>
              <w:rPr>
                <w:rFonts w:ascii="Calibri"/>
                <w:w w:val="110"/>
                <w:sz w:val="16"/>
              </w:rPr>
              <w:t>Total</w:t>
            </w:r>
          </w:p>
        </w:tc>
        <w:tc>
          <w:tcPr>
            <w:tcW w:w="1106" w:type="dxa"/>
            <w:shd w:val="clear" w:color="auto" w:fill="E6E7E8"/>
          </w:tcPr>
          <w:p>
            <w:pPr>
              <w:pStyle w:val="TableParagraph"/>
              <w:spacing w:before="62"/>
              <w:ind w:right="72"/>
              <w:rPr>
                <w:rFonts w:ascii="Calibri"/>
                <w:sz w:val="16"/>
              </w:rPr>
            </w:pPr>
            <w:r>
              <w:rPr>
                <w:rFonts w:ascii="Calibri"/>
                <w:sz w:val="16"/>
              </w:rPr>
              <w:t>41,923</w:t>
            </w:r>
          </w:p>
        </w:tc>
        <w:tc>
          <w:tcPr>
            <w:tcW w:w="1106" w:type="dxa"/>
            <w:shd w:val="clear" w:color="auto" w:fill="E6E7E8"/>
          </w:tcPr>
          <w:p>
            <w:pPr>
              <w:pStyle w:val="TableParagraph"/>
              <w:spacing w:before="62"/>
              <w:ind w:right="72"/>
              <w:rPr>
                <w:rFonts w:ascii="Calibri"/>
                <w:sz w:val="16"/>
              </w:rPr>
            </w:pPr>
            <w:r>
              <w:rPr>
                <w:rFonts w:ascii="Calibri"/>
                <w:w w:val="110"/>
                <w:sz w:val="16"/>
              </w:rPr>
              <w:t>100.0%</w:t>
            </w:r>
          </w:p>
        </w:tc>
        <w:tc>
          <w:tcPr>
            <w:tcW w:w="1106" w:type="dxa"/>
            <w:shd w:val="clear" w:color="auto" w:fill="E6E7E8"/>
          </w:tcPr>
          <w:p>
            <w:pPr>
              <w:pStyle w:val="TableParagraph"/>
              <w:spacing w:before="62"/>
              <w:ind w:right="72"/>
              <w:rPr>
                <w:rFonts w:ascii="Calibri"/>
                <w:sz w:val="16"/>
              </w:rPr>
            </w:pPr>
            <w:r>
              <w:rPr>
                <w:rFonts w:ascii="Calibri"/>
                <w:w w:val="105"/>
                <w:sz w:val="16"/>
              </w:rPr>
              <w:t>43,783</w:t>
            </w:r>
          </w:p>
        </w:tc>
        <w:tc>
          <w:tcPr>
            <w:tcW w:w="1106" w:type="dxa"/>
            <w:shd w:val="clear" w:color="auto" w:fill="E6E7E8"/>
          </w:tcPr>
          <w:p>
            <w:pPr>
              <w:pStyle w:val="TableParagraph"/>
              <w:spacing w:before="62"/>
              <w:ind w:right="72"/>
              <w:rPr>
                <w:rFonts w:ascii="Calibri"/>
                <w:sz w:val="16"/>
              </w:rPr>
            </w:pPr>
            <w:r>
              <w:rPr>
                <w:rFonts w:ascii="Calibri"/>
                <w:w w:val="110"/>
                <w:sz w:val="16"/>
              </w:rPr>
              <w:t>100.0%</w:t>
            </w:r>
          </w:p>
        </w:tc>
        <w:tc>
          <w:tcPr>
            <w:tcW w:w="1106" w:type="dxa"/>
            <w:shd w:val="clear" w:color="auto" w:fill="E6E7E8"/>
          </w:tcPr>
          <w:p>
            <w:pPr>
              <w:pStyle w:val="TableParagraph"/>
              <w:spacing w:before="62"/>
              <w:ind w:right="72"/>
              <w:rPr>
                <w:rFonts w:ascii="Calibri"/>
                <w:sz w:val="16"/>
              </w:rPr>
            </w:pPr>
            <w:r>
              <w:rPr>
                <w:rFonts w:ascii="Calibri"/>
                <w:w w:val="110"/>
                <w:sz w:val="16"/>
              </w:rPr>
              <w:t>44,934</w:t>
            </w:r>
          </w:p>
        </w:tc>
        <w:tc>
          <w:tcPr>
            <w:tcW w:w="1119" w:type="dxa"/>
            <w:shd w:val="clear" w:color="auto" w:fill="E6E7E8"/>
          </w:tcPr>
          <w:p>
            <w:pPr>
              <w:pStyle w:val="TableParagraph"/>
              <w:spacing w:before="62"/>
              <w:ind w:right="72"/>
              <w:rPr>
                <w:rFonts w:ascii="Calibri"/>
                <w:sz w:val="16"/>
              </w:rPr>
            </w:pPr>
            <w:r>
              <w:rPr>
                <w:rFonts w:ascii="Calibri"/>
                <w:w w:val="110"/>
                <w:sz w:val="16"/>
              </w:rPr>
              <w:t>100.0%</w:t>
            </w:r>
          </w:p>
        </w:tc>
      </w:tr>
    </w:tbl>
    <w:p>
      <w:pPr>
        <w:pStyle w:val="BodyText"/>
        <w:spacing w:before="43"/>
        <w:ind w:left="332" w:right="5322"/>
      </w:pPr>
      <w:r>
        <w:rPr/>
        <w:t>*Other includes enabling, non-award and cross-institutional</w:t>
      </w:r>
    </w:p>
    <w:p>
      <w:pPr>
        <w:pStyle w:val="BodyText"/>
        <w:spacing w:before="7"/>
        <w:ind w:left="332" w:right="411"/>
      </w:pPr>
      <w:r>
        <w:rPr/>
        <w:t>(Source: Enrolment submissions to the Department of Education and Training)</w:t>
      </w:r>
    </w:p>
    <w:p>
      <w:pPr>
        <w:spacing w:after="0"/>
        <w:sectPr>
          <w:pgSz w:w="11910" w:h="16840"/>
          <w:pgMar w:header="494" w:footer="473" w:top="680" w:bottom="660" w:left="580" w:right="580"/>
        </w:sectPr>
      </w:pPr>
    </w:p>
    <w:p>
      <w:pPr>
        <w:pStyle w:val="BodyText"/>
        <w:spacing w:before="7"/>
        <w:rPr>
          <w:sz w:val="28"/>
        </w:rPr>
      </w:pPr>
      <w:r>
        <w:rPr/>
        <w:pict>
          <v:rect style="position:absolute;margin-left:34.015999pt;margin-top:45.355015pt;width:527.244pt;height:751.181pt;mso-position-horizontal-relative:page;mso-position-vertical-relative:page;z-index:-331600" filled="true" fillcolor="#e6e7e8" stroked="false">
            <v:fill type="solid"/>
            <w10:wrap type="none"/>
          </v:rect>
        </w:pict>
      </w:r>
    </w:p>
    <w:p>
      <w:pPr>
        <w:pStyle w:val="Heading1"/>
      </w:pPr>
      <w:r>
        <w:rPr>
          <w:w w:val="95"/>
        </w:rPr>
        <w:t>APPENDIX 11</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25"/>
        </w:rPr>
      </w:pPr>
    </w:p>
    <w:p>
      <w:pPr>
        <w:pStyle w:val="Heading8"/>
        <w:spacing w:before="72"/>
        <w:ind w:left="327" w:right="411"/>
      </w:pPr>
      <w:r>
        <w:rPr>
          <w:color w:val="636466"/>
        </w:rPr>
        <w:t>Table 5: Student Headcount by Broad Field of Education, 2013–15 (p)</w:t>
      </w:r>
    </w:p>
    <w:p>
      <w:pPr>
        <w:pStyle w:val="BodyText"/>
        <w:spacing w:before="11"/>
        <w:rPr>
          <w:rFonts w:ascii="Gotham Narrow Bold"/>
          <w:b/>
          <w:sz w:val="10"/>
        </w:rPr>
      </w:pPr>
    </w:p>
    <w:tbl>
      <w:tblPr>
        <w:tblW w:w="0" w:type="auto"/>
        <w:jc w:val="left"/>
        <w:tblInd w:w="33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429"/>
        <w:gridCol w:w="1106"/>
        <w:gridCol w:w="1106"/>
        <w:gridCol w:w="1106"/>
        <w:gridCol w:w="1106"/>
        <w:gridCol w:w="1106"/>
        <w:gridCol w:w="1114"/>
      </w:tblGrid>
      <w:tr>
        <w:trPr>
          <w:trHeight w:val="312" w:hRule="exact"/>
        </w:trPr>
        <w:tc>
          <w:tcPr>
            <w:tcW w:w="3429" w:type="dxa"/>
            <w:tcBorders>
              <w:top w:val="nil"/>
              <w:left w:val="nil"/>
              <w:bottom w:val="nil"/>
              <w:right w:val="nil"/>
            </w:tcBorders>
            <w:shd w:val="clear" w:color="auto" w:fill="939598"/>
          </w:tcPr>
          <w:p>
            <w:pPr>
              <w:pStyle w:val="TableParagraph"/>
              <w:spacing w:before="66"/>
              <w:ind w:left="80"/>
              <w:jc w:val="left"/>
              <w:rPr>
                <w:rFonts w:ascii="Gotham Narrow Bold"/>
                <w:b/>
                <w:sz w:val="16"/>
              </w:rPr>
            </w:pPr>
            <w:r>
              <w:rPr>
                <w:rFonts w:ascii="Gotham Narrow Bold"/>
                <w:b/>
                <w:color w:val="FFFFFF"/>
                <w:sz w:val="16"/>
              </w:rPr>
              <w:t>BROAD FIELD OF EDUCATION</w:t>
            </w:r>
          </w:p>
        </w:tc>
        <w:tc>
          <w:tcPr>
            <w:tcW w:w="2211" w:type="dxa"/>
            <w:gridSpan w:val="2"/>
            <w:tcBorders>
              <w:top w:val="nil"/>
              <w:left w:val="nil"/>
              <w:bottom w:val="nil"/>
              <w:right w:val="nil"/>
            </w:tcBorders>
            <w:shd w:val="clear" w:color="auto" w:fill="939598"/>
          </w:tcPr>
          <w:p>
            <w:pPr>
              <w:pStyle w:val="TableParagraph"/>
              <w:tabs>
                <w:tab w:pos="2007" w:val="left" w:leader="none"/>
              </w:tabs>
              <w:spacing w:before="66"/>
              <w:ind w:left="684"/>
              <w:jc w:val="left"/>
              <w:rPr>
                <w:rFonts w:ascii="Gotham Narrow Bold"/>
                <w:b/>
                <w:sz w:val="16"/>
              </w:rPr>
            </w:pPr>
            <w:r>
              <w:rPr>
                <w:rFonts w:ascii="Gotham Narrow Bold"/>
                <w:b/>
                <w:color w:val="FFFFFF"/>
                <w:sz w:val="16"/>
              </w:rPr>
              <w:t>2013</w:t>
              <w:tab/>
              <w:t>%</w:t>
            </w:r>
          </w:p>
        </w:tc>
        <w:tc>
          <w:tcPr>
            <w:tcW w:w="2211" w:type="dxa"/>
            <w:gridSpan w:val="2"/>
            <w:tcBorders>
              <w:top w:val="nil"/>
              <w:left w:val="nil"/>
              <w:bottom w:val="nil"/>
              <w:right w:val="nil"/>
            </w:tcBorders>
            <w:shd w:val="clear" w:color="auto" w:fill="939598"/>
          </w:tcPr>
          <w:p>
            <w:pPr>
              <w:pStyle w:val="TableParagraph"/>
              <w:tabs>
                <w:tab w:pos="2007" w:val="left" w:leader="none"/>
              </w:tabs>
              <w:spacing w:before="66"/>
              <w:ind w:left="674"/>
              <w:jc w:val="left"/>
              <w:rPr>
                <w:rFonts w:ascii="Gotham Narrow Bold"/>
                <w:b/>
                <w:sz w:val="16"/>
              </w:rPr>
            </w:pPr>
            <w:r>
              <w:rPr>
                <w:rFonts w:ascii="Gotham Narrow Bold"/>
                <w:b/>
                <w:color w:val="FFFFFF"/>
                <w:sz w:val="16"/>
              </w:rPr>
              <w:t>2014</w:t>
              <w:tab/>
              <w:t>%</w:t>
            </w:r>
          </w:p>
        </w:tc>
        <w:tc>
          <w:tcPr>
            <w:tcW w:w="2220" w:type="dxa"/>
            <w:gridSpan w:val="2"/>
            <w:tcBorders>
              <w:top w:val="nil"/>
              <w:left w:val="nil"/>
              <w:bottom w:val="nil"/>
              <w:right w:val="nil"/>
            </w:tcBorders>
            <w:shd w:val="clear" w:color="auto" w:fill="939598"/>
          </w:tcPr>
          <w:p>
            <w:pPr>
              <w:pStyle w:val="TableParagraph"/>
              <w:tabs>
                <w:tab w:pos="2016" w:val="left" w:leader="none"/>
              </w:tabs>
              <w:spacing w:before="66"/>
              <w:ind w:left="427"/>
              <w:jc w:val="left"/>
              <w:rPr>
                <w:rFonts w:ascii="Gotham Narrow Bold"/>
                <w:b/>
                <w:sz w:val="16"/>
              </w:rPr>
            </w:pPr>
            <w:r>
              <w:rPr>
                <w:rFonts w:ascii="Gotham Narrow Bold"/>
                <w:b/>
                <w:color w:val="FFFFFF"/>
                <w:sz w:val="16"/>
              </w:rPr>
              <w:t>2015</w:t>
            </w:r>
            <w:r>
              <w:rPr>
                <w:rFonts w:ascii="Gotham Narrow Bold"/>
                <w:b/>
                <w:color w:val="FFFFFF"/>
                <w:spacing w:val="-13"/>
                <w:sz w:val="16"/>
              </w:rPr>
              <w:t> </w:t>
            </w:r>
            <w:r>
              <w:rPr>
                <w:rFonts w:ascii="Gotham Narrow Bold"/>
                <w:b/>
                <w:color w:val="FFFFFF"/>
                <w:sz w:val="16"/>
              </w:rPr>
              <w:t>(p)</w:t>
              <w:tab/>
              <w:t>%</w:t>
            </w:r>
          </w:p>
        </w:tc>
      </w:tr>
      <w:tr>
        <w:trPr>
          <w:trHeight w:val="312" w:hRule="exact"/>
        </w:trPr>
        <w:tc>
          <w:tcPr>
            <w:tcW w:w="3429" w:type="dxa"/>
            <w:tcBorders>
              <w:top w:val="nil"/>
            </w:tcBorders>
            <w:shd w:val="clear" w:color="auto" w:fill="E6E7E8"/>
          </w:tcPr>
          <w:p>
            <w:pPr>
              <w:pStyle w:val="TableParagraph"/>
              <w:spacing w:before="60"/>
              <w:ind w:left="75"/>
              <w:jc w:val="left"/>
              <w:rPr>
                <w:sz w:val="16"/>
              </w:rPr>
            </w:pPr>
            <w:r>
              <w:rPr>
                <w:sz w:val="16"/>
              </w:rPr>
              <w:t>Society and culture</w:t>
            </w:r>
          </w:p>
        </w:tc>
        <w:tc>
          <w:tcPr>
            <w:tcW w:w="1106" w:type="dxa"/>
            <w:tcBorders>
              <w:top w:val="nil"/>
            </w:tcBorders>
            <w:shd w:val="clear" w:color="auto" w:fill="E6E7E8"/>
          </w:tcPr>
          <w:p>
            <w:pPr>
              <w:pStyle w:val="TableParagraph"/>
              <w:spacing w:before="60"/>
              <w:ind w:right="72"/>
              <w:rPr>
                <w:sz w:val="16"/>
              </w:rPr>
            </w:pPr>
            <w:r>
              <w:rPr>
                <w:w w:val="80"/>
                <w:sz w:val="16"/>
              </w:rPr>
              <w:t>11,082</w:t>
            </w:r>
          </w:p>
        </w:tc>
        <w:tc>
          <w:tcPr>
            <w:tcW w:w="1106" w:type="dxa"/>
            <w:tcBorders>
              <w:top w:val="nil"/>
            </w:tcBorders>
            <w:shd w:val="clear" w:color="auto" w:fill="E6E7E8"/>
          </w:tcPr>
          <w:p>
            <w:pPr>
              <w:pStyle w:val="TableParagraph"/>
              <w:spacing w:before="60"/>
              <w:ind w:right="72"/>
              <w:rPr>
                <w:sz w:val="16"/>
              </w:rPr>
            </w:pPr>
            <w:r>
              <w:rPr>
                <w:w w:val="75"/>
                <w:sz w:val="16"/>
              </w:rPr>
              <w:t>25.1%</w:t>
            </w:r>
          </w:p>
        </w:tc>
        <w:tc>
          <w:tcPr>
            <w:tcW w:w="1106" w:type="dxa"/>
            <w:tcBorders>
              <w:top w:val="nil"/>
            </w:tcBorders>
            <w:shd w:val="clear" w:color="auto" w:fill="E6E7E8"/>
          </w:tcPr>
          <w:p>
            <w:pPr>
              <w:pStyle w:val="TableParagraph"/>
              <w:spacing w:before="60"/>
              <w:ind w:right="72"/>
              <w:rPr>
                <w:sz w:val="16"/>
              </w:rPr>
            </w:pPr>
            <w:r>
              <w:rPr>
                <w:w w:val="80"/>
                <w:sz w:val="16"/>
              </w:rPr>
              <w:t>11,503</w:t>
            </w:r>
          </w:p>
        </w:tc>
        <w:tc>
          <w:tcPr>
            <w:tcW w:w="1106" w:type="dxa"/>
            <w:tcBorders>
              <w:top w:val="nil"/>
            </w:tcBorders>
            <w:shd w:val="clear" w:color="auto" w:fill="E6E7E8"/>
          </w:tcPr>
          <w:p>
            <w:pPr>
              <w:pStyle w:val="TableParagraph"/>
              <w:spacing w:before="60"/>
              <w:ind w:right="71"/>
              <w:rPr>
                <w:sz w:val="16"/>
              </w:rPr>
            </w:pPr>
            <w:r>
              <w:rPr>
                <w:w w:val="85"/>
                <w:sz w:val="16"/>
              </w:rPr>
              <w:t>26.3%</w:t>
            </w:r>
          </w:p>
        </w:tc>
        <w:tc>
          <w:tcPr>
            <w:tcW w:w="1106" w:type="dxa"/>
            <w:tcBorders>
              <w:top w:val="nil"/>
            </w:tcBorders>
            <w:shd w:val="clear" w:color="auto" w:fill="E6E7E8"/>
          </w:tcPr>
          <w:p>
            <w:pPr>
              <w:pStyle w:val="TableParagraph"/>
              <w:spacing w:before="60"/>
              <w:ind w:right="72"/>
              <w:rPr>
                <w:sz w:val="16"/>
              </w:rPr>
            </w:pPr>
            <w:r>
              <w:rPr>
                <w:w w:val="80"/>
                <w:sz w:val="16"/>
              </w:rPr>
              <w:t>12,415</w:t>
            </w:r>
          </w:p>
        </w:tc>
        <w:tc>
          <w:tcPr>
            <w:tcW w:w="1114" w:type="dxa"/>
            <w:tcBorders>
              <w:top w:val="nil"/>
            </w:tcBorders>
            <w:shd w:val="clear" w:color="auto" w:fill="E6E7E8"/>
          </w:tcPr>
          <w:p>
            <w:pPr>
              <w:pStyle w:val="TableParagraph"/>
              <w:spacing w:before="60"/>
              <w:ind w:right="71"/>
              <w:rPr>
                <w:sz w:val="16"/>
              </w:rPr>
            </w:pPr>
            <w:r>
              <w:rPr>
                <w:w w:val="85"/>
                <w:sz w:val="16"/>
              </w:rPr>
              <w:t>27.6%</w:t>
            </w:r>
          </w:p>
        </w:tc>
      </w:tr>
      <w:tr>
        <w:trPr>
          <w:trHeight w:val="312" w:hRule="exact"/>
        </w:trPr>
        <w:tc>
          <w:tcPr>
            <w:tcW w:w="3429" w:type="dxa"/>
            <w:shd w:val="clear" w:color="auto" w:fill="E6E7E8"/>
          </w:tcPr>
          <w:p>
            <w:pPr>
              <w:pStyle w:val="TableParagraph"/>
              <w:ind w:left="75"/>
              <w:jc w:val="left"/>
              <w:rPr>
                <w:sz w:val="16"/>
              </w:rPr>
            </w:pPr>
            <w:r>
              <w:rPr>
                <w:sz w:val="16"/>
              </w:rPr>
              <w:t>Management and commerce</w:t>
            </w:r>
          </w:p>
        </w:tc>
        <w:tc>
          <w:tcPr>
            <w:tcW w:w="1106" w:type="dxa"/>
            <w:shd w:val="clear" w:color="auto" w:fill="E6E7E8"/>
          </w:tcPr>
          <w:p>
            <w:pPr>
              <w:pStyle w:val="TableParagraph"/>
              <w:ind w:right="72"/>
              <w:rPr>
                <w:sz w:val="16"/>
              </w:rPr>
            </w:pPr>
            <w:r>
              <w:rPr>
                <w:spacing w:val="4"/>
                <w:w w:val="54"/>
                <w:sz w:val="16"/>
              </w:rPr>
              <w:t>1</w:t>
            </w:r>
            <w:r>
              <w:rPr>
                <w:spacing w:val="2"/>
                <w:w w:val="111"/>
                <w:sz w:val="16"/>
              </w:rPr>
              <w:t>0</w:t>
            </w:r>
            <w:r>
              <w:rPr>
                <w:spacing w:val="1"/>
                <w:w w:val="95"/>
                <w:sz w:val="16"/>
              </w:rPr>
              <w:t>,</w:t>
            </w:r>
            <w:r>
              <w:rPr>
                <w:spacing w:val="4"/>
                <w:w w:val="95"/>
                <w:sz w:val="16"/>
              </w:rPr>
              <w:t>0</w:t>
            </w:r>
            <w:r>
              <w:rPr>
                <w:spacing w:val="5"/>
                <w:w w:val="111"/>
                <w:sz w:val="16"/>
              </w:rPr>
              <w:t>0</w:t>
            </w:r>
            <w:r>
              <w:rPr>
                <w:w w:val="101"/>
                <w:sz w:val="16"/>
              </w:rPr>
              <w:t>6</w:t>
            </w:r>
          </w:p>
        </w:tc>
        <w:tc>
          <w:tcPr>
            <w:tcW w:w="1106" w:type="dxa"/>
            <w:shd w:val="clear" w:color="auto" w:fill="E6E7E8"/>
          </w:tcPr>
          <w:p>
            <w:pPr>
              <w:pStyle w:val="TableParagraph"/>
              <w:ind w:right="72"/>
              <w:rPr>
                <w:sz w:val="16"/>
              </w:rPr>
            </w:pPr>
            <w:r>
              <w:rPr>
                <w:w w:val="85"/>
                <w:sz w:val="16"/>
              </w:rPr>
              <w:t>27.6%</w:t>
            </w:r>
          </w:p>
        </w:tc>
        <w:tc>
          <w:tcPr>
            <w:tcW w:w="1106" w:type="dxa"/>
            <w:shd w:val="clear" w:color="auto" w:fill="E6E7E8"/>
          </w:tcPr>
          <w:p>
            <w:pPr>
              <w:pStyle w:val="TableParagraph"/>
              <w:ind w:right="72"/>
              <w:rPr>
                <w:sz w:val="16"/>
              </w:rPr>
            </w:pPr>
            <w:r>
              <w:rPr>
                <w:w w:val="95"/>
                <w:sz w:val="16"/>
              </w:rPr>
              <w:t>9,886</w:t>
            </w:r>
          </w:p>
        </w:tc>
        <w:tc>
          <w:tcPr>
            <w:tcW w:w="1106" w:type="dxa"/>
            <w:shd w:val="clear" w:color="auto" w:fill="E6E7E8"/>
          </w:tcPr>
          <w:p>
            <w:pPr>
              <w:pStyle w:val="TableParagraph"/>
              <w:ind w:right="71"/>
              <w:rPr>
                <w:sz w:val="16"/>
              </w:rPr>
            </w:pPr>
            <w:r>
              <w:rPr>
                <w:w w:val="85"/>
                <w:sz w:val="16"/>
              </w:rPr>
              <w:t>22.6%</w:t>
            </w:r>
          </w:p>
        </w:tc>
        <w:tc>
          <w:tcPr>
            <w:tcW w:w="1106" w:type="dxa"/>
            <w:shd w:val="clear" w:color="auto" w:fill="E6E7E8"/>
          </w:tcPr>
          <w:p>
            <w:pPr>
              <w:pStyle w:val="TableParagraph"/>
              <w:ind w:right="72"/>
              <w:rPr>
                <w:sz w:val="16"/>
              </w:rPr>
            </w:pPr>
            <w:r>
              <w:rPr>
                <w:w w:val="95"/>
                <w:sz w:val="16"/>
              </w:rPr>
              <w:t>9,354</w:t>
            </w:r>
          </w:p>
        </w:tc>
        <w:tc>
          <w:tcPr>
            <w:tcW w:w="1114" w:type="dxa"/>
            <w:shd w:val="clear" w:color="auto" w:fill="E6E7E8"/>
          </w:tcPr>
          <w:p>
            <w:pPr>
              <w:pStyle w:val="TableParagraph"/>
              <w:ind w:right="72"/>
              <w:rPr>
                <w:sz w:val="16"/>
              </w:rPr>
            </w:pPr>
            <w:r>
              <w:rPr>
                <w:w w:val="90"/>
                <w:sz w:val="16"/>
              </w:rPr>
              <w:t>20.8%</w:t>
            </w:r>
          </w:p>
        </w:tc>
      </w:tr>
      <w:tr>
        <w:trPr>
          <w:trHeight w:val="312" w:hRule="exact"/>
        </w:trPr>
        <w:tc>
          <w:tcPr>
            <w:tcW w:w="3429" w:type="dxa"/>
            <w:shd w:val="clear" w:color="auto" w:fill="E6E7E8"/>
          </w:tcPr>
          <w:p>
            <w:pPr>
              <w:pStyle w:val="TableParagraph"/>
              <w:ind w:left="75"/>
              <w:jc w:val="left"/>
              <w:rPr>
                <w:sz w:val="16"/>
              </w:rPr>
            </w:pPr>
            <w:r>
              <w:rPr>
                <w:sz w:val="16"/>
              </w:rPr>
              <w:t>Health</w:t>
            </w:r>
          </w:p>
        </w:tc>
        <w:tc>
          <w:tcPr>
            <w:tcW w:w="1106" w:type="dxa"/>
            <w:shd w:val="clear" w:color="auto" w:fill="E6E7E8"/>
          </w:tcPr>
          <w:p>
            <w:pPr>
              <w:pStyle w:val="TableParagraph"/>
              <w:ind w:right="72"/>
              <w:rPr>
                <w:sz w:val="16"/>
              </w:rPr>
            </w:pPr>
            <w:r>
              <w:rPr>
                <w:w w:val="90"/>
                <w:sz w:val="16"/>
              </w:rPr>
              <w:t>7,207</w:t>
            </w:r>
          </w:p>
        </w:tc>
        <w:tc>
          <w:tcPr>
            <w:tcW w:w="1106" w:type="dxa"/>
            <w:shd w:val="clear" w:color="auto" w:fill="E6E7E8"/>
          </w:tcPr>
          <w:p>
            <w:pPr>
              <w:pStyle w:val="TableParagraph"/>
              <w:ind w:right="72"/>
              <w:rPr>
                <w:sz w:val="16"/>
              </w:rPr>
            </w:pPr>
            <w:r>
              <w:rPr>
                <w:w w:val="75"/>
                <w:sz w:val="16"/>
              </w:rPr>
              <w:t>15.8%</w:t>
            </w:r>
          </w:p>
        </w:tc>
        <w:tc>
          <w:tcPr>
            <w:tcW w:w="1106" w:type="dxa"/>
            <w:shd w:val="clear" w:color="auto" w:fill="E6E7E8"/>
          </w:tcPr>
          <w:p>
            <w:pPr>
              <w:pStyle w:val="TableParagraph"/>
              <w:ind w:right="72"/>
              <w:rPr>
                <w:sz w:val="16"/>
              </w:rPr>
            </w:pPr>
            <w:r>
              <w:rPr>
                <w:w w:val="85"/>
                <w:sz w:val="16"/>
              </w:rPr>
              <w:t>7,772</w:t>
            </w:r>
          </w:p>
        </w:tc>
        <w:tc>
          <w:tcPr>
            <w:tcW w:w="1106" w:type="dxa"/>
            <w:shd w:val="clear" w:color="auto" w:fill="E6E7E8"/>
          </w:tcPr>
          <w:p>
            <w:pPr>
              <w:pStyle w:val="TableParagraph"/>
              <w:ind w:right="72"/>
              <w:rPr>
                <w:sz w:val="16"/>
              </w:rPr>
            </w:pPr>
            <w:r>
              <w:rPr>
                <w:w w:val="75"/>
                <w:sz w:val="16"/>
              </w:rPr>
              <w:t>17.8%</w:t>
            </w:r>
          </w:p>
        </w:tc>
        <w:tc>
          <w:tcPr>
            <w:tcW w:w="1106" w:type="dxa"/>
            <w:shd w:val="clear" w:color="auto" w:fill="E6E7E8"/>
          </w:tcPr>
          <w:p>
            <w:pPr>
              <w:pStyle w:val="TableParagraph"/>
              <w:ind w:right="72"/>
              <w:rPr>
                <w:sz w:val="16"/>
              </w:rPr>
            </w:pPr>
            <w:r>
              <w:rPr>
                <w:w w:val="90"/>
                <w:sz w:val="16"/>
              </w:rPr>
              <w:t>7,963</w:t>
            </w:r>
          </w:p>
        </w:tc>
        <w:tc>
          <w:tcPr>
            <w:tcW w:w="1114" w:type="dxa"/>
            <w:shd w:val="clear" w:color="auto" w:fill="E6E7E8"/>
          </w:tcPr>
          <w:p>
            <w:pPr>
              <w:pStyle w:val="TableParagraph"/>
              <w:ind w:right="72"/>
              <w:rPr>
                <w:sz w:val="16"/>
              </w:rPr>
            </w:pPr>
            <w:r>
              <w:rPr>
                <w:w w:val="75"/>
                <w:sz w:val="16"/>
              </w:rPr>
              <w:t>17.7%</w:t>
            </w:r>
          </w:p>
        </w:tc>
      </w:tr>
      <w:tr>
        <w:trPr>
          <w:trHeight w:val="312" w:hRule="exact"/>
        </w:trPr>
        <w:tc>
          <w:tcPr>
            <w:tcW w:w="3429" w:type="dxa"/>
            <w:shd w:val="clear" w:color="auto" w:fill="E6E7E8"/>
          </w:tcPr>
          <w:p>
            <w:pPr>
              <w:pStyle w:val="TableParagraph"/>
              <w:ind w:left="75"/>
              <w:jc w:val="left"/>
              <w:rPr>
                <w:sz w:val="16"/>
              </w:rPr>
            </w:pPr>
            <w:r>
              <w:rPr>
                <w:sz w:val="16"/>
              </w:rPr>
              <w:t>Natural and physical sciences</w:t>
            </w:r>
          </w:p>
        </w:tc>
        <w:tc>
          <w:tcPr>
            <w:tcW w:w="1106" w:type="dxa"/>
            <w:shd w:val="clear" w:color="auto" w:fill="E6E7E8"/>
          </w:tcPr>
          <w:p>
            <w:pPr>
              <w:pStyle w:val="TableParagraph"/>
              <w:ind w:right="71"/>
              <w:rPr>
                <w:sz w:val="16"/>
              </w:rPr>
            </w:pPr>
            <w:r>
              <w:rPr>
                <w:w w:val="90"/>
                <w:sz w:val="16"/>
              </w:rPr>
              <w:t>3,502</w:t>
            </w:r>
          </w:p>
        </w:tc>
        <w:tc>
          <w:tcPr>
            <w:tcW w:w="1106" w:type="dxa"/>
            <w:shd w:val="clear" w:color="auto" w:fill="E6E7E8"/>
          </w:tcPr>
          <w:p>
            <w:pPr>
              <w:pStyle w:val="TableParagraph"/>
              <w:ind w:right="72"/>
              <w:rPr>
                <w:sz w:val="16"/>
              </w:rPr>
            </w:pPr>
            <w:r>
              <w:rPr>
                <w:w w:val="70"/>
                <w:sz w:val="16"/>
              </w:rPr>
              <w:t>7.1%</w:t>
            </w:r>
          </w:p>
        </w:tc>
        <w:tc>
          <w:tcPr>
            <w:tcW w:w="1106" w:type="dxa"/>
            <w:shd w:val="clear" w:color="auto" w:fill="E6E7E8"/>
          </w:tcPr>
          <w:p>
            <w:pPr>
              <w:pStyle w:val="TableParagraph"/>
              <w:ind w:right="72"/>
              <w:rPr>
                <w:sz w:val="16"/>
              </w:rPr>
            </w:pPr>
            <w:r>
              <w:rPr>
                <w:w w:val="95"/>
                <w:sz w:val="16"/>
              </w:rPr>
              <w:t>3,626</w:t>
            </w:r>
          </w:p>
        </w:tc>
        <w:tc>
          <w:tcPr>
            <w:tcW w:w="1106" w:type="dxa"/>
            <w:shd w:val="clear" w:color="auto" w:fill="E6E7E8"/>
          </w:tcPr>
          <w:p>
            <w:pPr>
              <w:pStyle w:val="TableParagraph"/>
              <w:ind w:right="70"/>
              <w:rPr>
                <w:sz w:val="16"/>
              </w:rPr>
            </w:pPr>
            <w:r>
              <w:rPr>
                <w:w w:val="80"/>
                <w:sz w:val="16"/>
              </w:rPr>
              <w:t>8.3%</w:t>
            </w:r>
          </w:p>
        </w:tc>
        <w:tc>
          <w:tcPr>
            <w:tcW w:w="1106" w:type="dxa"/>
            <w:shd w:val="clear" w:color="auto" w:fill="E6E7E8"/>
          </w:tcPr>
          <w:p>
            <w:pPr>
              <w:pStyle w:val="TableParagraph"/>
              <w:ind w:right="72"/>
              <w:rPr>
                <w:sz w:val="16"/>
              </w:rPr>
            </w:pPr>
            <w:r>
              <w:rPr>
                <w:w w:val="80"/>
                <w:sz w:val="16"/>
              </w:rPr>
              <w:t>3,751</w:t>
            </w:r>
          </w:p>
        </w:tc>
        <w:tc>
          <w:tcPr>
            <w:tcW w:w="1114" w:type="dxa"/>
            <w:shd w:val="clear" w:color="auto" w:fill="E6E7E8"/>
          </w:tcPr>
          <w:p>
            <w:pPr>
              <w:pStyle w:val="TableParagraph"/>
              <w:ind w:right="70"/>
              <w:rPr>
                <w:sz w:val="16"/>
              </w:rPr>
            </w:pPr>
            <w:r>
              <w:rPr>
                <w:w w:val="80"/>
                <w:sz w:val="16"/>
              </w:rPr>
              <w:t>8.3%</w:t>
            </w:r>
          </w:p>
        </w:tc>
      </w:tr>
      <w:tr>
        <w:trPr>
          <w:trHeight w:val="312" w:hRule="exact"/>
        </w:trPr>
        <w:tc>
          <w:tcPr>
            <w:tcW w:w="3429" w:type="dxa"/>
            <w:shd w:val="clear" w:color="auto" w:fill="E6E7E8"/>
          </w:tcPr>
          <w:p>
            <w:pPr>
              <w:pStyle w:val="TableParagraph"/>
              <w:ind w:left="75"/>
              <w:jc w:val="left"/>
              <w:rPr>
                <w:sz w:val="16"/>
              </w:rPr>
            </w:pPr>
            <w:r>
              <w:rPr>
                <w:sz w:val="16"/>
              </w:rPr>
              <w:t>Education</w:t>
            </w:r>
          </w:p>
        </w:tc>
        <w:tc>
          <w:tcPr>
            <w:tcW w:w="1106" w:type="dxa"/>
            <w:shd w:val="clear" w:color="auto" w:fill="E6E7E8"/>
          </w:tcPr>
          <w:p>
            <w:pPr>
              <w:pStyle w:val="TableParagraph"/>
              <w:ind w:right="68"/>
              <w:rPr>
                <w:sz w:val="16"/>
              </w:rPr>
            </w:pPr>
            <w:r>
              <w:rPr>
                <w:w w:val="95"/>
                <w:sz w:val="16"/>
              </w:rPr>
              <w:t>2,999</w:t>
            </w:r>
          </w:p>
        </w:tc>
        <w:tc>
          <w:tcPr>
            <w:tcW w:w="1106" w:type="dxa"/>
            <w:shd w:val="clear" w:color="auto" w:fill="E6E7E8"/>
          </w:tcPr>
          <w:p>
            <w:pPr>
              <w:pStyle w:val="TableParagraph"/>
              <w:ind w:right="72"/>
              <w:rPr>
                <w:sz w:val="16"/>
              </w:rPr>
            </w:pPr>
            <w:r>
              <w:rPr>
                <w:w w:val="85"/>
                <w:sz w:val="16"/>
              </w:rPr>
              <w:t>6.9%</w:t>
            </w:r>
          </w:p>
        </w:tc>
        <w:tc>
          <w:tcPr>
            <w:tcW w:w="1106" w:type="dxa"/>
            <w:shd w:val="clear" w:color="auto" w:fill="E6E7E8"/>
          </w:tcPr>
          <w:p>
            <w:pPr>
              <w:pStyle w:val="TableParagraph"/>
              <w:ind w:right="72"/>
              <w:rPr>
                <w:sz w:val="16"/>
              </w:rPr>
            </w:pPr>
            <w:r>
              <w:rPr>
                <w:w w:val="90"/>
                <w:sz w:val="16"/>
              </w:rPr>
              <w:t>3,239</w:t>
            </w:r>
          </w:p>
        </w:tc>
        <w:tc>
          <w:tcPr>
            <w:tcW w:w="1106" w:type="dxa"/>
            <w:shd w:val="clear" w:color="auto" w:fill="E6E7E8"/>
          </w:tcPr>
          <w:p>
            <w:pPr>
              <w:pStyle w:val="TableParagraph"/>
              <w:ind w:right="72"/>
              <w:rPr>
                <w:sz w:val="16"/>
              </w:rPr>
            </w:pPr>
            <w:r>
              <w:rPr>
                <w:w w:val="85"/>
                <w:sz w:val="16"/>
              </w:rPr>
              <w:t>7.4%</w:t>
            </w:r>
          </w:p>
        </w:tc>
        <w:tc>
          <w:tcPr>
            <w:tcW w:w="1106" w:type="dxa"/>
            <w:shd w:val="clear" w:color="auto" w:fill="E6E7E8"/>
          </w:tcPr>
          <w:p>
            <w:pPr>
              <w:pStyle w:val="TableParagraph"/>
              <w:ind w:right="73"/>
              <w:rPr>
                <w:sz w:val="16"/>
              </w:rPr>
            </w:pPr>
            <w:r>
              <w:rPr>
                <w:w w:val="80"/>
                <w:sz w:val="16"/>
              </w:rPr>
              <w:t>3,197</w:t>
            </w:r>
          </w:p>
        </w:tc>
        <w:tc>
          <w:tcPr>
            <w:tcW w:w="1114" w:type="dxa"/>
            <w:shd w:val="clear" w:color="auto" w:fill="E6E7E8"/>
          </w:tcPr>
          <w:p>
            <w:pPr>
              <w:pStyle w:val="TableParagraph"/>
              <w:ind w:right="72"/>
              <w:rPr>
                <w:sz w:val="16"/>
              </w:rPr>
            </w:pPr>
            <w:r>
              <w:rPr>
                <w:w w:val="70"/>
                <w:sz w:val="16"/>
              </w:rPr>
              <w:t>7.1%</w:t>
            </w:r>
          </w:p>
        </w:tc>
      </w:tr>
      <w:tr>
        <w:trPr>
          <w:trHeight w:val="312" w:hRule="exact"/>
        </w:trPr>
        <w:tc>
          <w:tcPr>
            <w:tcW w:w="3429" w:type="dxa"/>
            <w:shd w:val="clear" w:color="auto" w:fill="E6E7E8"/>
          </w:tcPr>
          <w:p>
            <w:pPr>
              <w:pStyle w:val="TableParagraph"/>
              <w:ind w:left="75"/>
              <w:jc w:val="left"/>
              <w:rPr>
                <w:sz w:val="16"/>
              </w:rPr>
            </w:pPr>
            <w:r>
              <w:rPr>
                <w:sz w:val="16"/>
              </w:rPr>
              <w:t>Engineering and related technologies</w:t>
            </w:r>
          </w:p>
        </w:tc>
        <w:tc>
          <w:tcPr>
            <w:tcW w:w="1106" w:type="dxa"/>
            <w:shd w:val="clear" w:color="auto" w:fill="E6E7E8"/>
          </w:tcPr>
          <w:p>
            <w:pPr>
              <w:pStyle w:val="TableParagraph"/>
              <w:ind w:right="70"/>
              <w:rPr>
                <w:sz w:val="16"/>
              </w:rPr>
            </w:pPr>
            <w:r>
              <w:rPr>
                <w:w w:val="75"/>
                <w:sz w:val="16"/>
              </w:rPr>
              <w:t>1,614</w:t>
            </w:r>
          </w:p>
        </w:tc>
        <w:tc>
          <w:tcPr>
            <w:tcW w:w="1106" w:type="dxa"/>
            <w:shd w:val="clear" w:color="auto" w:fill="E6E7E8"/>
          </w:tcPr>
          <w:p>
            <w:pPr>
              <w:pStyle w:val="TableParagraph"/>
              <w:ind w:right="71"/>
              <w:rPr>
                <w:sz w:val="16"/>
              </w:rPr>
            </w:pPr>
            <w:r>
              <w:rPr>
                <w:w w:val="85"/>
                <w:sz w:val="16"/>
              </w:rPr>
              <w:t>5.6%</w:t>
            </w:r>
          </w:p>
        </w:tc>
        <w:tc>
          <w:tcPr>
            <w:tcW w:w="1106" w:type="dxa"/>
            <w:shd w:val="clear" w:color="auto" w:fill="E6E7E8"/>
          </w:tcPr>
          <w:p>
            <w:pPr>
              <w:pStyle w:val="TableParagraph"/>
              <w:ind w:right="72"/>
              <w:rPr>
                <w:sz w:val="16"/>
              </w:rPr>
            </w:pPr>
            <w:r>
              <w:rPr>
                <w:w w:val="85"/>
                <w:sz w:val="16"/>
              </w:rPr>
              <w:t>1,703</w:t>
            </w:r>
          </w:p>
        </w:tc>
        <w:tc>
          <w:tcPr>
            <w:tcW w:w="1106" w:type="dxa"/>
            <w:shd w:val="clear" w:color="auto" w:fill="E6E7E8"/>
          </w:tcPr>
          <w:p>
            <w:pPr>
              <w:pStyle w:val="TableParagraph"/>
              <w:ind w:right="72"/>
              <w:rPr>
                <w:sz w:val="16"/>
              </w:rPr>
            </w:pPr>
            <w:r>
              <w:rPr>
                <w:w w:val="85"/>
                <w:sz w:val="16"/>
              </w:rPr>
              <w:t>3.9%</w:t>
            </w:r>
          </w:p>
        </w:tc>
        <w:tc>
          <w:tcPr>
            <w:tcW w:w="1106" w:type="dxa"/>
            <w:shd w:val="clear" w:color="auto" w:fill="E6E7E8"/>
          </w:tcPr>
          <w:p>
            <w:pPr>
              <w:pStyle w:val="TableParagraph"/>
              <w:ind w:right="69"/>
              <w:rPr>
                <w:sz w:val="16"/>
              </w:rPr>
            </w:pPr>
            <w:r>
              <w:rPr>
                <w:w w:val="75"/>
                <w:sz w:val="16"/>
              </w:rPr>
              <w:t>1,991</w:t>
            </w:r>
          </w:p>
        </w:tc>
        <w:tc>
          <w:tcPr>
            <w:tcW w:w="1114" w:type="dxa"/>
            <w:shd w:val="clear" w:color="auto" w:fill="E6E7E8"/>
          </w:tcPr>
          <w:p>
            <w:pPr>
              <w:pStyle w:val="TableParagraph"/>
              <w:ind w:right="73"/>
              <w:rPr>
                <w:sz w:val="16"/>
              </w:rPr>
            </w:pPr>
            <w:r>
              <w:rPr>
                <w:w w:val="85"/>
                <w:sz w:val="16"/>
              </w:rPr>
              <w:t>4.4%</w:t>
            </w:r>
          </w:p>
        </w:tc>
      </w:tr>
      <w:tr>
        <w:trPr>
          <w:trHeight w:val="312" w:hRule="exact"/>
        </w:trPr>
        <w:tc>
          <w:tcPr>
            <w:tcW w:w="3429" w:type="dxa"/>
            <w:shd w:val="clear" w:color="auto" w:fill="E6E7E8"/>
          </w:tcPr>
          <w:p>
            <w:pPr>
              <w:pStyle w:val="TableParagraph"/>
              <w:ind w:left="75"/>
              <w:jc w:val="left"/>
              <w:rPr>
                <w:sz w:val="16"/>
              </w:rPr>
            </w:pPr>
            <w:r>
              <w:rPr>
                <w:sz w:val="16"/>
              </w:rPr>
              <w:t>Information technology</w:t>
            </w:r>
          </w:p>
        </w:tc>
        <w:tc>
          <w:tcPr>
            <w:tcW w:w="1106" w:type="dxa"/>
            <w:shd w:val="clear" w:color="auto" w:fill="E6E7E8"/>
          </w:tcPr>
          <w:p>
            <w:pPr>
              <w:pStyle w:val="TableParagraph"/>
              <w:ind w:right="66"/>
              <w:rPr>
                <w:sz w:val="16"/>
              </w:rPr>
            </w:pPr>
            <w:r>
              <w:rPr>
                <w:w w:val="85"/>
                <w:sz w:val="16"/>
              </w:rPr>
              <w:t>1,548</w:t>
            </w:r>
          </w:p>
        </w:tc>
        <w:tc>
          <w:tcPr>
            <w:tcW w:w="1106" w:type="dxa"/>
            <w:shd w:val="clear" w:color="auto" w:fill="E6E7E8"/>
          </w:tcPr>
          <w:p>
            <w:pPr>
              <w:pStyle w:val="TableParagraph"/>
              <w:ind w:right="72"/>
              <w:rPr>
                <w:sz w:val="16"/>
              </w:rPr>
            </w:pPr>
            <w:r>
              <w:rPr>
                <w:w w:val="80"/>
                <w:sz w:val="16"/>
              </w:rPr>
              <w:t>3.7%</w:t>
            </w:r>
          </w:p>
        </w:tc>
        <w:tc>
          <w:tcPr>
            <w:tcW w:w="1106" w:type="dxa"/>
            <w:shd w:val="clear" w:color="auto" w:fill="E6E7E8"/>
          </w:tcPr>
          <w:p>
            <w:pPr>
              <w:pStyle w:val="TableParagraph"/>
              <w:ind w:right="73"/>
              <w:rPr>
                <w:sz w:val="16"/>
              </w:rPr>
            </w:pPr>
            <w:r>
              <w:rPr>
                <w:w w:val="85"/>
                <w:sz w:val="16"/>
              </w:rPr>
              <w:t>1,676</w:t>
            </w:r>
          </w:p>
        </w:tc>
        <w:tc>
          <w:tcPr>
            <w:tcW w:w="1106" w:type="dxa"/>
            <w:shd w:val="clear" w:color="auto" w:fill="E6E7E8"/>
          </w:tcPr>
          <w:p>
            <w:pPr>
              <w:pStyle w:val="TableParagraph"/>
              <w:ind w:right="68"/>
              <w:rPr>
                <w:sz w:val="16"/>
              </w:rPr>
            </w:pPr>
            <w:r>
              <w:rPr>
                <w:w w:val="80"/>
                <w:sz w:val="16"/>
              </w:rPr>
              <w:t>3.8%</w:t>
            </w:r>
          </w:p>
        </w:tc>
        <w:tc>
          <w:tcPr>
            <w:tcW w:w="1106" w:type="dxa"/>
            <w:shd w:val="clear" w:color="auto" w:fill="E6E7E8"/>
          </w:tcPr>
          <w:p>
            <w:pPr>
              <w:pStyle w:val="TableParagraph"/>
              <w:ind w:right="71"/>
              <w:rPr>
                <w:sz w:val="16"/>
              </w:rPr>
            </w:pPr>
            <w:r>
              <w:rPr>
                <w:w w:val="85"/>
                <w:sz w:val="16"/>
              </w:rPr>
              <w:t>1,902</w:t>
            </w:r>
          </w:p>
        </w:tc>
        <w:tc>
          <w:tcPr>
            <w:tcW w:w="1114" w:type="dxa"/>
            <w:shd w:val="clear" w:color="auto" w:fill="E6E7E8"/>
          </w:tcPr>
          <w:p>
            <w:pPr>
              <w:pStyle w:val="TableParagraph"/>
              <w:ind w:right="72"/>
              <w:rPr>
                <w:sz w:val="16"/>
              </w:rPr>
            </w:pPr>
            <w:r>
              <w:rPr>
                <w:w w:val="85"/>
                <w:sz w:val="16"/>
              </w:rPr>
              <w:t>4.2%</w:t>
            </w:r>
          </w:p>
        </w:tc>
      </w:tr>
      <w:tr>
        <w:trPr>
          <w:trHeight w:val="312" w:hRule="exact"/>
        </w:trPr>
        <w:tc>
          <w:tcPr>
            <w:tcW w:w="3429" w:type="dxa"/>
            <w:shd w:val="clear" w:color="auto" w:fill="E6E7E8"/>
          </w:tcPr>
          <w:p>
            <w:pPr>
              <w:pStyle w:val="TableParagraph"/>
              <w:ind w:left="75"/>
              <w:jc w:val="left"/>
              <w:rPr>
                <w:sz w:val="16"/>
              </w:rPr>
            </w:pPr>
            <w:r>
              <w:rPr>
                <w:sz w:val="16"/>
              </w:rPr>
              <w:t>Creative arts</w:t>
            </w:r>
          </w:p>
        </w:tc>
        <w:tc>
          <w:tcPr>
            <w:tcW w:w="1106" w:type="dxa"/>
            <w:shd w:val="clear" w:color="auto" w:fill="E6E7E8"/>
          </w:tcPr>
          <w:p>
            <w:pPr>
              <w:pStyle w:val="TableParagraph"/>
              <w:ind w:right="72"/>
              <w:rPr>
                <w:sz w:val="16"/>
              </w:rPr>
            </w:pPr>
            <w:r>
              <w:rPr>
                <w:w w:val="75"/>
                <w:sz w:val="16"/>
              </w:rPr>
              <w:t>1,912</w:t>
            </w:r>
          </w:p>
        </w:tc>
        <w:tc>
          <w:tcPr>
            <w:tcW w:w="1106" w:type="dxa"/>
            <w:shd w:val="clear" w:color="auto" w:fill="E6E7E8"/>
          </w:tcPr>
          <w:p>
            <w:pPr>
              <w:pStyle w:val="TableParagraph"/>
              <w:ind w:right="70"/>
              <w:rPr>
                <w:sz w:val="16"/>
              </w:rPr>
            </w:pPr>
            <w:r>
              <w:rPr>
                <w:w w:val="80"/>
                <w:sz w:val="16"/>
              </w:rPr>
              <w:t>3.3%</w:t>
            </w:r>
          </w:p>
        </w:tc>
        <w:tc>
          <w:tcPr>
            <w:tcW w:w="1106" w:type="dxa"/>
            <w:shd w:val="clear" w:color="auto" w:fill="E6E7E8"/>
          </w:tcPr>
          <w:p>
            <w:pPr>
              <w:pStyle w:val="TableParagraph"/>
              <w:ind w:right="69"/>
              <w:rPr>
                <w:sz w:val="16"/>
              </w:rPr>
            </w:pPr>
            <w:r>
              <w:rPr>
                <w:w w:val="80"/>
                <w:sz w:val="16"/>
              </w:rPr>
              <w:t>1,833</w:t>
            </w:r>
          </w:p>
        </w:tc>
        <w:tc>
          <w:tcPr>
            <w:tcW w:w="1106" w:type="dxa"/>
            <w:shd w:val="clear" w:color="auto" w:fill="E6E7E8"/>
          </w:tcPr>
          <w:p>
            <w:pPr>
              <w:pStyle w:val="TableParagraph"/>
              <w:ind w:right="72"/>
              <w:rPr>
                <w:sz w:val="16"/>
              </w:rPr>
            </w:pPr>
            <w:r>
              <w:rPr>
                <w:w w:val="85"/>
                <w:sz w:val="16"/>
              </w:rPr>
              <w:t>4.2%</w:t>
            </w:r>
          </w:p>
        </w:tc>
        <w:tc>
          <w:tcPr>
            <w:tcW w:w="1106" w:type="dxa"/>
            <w:shd w:val="clear" w:color="auto" w:fill="E6E7E8"/>
          </w:tcPr>
          <w:p>
            <w:pPr>
              <w:pStyle w:val="TableParagraph"/>
              <w:ind w:right="69"/>
              <w:rPr>
                <w:sz w:val="16"/>
              </w:rPr>
            </w:pPr>
            <w:r>
              <w:rPr>
                <w:w w:val="80"/>
                <w:sz w:val="16"/>
              </w:rPr>
              <w:t>1,863</w:t>
            </w:r>
          </w:p>
        </w:tc>
        <w:tc>
          <w:tcPr>
            <w:tcW w:w="1114" w:type="dxa"/>
            <w:shd w:val="clear" w:color="auto" w:fill="E6E7E8"/>
          </w:tcPr>
          <w:p>
            <w:pPr>
              <w:pStyle w:val="TableParagraph"/>
              <w:ind w:right="72"/>
              <w:rPr>
                <w:sz w:val="16"/>
              </w:rPr>
            </w:pPr>
            <w:r>
              <w:rPr>
                <w:w w:val="75"/>
                <w:sz w:val="16"/>
              </w:rPr>
              <w:t>4.1%</w:t>
            </w:r>
          </w:p>
        </w:tc>
      </w:tr>
      <w:tr>
        <w:trPr>
          <w:trHeight w:val="312" w:hRule="exact"/>
        </w:trPr>
        <w:tc>
          <w:tcPr>
            <w:tcW w:w="3429" w:type="dxa"/>
            <w:shd w:val="clear" w:color="auto" w:fill="E6E7E8"/>
          </w:tcPr>
          <w:p>
            <w:pPr>
              <w:pStyle w:val="TableParagraph"/>
              <w:ind w:left="75"/>
              <w:jc w:val="left"/>
              <w:rPr>
                <w:sz w:val="16"/>
              </w:rPr>
            </w:pPr>
            <w:r>
              <w:rPr>
                <w:sz w:val="16"/>
              </w:rPr>
              <w:t>Architecture and building</w:t>
            </w:r>
          </w:p>
        </w:tc>
        <w:tc>
          <w:tcPr>
            <w:tcW w:w="1106" w:type="dxa"/>
            <w:shd w:val="clear" w:color="auto" w:fill="E6E7E8"/>
          </w:tcPr>
          <w:p>
            <w:pPr>
              <w:pStyle w:val="TableParagraph"/>
              <w:ind w:right="72"/>
              <w:rPr>
                <w:sz w:val="16"/>
              </w:rPr>
            </w:pPr>
            <w:r>
              <w:rPr>
                <w:w w:val="65"/>
                <w:sz w:val="16"/>
              </w:rPr>
              <w:t>1,141</w:t>
            </w:r>
          </w:p>
        </w:tc>
        <w:tc>
          <w:tcPr>
            <w:tcW w:w="1106" w:type="dxa"/>
            <w:shd w:val="clear" w:color="auto" w:fill="E6E7E8"/>
          </w:tcPr>
          <w:p>
            <w:pPr>
              <w:pStyle w:val="TableParagraph"/>
              <w:ind w:right="70"/>
              <w:rPr>
                <w:sz w:val="16"/>
              </w:rPr>
            </w:pPr>
            <w:r>
              <w:rPr>
                <w:w w:val="80"/>
                <w:sz w:val="16"/>
              </w:rPr>
              <w:t>2.3%</w:t>
            </w:r>
          </w:p>
        </w:tc>
        <w:tc>
          <w:tcPr>
            <w:tcW w:w="1106" w:type="dxa"/>
            <w:shd w:val="clear" w:color="auto" w:fill="E6E7E8"/>
          </w:tcPr>
          <w:p>
            <w:pPr>
              <w:pStyle w:val="TableParagraph"/>
              <w:ind w:right="72"/>
              <w:rPr>
                <w:sz w:val="16"/>
              </w:rPr>
            </w:pPr>
            <w:r>
              <w:rPr>
                <w:w w:val="75"/>
                <w:sz w:val="16"/>
              </w:rPr>
              <w:t>1,188</w:t>
            </w:r>
          </w:p>
        </w:tc>
        <w:tc>
          <w:tcPr>
            <w:tcW w:w="1106" w:type="dxa"/>
            <w:shd w:val="clear" w:color="auto" w:fill="E6E7E8"/>
          </w:tcPr>
          <w:p>
            <w:pPr>
              <w:pStyle w:val="TableParagraph"/>
              <w:ind w:right="72"/>
              <w:rPr>
                <w:sz w:val="16"/>
              </w:rPr>
            </w:pPr>
            <w:r>
              <w:rPr>
                <w:w w:val="80"/>
                <w:sz w:val="16"/>
              </w:rPr>
              <w:t>2.7%</w:t>
            </w:r>
          </w:p>
        </w:tc>
        <w:tc>
          <w:tcPr>
            <w:tcW w:w="1106" w:type="dxa"/>
            <w:shd w:val="clear" w:color="auto" w:fill="E6E7E8"/>
          </w:tcPr>
          <w:p>
            <w:pPr>
              <w:pStyle w:val="TableParagraph"/>
              <w:ind w:right="72"/>
              <w:rPr>
                <w:sz w:val="16"/>
              </w:rPr>
            </w:pPr>
            <w:r>
              <w:rPr>
                <w:w w:val="85"/>
                <w:sz w:val="16"/>
              </w:rPr>
              <w:t>1,424</w:t>
            </w:r>
          </w:p>
        </w:tc>
        <w:tc>
          <w:tcPr>
            <w:tcW w:w="1114" w:type="dxa"/>
            <w:shd w:val="clear" w:color="auto" w:fill="E6E7E8"/>
          </w:tcPr>
          <w:p>
            <w:pPr>
              <w:pStyle w:val="TableParagraph"/>
              <w:ind w:right="69"/>
              <w:rPr>
                <w:sz w:val="16"/>
              </w:rPr>
            </w:pPr>
            <w:r>
              <w:rPr>
                <w:w w:val="80"/>
                <w:sz w:val="16"/>
              </w:rPr>
              <w:t>3.2%</w:t>
            </w:r>
          </w:p>
        </w:tc>
      </w:tr>
      <w:tr>
        <w:trPr>
          <w:trHeight w:val="312" w:hRule="exact"/>
        </w:trPr>
        <w:tc>
          <w:tcPr>
            <w:tcW w:w="3429" w:type="dxa"/>
            <w:shd w:val="clear" w:color="auto" w:fill="E6E7E8"/>
          </w:tcPr>
          <w:p>
            <w:pPr>
              <w:pStyle w:val="TableParagraph"/>
              <w:ind w:left="75"/>
              <w:jc w:val="left"/>
              <w:rPr>
                <w:sz w:val="16"/>
              </w:rPr>
            </w:pPr>
            <w:r>
              <w:rPr>
                <w:sz w:val="16"/>
              </w:rPr>
              <w:t>Mixed field programs</w:t>
            </w:r>
          </w:p>
        </w:tc>
        <w:tc>
          <w:tcPr>
            <w:tcW w:w="1106" w:type="dxa"/>
            <w:shd w:val="clear" w:color="auto" w:fill="E6E7E8"/>
          </w:tcPr>
          <w:p>
            <w:pPr>
              <w:pStyle w:val="TableParagraph"/>
              <w:ind w:right="70"/>
              <w:rPr>
                <w:sz w:val="16"/>
              </w:rPr>
            </w:pPr>
            <w:r>
              <w:rPr>
                <w:w w:val="95"/>
                <w:sz w:val="16"/>
              </w:rPr>
              <w:t>567</w:t>
            </w:r>
          </w:p>
        </w:tc>
        <w:tc>
          <w:tcPr>
            <w:tcW w:w="1106" w:type="dxa"/>
            <w:shd w:val="clear" w:color="auto" w:fill="E6E7E8"/>
          </w:tcPr>
          <w:p>
            <w:pPr>
              <w:pStyle w:val="TableParagraph"/>
              <w:ind w:right="72"/>
              <w:rPr>
                <w:sz w:val="16"/>
              </w:rPr>
            </w:pPr>
            <w:r>
              <w:rPr>
                <w:w w:val="90"/>
                <w:sz w:val="16"/>
              </w:rPr>
              <w:t>0.9%</w:t>
            </w:r>
          </w:p>
        </w:tc>
        <w:tc>
          <w:tcPr>
            <w:tcW w:w="1106" w:type="dxa"/>
            <w:shd w:val="clear" w:color="auto" w:fill="E6E7E8"/>
          </w:tcPr>
          <w:p>
            <w:pPr>
              <w:pStyle w:val="TableParagraph"/>
              <w:ind w:right="72"/>
              <w:rPr>
                <w:sz w:val="16"/>
              </w:rPr>
            </w:pPr>
            <w:r>
              <w:rPr>
                <w:w w:val="85"/>
                <w:sz w:val="16"/>
              </w:rPr>
              <w:t>1,098</w:t>
            </w:r>
          </w:p>
        </w:tc>
        <w:tc>
          <w:tcPr>
            <w:tcW w:w="1106" w:type="dxa"/>
            <w:shd w:val="clear" w:color="auto" w:fill="E6E7E8"/>
          </w:tcPr>
          <w:p>
            <w:pPr>
              <w:pStyle w:val="TableParagraph"/>
              <w:ind w:right="71"/>
              <w:rPr>
                <w:sz w:val="16"/>
              </w:rPr>
            </w:pPr>
            <w:r>
              <w:rPr>
                <w:w w:val="80"/>
                <w:sz w:val="16"/>
              </w:rPr>
              <w:t>2.5%</w:t>
            </w:r>
          </w:p>
        </w:tc>
        <w:tc>
          <w:tcPr>
            <w:tcW w:w="1106" w:type="dxa"/>
            <w:shd w:val="clear" w:color="auto" w:fill="E6E7E8"/>
          </w:tcPr>
          <w:p>
            <w:pPr>
              <w:pStyle w:val="TableParagraph"/>
              <w:ind w:right="72"/>
              <w:rPr>
                <w:sz w:val="16"/>
              </w:rPr>
            </w:pPr>
            <w:r>
              <w:rPr>
                <w:w w:val="80"/>
                <w:sz w:val="16"/>
              </w:rPr>
              <w:t>791</w:t>
            </w:r>
          </w:p>
        </w:tc>
        <w:tc>
          <w:tcPr>
            <w:tcW w:w="1114" w:type="dxa"/>
            <w:shd w:val="clear" w:color="auto" w:fill="E6E7E8"/>
          </w:tcPr>
          <w:p>
            <w:pPr>
              <w:pStyle w:val="TableParagraph"/>
              <w:ind w:right="68"/>
              <w:rPr>
                <w:sz w:val="16"/>
              </w:rPr>
            </w:pPr>
            <w:r>
              <w:rPr>
                <w:w w:val="75"/>
                <w:sz w:val="16"/>
              </w:rPr>
              <w:t>1.8%</w:t>
            </w:r>
          </w:p>
        </w:tc>
      </w:tr>
      <w:tr>
        <w:trPr>
          <w:trHeight w:val="312" w:hRule="exact"/>
        </w:trPr>
        <w:tc>
          <w:tcPr>
            <w:tcW w:w="3429" w:type="dxa"/>
            <w:shd w:val="clear" w:color="auto" w:fill="E6E7E8"/>
          </w:tcPr>
          <w:p>
            <w:pPr>
              <w:pStyle w:val="TableParagraph"/>
              <w:ind w:left="75"/>
              <w:jc w:val="left"/>
              <w:rPr>
                <w:sz w:val="16"/>
              </w:rPr>
            </w:pPr>
            <w:r>
              <w:rPr>
                <w:sz w:val="16"/>
              </w:rPr>
              <w:t>Agriculture, environment and related studies</w:t>
            </w:r>
          </w:p>
        </w:tc>
        <w:tc>
          <w:tcPr>
            <w:tcW w:w="1106" w:type="dxa"/>
            <w:shd w:val="clear" w:color="auto" w:fill="E6E7E8"/>
          </w:tcPr>
          <w:p>
            <w:pPr>
              <w:pStyle w:val="TableParagraph"/>
              <w:ind w:right="67"/>
              <w:rPr>
                <w:sz w:val="16"/>
              </w:rPr>
            </w:pPr>
            <w:r>
              <w:rPr>
                <w:w w:val="70"/>
                <w:sz w:val="16"/>
              </w:rPr>
              <w:t>21</w:t>
            </w:r>
          </w:p>
        </w:tc>
        <w:tc>
          <w:tcPr>
            <w:tcW w:w="1106" w:type="dxa"/>
            <w:shd w:val="clear" w:color="auto" w:fill="E6E7E8"/>
          </w:tcPr>
          <w:p>
            <w:pPr>
              <w:pStyle w:val="TableParagraph"/>
              <w:ind w:right="71"/>
              <w:rPr>
                <w:sz w:val="16"/>
              </w:rPr>
            </w:pPr>
            <w:r>
              <w:rPr>
                <w:w w:val="85"/>
                <w:sz w:val="16"/>
              </w:rPr>
              <w:t>0.6%</w:t>
            </w:r>
          </w:p>
        </w:tc>
        <w:tc>
          <w:tcPr>
            <w:tcW w:w="1106" w:type="dxa"/>
            <w:shd w:val="clear" w:color="auto" w:fill="E6E7E8"/>
          </w:tcPr>
          <w:p>
            <w:pPr>
              <w:pStyle w:val="TableParagraph"/>
              <w:ind w:right="72"/>
              <w:rPr>
                <w:sz w:val="16"/>
              </w:rPr>
            </w:pPr>
            <w:r>
              <w:rPr>
                <w:w w:val="103"/>
                <w:sz w:val="16"/>
              </w:rPr>
              <w:t>4</w:t>
            </w:r>
          </w:p>
        </w:tc>
        <w:tc>
          <w:tcPr>
            <w:tcW w:w="1106" w:type="dxa"/>
            <w:shd w:val="clear" w:color="auto" w:fill="E6E7E8"/>
          </w:tcPr>
          <w:p>
            <w:pPr>
              <w:pStyle w:val="TableParagraph"/>
              <w:ind w:right="72"/>
              <w:rPr>
                <w:sz w:val="16"/>
              </w:rPr>
            </w:pPr>
            <w:r>
              <w:rPr>
                <w:w w:val="90"/>
                <w:sz w:val="16"/>
              </w:rPr>
              <w:t>0.0%</w:t>
            </w:r>
          </w:p>
        </w:tc>
        <w:tc>
          <w:tcPr>
            <w:tcW w:w="1106" w:type="dxa"/>
            <w:shd w:val="clear" w:color="auto" w:fill="E6E7E8"/>
          </w:tcPr>
          <w:p>
            <w:pPr>
              <w:pStyle w:val="TableParagraph"/>
              <w:ind w:right="72"/>
              <w:rPr>
                <w:sz w:val="16"/>
              </w:rPr>
            </w:pPr>
            <w:r>
              <w:rPr>
                <w:w w:val="101"/>
                <w:sz w:val="16"/>
              </w:rPr>
              <w:t>6</w:t>
            </w:r>
          </w:p>
        </w:tc>
        <w:tc>
          <w:tcPr>
            <w:tcW w:w="1114" w:type="dxa"/>
            <w:shd w:val="clear" w:color="auto" w:fill="E6E7E8"/>
          </w:tcPr>
          <w:p>
            <w:pPr>
              <w:pStyle w:val="TableParagraph"/>
              <w:ind w:right="72"/>
              <w:rPr>
                <w:sz w:val="16"/>
              </w:rPr>
            </w:pPr>
            <w:r>
              <w:rPr>
                <w:w w:val="90"/>
                <w:sz w:val="16"/>
              </w:rPr>
              <w:t>0.0%</w:t>
            </w:r>
          </w:p>
        </w:tc>
      </w:tr>
      <w:tr>
        <w:trPr>
          <w:trHeight w:val="312" w:hRule="exact"/>
        </w:trPr>
        <w:tc>
          <w:tcPr>
            <w:tcW w:w="3429" w:type="dxa"/>
            <w:shd w:val="clear" w:color="auto" w:fill="E6E7E8"/>
          </w:tcPr>
          <w:p>
            <w:pPr>
              <w:pStyle w:val="TableParagraph"/>
              <w:ind w:left="75"/>
              <w:jc w:val="left"/>
              <w:rPr>
                <w:sz w:val="16"/>
              </w:rPr>
            </w:pPr>
            <w:r>
              <w:rPr>
                <w:sz w:val="16"/>
              </w:rPr>
              <w:t>Non-award course</w:t>
            </w:r>
          </w:p>
        </w:tc>
        <w:tc>
          <w:tcPr>
            <w:tcW w:w="1106" w:type="dxa"/>
            <w:shd w:val="clear" w:color="auto" w:fill="E6E7E8"/>
          </w:tcPr>
          <w:p>
            <w:pPr>
              <w:pStyle w:val="TableParagraph"/>
              <w:ind w:right="72"/>
              <w:rPr>
                <w:sz w:val="16"/>
              </w:rPr>
            </w:pPr>
            <w:r>
              <w:rPr>
                <w:w w:val="95"/>
                <w:sz w:val="16"/>
              </w:rPr>
              <w:t>324</w:t>
            </w:r>
          </w:p>
        </w:tc>
        <w:tc>
          <w:tcPr>
            <w:tcW w:w="1106" w:type="dxa"/>
            <w:shd w:val="clear" w:color="auto" w:fill="E6E7E8"/>
          </w:tcPr>
          <w:p>
            <w:pPr>
              <w:pStyle w:val="TableParagraph"/>
              <w:ind w:right="72"/>
              <w:rPr>
                <w:sz w:val="16"/>
              </w:rPr>
            </w:pPr>
            <w:r>
              <w:rPr>
                <w:w w:val="65"/>
                <w:sz w:val="16"/>
              </w:rPr>
              <w:t>1.1%</w:t>
            </w:r>
          </w:p>
        </w:tc>
        <w:tc>
          <w:tcPr>
            <w:tcW w:w="1106" w:type="dxa"/>
            <w:shd w:val="clear" w:color="auto" w:fill="E6E7E8"/>
          </w:tcPr>
          <w:p>
            <w:pPr>
              <w:pStyle w:val="TableParagraph"/>
              <w:ind w:right="72"/>
              <w:rPr>
                <w:sz w:val="16"/>
              </w:rPr>
            </w:pPr>
            <w:r>
              <w:rPr>
                <w:w w:val="95"/>
                <w:sz w:val="16"/>
              </w:rPr>
              <w:t>255</w:t>
            </w:r>
          </w:p>
        </w:tc>
        <w:tc>
          <w:tcPr>
            <w:tcW w:w="1106" w:type="dxa"/>
            <w:shd w:val="clear" w:color="auto" w:fill="E6E7E8"/>
          </w:tcPr>
          <w:p>
            <w:pPr>
              <w:pStyle w:val="TableParagraph"/>
              <w:ind w:right="71"/>
              <w:rPr>
                <w:sz w:val="16"/>
              </w:rPr>
            </w:pPr>
            <w:r>
              <w:rPr>
                <w:w w:val="85"/>
                <w:sz w:val="16"/>
              </w:rPr>
              <w:t>0.6%</w:t>
            </w:r>
          </w:p>
        </w:tc>
        <w:tc>
          <w:tcPr>
            <w:tcW w:w="1106" w:type="dxa"/>
            <w:shd w:val="clear" w:color="auto" w:fill="E6E7E8"/>
          </w:tcPr>
          <w:p>
            <w:pPr>
              <w:pStyle w:val="TableParagraph"/>
              <w:ind w:right="72"/>
              <w:rPr>
                <w:sz w:val="16"/>
              </w:rPr>
            </w:pPr>
            <w:r>
              <w:rPr>
                <w:w w:val="90"/>
                <w:sz w:val="16"/>
              </w:rPr>
              <w:t>277</w:t>
            </w:r>
          </w:p>
        </w:tc>
        <w:tc>
          <w:tcPr>
            <w:tcW w:w="1114" w:type="dxa"/>
            <w:shd w:val="clear" w:color="auto" w:fill="E6E7E8"/>
          </w:tcPr>
          <w:p>
            <w:pPr>
              <w:pStyle w:val="TableParagraph"/>
              <w:ind w:right="71"/>
              <w:rPr>
                <w:sz w:val="16"/>
              </w:rPr>
            </w:pPr>
            <w:r>
              <w:rPr>
                <w:w w:val="85"/>
                <w:sz w:val="16"/>
              </w:rPr>
              <w:t>0.6%</w:t>
            </w:r>
          </w:p>
        </w:tc>
      </w:tr>
      <w:tr>
        <w:trPr>
          <w:trHeight w:val="312" w:hRule="exact"/>
        </w:trPr>
        <w:tc>
          <w:tcPr>
            <w:tcW w:w="3429" w:type="dxa"/>
            <w:shd w:val="clear" w:color="auto" w:fill="E6E7E8"/>
          </w:tcPr>
          <w:p>
            <w:pPr>
              <w:pStyle w:val="TableParagraph"/>
              <w:spacing w:before="63"/>
              <w:ind w:left="75"/>
              <w:jc w:val="left"/>
              <w:rPr>
                <w:rFonts w:ascii="Calibri"/>
                <w:sz w:val="16"/>
              </w:rPr>
            </w:pPr>
            <w:r>
              <w:rPr>
                <w:rFonts w:ascii="Calibri"/>
                <w:w w:val="110"/>
                <w:sz w:val="16"/>
              </w:rPr>
              <w:t>Total</w:t>
            </w:r>
          </w:p>
        </w:tc>
        <w:tc>
          <w:tcPr>
            <w:tcW w:w="1106" w:type="dxa"/>
            <w:shd w:val="clear" w:color="auto" w:fill="E6E7E8"/>
          </w:tcPr>
          <w:p>
            <w:pPr>
              <w:pStyle w:val="TableParagraph"/>
              <w:spacing w:before="63"/>
              <w:ind w:right="72"/>
              <w:rPr>
                <w:rFonts w:ascii="Calibri"/>
                <w:sz w:val="16"/>
              </w:rPr>
            </w:pPr>
            <w:r>
              <w:rPr>
                <w:rFonts w:ascii="Calibri"/>
                <w:sz w:val="16"/>
              </w:rPr>
              <w:t>41,923</w:t>
            </w:r>
          </w:p>
        </w:tc>
        <w:tc>
          <w:tcPr>
            <w:tcW w:w="1106" w:type="dxa"/>
            <w:shd w:val="clear" w:color="auto" w:fill="E6E7E8"/>
          </w:tcPr>
          <w:p>
            <w:pPr>
              <w:pStyle w:val="TableParagraph"/>
              <w:spacing w:before="63"/>
              <w:ind w:right="71"/>
              <w:rPr>
                <w:rFonts w:ascii="Calibri"/>
                <w:sz w:val="16"/>
              </w:rPr>
            </w:pPr>
            <w:r>
              <w:rPr>
                <w:rFonts w:ascii="Calibri"/>
                <w:w w:val="110"/>
                <w:sz w:val="16"/>
              </w:rPr>
              <w:t>100.0%</w:t>
            </w:r>
          </w:p>
        </w:tc>
        <w:tc>
          <w:tcPr>
            <w:tcW w:w="1106" w:type="dxa"/>
            <w:shd w:val="clear" w:color="auto" w:fill="E6E7E8"/>
          </w:tcPr>
          <w:p>
            <w:pPr>
              <w:pStyle w:val="TableParagraph"/>
              <w:spacing w:before="63"/>
              <w:ind w:right="72"/>
              <w:rPr>
                <w:rFonts w:ascii="Calibri"/>
                <w:sz w:val="16"/>
              </w:rPr>
            </w:pPr>
            <w:r>
              <w:rPr>
                <w:rFonts w:ascii="Calibri"/>
                <w:w w:val="105"/>
                <w:sz w:val="16"/>
              </w:rPr>
              <w:t>43,783</w:t>
            </w:r>
          </w:p>
        </w:tc>
        <w:tc>
          <w:tcPr>
            <w:tcW w:w="1106" w:type="dxa"/>
            <w:shd w:val="clear" w:color="auto" w:fill="E6E7E8"/>
          </w:tcPr>
          <w:p>
            <w:pPr>
              <w:pStyle w:val="TableParagraph"/>
              <w:spacing w:before="63"/>
              <w:ind w:right="71"/>
              <w:rPr>
                <w:rFonts w:ascii="Calibri"/>
                <w:sz w:val="16"/>
              </w:rPr>
            </w:pPr>
            <w:r>
              <w:rPr>
                <w:rFonts w:ascii="Calibri"/>
                <w:w w:val="110"/>
                <w:sz w:val="16"/>
              </w:rPr>
              <w:t>100.0%</w:t>
            </w:r>
          </w:p>
        </w:tc>
        <w:tc>
          <w:tcPr>
            <w:tcW w:w="1106" w:type="dxa"/>
            <w:shd w:val="clear" w:color="auto" w:fill="E6E7E8"/>
          </w:tcPr>
          <w:p>
            <w:pPr>
              <w:pStyle w:val="TableParagraph"/>
              <w:spacing w:before="63"/>
              <w:ind w:right="72"/>
              <w:rPr>
                <w:rFonts w:ascii="Calibri"/>
                <w:sz w:val="16"/>
              </w:rPr>
            </w:pPr>
            <w:r>
              <w:rPr>
                <w:rFonts w:ascii="Calibri"/>
                <w:w w:val="110"/>
                <w:sz w:val="16"/>
              </w:rPr>
              <w:t>44,934</w:t>
            </w:r>
          </w:p>
        </w:tc>
        <w:tc>
          <w:tcPr>
            <w:tcW w:w="1114" w:type="dxa"/>
            <w:shd w:val="clear" w:color="auto" w:fill="E6E7E8"/>
          </w:tcPr>
          <w:p>
            <w:pPr>
              <w:pStyle w:val="TableParagraph"/>
              <w:spacing w:before="63"/>
              <w:ind w:right="72"/>
              <w:rPr>
                <w:rFonts w:ascii="Calibri"/>
                <w:sz w:val="16"/>
              </w:rPr>
            </w:pPr>
            <w:r>
              <w:rPr>
                <w:rFonts w:ascii="Calibri"/>
                <w:w w:val="110"/>
                <w:sz w:val="16"/>
              </w:rPr>
              <w:t>100.0%</w:t>
            </w:r>
          </w:p>
        </w:tc>
      </w:tr>
    </w:tbl>
    <w:p>
      <w:pPr>
        <w:pStyle w:val="BodyText"/>
        <w:spacing w:before="64"/>
        <w:ind w:left="347" w:right="411"/>
      </w:pPr>
      <w:r>
        <w:rPr/>
        <w:t>(Source: Enrolment submissions to the Department of Education and Training)</w:t>
      </w:r>
    </w:p>
    <w:p>
      <w:pPr>
        <w:pStyle w:val="BodyText"/>
        <w:spacing w:before="9"/>
        <w:rPr>
          <w:sz w:val="17"/>
        </w:rPr>
      </w:pPr>
    </w:p>
    <w:p>
      <w:pPr>
        <w:pStyle w:val="Heading8"/>
        <w:ind w:left="327" w:right="6585"/>
      </w:pPr>
      <w:r>
        <w:rPr>
          <w:color w:val="636466"/>
          <w:w w:val="95"/>
        </w:rPr>
        <w:t>Table 6: Student Headcount by Campus, 2012–15 (p)</w:t>
      </w:r>
    </w:p>
    <w:p>
      <w:pPr>
        <w:pStyle w:val="BodyText"/>
        <w:spacing w:before="11"/>
        <w:rPr>
          <w:rFonts w:ascii="Gotham Narrow Bold"/>
          <w:b/>
          <w:sz w:val="10"/>
        </w:rPr>
      </w:pPr>
    </w:p>
    <w:tbl>
      <w:tblPr>
        <w:tblW w:w="0" w:type="auto"/>
        <w:jc w:val="left"/>
        <w:tblInd w:w="33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429"/>
        <w:gridCol w:w="1106"/>
        <w:gridCol w:w="1106"/>
        <w:gridCol w:w="1106"/>
        <w:gridCol w:w="1106"/>
        <w:gridCol w:w="1106"/>
        <w:gridCol w:w="1114"/>
      </w:tblGrid>
      <w:tr>
        <w:trPr>
          <w:trHeight w:val="312" w:hRule="exact"/>
        </w:trPr>
        <w:tc>
          <w:tcPr>
            <w:tcW w:w="3429" w:type="dxa"/>
            <w:tcBorders>
              <w:top w:val="nil"/>
              <w:left w:val="nil"/>
              <w:bottom w:val="nil"/>
              <w:right w:val="nil"/>
            </w:tcBorders>
            <w:shd w:val="clear" w:color="auto" w:fill="939598"/>
          </w:tcPr>
          <w:p>
            <w:pPr>
              <w:pStyle w:val="TableParagraph"/>
              <w:spacing w:before="66"/>
              <w:ind w:left="80"/>
              <w:jc w:val="left"/>
              <w:rPr>
                <w:rFonts w:ascii="Gotham Narrow Bold"/>
                <w:b/>
                <w:sz w:val="16"/>
              </w:rPr>
            </w:pPr>
            <w:r>
              <w:rPr>
                <w:rFonts w:ascii="Gotham Narrow Bold"/>
                <w:b/>
                <w:color w:val="FFFFFF"/>
                <w:sz w:val="16"/>
              </w:rPr>
              <w:t>CAMPUS</w:t>
            </w:r>
          </w:p>
        </w:tc>
        <w:tc>
          <w:tcPr>
            <w:tcW w:w="2211" w:type="dxa"/>
            <w:gridSpan w:val="2"/>
            <w:tcBorders>
              <w:top w:val="nil"/>
              <w:left w:val="nil"/>
              <w:bottom w:val="nil"/>
              <w:right w:val="nil"/>
            </w:tcBorders>
            <w:shd w:val="clear" w:color="auto" w:fill="939598"/>
          </w:tcPr>
          <w:p>
            <w:pPr>
              <w:pStyle w:val="TableParagraph"/>
              <w:tabs>
                <w:tab w:pos="2007" w:val="left" w:leader="none"/>
              </w:tabs>
              <w:spacing w:before="66"/>
              <w:ind w:left="684"/>
              <w:jc w:val="left"/>
              <w:rPr>
                <w:rFonts w:ascii="Gotham Narrow Bold"/>
                <w:b/>
                <w:sz w:val="16"/>
              </w:rPr>
            </w:pPr>
            <w:r>
              <w:rPr>
                <w:rFonts w:ascii="Gotham Narrow Bold"/>
                <w:b/>
                <w:color w:val="FFFFFF"/>
                <w:sz w:val="16"/>
              </w:rPr>
              <w:t>2013</w:t>
              <w:tab/>
              <w:t>%</w:t>
            </w:r>
          </w:p>
        </w:tc>
        <w:tc>
          <w:tcPr>
            <w:tcW w:w="2211" w:type="dxa"/>
            <w:gridSpan w:val="2"/>
            <w:tcBorders>
              <w:top w:val="nil"/>
              <w:left w:val="nil"/>
              <w:bottom w:val="nil"/>
              <w:right w:val="nil"/>
            </w:tcBorders>
            <w:shd w:val="clear" w:color="auto" w:fill="939598"/>
          </w:tcPr>
          <w:p>
            <w:pPr>
              <w:pStyle w:val="TableParagraph"/>
              <w:tabs>
                <w:tab w:pos="2007" w:val="left" w:leader="none"/>
              </w:tabs>
              <w:spacing w:before="66"/>
              <w:ind w:left="674"/>
              <w:jc w:val="left"/>
              <w:rPr>
                <w:rFonts w:ascii="Gotham Narrow Bold"/>
                <w:b/>
                <w:sz w:val="16"/>
              </w:rPr>
            </w:pPr>
            <w:r>
              <w:rPr>
                <w:rFonts w:ascii="Gotham Narrow Bold"/>
                <w:b/>
                <w:color w:val="FFFFFF"/>
                <w:sz w:val="16"/>
              </w:rPr>
              <w:t>2014</w:t>
              <w:tab/>
              <w:t>%</w:t>
            </w:r>
          </w:p>
        </w:tc>
        <w:tc>
          <w:tcPr>
            <w:tcW w:w="2220" w:type="dxa"/>
            <w:gridSpan w:val="2"/>
            <w:tcBorders>
              <w:top w:val="nil"/>
              <w:left w:val="nil"/>
              <w:bottom w:val="nil"/>
              <w:right w:val="nil"/>
            </w:tcBorders>
            <w:shd w:val="clear" w:color="auto" w:fill="939598"/>
          </w:tcPr>
          <w:p>
            <w:pPr>
              <w:pStyle w:val="TableParagraph"/>
              <w:tabs>
                <w:tab w:pos="2016" w:val="left" w:leader="none"/>
              </w:tabs>
              <w:spacing w:before="66"/>
              <w:ind w:left="427"/>
              <w:jc w:val="left"/>
              <w:rPr>
                <w:rFonts w:ascii="Gotham Narrow Bold"/>
                <w:b/>
                <w:sz w:val="16"/>
              </w:rPr>
            </w:pPr>
            <w:r>
              <w:rPr>
                <w:rFonts w:ascii="Gotham Narrow Bold"/>
                <w:b/>
                <w:color w:val="FFFFFF"/>
                <w:sz w:val="16"/>
              </w:rPr>
              <w:t>2015</w:t>
            </w:r>
            <w:r>
              <w:rPr>
                <w:rFonts w:ascii="Gotham Narrow Bold"/>
                <w:b/>
                <w:color w:val="FFFFFF"/>
                <w:spacing w:val="-13"/>
                <w:sz w:val="16"/>
              </w:rPr>
              <w:t> </w:t>
            </w:r>
            <w:r>
              <w:rPr>
                <w:rFonts w:ascii="Gotham Narrow Bold"/>
                <w:b/>
                <w:color w:val="FFFFFF"/>
                <w:sz w:val="16"/>
              </w:rPr>
              <w:t>(p)</w:t>
              <w:tab/>
              <w:t>%</w:t>
            </w:r>
          </w:p>
        </w:tc>
      </w:tr>
      <w:tr>
        <w:trPr>
          <w:trHeight w:val="312" w:hRule="exact"/>
        </w:trPr>
        <w:tc>
          <w:tcPr>
            <w:tcW w:w="3429" w:type="dxa"/>
            <w:tcBorders>
              <w:top w:val="nil"/>
            </w:tcBorders>
            <w:shd w:val="clear" w:color="auto" w:fill="E6E7E8"/>
          </w:tcPr>
          <w:p>
            <w:pPr>
              <w:pStyle w:val="TableParagraph"/>
              <w:spacing w:before="60"/>
              <w:ind w:left="75"/>
              <w:jc w:val="left"/>
              <w:rPr>
                <w:sz w:val="16"/>
              </w:rPr>
            </w:pPr>
            <w:r>
              <w:rPr>
                <w:sz w:val="16"/>
              </w:rPr>
              <w:t>Bankstown</w:t>
            </w:r>
          </w:p>
        </w:tc>
        <w:tc>
          <w:tcPr>
            <w:tcW w:w="1106" w:type="dxa"/>
            <w:tcBorders>
              <w:top w:val="nil"/>
            </w:tcBorders>
            <w:shd w:val="clear" w:color="auto" w:fill="E6E7E8"/>
          </w:tcPr>
          <w:p>
            <w:pPr>
              <w:pStyle w:val="TableParagraph"/>
              <w:spacing w:before="60"/>
              <w:ind w:right="72"/>
              <w:rPr>
                <w:sz w:val="16"/>
              </w:rPr>
            </w:pPr>
            <w:r>
              <w:rPr>
                <w:spacing w:val="-9"/>
                <w:w w:val="83"/>
                <w:sz w:val="16"/>
              </w:rPr>
              <w:t>7</w:t>
            </w:r>
            <w:r>
              <w:rPr>
                <w:w w:val="83"/>
                <w:sz w:val="16"/>
              </w:rPr>
              <w:t>,</w:t>
            </w:r>
            <w:r>
              <w:rPr>
                <w:spacing w:val="4"/>
                <w:w w:val="54"/>
                <w:sz w:val="16"/>
              </w:rPr>
              <w:t>1</w:t>
            </w:r>
            <w:r>
              <w:rPr>
                <w:spacing w:val="-3"/>
                <w:w w:val="111"/>
                <w:sz w:val="16"/>
              </w:rPr>
              <w:t>0</w:t>
            </w:r>
            <w:r>
              <w:rPr>
                <w:w w:val="91"/>
                <w:sz w:val="16"/>
              </w:rPr>
              <w:t>7</w:t>
            </w:r>
          </w:p>
        </w:tc>
        <w:tc>
          <w:tcPr>
            <w:tcW w:w="1106" w:type="dxa"/>
            <w:tcBorders>
              <w:top w:val="nil"/>
            </w:tcBorders>
            <w:shd w:val="clear" w:color="auto" w:fill="E6E7E8"/>
          </w:tcPr>
          <w:p>
            <w:pPr>
              <w:pStyle w:val="TableParagraph"/>
              <w:spacing w:before="60"/>
              <w:ind w:right="72"/>
              <w:rPr>
                <w:sz w:val="16"/>
              </w:rPr>
            </w:pPr>
            <w:r>
              <w:rPr>
                <w:w w:val="54"/>
                <w:sz w:val="16"/>
              </w:rPr>
              <w:t>1</w:t>
            </w:r>
            <w:r>
              <w:rPr>
                <w:spacing w:val="-10"/>
                <w:w w:val="83"/>
                <w:sz w:val="16"/>
              </w:rPr>
              <w:t>7</w:t>
            </w:r>
            <w:r>
              <w:rPr>
                <w:spacing w:val="2"/>
                <w:w w:val="83"/>
                <w:sz w:val="16"/>
              </w:rPr>
              <w:t>.</w:t>
            </w:r>
            <w:r>
              <w:rPr>
                <w:spacing w:val="3"/>
                <w:w w:val="111"/>
                <w:sz w:val="16"/>
              </w:rPr>
              <w:t>0</w:t>
            </w:r>
            <w:r>
              <w:rPr>
                <w:w w:val="74"/>
                <w:sz w:val="16"/>
              </w:rPr>
              <w:t>%</w:t>
            </w:r>
          </w:p>
        </w:tc>
        <w:tc>
          <w:tcPr>
            <w:tcW w:w="1106" w:type="dxa"/>
            <w:tcBorders>
              <w:top w:val="nil"/>
            </w:tcBorders>
            <w:shd w:val="clear" w:color="auto" w:fill="E6E7E8"/>
          </w:tcPr>
          <w:p>
            <w:pPr>
              <w:pStyle w:val="TableParagraph"/>
              <w:spacing w:before="60"/>
              <w:ind w:right="72"/>
              <w:rPr>
                <w:sz w:val="16"/>
              </w:rPr>
            </w:pPr>
            <w:r>
              <w:rPr>
                <w:w w:val="90"/>
                <w:sz w:val="16"/>
              </w:rPr>
              <w:t>7,677</w:t>
            </w:r>
          </w:p>
        </w:tc>
        <w:tc>
          <w:tcPr>
            <w:tcW w:w="1106" w:type="dxa"/>
            <w:tcBorders>
              <w:top w:val="nil"/>
            </w:tcBorders>
            <w:shd w:val="clear" w:color="auto" w:fill="E6E7E8"/>
          </w:tcPr>
          <w:p>
            <w:pPr>
              <w:pStyle w:val="TableParagraph"/>
              <w:spacing w:before="60"/>
              <w:ind w:right="71"/>
              <w:rPr>
                <w:sz w:val="16"/>
              </w:rPr>
            </w:pPr>
            <w:r>
              <w:rPr>
                <w:w w:val="75"/>
                <w:sz w:val="16"/>
              </w:rPr>
              <w:t>17.5%</w:t>
            </w:r>
          </w:p>
        </w:tc>
        <w:tc>
          <w:tcPr>
            <w:tcW w:w="1106" w:type="dxa"/>
            <w:tcBorders>
              <w:top w:val="nil"/>
            </w:tcBorders>
            <w:shd w:val="clear" w:color="auto" w:fill="E6E7E8"/>
          </w:tcPr>
          <w:p>
            <w:pPr>
              <w:pStyle w:val="TableParagraph"/>
              <w:spacing w:before="60"/>
              <w:ind w:right="72"/>
              <w:rPr>
                <w:sz w:val="16"/>
              </w:rPr>
            </w:pPr>
            <w:r>
              <w:rPr>
                <w:w w:val="85"/>
                <w:sz w:val="16"/>
              </w:rPr>
              <w:t>8,183</w:t>
            </w:r>
          </w:p>
        </w:tc>
        <w:tc>
          <w:tcPr>
            <w:tcW w:w="1114" w:type="dxa"/>
            <w:tcBorders>
              <w:top w:val="nil"/>
            </w:tcBorders>
            <w:shd w:val="clear" w:color="auto" w:fill="E6E7E8"/>
          </w:tcPr>
          <w:p>
            <w:pPr>
              <w:pStyle w:val="TableParagraph"/>
              <w:spacing w:before="60"/>
              <w:ind w:right="68"/>
              <w:rPr>
                <w:sz w:val="16"/>
              </w:rPr>
            </w:pPr>
            <w:r>
              <w:rPr>
                <w:w w:val="75"/>
                <w:sz w:val="16"/>
              </w:rPr>
              <w:t>18.2%</w:t>
            </w:r>
          </w:p>
        </w:tc>
      </w:tr>
      <w:tr>
        <w:trPr>
          <w:trHeight w:val="312" w:hRule="exact"/>
        </w:trPr>
        <w:tc>
          <w:tcPr>
            <w:tcW w:w="3429" w:type="dxa"/>
            <w:shd w:val="clear" w:color="auto" w:fill="E6E7E8"/>
          </w:tcPr>
          <w:p>
            <w:pPr>
              <w:pStyle w:val="TableParagraph"/>
              <w:ind w:left="75"/>
              <w:jc w:val="left"/>
              <w:rPr>
                <w:sz w:val="16"/>
              </w:rPr>
            </w:pPr>
            <w:r>
              <w:rPr>
                <w:sz w:val="16"/>
              </w:rPr>
              <w:t>Blacktown (Nirimba)</w:t>
            </w:r>
          </w:p>
        </w:tc>
        <w:tc>
          <w:tcPr>
            <w:tcW w:w="1106" w:type="dxa"/>
            <w:shd w:val="clear" w:color="auto" w:fill="E6E7E8"/>
          </w:tcPr>
          <w:p>
            <w:pPr>
              <w:pStyle w:val="TableParagraph"/>
              <w:ind w:right="72"/>
              <w:rPr>
                <w:sz w:val="16"/>
              </w:rPr>
            </w:pPr>
            <w:r>
              <w:rPr>
                <w:w w:val="85"/>
                <w:sz w:val="16"/>
              </w:rPr>
              <w:t>1,498</w:t>
            </w:r>
          </w:p>
        </w:tc>
        <w:tc>
          <w:tcPr>
            <w:tcW w:w="1106" w:type="dxa"/>
            <w:shd w:val="clear" w:color="auto" w:fill="E6E7E8"/>
          </w:tcPr>
          <w:p>
            <w:pPr>
              <w:pStyle w:val="TableParagraph"/>
              <w:ind w:right="71"/>
              <w:rPr>
                <w:sz w:val="16"/>
              </w:rPr>
            </w:pPr>
            <w:r>
              <w:rPr>
                <w:w w:val="85"/>
                <w:sz w:val="16"/>
              </w:rPr>
              <w:t>3.6%</w:t>
            </w:r>
          </w:p>
        </w:tc>
        <w:tc>
          <w:tcPr>
            <w:tcW w:w="1106" w:type="dxa"/>
            <w:shd w:val="clear" w:color="auto" w:fill="E6E7E8"/>
          </w:tcPr>
          <w:p>
            <w:pPr>
              <w:pStyle w:val="TableParagraph"/>
              <w:ind w:right="70"/>
              <w:rPr>
                <w:sz w:val="16"/>
              </w:rPr>
            </w:pPr>
            <w:r>
              <w:rPr>
                <w:w w:val="85"/>
                <w:sz w:val="16"/>
              </w:rPr>
              <w:t>1,865</w:t>
            </w:r>
          </w:p>
        </w:tc>
        <w:tc>
          <w:tcPr>
            <w:tcW w:w="1106" w:type="dxa"/>
            <w:shd w:val="clear" w:color="auto" w:fill="E6E7E8"/>
          </w:tcPr>
          <w:p>
            <w:pPr>
              <w:pStyle w:val="TableParagraph"/>
              <w:ind w:right="71"/>
              <w:rPr>
                <w:sz w:val="16"/>
              </w:rPr>
            </w:pPr>
            <w:r>
              <w:rPr>
                <w:w w:val="80"/>
                <w:sz w:val="16"/>
              </w:rPr>
              <w:t>4.3%</w:t>
            </w:r>
          </w:p>
        </w:tc>
        <w:tc>
          <w:tcPr>
            <w:tcW w:w="1106" w:type="dxa"/>
            <w:shd w:val="clear" w:color="auto" w:fill="E6E7E8"/>
          </w:tcPr>
          <w:p>
            <w:pPr>
              <w:pStyle w:val="TableParagraph"/>
              <w:ind w:right="72"/>
              <w:rPr>
                <w:sz w:val="16"/>
              </w:rPr>
            </w:pPr>
            <w:r>
              <w:rPr>
                <w:w w:val="95"/>
                <w:sz w:val="16"/>
              </w:rPr>
              <w:t>2,244</w:t>
            </w:r>
          </w:p>
        </w:tc>
        <w:tc>
          <w:tcPr>
            <w:tcW w:w="1114" w:type="dxa"/>
            <w:shd w:val="clear" w:color="auto" w:fill="E6E7E8"/>
          </w:tcPr>
          <w:p>
            <w:pPr>
              <w:pStyle w:val="TableParagraph"/>
              <w:ind w:right="72"/>
              <w:rPr>
                <w:sz w:val="16"/>
              </w:rPr>
            </w:pPr>
            <w:r>
              <w:rPr>
                <w:w w:val="90"/>
                <w:sz w:val="16"/>
              </w:rPr>
              <w:t>5.0%</w:t>
            </w:r>
          </w:p>
        </w:tc>
      </w:tr>
      <w:tr>
        <w:trPr>
          <w:trHeight w:val="312" w:hRule="exact"/>
        </w:trPr>
        <w:tc>
          <w:tcPr>
            <w:tcW w:w="3429" w:type="dxa"/>
            <w:shd w:val="clear" w:color="auto" w:fill="E6E7E8"/>
          </w:tcPr>
          <w:p>
            <w:pPr>
              <w:pStyle w:val="TableParagraph"/>
              <w:ind w:left="75"/>
              <w:jc w:val="left"/>
              <w:rPr>
                <w:sz w:val="16"/>
              </w:rPr>
            </w:pPr>
            <w:r>
              <w:rPr>
                <w:sz w:val="16"/>
              </w:rPr>
              <w:t>Campbelltown</w:t>
            </w:r>
          </w:p>
        </w:tc>
        <w:tc>
          <w:tcPr>
            <w:tcW w:w="1106" w:type="dxa"/>
            <w:shd w:val="clear" w:color="auto" w:fill="E6E7E8"/>
          </w:tcPr>
          <w:p>
            <w:pPr>
              <w:pStyle w:val="TableParagraph"/>
              <w:ind w:right="72"/>
              <w:rPr>
                <w:sz w:val="16"/>
              </w:rPr>
            </w:pPr>
            <w:r>
              <w:rPr>
                <w:w w:val="85"/>
                <w:sz w:val="16"/>
              </w:rPr>
              <w:t>6,816</w:t>
            </w:r>
          </w:p>
        </w:tc>
        <w:tc>
          <w:tcPr>
            <w:tcW w:w="1106" w:type="dxa"/>
            <w:shd w:val="clear" w:color="auto" w:fill="E6E7E8"/>
          </w:tcPr>
          <w:p>
            <w:pPr>
              <w:pStyle w:val="TableParagraph"/>
              <w:ind w:right="71"/>
              <w:rPr>
                <w:sz w:val="16"/>
              </w:rPr>
            </w:pPr>
            <w:r>
              <w:rPr>
                <w:w w:val="75"/>
                <w:sz w:val="16"/>
              </w:rPr>
              <w:t>16.3%</w:t>
            </w:r>
          </w:p>
        </w:tc>
        <w:tc>
          <w:tcPr>
            <w:tcW w:w="1106" w:type="dxa"/>
            <w:shd w:val="clear" w:color="auto" w:fill="E6E7E8"/>
          </w:tcPr>
          <w:p>
            <w:pPr>
              <w:pStyle w:val="TableParagraph"/>
              <w:ind w:right="72"/>
              <w:rPr>
                <w:sz w:val="16"/>
              </w:rPr>
            </w:pPr>
            <w:r>
              <w:rPr>
                <w:w w:val="80"/>
                <w:sz w:val="16"/>
              </w:rPr>
              <w:t>7,129</w:t>
            </w:r>
          </w:p>
        </w:tc>
        <w:tc>
          <w:tcPr>
            <w:tcW w:w="1106" w:type="dxa"/>
            <w:shd w:val="clear" w:color="auto" w:fill="E6E7E8"/>
          </w:tcPr>
          <w:p>
            <w:pPr>
              <w:pStyle w:val="TableParagraph"/>
              <w:ind w:right="71"/>
              <w:rPr>
                <w:sz w:val="16"/>
              </w:rPr>
            </w:pPr>
            <w:r>
              <w:rPr>
                <w:w w:val="75"/>
                <w:sz w:val="16"/>
              </w:rPr>
              <w:t>16.3%</w:t>
            </w:r>
          </w:p>
        </w:tc>
        <w:tc>
          <w:tcPr>
            <w:tcW w:w="1106" w:type="dxa"/>
            <w:shd w:val="clear" w:color="auto" w:fill="E6E7E8"/>
          </w:tcPr>
          <w:p>
            <w:pPr>
              <w:pStyle w:val="TableParagraph"/>
              <w:ind w:right="72"/>
              <w:rPr>
                <w:sz w:val="16"/>
              </w:rPr>
            </w:pPr>
            <w:r>
              <w:rPr>
                <w:spacing w:val="-9"/>
                <w:w w:val="83"/>
                <w:sz w:val="16"/>
              </w:rPr>
              <w:t>7</w:t>
            </w:r>
            <w:r>
              <w:rPr>
                <w:spacing w:val="6"/>
                <w:w w:val="83"/>
                <w:sz w:val="16"/>
              </w:rPr>
              <w:t>,</w:t>
            </w:r>
            <w:r>
              <w:rPr>
                <w:spacing w:val="4"/>
                <w:w w:val="93"/>
                <w:sz w:val="16"/>
              </w:rPr>
              <w:t>2</w:t>
            </w:r>
            <w:r>
              <w:rPr>
                <w:spacing w:val="4"/>
                <w:w w:val="54"/>
                <w:sz w:val="16"/>
              </w:rPr>
              <w:t>1</w:t>
            </w:r>
            <w:r>
              <w:rPr>
                <w:w w:val="111"/>
                <w:sz w:val="16"/>
              </w:rPr>
              <w:t>0</w:t>
            </w:r>
          </w:p>
        </w:tc>
        <w:tc>
          <w:tcPr>
            <w:tcW w:w="1114" w:type="dxa"/>
            <w:shd w:val="clear" w:color="auto" w:fill="E6E7E8"/>
          </w:tcPr>
          <w:p>
            <w:pPr>
              <w:pStyle w:val="TableParagraph"/>
              <w:ind w:right="72"/>
              <w:rPr>
                <w:sz w:val="16"/>
              </w:rPr>
            </w:pPr>
            <w:r>
              <w:rPr>
                <w:w w:val="80"/>
                <w:sz w:val="16"/>
              </w:rPr>
              <w:t>16.0%</w:t>
            </w:r>
          </w:p>
        </w:tc>
      </w:tr>
      <w:tr>
        <w:trPr>
          <w:trHeight w:val="312" w:hRule="exact"/>
        </w:trPr>
        <w:tc>
          <w:tcPr>
            <w:tcW w:w="3429" w:type="dxa"/>
            <w:shd w:val="clear" w:color="auto" w:fill="E6E7E8"/>
          </w:tcPr>
          <w:p>
            <w:pPr>
              <w:pStyle w:val="TableParagraph"/>
              <w:ind w:left="75"/>
              <w:jc w:val="left"/>
              <w:rPr>
                <w:sz w:val="16"/>
              </w:rPr>
            </w:pPr>
            <w:r>
              <w:rPr>
                <w:sz w:val="16"/>
              </w:rPr>
              <w:t>Hawkesbury</w:t>
            </w:r>
          </w:p>
        </w:tc>
        <w:tc>
          <w:tcPr>
            <w:tcW w:w="1106" w:type="dxa"/>
            <w:shd w:val="clear" w:color="auto" w:fill="E6E7E8"/>
          </w:tcPr>
          <w:p>
            <w:pPr>
              <w:pStyle w:val="TableParagraph"/>
              <w:ind w:right="72"/>
              <w:rPr>
                <w:sz w:val="16"/>
              </w:rPr>
            </w:pPr>
            <w:r>
              <w:rPr>
                <w:w w:val="95"/>
                <w:sz w:val="16"/>
              </w:rPr>
              <w:t>2,639</w:t>
            </w:r>
          </w:p>
        </w:tc>
        <w:tc>
          <w:tcPr>
            <w:tcW w:w="1106" w:type="dxa"/>
            <w:shd w:val="clear" w:color="auto" w:fill="E6E7E8"/>
          </w:tcPr>
          <w:p>
            <w:pPr>
              <w:pStyle w:val="TableParagraph"/>
              <w:ind w:right="71"/>
              <w:rPr>
                <w:sz w:val="16"/>
              </w:rPr>
            </w:pPr>
            <w:r>
              <w:rPr>
                <w:w w:val="80"/>
                <w:sz w:val="16"/>
              </w:rPr>
              <w:t>6.3%</w:t>
            </w:r>
          </w:p>
        </w:tc>
        <w:tc>
          <w:tcPr>
            <w:tcW w:w="1106" w:type="dxa"/>
            <w:shd w:val="clear" w:color="auto" w:fill="E6E7E8"/>
          </w:tcPr>
          <w:p>
            <w:pPr>
              <w:pStyle w:val="TableParagraph"/>
              <w:ind w:right="72"/>
              <w:rPr>
                <w:sz w:val="16"/>
              </w:rPr>
            </w:pPr>
            <w:r>
              <w:rPr>
                <w:w w:val="90"/>
                <w:sz w:val="16"/>
              </w:rPr>
              <w:t>2,705</w:t>
            </w:r>
          </w:p>
        </w:tc>
        <w:tc>
          <w:tcPr>
            <w:tcW w:w="1106" w:type="dxa"/>
            <w:shd w:val="clear" w:color="auto" w:fill="E6E7E8"/>
          </w:tcPr>
          <w:p>
            <w:pPr>
              <w:pStyle w:val="TableParagraph"/>
              <w:ind w:right="68"/>
              <w:rPr>
                <w:sz w:val="16"/>
              </w:rPr>
            </w:pPr>
            <w:r>
              <w:rPr>
                <w:w w:val="80"/>
                <w:sz w:val="16"/>
              </w:rPr>
              <w:t>6.2%</w:t>
            </w:r>
          </w:p>
        </w:tc>
        <w:tc>
          <w:tcPr>
            <w:tcW w:w="1106" w:type="dxa"/>
            <w:shd w:val="clear" w:color="auto" w:fill="E6E7E8"/>
          </w:tcPr>
          <w:p>
            <w:pPr>
              <w:pStyle w:val="TableParagraph"/>
              <w:ind w:right="72"/>
              <w:rPr>
                <w:sz w:val="16"/>
              </w:rPr>
            </w:pPr>
            <w:r>
              <w:rPr>
                <w:w w:val="90"/>
                <w:sz w:val="16"/>
              </w:rPr>
              <w:t>2,729</w:t>
            </w:r>
          </w:p>
        </w:tc>
        <w:tc>
          <w:tcPr>
            <w:tcW w:w="1114" w:type="dxa"/>
            <w:shd w:val="clear" w:color="auto" w:fill="E6E7E8"/>
          </w:tcPr>
          <w:p>
            <w:pPr>
              <w:pStyle w:val="TableParagraph"/>
              <w:ind w:right="72"/>
              <w:rPr>
                <w:sz w:val="16"/>
              </w:rPr>
            </w:pPr>
            <w:r>
              <w:rPr>
                <w:w w:val="75"/>
                <w:sz w:val="16"/>
              </w:rPr>
              <w:t>6.1%</w:t>
            </w:r>
          </w:p>
        </w:tc>
      </w:tr>
      <w:tr>
        <w:trPr>
          <w:trHeight w:val="312" w:hRule="exact"/>
        </w:trPr>
        <w:tc>
          <w:tcPr>
            <w:tcW w:w="3429" w:type="dxa"/>
            <w:shd w:val="clear" w:color="auto" w:fill="E6E7E8"/>
          </w:tcPr>
          <w:p>
            <w:pPr>
              <w:pStyle w:val="TableParagraph"/>
              <w:ind w:left="75"/>
              <w:jc w:val="left"/>
              <w:rPr>
                <w:sz w:val="16"/>
              </w:rPr>
            </w:pPr>
            <w:r>
              <w:rPr>
                <w:sz w:val="16"/>
              </w:rPr>
              <w:t>Lithgow</w:t>
            </w:r>
          </w:p>
        </w:tc>
        <w:tc>
          <w:tcPr>
            <w:tcW w:w="1106" w:type="dxa"/>
            <w:shd w:val="clear" w:color="auto" w:fill="E6E7E8"/>
          </w:tcPr>
          <w:p>
            <w:pPr>
              <w:pStyle w:val="TableParagraph"/>
              <w:ind w:right="72"/>
              <w:rPr>
                <w:sz w:val="16"/>
              </w:rPr>
            </w:pPr>
            <w:r>
              <w:rPr>
                <w:w w:val="111"/>
                <w:sz w:val="16"/>
              </w:rPr>
              <w:t>0</w:t>
            </w:r>
          </w:p>
        </w:tc>
        <w:tc>
          <w:tcPr>
            <w:tcW w:w="1106" w:type="dxa"/>
            <w:shd w:val="clear" w:color="auto" w:fill="E6E7E8"/>
          </w:tcPr>
          <w:p>
            <w:pPr>
              <w:pStyle w:val="TableParagraph"/>
              <w:ind w:right="72"/>
              <w:rPr>
                <w:sz w:val="16"/>
              </w:rPr>
            </w:pPr>
            <w:r>
              <w:rPr>
                <w:w w:val="90"/>
                <w:sz w:val="16"/>
              </w:rPr>
              <w:t>0.0%</w:t>
            </w:r>
          </w:p>
        </w:tc>
        <w:tc>
          <w:tcPr>
            <w:tcW w:w="1106" w:type="dxa"/>
            <w:shd w:val="clear" w:color="auto" w:fill="E6E7E8"/>
          </w:tcPr>
          <w:p>
            <w:pPr>
              <w:pStyle w:val="TableParagraph"/>
              <w:ind w:right="72"/>
              <w:rPr>
                <w:sz w:val="16"/>
              </w:rPr>
            </w:pPr>
            <w:r>
              <w:rPr>
                <w:sz w:val="16"/>
              </w:rPr>
              <w:t>69</w:t>
            </w:r>
          </w:p>
        </w:tc>
        <w:tc>
          <w:tcPr>
            <w:tcW w:w="1106" w:type="dxa"/>
            <w:shd w:val="clear" w:color="auto" w:fill="E6E7E8"/>
          </w:tcPr>
          <w:p>
            <w:pPr>
              <w:pStyle w:val="TableParagraph"/>
              <w:ind w:right="72"/>
              <w:rPr>
                <w:sz w:val="16"/>
              </w:rPr>
            </w:pPr>
            <w:r>
              <w:rPr>
                <w:w w:val="85"/>
                <w:sz w:val="16"/>
              </w:rPr>
              <w:t>0.2%</w:t>
            </w:r>
          </w:p>
        </w:tc>
        <w:tc>
          <w:tcPr>
            <w:tcW w:w="1106" w:type="dxa"/>
            <w:shd w:val="clear" w:color="auto" w:fill="E6E7E8"/>
          </w:tcPr>
          <w:p>
            <w:pPr>
              <w:pStyle w:val="TableParagraph"/>
              <w:ind w:right="73"/>
              <w:rPr>
                <w:sz w:val="16"/>
              </w:rPr>
            </w:pPr>
            <w:r>
              <w:rPr>
                <w:w w:val="95"/>
                <w:sz w:val="16"/>
              </w:rPr>
              <w:t>59</w:t>
            </w:r>
          </w:p>
        </w:tc>
        <w:tc>
          <w:tcPr>
            <w:tcW w:w="1114" w:type="dxa"/>
            <w:shd w:val="clear" w:color="auto" w:fill="E6E7E8"/>
          </w:tcPr>
          <w:p>
            <w:pPr>
              <w:pStyle w:val="TableParagraph"/>
              <w:ind w:right="70"/>
              <w:rPr>
                <w:sz w:val="16"/>
              </w:rPr>
            </w:pPr>
            <w:r>
              <w:rPr>
                <w:w w:val="75"/>
                <w:sz w:val="16"/>
              </w:rPr>
              <w:t>0.1%</w:t>
            </w:r>
          </w:p>
        </w:tc>
      </w:tr>
      <w:tr>
        <w:trPr>
          <w:trHeight w:val="312" w:hRule="exact"/>
        </w:trPr>
        <w:tc>
          <w:tcPr>
            <w:tcW w:w="3429" w:type="dxa"/>
            <w:shd w:val="clear" w:color="auto" w:fill="E6E7E8"/>
          </w:tcPr>
          <w:p>
            <w:pPr>
              <w:pStyle w:val="TableParagraph"/>
              <w:ind w:left="75"/>
              <w:jc w:val="left"/>
              <w:rPr>
                <w:sz w:val="16"/>
              </w:rPr>
            </w:pPr>
            <w:r>
              <w:rPr>
                <w:sz w:val="16"/>
              </w:rPr>
              <w:t>Parramatta</w:t>
            </w:r>
          </w:p>
        </w:tc>
        <w:tc>
          <w:tcPr>
            <w:tcW w:w="1106" w:type="dxa"/>
            <w:shd w:val="clear" w:color="auto" w:fill="E6E7E8"/>
          </w:tcPr>
          <w:p>
            <w:pPr>
              <w:pStyle w:val="TableParagraph"/>
              <w:ind w:right="72"/>
              <w:rPr>
                <w:sz w:val="16"/>
              </w:rPr>
            </w:pPr>
            <w:r>
              <w:rPr>
                <w:spacing w:val="2"/>
                <w:w w:val="54"/>
                <w:sz w:val="16"/>
              </w:rPr>
              <w:t>1</w:t>
            </w:r>
            <w:r>
              <w:rPr>
                <w:spacing w:val="4"/>
                <w:w w:val="103"/>
                <w:sz w:val="16"/>
              </w:rPr>
              <w:t>4</w:t>
            </w:r>
            <w:r>
              <w:rPr>
                <w:spacing w:val="2"/>
                <w:w w:val="68"/>
                <w:sz w:val="16"/>
              </w:rPr>
              <w:t>,</w:t>
            </w:r>
            <w:r>
              <w:rPr>
                <w:spacing w:val="1"/>
                <w:w w:val="103"/>
                <w:sz w:val="16"/>
              </w:rPr>
              <w:t>4</w:t>
            </w:r>
            <w:r>
              <w:rPr>
                <w:spacing w:val="3"/>
                <w:w w:val="94"/>
                <w:sz w:val="16"/>
              </w:rPr>
              <w:t>3</w:t>
            </w:r>
            <w:r>
              <w:rPr>
                <w:w w:val="111"/>
                <w:sz w:val="16"/>
              </w:rPr>
              <w:t>0</w:t>
            </w:r>
          </w:p>
        </w:tc>
        <w:tc>
          <w:tcPr>
            <w:tcW w:w="1106" w:type="dxa"/>
            <w:shd w:val="clear" w:color="auto" w:fill="E6E7E8"/>
          </w:tcPr>
          <w:p>
            <w:pPr>
              <w:pStyle w:val="TableParagraph"/>
              <w:ind w:right="73"/>
              <w:rPr>
                <w:sz w:val="16"/>
              </w:rPr>
            </w:pPr>
            <w:r>
              <w:rPr>
                <w:w w:val="90"/>
                <w:sz w:val="16"/>
              </w:rPr>
              <w:t>34.4%</w:t>
            </w:r>
          </w:p>
        </w:tc>
        <w:tc>
          <w:tcPr>
            <w:tcW w:w="1106" w:type="dxa"/>
            <w:shd w:val="clear" w:color="auto" w:fill="E6E7E8"/>
          </w:tcPr>
          <w:p>
            <w:pPr>
              <w:pStyle w:val="TableParagraph"/>
              <w:ind w:right="72"/>
              <w:rPr>
                <w:sz w:val="16"/>
              </w:rPr>
            </w:pPr>
            <w:r>
              <w:rPr>
                <w:w w:val="80"/>
                <w:sz w:val="16"/>
              </w:rPr>
              <w:t>15,129</w:t>
            </w:r>
          </w:p>
        </w:tc>
        <w:tc>
          <w:tcPr>
            <w:tcW w:w="1106" w:type="dxa"/>
            <w:shd w:val="clear" w:color="auto" w:fill="E6E7E8"/>
          </w:tcPr>
          <w:p>
            <w:pPr>
              <w:pStyle w:val="TableParagraph"/>
              <w:ind w:right="71"/>
              <w:rPr>
                <w:sz w:val="16"/>
              </w:rPr>
            </w:pPr>
            <w:r>
              <w:rPr>
                <w:w w:val="85"/>
                <w:sz w:val="16"/>
              </w:rPr>
              <w:t>34.6%</w:t>
            </w:r>
          </w:p>
        </w:tc>
        <w:tc>
          <w:tcPr>
            <w:tcW w:w="1106" w:type="dxa"/>
            <w:shd w:val="clear" w:color="auto" w:fill="E6E7E8"/>
          </w:tcPr>
          <w:p>
            <w:pPr>
              <w:pStyle w:val="TableParagraph"/>
              <w:ind w:right="72"/>
              <w:rPr>
                <w:sz w:val="16"/>
              </w:rPr>
            </w:pPr>
            <w:r>
              <w:rPr>
                <w:w w:val="80"/>
                <w:sz w:val="16"/>
              </w:rPr>
              <w:t>14,981</w:t>
            </w:r>
          </w:p>
        </w:tc>
        <w:tc>
          <w:tcPr>
            <w:tcW w:w="1114" w:type="dxa"/>
            <w:shd w:val="clear" w:color="auto" w:fill="E6E7E8"/>
          </w:tcPr>
          <w:p>
            <w:pPr>
              <w:pStyle w:val="TableParagraph"/>
              <w:ind w:right="71"/>
              <w:rPr>
                <w:sz w:val="16"/>
              </w:rPr>
            </w:pPr>
            <w:r>
              <w:rPr>
                <w:w w:val="85"/>
                <w:sz w:val="16"/>
              </w:rPr>
              <w:t>33.3%</w:t>
            </w:r>
          </w:p>
        </w:tc>
      </w:tr>
      <w:tr>
        <w:trPr>
          <w:trHeight w:val="312" w:hRule="exact"/>
        </w:trPr>
        <w:tc>
          <w:tcPr>
            <w:tcW w:w="3429" w:type="dxa"/>
            <w:shd w:val="clear" w:color="auto" w:fill="E6E7E8"/>
          </w:tcPr>
          <w:p>
            <w:pPr>
              <w:pStyle w:val="TableParagraph"/>
              <w:ind w:left="75"/>
              <w:jc w:val="left"/>
              <w:rPr>
                <w:sz w:val="16"/>
              </w:rPr>
            </w:pPr>
            <w:r>
              <w:rPr>
                <w:sz w:val="16"/>
              </w:rPr>
              <w:t>Penrith</w:t>
            </w:r>
          </w:p>
        </w:tc>
        <w:tc>
          <w:tcPr>
            <w:tcW w:w="1106" w:type="dxa"/>
            <w:shd w:val="clear" w:color="auto" w:fill="E6E7E8"/>
          </w:tcPr>
          <w:p>
            <w:pPr>
              <w:pStyle w:val="TableParagraph"/>
              <w:ind w:right="72"/>
              <w:rPr>
                <w:sz w:val="16"/>
              </w:rPr>
            </w:pPr>
            <w:r>
              <w:rPr>
                <w:w w:val="95"/>
                <w:sz w:val="16"/>
              </w:rPr>
              <w:t>8,703</w:t>
            </w:r>
          </w:p>
        </w:tc>
        <w:tc>
          <w:tcPr>
            <w:tcW w:w="1106" w:type="dxa"/>
            <w:shd w:val="clear" w:color="auto" w:fill="E6E7E8"/>
          </w:tcPr>
          <w:p>
            <w:pPr>
              <w:pStyle w:val="TableParagraph"/>
              <w:ind w:right="72"/>
              <w:rPr>
                <w:sz w:val="16"/>
              </w:rPr>
            </w:pPr>
            <w:r>
              <w:rPr>
                <w:w w:val="90"/>
                <w:sz w:val="16"/>
              </w:rPr>
              <w:t>20.8%</w:t>
            </w:r>
          </w:p>
        </w:tc>
        <w:tc>
          <w:tcPr>
            <w:tcW w:w="1106" w:type="dxa"/>
            <w:shd w:val="clear" w:color="auto" w:fill="E6E7E8"/>
          </w:tcPr>
          <w:p>
            <w:pPr>
              <w:pStyle w:val="TableParagraph"/>
              <w:ind w:right="72"/>
              <w:rPr>
                <w:sz w:val="16"/>
              </w:rPr>
            </w:pPr>
            <w:r>
              <w:rPr>
                <w:w w:val="95"/>
                <w:sz w:val="16"/>
              </w:rPr>
              <w:t>8,484</w:t>
            </w:r>
          </w:p>
        </w:tc>
        <w:tc>
          <w:tcPr>
            <w:tcW w:w="1106" w:type="dxa"/>
            <w:shd w:val="clear" w:color="auto" w:fill="E6E7E8"/>
          </w:tcPr>
          <w:p>
            <w:pPr>
              <w:pStyle w:val="TableParagraph"/>
              <w:ind w:right="73"/>
              <w:rPr>
                <w:sz w:val="16"/>
              </w:rPr>
            </w:pPr>
            <w:r>
              <w:rPr>
                <w:w w:val="80"/>
                <w:sz w:val="16"/>
              </w:rPr>
              <w:t>19.4%</w:t>
            </w:r>
          </w:p>
        </w:tc>
        <w:tc>
          <w:tcPr>
            <w:tcW w:w="1106" w:type="dxa"/>
            <w:shd w:val="clear" w:color="auto" w:fill="E6E7E8"/>
          </w:tcPr>
          <w:p>
            <w:pPr>
              <w:pStyle w:val="TableParagraph"/>
              <w:ind w:right="72"/>
              <w:rPr>
                <w:sz w:val="16"/>
              </w:rPr>
            </w:pPr>
            <w:r>
              <w:rPr>
                <w:w w:val="95"/>
                <w:sz w:val="16"/>
              </w:rPr>
              <w:t>8,660</w:t>
            </w:r>
          </w:p>
        </w:tc>
        <w:tc>
          <w:tcPr>
            <w:tcW w:w="1114" w:type="dxa"/>
            <w:shd w:val="clear" w:color="auto" w:fill="E6E7E8"/>
          </w:tcPr>
          <w:p>
            <w:pPr>
              <w:pStyle w:val="TableParagraph"/>
              <w:ind w:right="71"/>
              <w:rPr>
                <w:sz w:val="16"/>
              </w:rPr>
            </w:pPr>
            <w:r>
              <w:rPr>
                <w:w w:val="75"/>
                <w:sz w:val="16"/>
              </w:rPr>
              <w:t>19.3%</w:t>
            </w:r>
          </w:p>
        </w:tc>
      </w:tr>
      <w:tr>
        <w:trPr>
          <w:trHeight w:val="312" w:hRule="exact"/>
        </w:trPr>
        <w:tc>
          <w:tcPr>
            <w:tcW w:w="3429" w:type="dxa"/>
            <w:shd w:val="clear" w:color="auto" w:fill="E6E7E8"/>
          </w:tcPr>
          <w:p>
            <w:pPr>
              <w:pStyle w:val="TableParagraph"/>
              <w:ind w:left="75"/>
              <w:jc w:val="left"/>
              <w:rPr>
                <w:sz w:val="16"/>
              </w:rPr>
            </w:pPr>
            <w:r>
              <w:rPr>
                <w:sz w:val="16"/>
              </w:rPr>
              <w:t>Online</w:t>
            </w:r>
          </w:p>
        </w:tc>
        <w:tc>
          <w:tcPr>
            <w:tcW w:w="1106" w:type="dxa"/>
            <w:shd w:val="clear" w:color="auto" w:fill="E6E7E8"/>
          </w:tcPr>
          <w:p>
            <w:pPr>
              <w:pStyle w:val="TableParagraph"/>
              <w:ind w:right="72"/>
              <w:rPr>
                <w:sz w:val="16"/>
              </w:rPr>
            </w:pPr>
            <w:r>
              <w:rPr>
                <w:w w:val="111"/>
                <w:sz w:val="16"/>
              </w:rPr>
              <w:t>0</w:t>
            </w:r>
          </w:p>
        </w:tc>
        <w:tc>
          <w:tcPr>
            <w:tcW w:w="1106" w:type="dxa"/>
            <w:shd w:val="clear" w:color="auto" w:fill="E6E7E8"/>
          </w:tcPr>
          <w:p>
            <w:pPr>
              <w:pStyle w:val="TableParagraph"/>
              <w:ind w:right="72"/>
              <w:rPr>
                <w:sz w:val="16"/>
              </w:rPr>
            </w:pPr>
            <w:r>
              <w:rPr>
                <w:w w:val="90"/>
                <w:sz w:val="16"/>
              </w:rPr>
              <w:t>0.0%</w:t>
            </w:r>
          </w:p>
        </w:tc>
        <w:tc>
          <w:tcPr>
            <w:tcW w:w="1106" w:type="dxa"/>
            <w:shd w:val="clear" w:color="auto" w:fill="E6E7E8"/>
          </w:tcPr>
          <w:p>
            <w:pPr>
              <w:pStyle w:val="TableParagraph"/>
              <w:ind w:right="72"/>
              <w:rPr>
                <w:sz w:val="16"/>
              </w:rPr>
            </w:pPr>
            <w:r>
              <w:rPr>
                <w:w w:val="111"/>
                <w:sz w:val="16"/>
              </w:rPr>
              <w:t>0</w:t>
            </w:r>
          </w:p>
        </w:tc>
        <w:tc>
          <w:tcPr>
            <w:tcW w:w="1106" w:type="dxa"/>
            <w:shd w:val="clear" w:color="auto" w:fill="E6E7E8"/>
          </w:tcPr>
          <w:p>
            <w:pPr>
              <w:pStyle w:val="TableParagraph"/>
              <w:ind w:right="72"/>
              <w:rPr>
                <w:sz w:val="16"/>
              </w:rPr>
            </w:pPr>
            <w:r>
              <w:rPr>
                <w:w w:val="90"/>
                <w:sz w:val="16"/>
              </w:rPr>
              <w:t>0.0%</w:t>
            </w:r>
          </w:p>
        </w:tc>
        <w:tc>
          <w:tcPr>
            <w:tcW w:w="1106" w:type="dxa"/>
            <w:shd w:val="clear" w:color="auto" w:fill="E6E7E8"/>
          </w:tcPr>
          <w:p>
            <w:pPr>
              <w:pStyle w:val="TableParagraph"/>
              <w:ind w:right="72"/>
              <w:rPr>
                <w:sz w:val="16"/>
              </w:rPr>
            </w:pPr>
            <w:r>
              <w:rPr>
                <w:w w:val="80"/>
                <w:sz w:val="16"/>
              </w:rPr>
              <w:t>188</w:t>
            </w:r>
          </w:p>
        </w:tc>
        <w:tc>
          <w:tcPr>
            <w:tcW w:w="1114" w:type="dxa"/>
            <w:shd w:val="clear" w:color="auto" w:fill="E6E7E8"/>
          </w:tcPr>
          <w:p>
            <w:pPr>
              <w:pStyle w:val="TableParagraph"/>
              <w:ind w:right="73"/>
              <w:rPr>
                <w:sz w:val="16"/>
              </w:rPr>
            </w:pPr>
            <w:r>
              <w:rPr>
                <w:w w:val="85"/>
                <w:sz w:val="16"/>
              </w:rPr>
              <w:t>0.4%</w:t>
            </w:r>
          </w:p>
        </w:tc>
      </w:tr>
      <w:tr>
        <w:trPr>
          <w:trHeight w:val="312" w:hRule="exact"/>
        </w:trPr>
        <w:tc>
          <w:tcPr>
            <w:tcW w:w="3429" w:type="dxa"/>
            <w:shd w:val="clear" w:color="auto" w:fill="E6E7E8"/>
          </w:tcPr>
          <w:p>
            <w:pPr>
              <w:pStyle w:val="TableParagraph"/>
              <w:spacing w:before="63"/>
              <w:ind w:left="75"/>
              <w:jc w:val="left"/>
              <w:rPr>
                <w:rFonts w:ascii="Calibri"/>
                <w:sz w:val="16"/>
              </w:rPr>
            </w:pPr>
            <w:r>
              <w:rPr>
                <w:rFonts w:ascii="Calibri"/>
                <w:sz w:val="16"/>
              </w:rPr>
              <w:t>Other*</w:t>
            </w:r>
          </w:p>
        </w:tc>
        <w:tc>
          <w:tcPr>
            <w:tcW w:w="1106" w:type="dxa"/>
            <w:shd w:val="clear" w:color="auto" w:fill="E6E7E8"/>
          </w:tcPr>
          <w:p>
            <w:pPr>
              <w:pStyle w:val="TableParagraph"/>
              <w:spacing w:before="63"/>
              <w:ind w:right="72"/>
              <w:rPr>
                <w:rFonts w:ascii="Calibri"/>
                <w:sz w:val="16"/>
              </w:rPr>
            </w:pPr>
            <w:r>
              <w:rPr>
                <w:rFonts w:ascii="Calibri"/>
                <w:w w:val="110"/>
                <w:sz w:val="16"/>
              </w:rPr>
              <w:t>730</w:t>
            </w:r>
          </w:p>
        </w:tc>
        <w:tc>
          <w:tcPr>
            <w:tcW w:w="1106" w:type="dxa"/>
            <w:shd w:val="clear" w:color="auto" w:fill="E6E7E8"/>
          </w:tcPr>
          <w:p>
            <w:pPr>
              <w:pStyle w:val="TableParagraph"/>
              <w:spacing w:before="63"/>
              <w:ind w:right="72"/>
              <w:rPr>
                <w:rFonts w:ascii="Calibri"/>
                <w:sz w:val="16"/>
              </w:rPr>
            </w:pPr>
            <w:r>
              <w:rPr>
                <w:rFonts w:ascii="Calibri"/>
                <w:w w:val="95"/>
                <w:sz w:val="16"/>
              </w:rPr>
              <w:t>1.7%</w:t>
            </w:r>
          </w:p>
        </w:tc>
        <w:tc>
          <w:tcPr>
            <w:tcW w:w="1106" w:type="dxa"/>
            <w:shd w:val="clear" w:color="auto" w:fill="E6E7E8"/>
          </w:tcPr>
          <w:p>
            <w:pPr>
              <w:pStyle w:val="TableParagraph"/>
              <w:spacing w:before="63"/>
              <w:ind w:right="72"/>
              <w:rPr>
                <w:rFonts w:ascii="Calibri"/>
                <w:sz w:val="16"/>
              </w:rPr>
            </w:pPr>
            <w:r>
              <w:rPr>
                <w:rFonts w:ascii="Calibri"/>
                <w:w w:val="105"/>
                <w:sz w:val="16"/>
              </w:rPr>
              <w:t>725</w:t>
            </w:r>
          </w:p>
        </w:tc>
        <w:tc>
          <w:tcPr>
            <w:tcW w:w="1106" w:type="dxa"/>
            <w:shd w:val="clear" w:color="auto" w:fill="E6E7E8"/>
          </w:tcPr>
          <w:p>
            <w:pPr>
              <w:pStyle w:val="TableParagraph"/>
              <w:spacing w:before="63"/>
              <w:ind w:right="72"/>
              <w:rPr>
                <w:rFonts w:ascii="Calibri"/>
                <w:sz w:val="16"/>
              </w:rPr>
            </w:pPr>
            <w:r>
              <w:rPr>
                <w:rFonts w:ascii="Calibri"/>
                <w:w w:val="95"/>
                <w:sz w:val="16"/>
              </w:rPr>
              <w:t>1.7%</w:t>
            </w:r>
          </w:p>
        </w:tc>
        <w:tc>
          <w:tcPr>
            <w:tcW w:w="1106" w:type="dxa"/>
            <w:shd w:val="clear" w:color="auto" w:fill="E6E7E8"/>
          </w:tcPr>
          <w:p>
            <w:pPr>
              <w:pStyle w:val="TableParagraph"/>
              <w:spacing w:before="63"/>
              <w:ind w:right="68"/>
              <w:rPr>
                <w:rFonts w:ascii="Calibri"/>
                <w:sz w:val="16"/>
              </w:rPr>
            </w:pPr>
            <w:r>
              <w:rPr>
                <w:rFonts w:ascii="Calibri"/>
                <w:w w:val="115"/>
                <w:sz w:val="16"/>
              </w:rPr>
              <w:t>680</w:t>
            </w:r>
          </w:p>
        </w:tc>
        <w:tc>
          <w:tcPr>
            <w:tcW w:w="1114" w:type="dxa"/>
            <w:shd w:val="clear" w:color="auto" w:fill="E6E7E8"/>
          </w:tcPr>
          <w:p>
            <w:pPr>
              <w:pStyle w:val="TableParagraph"/>
              <w:spacing w:before="63"/>
              <w:ind w:right="71"/>
              <w:rPr>
                <w:rFonts w:ascii="Calibri"/>
                <w:sz w:val="16"/>
              </w:rPr>
            </w:pPr>
            <w:r>
              <w:rPr>
                <w:rFonts w:ascii="Calibri"/>
                <w:w w:val="95"/>
                <w:sz w:val="16"/>
              </w:rPr>
              <w:t>1.5%</w:t>
            </w:r>
          </w:p>
        </w:tc>
      </w:tr>
      <w:tr>
        <w:trPr>
          <w:trHeight w:val="312" w:hRule="exact"/>
        </w:trPr>
        <w:tc>
          <w:tcPr>
            <w:tcW w:w="3429" w:type="dxa"/>
            <w:shd w:val="clear" w:color="auto" w:fill="E6E7E8"/>
          </w:tcPr>
          <w:p>
            <w:pPr>
              <w:pStyle w:val="TableParagraph"/>
              <w:spacing w:before="63"/>
              <w:ind w:left="75"/>
              <w:jc w:val="left"/>
              <w:rPr>
                <w:rFonts w:ascii="Calibri"/>
                <w:sz w:val="16"/>
              </w:rPr>
            </w:pPr>
            <w:r>
              <w:rPr>
                <w:rFonts w:ascii="Calibri"/>
                <w:w w:val="110"/>
                <w:sz w:val="16"/>
              </w:rPr>
              <w:t>Total</w:t>
            </w:r>
          </w:p>
        </w:tc>
        <w:tc>
          <w:tcPr>
            <w:tcW w:w="1106" w:type="dxa"/>
            <w:shd w:val="clear" w:color="auto" w:fill="E6E7E8"/>
          </w:tcPr>
          <w:p>
            <w:pPr>
              <w:pStyle w:val="TableParagraph"/>
              <w:spacing w:before="63"/>
              <w:ind w:right="72"/>
              <w:rPr>
                <w:rFonts w:ascii="Calibri"/>
                <w:sz w:val="16"/>
              </w:rPr>
            </w:pPr>
            <w:r>
              <w:rPr>
                <w:rFonts w:ascii="Calibri"/>
                <w:sz w:val="16"/>
              </w:rPr>
              <w:t>41,923</w:t>
            </w:r>
          </w:p>
        </w:tc>
        <w:tc>
          <w:tcPr>
            <w:tcW w:w="1106" w:type="dxa"/>
            <w:shd w:val="clear" w:color="auto" w:fill="E6E7E8"/>
          </w:tcPr>
          <w:p>
            <w:pPr>
              <w:pStyle w:val="TableParagraph"/>
              <w:spacing w:before="63"/>
              <w:ind w:right="72"/>
              <w:rPr>
                <w:rFonts w:ascii="Calibri"/>
                <w:sz w:val="16"/>
              </w:rPr>
            </w:pPr>
            <w:r>
              <w:rPr>
                <w:rFonts w:ascii="Calibri"/>
                <w:w w:val="110"/>
                <w:sz w:val="16"/>
              </w:rPr>
              <w:t>100.0%</w:t>
            </w:r>
          </w:p>
        </w:tc>
        <w:tc>
          <w:tcPr>
            <w:tcW w:w="1106" w:type="dxa"/>
            <w:shd w:val="clear" w:color="auto" w:fill="E6E7E8"/>
          </w:tcPr>
          <w:p>
            <w:pPr>
              <w:pStyle w:val="TableParagraph"/>
              <w:spacing w:before="63"/>
              <w:ind w:right="72"/>
              <w:rPr>
                <w:rFonts w:ascii="Calibri"/>
                <w:sz w:val="16"/>
              </w:rPr>
            </w:pPr>
            <w:r>
              <w:rPr>
                <w:rFonts w:ascii="Calibri"/>
                <w:w w:val="105"/>
                <w:sz w:val="16"/>
              </w:rPr>
              <w:t>43,783</w:t>
            </w:r>
          </w:p>
        </w:tc>
        <w:tc>
          <w:tcPr>
            <w:tcW w:w="1106" w:type="dxa"/>
            <w:shd w:val="clear" w:color="auto" w:fill="E6E7E8"/>
          </w:tcPr>
          <w:p>
            <w:pPr>
              <w:pStyle w:val="TableParagraph"/>
              <w:spacing w:before="63"/>
              <w:ind w:right="72"/>
              <w:rPr>
                <w:rFonts w:ascii="Calibri"/>
                <w:sz w:val="16"/>
              </w:rPr>
            </w:pPr>
            <w:r>
              <w:rPr>
                <w:rFonts w:ascii="Calibri"/>
                <w:w w:val="110"/>
                <w:sz w:val="16"/>
              </w:rPr>
              <w:t>100.0%</w:t>
            </w:r>
          </w:p>
        </w:tc>
        <w:tc>
          <w:tcPr>
            <w:tcW w:w="1106" w:type="dxa"/>
            <w:shd w:val="clear" w:color="auto" w:fill="E6E7E8"/>
          </w:tcPr>
          <w:p>
            <w:pPr>
              <w:pStyle w:val="TableParagraph"/>
              <w:spacing w:before="63"/>
              <w:ind w:right="72"/>
              <w:rPr>
                <w:rFonts w:ascii="Calibri"/>
                <w:sz w:val="16"/>
              </w:rPr>
            </w:pPr>
            <w:r>
              <w:rPr>
                <w:rFonts w:ascii="Calibri"/>
                <w:w w:val="110"/>
                <w:sz w:val="16"/>
              </w:rPr>
              <w:t>44,934</w:t>
            </w:r>
          </w:p>
        </w:tc>
        <w:tc>
          <w:tcPr>
            <w:tcW w:w="1114" w:type="dxa"/>
            <w:shd w:val="clear" w:color="auto" w:fill="E6E7E8"/>
          </w:tcPr>
          <w:p>
            <w:pPr>
              <w:pStyle w:val="TableParagraph"/>
              <w:spacing w:before="63"/>
              <w:ind w:right="72"/>
              <w:rPr>
                <w:rFonts w:ascii="Calibri"/>
                <w:sz w:val="16"/>
              </w:rPr>
            </w:pPr>
            <w:r>
              <w:rPr>
                <w:rFonts w:ascii="Calibri"/>
                <w:w w:val="110"/>
                <w:sz w:val="16"/>
              </w:rPr>
              <w:t>100.0%</w:t>
            </w:r>
          </w:p>
        </w:tc>
      </w:tr>
    </w:tbl>
    <w:p>
      <w:pPr>
        <w:pStyle w:val="BodyText"/>
        <w:spacing w:before="44"/>
        <w:ind w:left="347" w:right="6585"/>
      </w:pPr>
      <w:r>
        <w:rPr/>
        <w:t>*Other includes external, offshore and other</w:t>
      </w:r>
    </w:p>
    <w:p>
      <w:pPr>
        <w:pStyle w:val="BodyText"/>
        <w:spacing w:before="7"/>
        <w:ind w:left="347" w:right="411"/>
      </w:pPr>
      <w:r>
        <w:rPr/>
        <w:t>(Source: Enrolment submissions to the Department of Education and Training)</w:t>
      </w:r>
    </w:p>
    <w:p>
      <w:pPr>
        <w:spacing w:after="0"/>
        <w:sectPr>
          <w:pgSz w:w="11910" w:h="16840"/>
          <w:pgMar w:header="494" w:footer="473" w:top="680" w:bottom="660" w:left="580" w:right="580"/>
        </w:sectPr>
      </w:pPr>
    </w:p>
    <w:p>
      <w:pPr>
        <w:pStyle w:val="BodyText"/>
        <w:rPr>
          <w:sz w:val="20"/>
        </w:rPr>
      </w:pPr>
      <w:r>
        <w:rPr/>
        <w:pict>
          <v:rect style="position:absolute;margin-left:34.015999pt;margin-top:45.355015pt;width:527.244pt;height:751.181pt;mso-position-horizontal-relative:page;mso-position-vertical-relative:page;z-index:-331576" filled="true" fillcolor="#e6e7e8"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8"/>
        <w:ind w:left="327" w:right="5322"/>
      </w:pPr>
      <w:r>
        <w:rPr>
          <w:color w:val="636466"/>
          <w:w w:val="95"/>
        </w:rPr>
        <w:t>Table 7: Student Low SES* Participation Rate 2011–15 (p)</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208"/>
        <w:gridCol w:w="1148"/>
        <w:gridCol w:w="1148"/>
      </w:tblGrid>
      <w:tr>
        <w:trPr>
          <w:trHeight w:val="312" w:hRule="exact"/>
        </w:trPr>
        <w:tc>
          <w:tcPr>
            <w:tcW w:w="5504" w:type="dxa"/>
            <w:gridSpan w:val="3"/>
            <w:tcBorders>
              <w:top w:val="nil"/>
              <w:left w:val="nil"/>
              <w:bottom w:val="nil"/>
              <w:right w:val="nil"/>
            </w:tcBorders>
            <w:shd w:val="clear" w:color="auto" w:fill="939598"/>
          </w:tcPr>
          <w:p>
            <w:pPr>
              <w:pStyle w:val="TableParagraph"/>
              <w:tabs>
                <w:tab w:pos="3923" w:val="left" w:leader="none"/>
                <w:tab w:pos="4693" w:val="left" w:leader="none"/>
              </w:tabs>
              <w:spacing w:before="66"/>
              <w:ind w:left="80"/>
              <w:jc w:val="left"/>
              <w:rPr>
                <w:rFonts w:ascii="Gotham Narrow Bold"/>
                <w:b/>
                <w:sz w:val="16"/>
              </w:rPr>
            </w:pPr>
            <w:r>
              <w:rPr>
                <w:rFonts w:ascii="Gotham Narrow Bold"/>
                <w:b/>
                <w:color w:val="FFFFFF"/>
                <w:spacing w:val="2"/>
                <w:sz w:val="16"/>
              </w:rPr>
              <w:t>YEAR</w:t>
              <w:tab/>
            </w:r>
            <w:r>
              <w:rPr>
                <w:rFonts w:ascii="Gotham Narrow Bold"/>
                <w:b/>
                <w:color w:val="FFFFFF"/>
                <w:sz w:val="16"/>
              </w:rPr>
              <w:t>UWS</w:t>
              <w:tab/>
            </w:r>
            <w:r>
              <w:rPr>
                <w:rFonts w:ascii="Gotham Narrow Bold"/>
                <w:b/>
                <w:color w:val="FFFFFF"/>
                <w:spacing w:val="2"/>
                <w:sz w:val="16"/>
              </w:rPr>
              <w:t>SECTOR**</w:t>
            </w:r>
          </w:p>
        </w:tc>
      </w:tr>
      <w:tr>
        <w:trPr>
          <w:trHeight w:val="312" w:hRule="exact"/>
        </w:trPr>
        <w:tc>
          <w:tcPr>
            <w:tcW w:w="3208" w:type="dxa"/>
            <w:tcBorders>
              <w:top w:val="nil"/>
            </w:tcBorders>
            <w:shd w:val="clear" w:color="auto" w:fill="E6E7E8"/>
          </w:tcPr>
          <w:p>
            <w:pPr>
              <w:pStyle w:val="TableParagraph"/>
              <w:spacing w:before="60"/>
              <w:ind w:left="74"/>
              <w:jc w:val="left"/>
              <w:rPr>
                <w:sz w:val="16"/>
              </w:rPr>
            </w:pPr>
            <w:r>
              <w:rPr>
                <w:spacing w:val="2"/>
                <w:w w:val="93"/>
                <w:sz w:val="16"/>
              </w:rPr>
              <w:t>2</w:t>
            </w:r>
            <w:r>
              <w:rPr>
                <w:spacing w:val="1"/>
                <w:w w:val="111"/>
                <w:sz w:val="16"/>
              </w:rPr>
              <w:t>0</w:t>
            </w:r>
            <w:r>
              <w:rPr>
                <w:spacing w:val="3"/>
                <w:w w:val="54"/>
                <w:sz w:val="16"/>
              </w:rPr>
              <w:t>1</w:t>
            </w:r>
            <w:r>
              <w:rPr>
                <w:w w:val="54"/>
                <w:sz w:val="16"/>
              </w:rPr>
              <w:t>1</w:t>
            </w:r>
          </w:p>
        </w:tc>
        <w:tc>
          <w:tcPr>
            <w:tcW w:w="1148" w:type="dxa"/>
            <w:tcBorders>
              <w:top w:val="nil"/>
            </w:tcBorders>
            <w:shd w:val="clear" w:color="auto" w:fill="E6E7E8"/>
          </w:tcPr>
          <w:p>
            <w:pPr>
              <w:pStyle w:val="TableParagraph"/>
              <w:spacing w:before="60"/>
              <w:ind w:right="74"/>
              <w:rPr>
                <w:sz w:val="16"/>
              </w:rPr>
            </w:pPr>
            <w:r>
              <w:rPr>
                <w:w w:val="90"/>
                <w:sz w:val="16"/>
              </w:rPr>
              <w:t>23.0%</w:t>
            </w:r>
          </w:p>
        </w:tc>
        <w:tc>
          <w:tcPr>
            <w:tcW w:w="1148" w:type="dxa"/>
            <w:tcBorders>
              <w:top w:val="nil"/>
            </w:tcBorders>
            <w:shd w:val="clear" w:color="auto" w:fill="E6E7E8"/>
          </w:tcPr>
          <w:p>
            <w:pPr>
              <w:pStyle w:val="TableParagraph"/>
              <w:spacing w:before="60"/>
              <w:ind w:right="73"/>
              <w:rPr>
                <w:sz w:val="16"/>
              </w:rPr>
            </w:pPr>
            <w:r>
              <w:rPr>
                <w:w w:val="80"/>
                <w:sz w:val="16"/>
              </w:rPr>
              <w:t>15.9%</w:t>
            </w:r>
          </w:p>
        </w:tc>
      </w:tr>
      <w:tr>
        <w:trPr>
          <w:trHeight w:val="312" w:hRule="exact"/>
        </w:trPr>
        <w:tc>
          <w:tcPr>
            <w:tcW w:w="3208" w:type="dxa"/>
            <w:shd w:val="clear" w:color="auto" w:fill="E6E7E8"/>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93"/>
                <w:sz w:val="16"/>
              </w:rPr>
              <w:t>2</w:t>
            </w:r>
          </w:p>
        </w:tc>
        <w:tc>
          <w:tcPr>
            <w:tcW w:w="1148" w:type="dxa"/>
            <w:shd w:val="clear" w:color="auto" w:fill="E6E7E8"/>
          </w:tcPr>
          <w:p>
            <w:pPr>
              <w:pStyle w:val="TableParagraph"/>
              <w:ind w:right="72"/>
              <w:rPr>
                <w:sz w:val="16"/>
              </w:rPr>
            </w:pPr>
            <w:r>
              <w:rPr>
                <w:w w:val="85"/>
                <w:sz w:val="16"/>
              </w:rPr>
              <w:t>23.6%</w:t>
            </w:r>
          </w:p>
        </w:tc>
        <w:tc>
          <w:tcPr>
            <w:tcW w:w="1148" w:type="dxa"/>
            <w:shd w:val="clear" w:color="auto" w:fill="E6E7E8"/>
          </w:tcPr>
          <w:p>
            <w:pPr>
              <w:pStyle w:val="TableParagraph"/>
              <w:ind w:right="73"/>
              <w:rPr>
                <w:sz w:val="16"/>
              </w:rPr>
            </w:pPr>
            <w:r>
              <w:rPr>
                <w:w w:val="70"/>
                <w:sz w:val="16"/>
              </w:rPr>
              <w:t>16.1%</w:t>
            </w:r>
          </w:p>
        </w:tc>
      </w:tr>
      <w:tr>
        <w:trPr>
          <w:trHeight w:val="312" w:hRule="exact"/>
        </w:trPr>
        <w:tc>
          <w:tcPr>
            <w:tcW w:w="3208" w:type="dxa"/>
            <w:shd w:val="clear" w:color="auto" w:fill="E6E7E8"/>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94"/>
                <w:sz w:val="16"/>
              </w:rPr>
              <w:t>3</w:t>
            </w:r>
          </w:p>
        </w:tc>
        <w:tc>
          <w:tcPr>
            <w:tcW w:w="1148" w:type="dxa"/>
            <w:shd w:val="clear" w:color="auto" w:fill="E6E7E8"/>
          </w:tcPr>
          <w:p>
            <w:pPr>
              <w:pStyle w:val="TableParagraph"/>
              <w:ind w:right="73"/>
              <w:rPr>
                <w:sz w:val="16"/>
              </w:rPr>
            </w:pPr>
            <w:r>
              <w:rPr>
                <w:w w:val="85"/>
                <w:sz w:val="16"/>
              </w:rPr>
              <w:t>24.4%</w:t>
            </w:r>
          </w:p>
        </w:tc>
        <w:tc>
          <w:tcPr>
            <w:tcW w:w="1148" w:type="dxa"/>
            <w:shd w:val="clear" w:color="auto" w:fill="E6E7E8"/>
          </w:tcPr>
          <w:p>
            <w:pPr>
              <w:pStyle w:val="TableParagraph"/>
              <w:ind w:right="73"/>
              <w:rPr>
                <w:sz w:val="16"/>
              </w:rPr>
            </w:pPr>
            <w:r>
              <w:rPr>
                <w:w w:val="80"/>
                <w:sz w:val="16"/>
              </w:rPr>
              <w:t>16.4%</w:t>
            </w:r>
          </w:p>
        </w:tc>
      </w:tr>
      <w:tr>
        <w:trPr>
          <w:trHeight w:val="312" w:hRule="exact"/>
        </w:trPr>
        <w:tc>
          <w:tcPr>
            <w:tcW w:w="3208" w:type="dxa"/>
            <w:shd w:val="clear" w:color="auto" w:fill="E6E7E8"/>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103"/>
                <w:sz w:val="16"/>
              </w:rPr>
              <w:t>4</w:t>
            </w:r>
          </w:p>
        </w:tc>
        <w:tc>
          <w:tcPr>
            <w:tcW w:w="1148" w:type="dxa"/>
            <w:shd w:val="clear" w:color="auto" w:fill="E6E7E8"/>
          </w:tcPr>
          <w:p>
            <w:pPr>
              <w:pStyle w:val="TableParagraph"/>
              <w:ind w:right="73"/>
              <w:rPr>
                <w:sz w:val="16"/>
              </w:rPr>
            </w:pPr>
            <w:r>
              <w:rPr>
                <w:w w:val="85"/>
                <w:sz w:val="16"/>
              </w:rPr>
              <w:t>24.5%</w:t>
            </w:r>
          </w:p>
        </w:tc>
        <w:tc>
          <w:tcPr>
            <w:tcW w:w="1148" w:type="dxa"/>
            <w:shd w:val="clear" w:color="auto" w:fill="E6E7E8"/>
          </w:tcPr>
          <w:p>
            <w:pPr>
              <w:pStyle w:val="TableParagraph"/>
              <w:ind w:right="72"/>
              <w:rPr>
                <w:sz w:val="16"/>
              </w:rPr>
            </w:pPr>
            <w:r>
              <w:rPr>
                <w:w w:val="75"/>
                <w:sz w:val="16"/>
              </w:rPr>
              <w:t>16.5%</w:t>
            </w:r>
          </w:p>
        </w:tc>
      </w:tr>
      <w:tr>
        <w:trPr>
          <w:trHeight w:val="312" w:hRule="exact"/>
        </w:trPr>
        <w:tc>
          <w:tcPr>
            <w:tcW w:w="3208" w:type="dxa"/>
            <w:shd w:val="clear" w:color="auto" w:fill="E6E7E8"/>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95"/>
                <w:sz w:val="16"/>
              </w:rPr>
              <w:t>5</w:t>
            </w:r>
            <w:r>
              <w:rPr>
                <w:spacing w:val="-12"/>
                <w:sz w:val="16"/>
              </w:rPr>
              <w:t> </w:t>
            </w:r>
            <w:r>
              <w:rPr>
                <w:spacing w:val="1"/>
                <w:w w:val="96"/>
                <w:sz w:val="16"/>
              </w:rPr>
              <w:t>(</w:t>
            </w:r>
            <w:r>
              <w:rPr>
                <w:spacing w:val="-9"/>
                <w:w w:val="102"/>
                <w:sz w:val="16"/>
              </w:rPr>
              <w:t>p</w:t>
            </w:r>
            <w:r>
              <w:rPr>
                <w:w w:val="96"/>
                <w:sz w:val="16"/>
              </w:rPr>
              <w:t>)</w:t>
            </w:r>
          </w:p>
        </w:tc>
        <w:tc>
          <w:tcPr>
            <w:tcW w:w="1148" w:type="dxa"/>
            <w:shd w:val="clear" w:color="auto" w:fill="E6E7E8"/>
          </w:tcPr>
          <w:p>
            <w:pPr>
              <w:pStyle w:val="TableParagraph"/>
              <w:ind w:right="69"/>
              <w:rPr>
                <w:sz w:val="16"/>
              </w:rPr>
            </w:pPr>
            <w:r>
              <w:rPr>
                <w:w w:val="85"/>
                <w:sz w:val="16"/>
              </w:rPr>
              <w:t>24.9%</w:t>
            </w:r>
          </w:p>
        </w:tc>
        <w:tc>
          <w:tcPr>
            <w:tcW w:w="1148" w:type="dxa"/>
            <w:shd w:val="clear" w:color="auto" w:fill="E6E7E8"/>
          </w:tcPr>
          <w:p>
            <w:pPr>
              <w:pStyle w:val="TableParagraph"/>
              <w:ind w:right="73"/>
              <w:rPr>
                <w:sz w:val="16"/>
              </w:rPr>
            </w:pPr>
            <w:r>
              <w:rPr>
                <w:w w:val="90"/>
                <w:sz w:val="16"/>
              </w:rPr>
              <w:t>n.a</w:t>
            </w:r>
          </w:p>
        </w:tc>
      </w:tr>
    </w:tbl>
    <w:p>
      <w:pPr>
        <w:pStyle w:val="BodyText"/>
        <w:spacing w:before="73"/>
        <w:ind w:left="326" w:right="112"/>
      </w:pPr>
      <w:r>
        <w:rPr/>
        <w:t>(Source: Department of Education and Training statistical publications, and enrolment submissions to the Department of Education and Training)</w:t>
      </w:r>
    </w:p>
    <w:p>
      <w:pPr>
        <w:pStyle w:val="BodyText"/>
        <w:spacing w:line="249" w:lineRule="auto" w:before="7"/>
        <w:ind w:left="326" w:right="411"/>
      </w:pPr>
      <w:r>
        <w:rPr>
          <w:w w:val="70"/>
        </w:rPr>
        <w:t>* </w:t>
      </w:r>
      <w:r>
        <w:rPr>
          <w:w w:val="101"/>
        </w:rPr>
        <w:t>Low </w:t>
      </w:r>
      <w:r>
        <w:rPr>
          <w:w w:val="98"/>
        </w:rPr>
        <w:t>SES </w:t>
      </w:r>
      <w:r>
        <w:rPr>
          <w:w w:val="95"/>
        </w:rPr>
        <w:t>is </w:t>
      </w:r>
      <w:r>
        <w:rPr>
          <w:w w:val="98"/>
        </w:rPr>
        <w:t>based </w:t>
      </w:r>
      <w:r>
        <w:rPr>
          <w:w w:val="98"/>
        </w:rPr>
        <w:t>on </w:t>
      </w:r>
      <w:r>
        <w:rPr>
          <w:w w:val="97"/>
        </w:rPr>
        <w:t>the </w:t>
      </w:r>
      <w:r>
        <w:rPr>
          <w:w w:val="97"/>
        </w:rPr>
        <w:t>students’ </w:t>
      </w:r>
      <w:r>
        <w:rPr>
          <w:w w:val="100"/>
        </w:rPr>
        <w:t>postcode </w:t>
      </w:r>
      <w:r>
        <w:rPr>
          <w:w w:val="99"/>
        </w:rPr>
        <w:t>of </w:t>
      </w:r>
      <w:r>
        <w:rPr>
          <w:w w:val="97"/>
        </w:rPr>
        <w:t>permanent </w:t>
      </w:r>
      <w:r>
        <w:rPr>
          <w:w w:val="97"/>
        </w:rPr>
        <w:t>home </w:t>
      </w:r>
      <w:r>
        <w:rPr>
          <w:w w:val="94"/>
        </w:rPr>
        <w:t>residence, </w:t>
      </w:r>
      <w:r>
        <w:rPr>
          <w:w w:val="98"/>
        </w:rPr>
        <w:t>with </w:t>
      </w:r>
      <w:r>
        <w:rPr>
          <w:w w:val="97"/>
        </w:rPr>
        <w:t>the </w:t>
      </w:r>
      <w:r>
        <w:rPr>
          <w:w w:val="98"/>
        </w:rPr>
        <w:t>SES </w:t>
      </w:r>
      <w:r>
        <w:rPr>
          <w:w w:val="96"/>
        </w:rPr>
        <w:t>value </w:t>
      </w:r>
      <w:r>
        <w:rPr>
          <w:w w:val="98"/>
        </w:rPr>
        <w:t>derived </w:t>
      </w:r>
      <w:r>
        <w:rPr>
          <w:w w:val="98"/>
        </w:rPr>
        <w:t>from </w:t>
      </w:r>
      <w:r>
        <w:rPr>
          <w:w w:val="97"/>
        </w:rPr>
        <w:t>the </w:t>
      </w:r>
      <w:r>
        <w:rPr>
          <w:w w:val="104"/>
        </w:rPr>
        <w:t>ABS </w:t>
      </w:r>
      <w:r>
        <w:rPr>
          <w:w w:val="78"/>
        </w:rPr>
        <w:t>2011 </w:t>
      </w:r>
      <w:r>
        <w:rPr>
          <w:w w:val="96"/>
        </w:rPr>
        <w:t>Census </w:t>
      </w:r>
      <w:r>
        <w:rPr>
          <w:w w:val="96"/>
        </w:rPr>
        <w:t>SEIFA </w:t>
      </w:r>
      <w:r>
        <w:rPr>
          <w:w w:val="91"/>
        </w:rPr>
        <w:t>Index </w:t>
      </w:r>
      <w:r>
        <w:rPr/>
        <w:t>for Education and Occupation for postcodes.</w:t>
      </w:r>
    </w:p>
    <w:p>
      <w:pPr>
        <w:pStyle w:val="BodyText"/>
        <w:spacing w:line="192" w:lineRule="exact"/>
        <w:ind w:left="326" w:right="7611"/>
      </w:pPr>
      <w:r>
        <w:rPr/>
        <w:t>** Table A Providers only</w:t>
      </w:r>
    </w:p>
    <w:p>
      <w:pPr>
        <w:pStyle w:val="BodyText"/>
      </w:pPr>
    </w:p>
    <w:p>
      <w:pPr>
        <w:pStyle w:val="BodyText"/>
        <w:spacing w:before="3"/>
        <w:rPr>
          <w:sz w:val="13"/>
        </w:rPr>
      </w:pPr>
    </w:p>
    <w:p>
      <w:pPr>
        <w:pStyle w:val="Heading8"/>
        <w:ind w:left="326" w:right="5322"/>
      </w:pPr>
      <w:r>
        <w:rPr>
          <w:color w:val="636466"/>
        </w:rPr>
        <w:t>Table 8: Student Load (EFTSL) by Funding Source, 2013–15 (p)</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208"/>
        <w:gridCol w:w="1148"/>
        <w:gridCol w:w="1148"/>
        <w:gridCol w:w="1148"/>
        <w:gridCol w:w="1148"/>
        <w:gridCol w:w="1148"/>
        <w:gridCol w:w="1148"/>
      </w:tblGrid>
      <w:tr>
        <w:trPr>
          <w:trHeight w:val="312" w:hRule="exact"/>
        </w:trPr>
        <w:tc>
          <w:tcPr>
            <w:tcW w:w="3208" w:type="dxa"/>
            <w:tcBorders>
              <w:top w:val="nil"/>
              <w:left w:val="nil"/>
              <w:bottom w:val="nil"/>
              <w:right w:val="nil"/>
            </w:tcBorders>
            <w:shd w:val="clear" w:color="auto" w:fill="939598"/>
          </w:tcPr>
          <w:p>
            <w:pPr>
              <w:pStyle w:val="TableParagraph"/>
              <w:spacing w:before="66"/>
              <w:ind w:left="80"/>
              <w:jc w:val="left"/>
              <w:rPr>
                <w:rFonts w:ascii="Gotham Narrow Bold"/>
                <w:b/>
                <w:sz w:val="16"/>
              </w:rPr>
            </w:pPr>
            <w:r>
              <w:rPr>
                <w:rFonts w:ascii="Gotham Narrow Bold"/>
                <w:b/>
                <w:color w:val="FFFFFF"/>
                <w:w w:val="95"/>
                <w:sz w:val="16"/>
              </w:rPr>
              <w:t>FUNDING SOURCE</w:t>
            </w:r>
          </w:p>
        </w:tc>
        <w:tc>
          <w:tcPr>
            <w:tcW w:w="2296" w:type="dxa"/>
            <w:gridSpan w:val="2"/>
            <w:tcBorders>
              <w:top w:val="nil"/>
              <w:left w:val="nil"/>
              <w:bottom w:val="nil"/>
              <w:right w:val="nil"/>
            </w:tcBorders>
            <w:shd w:val="clear" w:color="auto" w:fill="939598"/>
          </w:tcPr>
          <w:p>
            <w:pPr>
              <w:pStyle w:val="TableParagraph"/>
              <w:tabs>
                <w:tab w:pos="2092" w:val="left" w:leader="none"/>
              </w:tabs>
              <w:spacing w:before="66"/>
              <w:ind w:left="727"/>
              <w:jc w:val="left"/>
              <w:rPr>
                <w:rFonts w:ascii="Gotham Narrow Bold"/>
                <w:b/>
                <w:sz w:val="16"/>
              </w:rPr>
            </w:pPr>
            <w:r>
              <w:rPr>
                <w:rFonts w:ascii="Gotham Narrow Bold"/>
                <w:b/>
                <w:color w:val="FFFFFF"/>
                <w:sz w:val="16"/>
              </w:rPr>
              <w:t>2013</w:t>
              <w:tab/>
              <w:t>%</w:t>
            </w:r>
          </w:p>
        </w:tc>
        <w:tc>
          <w:tcPr>
            <w:tcW w:w="2296" w:type="dxa"/>
            <w:gridSpan w:val="2"/>
            <w:tcBorders>
              <w:top w:val="nil"/>
              <w:left w:val="nil"/>
              <w:bottom w:val="nil"/>
              <w:right w:val="nil"/>
            </w:tcBorders>
            <w:shd w:val="clear" w:color="auto" w:fill="939598"/>
          </w:tcPr>
          <w:p>
            <w:pPr>
              <w:pStyle w:val="TableParagraph"/>
              <w:tabs>
                <w:tab w:pos="2092" w:val="left" w:leader="none"/>
              </w:tabs>
              <w:spacing w:before="66"/>
              <w:ind w:left="717"/>
              <w:jc w:val="left"/>
              <w:rPr>
                <w:rFonts w:ascii="Gotham Narrow Bold"/>
                <w:b/>
                <w:sz w:val="16"/>
              </w:rPr>
            </w:pPr>
            <w:r>
              <w:rPr>
                <w:rFonts w:ascii="Gotham Narrow Bold"/>
                <w:b/>
                <w:color w:val="FFFFFF"/>
                <w:sz w:val="16"/>
              </w:rPr>
              <w:t>2014</w:t>
              <w:tab/>
              <w:t>%</w:t>
            </w:r>
          </w:p>
        </w:tc>
        <w:tc>
          <w:tcPr>
            <w:tcW w:w="2296" w:type="dxa"/>
            <w:gridSpan w:val="2"/>
            <w:tcBorders>
              <w:top w:val="nil"/>
              <w:left w:val="nil"/>
              <w:bottom w:val="nil"/>
              <w:right w:val="nil"/>
            </w:tcBorders>
            <w:shd w:val="clear" w:color="auto" w:fill="939598"/>
          </w:tcPr>
          <w:p>
            <w:pPr>
              <w:pStyle w:val="TableParagraph"/>
              <w:tabs>
                <w:tab w:pos="2092" w:val="left" w:leader="none"/>
              </w:tabs>
              <w:spacing w:before="66"/>
              <w:ind w:left="470"/>
              <w:jc w:val="left"/>
              <w:rPr>
                <w:rFonts w:ascii="Gotham Narrow Bold"/>
                <w:b/>
                <w:sz w:val="16"/>
              </w:rPr>
            </w:pPr>
            <w:r>
              <w:rPr>
                <w:rFonts w:ascii="Gotham Narrow Bold"/>
                <w:b/>
                <w:color w:val="FFFFFF"/>
                <w:sz w:val="16"/>
              </w:rPr>
              <w:t>2015</w:t>
            </w:r>
            <w:r>
              <w:rPr>
                <w:rFonts w:ascii="Gotham Narrow Bold"/>
                <w:b/>
                <w:color w:val="FFFFFF"/>
                <w:spacing w:val="-13"/>
                <w:sz w:val="16"/>
              </w:rPr>
              <w:t> </w:t>
            </w:r>
            <w:r>
              <w:rPr>
                <w:rFonts w:ascii="Gotham Narrow Bold"/>
                <w:b/>
                <w:color w:val="FFFFFF"/>
                <w:sz w:val="16"/>
              </w:rPr>
              <w:t>(p)</w:t>
              <w:tab/>
              <w:t>%</w:t>
            </w:r>
          </w:p>
        </w:tc>
      </w:tr>
      <w:tr>
        <w:trPr>
          <w:trHeight w:val="312" w:hRule="exact"/>
        </w:trPr>
        <w:tc>
          <w:tcPr>
            <w:tcW w:w="3208" w:type="dxa"/>
            <w:tcBorders>
              <w:top w:val="nil"/>
            </w:tcBorders>
            <w:shd w:val="clear" w:color="auto" w:fill="E6E7E8"/>
          </w:tcPr>
          <w:p>
            <w:pPr>
              <w:pStyle w:val="TableParagraph"/>
              <w:spacing w:before="60"/>
              <w:ind w:left="74"/>
              <w:jc w:val="left"/>
              <w:rPr>
                <w:sz w:val="16"/>
              </w:rPr>
            </w:pPr>
            <w:r>
              <w:rPr>
                <w:sz w:val="16"/>
              </w:rPr>
              <w:t>Commonwealth Grants Scheme</w:t>
            </w:r>
          </w:p>
        </w:tc>
        <w:tc>
          <w:tcPr>
            <w:tcW w:w="1148" w:type="dxa"/>
            <w:tcBorders>
              <w:top w:val="nil"/>
            </w:tcBorders>
            <w:shd w:val="clear" w:color="auto" w:fill="E6E7E8"/>
          </w:tcPr>
          <w:p>
            <w:pPr>
              <w:pStyle w:val="TableParagraph"/>
              <w:spacing w:before="60"/>
              <w:ind w:right="72"/>
              <w:rPr>
                <w:sz w:val="16"/>
              </w:rPr>
            </w:pPr>
            <w:r>
              <w:rPr>
                <w:w w:val="95"/>
                <w:sz w:val="16"/>
              </w:rPr>
              <w:t>27,039</w:t>
            </w:r>
          </w:p>
        </w:tc>
        <w:tc>
          <w:tcPr>
            <w:tcW w:w="1148" w:type="dxa"/>
            <w:tcBorders>
              <w:top w:val="nil"/>
            </w:tcBorders>
            <w:shd w:val="clear" w:color="auto" w:fill="E6E7E8"/>
          </w:tcPr>
          <w:p>
            <w:pPr>
              <w:pStyle w:val="TableParagraph"/>
              <w:spacing w:before="60"/>
              <w:ind w:right="68"/>
              <w:rPr>
                <w:sz w:val="16"/>
              </w:rPr>
            </w:pPr>
            <w:r>
              <w:rPr>
                <w:w w:val="85"/>
                <w:sz w:val="16"/>
              </w:rPr>
              <w:t>86.2%</w:t>
            </w:r>
          </w:p>
        </w:tc>
        <w:tc>
          <w:tcPr>
            <w:tcW w:w="1148" w:type="dxa"/>
            <w:tcBorders>
              <w:top w:val="nil"/>
            </w:tcBorders>
            <w:shd w:val="clear" w:color="auto" w:fill="E6E7E8"/>
          </w:tcPr>
          <w:p>
            <w:pPr>
              <w:pStyle w:val="TableParagraph"/>
              <w:spacing w:before="60"/>
              <w:ind w:right="71"/>
              <w:rPr>
                <w:sz w:val="16"/>
              </w:rPr>
            </w:pPr>
            <w:r>
              <w:rPr>
                <w:w w:val="85"/>
                <w:sz w:val="16"/>
              </w:rPr>
              <w:t>28,217</w:t>
            </w:r>
          </w:p>
        </w:tc>
        <w:tc>
          <w:tcPr>
            <w:tcW w:w="1148" w:type="dxa"/>
            <w:tcBorders>
              <w:top w:val="nil"/>
            </w:tcBorders>
            <w:shd w:val="clear" w:color="auto" w:fill="E6E7E8"/>
          </w:tcPr>
          <w:p>
            <w:pPr>
              <w:pStyle w:val="TableParagraph"/>
              <w:spacing w:before="60"/>
              <w:ind w:right="68"/>
              <w:rPr>
                <w:sz w:val="16"/>
              </w:rPr>
            </w:pPr>
            <w:r>
              <w:rPr>
                <w:w w:val="85"/>
                <w:sz w:val="16"/>
              </w:rPr>
              <w:t>86.2%</w:t>
            </w:r>
          </w:p>
        </w:tc>
        <w:tc>
          <w:tcPr>
            <w:tcW w:w="1148" w:type="dxa"/>
            <w:tcBorders>
              <w:top w:val="nil"/>
            </w:tcBorders>
            <w:shd w:val="clear" w:color="auto" w:fill="E6E7E8"/>
          </w:tcPr>
          <w:p>
            <w:pPr>
              <w:pStyle w:val="TableParagraph"/>
              <w:spacing w:before="60"/>
              <w:ind w:right="72"/>
              <w:rPr>
                <w:sz w:val="16"/>
              </w:rPr>
            </w:pPr>
            <w:r>
              <w:rPr>
                <w:w w:val="85"/>
                <w:sz w:val="16"/>
              </w:rPr>
              <w:t>29,158</w:t>
            </w:r>
          </w:p>
        </w:tc>
        <w:tc>
          <w:tcPr>
            <w:tcW w:w="1148" w:type="dxa"/>
            <w:tcBorders>
              <w:top w:val="nil"/>
            </w:tcBorders>
            <w:shd w:val="clear" w:color="auto" w:fill="E6E7E8"/>
          </w:tcPr>
          <w:p>
            <w:pPr>
              <w:pStyle w:val="TableParagraph"/>
              <w:spacing w:before="60"/>
              <w:ind w:right="71"/>
              <w:rPr>
                <w:sz w:val="16"/>
              </w:rPr>
            </w:pPr>
            <w:r>
              <w:rPr>
                <w:w w:val="85"/>
                <w:sz w:val="16"/>
              </w:rPr>
              <w:t>86.6%</w:t>
            </w:r>
          </w:p>
        </w:tc>
      </w:tr>
      <w:tr>
        <w:trPr>
          <w:trHeight w:val="312" w:hRule="exact"/>
        </w:trPr>
        <w:tc>
          <w:tcPr>
            <w:tcW w:w="3208" w:type="dxa"/>
            <w:shd w:val="clear" w:color="auto" w:fill="E6E7E8"/>
          </w:tcPr>
          <w:p>
            <w:pPr>
              <w:pStyle w:val="TableParagraph"/>
              <w:ind w:left="75"/>
              <w:jc w:val="left"/>
              <w:rPr>
                <w:sz w:val="16"/>
              </w:rPr>
            </w:pPr>
            <w:r>
              <w:rPr>
                <w:sz w:val="16"/>
              </w:rPr>
              <w:t>Research Training Scheme</w:t>
            </w:r>
          </w:p>
        </w:tc>
        <w:tc>
          <w:tcPr>
            <w:tcW w:w="1148" w:type="dxa"/>
            <w:shd w:val="clear" w:color="auto" w:fill="E6E7E8"/>
          </w:tcPr>
          <w:p>
            <w:pPr>
              <w:pStyle w:val="TableParagraph"/>
              <w:ind w:right="72"/>
              <w:rPr>
                <w:sz w:val="16"/>
              </w:rPr>
            </w:pPr>
            <w:r>
              <w:rPr>
                <w:w w:val="95"/>
                <w:sz w:val="16"/>
              </w:rPr>
              <w:t>526</w:t>
            </w:r>
          </w:p>
        </w:tc>
        <w:tc>
          <w:tcPr>
            <w:tcW w:w="1148" w:type="dxa"/>
            <w:shd w:val="clear" w:color="auto" w:fill="E6E7E8"/>
          </w:tcPr>
          <w:p>
            <w:pPr>
              <w:pStyle w:val="TableParagraph"/>
              <w:ind w:right="72"/>
              <w:rPr>
                <w:sz w:val="16"/>
              </w:rPr>
            </w:pPr>
            <w:r>
              <w:rPr>
                <w:w w:val="70"/>
                <w:sz w:val="16"/>
              </w:rPr>
              <w:t>1.7%</w:t>
            </w:r>
          </w:p>
        </w:tc>
        <w:tc>
          <w:tcPr>
            <w:tcW w:w="1148" w:type="dxa"/>
            <w:shd w:val="clear" w:color="auto" w:fill="E6E7E8"/>
          </w:tcPr>
          <w:p>
            <w:pPr>
              <w:pStyle w:val="TableParagraph"/>
              <w:ind w:right="72"/>
              <w:rPr>
                <w:sz w:val="16"/>
              </w:rPr>
            </w:pPr>
            <w:r>
              <w:rPr>
                <w:w w:val="95"/>
                <w:sz w:val="16"/>
              </w:rPr>
              <w:t>493</w:t>
            </w:r>
          </w:p>
        </w:tc>
        <w:tc>
          <w:tcPr>
            <w:tcW w:w="1148" w:type="dxa"/>
            <w:shd w:val="clear" w:color="auto" w:fill="E6E7E8"/>
          </w:tcPr>
          <w:p>
            <w:pPr>
              <w:pStyle w:val="TableParagraph"/>
              <w:ind w:right="73"/>
              <w:rPr>
                <w:sz w:val="16"/>
              </w:rPr>
            </w:pPr>
            <w:r>
              <w:rPr>
                <w:w w:val="70"/>
                <w:sz w:val="16"/>
              </w:rPr>
              <w:t>1.5%</w:t>
            </w:r>
          </w:p>
        </w:tc>
        <w:tc>
          <w:tcPr>
            <w:tcW w:w="1148" w:type="dxa"/>
            <w:shd w:val="clear" w:color="auto" w:fill="E6E7E8"/>
          </w:tcPr>
          <w:p>
            <w:pPr>
              <w:pStyle w:val="TableParagraph"/>
              <w:ind w:right="74"/>
              <w:rPr>
                <w:sz w:val="16"/>
              </w:rPr>
            </w:pPr>
            <w:r>
              <w:rPr>
                <w:sz w:val="16"/>
              </w:rPr>
              <w:t>494</w:t>
            </w:r>
          </w:p>
        </w:tc>
        <w:tc>
          <w:tcPr>
            <w:tcW w:w="1148" w:type="dxa"/>
            <w:shd w:val="clear" w:color="auto" w:fill="E6E7E8"/>
          </w:tcPr>
          <w:p>
            <w:pPr>
              <w:pStyle w:val="TableParagraph"/>
              <w:ind w:right="72"/>
              <w:rPr>
                <w:sz w:val="16"/>
              </w:rPr>
            </w:pPr>
            <w:r>
              <w:rPr>
                <w:w w:val="70"/>
                <w:sz w:val="16"/>
              </w:rPr>
              <w:t>1.5%</w:t>
            </w:r>
          </w:p>
        </w:tc>
      </w:tr>
      <w:tr>
        <w:trPr>
          <w:trHeight w:val="312" w:hRule="exact"/>
        </w:trPr>
        <w:tc>
          <w:tcPr>
            <w:tcW w:w="3208" w:type="dxa"/>
            <w:shd w:val="clear" w:color="auto" w:fill="E6E7E8"/>
          </w:tcPr>
          <w:p>
            <w:pPr>
              <w:pStyle w:val="TableParagraph"/>
              <w:ind w:left="74"/>
              <w:jc w:val="left"/>
              <w:rPr>
                <w:sz w:val="16"/>
              </w:rPr>
            </w:pPr>
            <w:r>
              <w:rPr>
                <w:sz w:val="16"/>
              </w:rPr>
              <w:t>Sub-total commonwealth funded</w:t>
            </w:r>
          </w:p>
        </w:tc>
        <w:tc>
          <w:tcPr>
            <w:tcW w:w="1148" w:type="dxa"/>
            <w:shd w:val="clear" w:color="auto" w:fill="E6E7E8"/>
          </w:tcPr>
          <w:p>
            <w:pPr>
              <w:pStyle w:val="TableParagraph"/>
              <w:ind w:right="72"/>
              <w:rPr>
                <w:sz w:val="16"/>
              </w:rPr>
            </w:pPr>
            <w:r>
              <w:rPr>
                <w:w w:val="95"/>
                <w:sz w:val="16"/>
              </w:rPr>
              <w:t>27,564</w:t>
            </w:r>
          </w:p>
        </w:tc>
        <w:tc>
          <w:tcPr>
            <w:tcW w:w="1148" w:type="dxa"/>
            <w:shd w:val="clear" w:color="auto" w:fill="E6E7E8"/>
          </w:tcPr>
          <w:p>
            <w:pPr>
              <w:pStyle w:val="TableParagraph"/>
              <w:ind w:right="72"/>
              <w:rPr>
                <w:sz w:val="16"/>
              </w:rPr>
            </w:pPr>
            <w:r>
              <w:rPr>
                <w:w w:val="85"/>
                <w:sz w:val="16"/>
              </w:rPr>
              <w:t>87.9%</w:t>
            </w:r>
          </w:p>
        </w:tc>
        <w:tc>
          <w:tcPr>
            <w:tcW w:w="1148" w:type="dxa"/>
            <w:shd w:val="clear" w:color="auto" w:fill="E6E7E8"/>
          </w:tcPr>
          <w:p>
            <w:pPr>
              <w:pStyle w:val="TableParagraph"/>
              <w:ind w:right="72"/>
              <w:rPr>
                <w:sz w:val="16"/>
              </w:rPr>
            </w:pPr>
            <w:r>
              <w:rPr>
                <w:spacing w:val="2"/>
                <w:w w:val="93"/>
                <w:sz w:val="16"/>
              </w:rPr>
              <w:t>2</w:t>
            </w:r>
            <w:r>
              <w:rPr>
                <w:spacing w:val="5"/>
                <w:w w:val="98"/>
                <w:sz w:val="16"/>
              </w:rPr>
              <w:t>8</w:t>
            </w:r>
            <w:r>
              <w:rPr>
                <w:w w:val="83"/>
                <w:sz w:val="16"/>
              </w:rPr>
              <w:t>,</w:t>
            </w:r>
            <w:r>
              <w:rPr>
                <w:spacing w:val="6"/>
                <w:w w:val="83"/>
                <w:sz w:val="16"/>
              </w:rPr>
              <w:t>7</w:t>
            </w:r>
            <w:r>
              <w:rPr>
                <w:spacing w:val="4"/>
                <w:w w:val="54"/>
                <w:sz w:val="16"/>
              </w:rPr>
              <w:t>1</w:t>
            </w:r>
            <w:r>
              <w:rPr>
                <w:w w:val="111"/>
                <w:sz w:val="16"/>
              </w:rPr>
              <w:t>0</w:t>
            </w:r>
          </w:p>
        </w:tc>
        <w:tc>
          <w:tcPr>
            <w:tcW w:w="1148" w:type="dxa"/>
            <w:shd w:val="clear" w:color="auto" w:fill="E6E7E8"/>
          </w:tcPr>
          <w:p>
            <w:pPr>
              <w:pStyle w:val="TableParagraph"/>
              <w:ind w:right="72"/>
              <w:rPr>
                <w:sz w:val="16"/>
              </w:rPr>
            </w:pPr>
            <w:r>
              <w:rPr>
                <w:w w:val="85"/>
                <w:sz w:val="16"/>
              </w:rPr>
              <w:t>87.7%</w:t>
            </w:r>
          </w:p>
        </w:tc>
        <w:tc>
          <w:tcPr>
            <w:tcW w:w="1148" w:type="dxa"/>
            <w:shd w:val="clear" w:color="auto" w:fill="E6E7E8"/>
          </w:tcPr>
          <w:p>
            <w:pPr>
              <w:pStyle w:val="TableParagraph"/>
              <w:ind w:right="71"/>
              <w:rPr>
                <w:sz w:val="16"/>
              </w:rPr>
            </w:pPr>
            <w:r>
              <w:rPr>
                <w:w w:val="95"/>
                <w:sz w:val="16"/>
              </w:rPr>
              <w:t>29,652</w:t>
            </w:r>
          </w:p>
        </w:tc>
        <w:tc>
          <w:tcPr>
            <w:tcW w:w="1148" w:type="dxa"/>
            <w:shd w:val="clear" w:color="auto" w:fill="E6E7E8"/>
          </w:tcPr>
          <w:p>
            <w:pPr>
              <w:pStyle w:val="TableParagraph"/>
              <w:ind w:right="72"/>
              <w:rPr>
                <w:sz w:val="16"/>
              </w:rPr>
            </w:pPr>
            <w:r>
              <w:rPr>
                <w:w w:val="80"/>
                <w:sz w:val="16"/>
              </w:rPr>
              <w:t>88.1%</w:t>
            </w:r>
          </w:p>
        </w:tc>
      </w:tr>
      <w:tr>
        <w:trPr>
          <w:trHeight w:val="312" w:hRule="exact"/>
        </w:trPr>
        <w:tc>
          <w:tcPr>
            <w:tcW w:w="3208" w:type="dxa"/>
            <w:shd w:val="clear" w:color="auto" w:fill="E6E7E8"/>
          </w:tcPr>
          <w:p>
            <w:pPr>
              <w:pStyle w:val="TableParagraph"/>
              <w:ind w:left="75"/>
              <w:jc w:val="left"/>
              <w:rPr>
                <w:sz w:val="16"/>
              </w:rPr>
            </w:pPr>
            <w:r>
              <w:rPr>
                <w:sz w:val="16"/>
              </w:rPr>
              <w:t>Domestic fee-paying</w:t>
            </w:r>
          </w:p>
        </w:tc>
        <w:tc>
          <w:tcPr>
            <w:tcW w:w="1148" w:type="dxa"/>
            <w:shd w:val="clear" w:color="auto" w:fill="E6E7E8"/>
          </w:tcPr>
          <w:p>
            <w:pPr>
              <w:pStyle w:val="TableParagraph"/>
              <w:ind w:right="69"/>
              <w:rPr>
                <w:sz w:val="16"/>
              </w:rPr>
            </w:pPr>
            <w:r>
              <w:rPr>
                <w:w w:val="95"/>
                <w:sz w:val="16"/>
              </w:rPr>
              <w:t>685</w:t>
            </w:r>
          </w:p>
        </w:tc>
        <w:tc>
          <w:tcPr>
            <w:tcW w:w="1148" w:type="dxa"/>
            <w:shd w:val="clear" w:color="auto" w:fill="E6E7E8"/>
          </w:tcPr>
          <w:p>
            <w:pPr>
              <w:pStyle w:val="TableParagraph"/>
              <w:ind w:right="73"/>
              <w:rPr>
                <w:sz w:val="16"/>
              </w:rPr>
            </w:pPr>
            <w:r>
              <w:rPr>
                <w:w w:val="80"/>
                <w:sz w:val="16"/>
              </w:rPr>
              <w:t>2.2%</w:t>
            </w:r>
          </w:p>
        </w:tc>
        <w:tc>
          <w:tcPr>
            <w:tcW w:w="1148" w:type="dxa"/>
            <w:shd w:val="clear" w:color="auto" w:fill="E6E7E8"/>
          </w:tcPr>
          <w:p>
            <w:pPr>
              <w:pStyle w:val="TableParagraph"/>
              <w:ind w:right="73"/>
              <w:rPr>
                <w:sz w:val="16"/>
              </w:rPr>
            </w:pPr>
            <w:r>
              <w:rPr>
                <w:w w:val="85"/>
                <w:sz w:val="16"/>
              </w:rPr>
              <w:t>616</w:t>
            </w:r>
          </w:p>
        </w:tc>
        <w:tc>
          <w:tcPr>
            <w:tcW w:w="1148" w:type="dxa"/>
            <w:shd w:val="clear" w:color="auto" w:fill="E6E7E8"/>
          </w:tcPr>
          <w:p>
            <w:pPr>
              <w:pStyle w:val="TableParagraph"/>
              <w:ind w:right="73"/>
              <w:rPr>
                <w:sz w:val="16"/>
              </w:rPr>
            </w:pPr>
            <w:r>
              <w:rPr>
                <w:w w:val="75"/>
                <w:sz w:val="16"/>
              </w:rPr>
              <w:t>1.9%</w:t>
            </w:r>
          </w:p>
        </w:tc>
        <w:tc>
          <w:tcPr>
            <w:tcW w:w="1148" w:type="dxa"/>
            <w:shd w:val="clear" w:color="auto" w:fill="E6E7E8"/>
          </w:tcPr>
          <w:p>
            <w:pPr>
              <w:pStyle w:val="TableParagraph"/>
              <w:ind w:right="73"/>
              <w:rPr>
                <w:sz w:val="16"/>
              </w:rPr>
            </w:pPr>
            <w:r>
              <w:rPr>
                <w:sz w:val="16"/>
              </w:rPr>
              <w:t>590</w:t>
            </w:r>
          </w:p>
        </w:tc>
        <w:tc>
          <w:tcPr>
            <w:tcW w:w="1148" w:type="dxa"/>
            <w:shd w:val="clear" w:color="auto" w:fill="E6E7E8"/>
          </w:tcPr>
          <w:p>
            <w:pPr>
              <w:pStyle w:val="TableParagraph"/>
              <w:ind w:right="69"/>
              <w:rPr>
                <w:sz w:val="16"/>
              </w:rPr>
            </w:pPr>
            <w:r>
              <w:rPr>
                <w:w w:val="75"/>
                <w:sz w:val="16"/>
              </w:rPr>
              <w:t>1.8%</w:t>
            </w:r>
          </w:p>
        </w:tc>
      </w:tr>
      <w:tr>
        <w:trPr>
          <w:trHeight w:val="312" w:hRule="exact"/>
        </w:trPr>
        <w:tc>
          <w:tcPr>
            <w:tcW w:w="3208" w:type="dxa"/>
            <w:shd w:val="clear" w:color="auto" w:fill="E6E7E8"/>
          </w:tcPr>
          <w:p>
            <w:pPr>
              <w:pStyle w:val="TableParagraph"/>
              <w:ind w:left="74"/>
              <w:jc w:val="left"/>
              <w:rPr>
                <w:sz w:val="16"/>
              </w:rPr>
            </w:pPr>
            <w:r>
              <w:rPr>
                <w:w w:val="95"/>
                <w:sz w:val="16"/>
              </w:rPr>
              <w:t>International onshore</w:t>
            </w:r>
          </w:p>
        </w:tc>
        <w:tc>
          <w:tcPr>
            <w:tcW w:w="1148" w:type="dxa"/>
            <w:shd w:val="clear" w:color="auto" w:fill="E6E7E8"/>
          </w:tcPr>
          <w:p>
            <w:pPr>
              <w:pStyle w:val="TableParagraph"/>
              <w:ind w:right="74"/>
              <w:rPr>
                <w:sz w:val="16"/>
              </w:rPr>
            </w:pPr>
            <w:r>
              <w:rPr>
                <w:w w:val="90"/>
                <w:sz w:val="16"/>
              </w:rPr>
              <w:t>2,836</w:t>
            </w:r>
          </w:p>
        </w:tc>
        <w:tc>
          <w:tcPr>
            <w:tcW w:w="1148" w:type="dxa"/>
            <w:shd w:val="clear" w:color="auto" w:fill="E6E7E8"/>
          </w:tcPr>
          <w:p>
            <w:pPr>
              <w:pStyle w:val="TableParagraph"/>
              <w:ind w:right="72"/>
              <w:rPr>
                <w:sz w:val="16"/>
              </w:rPr>
            </w:pPr>
            <w:r>
              <w:rPr>
                <w:w w:val="90"/>
                <w:sz w:val="16"/>
              </w:rPr>
              <w:t>9.0%</w:t>
            </w:r>
          </w:p>
        </w:tc>
        <w:tc>
          <w:tcPr>
            <w:tcW w:w="1148" w:type="dxa"/>
            <w:shd w:val="clear" w:color="auto" w:fill="E6E7E8"/>
          </w:tcPr>
          <w:p>
            <w:pPr>
              <w:pStyle w:val="TableParagraph"/>
              <w:ind w:right="72"/>
              <w:rPr>
                <w:sz w:val="16"/>
              </w:rPr>
            </w:pPr>
            <w:r>
              <w:rPr>
                <w:w w:val="85"/>
                <w:sz w:val="16"/>
              </w:rPr>
              <w:t>3,162</w:t>
            </w:r>
          </w:p>
        </w:tc>
        <w:tc>
          <w:tcPr>
            <w:tcW w:w="1148" w:type="dxa"/>
            <w:shd w:val="clear" w:color="auto" w:fill="E6E7E8"/>
          </w:tcPr>
          <w:p>
            <w:pPr>
              <w:pStyle w:val="TableParagraph"/>
              <w:ind w:right="73"/>
              <w:rPr>
                <w:sz w:val="16"/>
              </w:rPr>
            </w:pPr>
            <w:r>
              <w:rPr>
                <w:w w:val="85"/>
                <w:sz w:val="16"/>
              </w:rPr>
              <w:t>9.7%</w:t>
            </w:r>
          </w:p>
        </w:tc>
        <w:tc>
          <w:tcPr>
            <w:tcW w:w="1148" w:type="dxa"/>
            <w:shd w:val="clear" w:color="auto" w:fill="E6E7E8"/>
          </w:tcPr>
          <w:p>
            <w:pPr>
              <w:pStyle w:val="TableParagraph"/>
              <w:ind w:right="72"/>
              <w:rPr>
                <w:sz w:val="16"/>
              </w:rPr>
            </w:pPr>
            <w:r>
              <w:rPr>
                <w:w w:val="85"/>
                <w:sz w:val="16"/>
              </w:rPr>
              <w:t>3,196</w:t>
            </w:r>
          </w:p>
        </w:tc>
        <w:tc>
          <w:tcPr>
            <w:tcW w:w="1148" w:type="dxa"/>
            <w:shd w:val="clear" w:color="auto" w:fill="E6E7E8"/>
          </w:tcPr>
          <w:p>
            <w:pPr>
              <w:pStyle w:val="TableParagraph"/>
              <w:ind w:right="71"/>
              <w:rPr>
                <w:sz w:val="16"/>
              </w:rPr>
            </w:pPr>
            <w:r>
              <w:rPr>
                <w:w w:val="85"/>
                <w:sz w:val="16"/>
              </w:rPr>
              <w:t>9.5%</w:t>
            </w:r>
          </w:p>
        </w:tc>
      </w:tr>
      <w:tr>
        <w:trPr>
          <w:trHeight w:val="312" w:hRule="exact"/>
        </w:trPr>
        <w:tc>
          <w:tcPr>
            <w:tcW w:w="3208" w:type="dxa"/>
            <w:shd w:val="clear" w:color="auto" w:fill="E6E7E8"/>
          </w:tcPr>
          <w:p>
            <w:pPr>
              <w:pStyle w:val="TableParagraph"/>
              <w:ind w:left="74"/>
              <w:jc w:val="left"/>
              <w:rPr>
                <w:sz w:val="16"/>
              </w:rPr>
            </w:pPr>
            <w:r>
              <w:rPr>
                <w:w w:val="95"/>
                <w:sz w:val="16"/>
              </w:rPr>
              <w:t>International offshore</w:t>
            </w:r>
          </w:p>
        </w:tc>
        <w:tc>
          <w:tcPr>
            <w:tcW w:w="1148" w:type="dxa"/>
            <w:shd w:val="clear" w:color="auto" w:fill="E6E7E8"/>
          </w:tcPr>
          <w:p>
            <w:pPr>
              <w:pStyle w:val="TableParagraph"/>
              <w:ind w:right="73"/>
              <w:rPr>
                <w:sz w:val="16"/>
              </w:rPr>
            </w:pPr>
            <w:r>
              <w:rPr>
                <w:w w:val="80"/>
                <w:sz w:val="16"/>
              </w:rPr>
              <w:t>129</w:t>
            </w:r>
          </w:p>
        </w:tc>
        <w:tc>
          <w:tcPr>
            <w:tcW w:w="1148" w:type="dxa"/>
            <w:shd w:val="clear" w:color="auto" w:fill="E6E7E8"/>
          </w:tcPr>
          <w:p>
            <w:pPr>
              <w:pStyle w:val="TableParagraph"/>
              <w:ind w:right="73"/>
              <w:rPr>
                <w:sz w:val="16"/>
              </w:rPr>
            </w:pPr>
            <w:r>
              <w:rPr>
                <w:w w:val="85"/>
                <w:sz w:val="16"/>
              </w:rPr>
              <w:t>0.4%</w:t>
            </w:r>
          </w:p>
        </w:tc>
        <w:tc>
          <w:tcPr>
            <w:tcW w:w="1148" w:type="dxa"/>
            <w:shd w:val="clear" w:color="auto" w:fill="E6E7E8"/>
          </w:tcPr>
          <w:p>
            <w:pPr>
              <w:pStyle w:val="TableParagraph"/>
              <w:ind w:right="73"/>
              <w:rPr>
                <w:sz w:val="16"/>
              </w:rPr>
            </w:pPr>
            <w:r>
              <w:rPr>
                <w:w w:val="80"/>
                <w:sz w:val="16"/>
              </w:rPr>
              <w:t>124</w:t>
            </w:r>
          </w:p>
        </w:tc>
        <w:tc>
          <w:tcPr>
            <w:tcW w:w="1148" w:type="dxa"/>
            <w:shd w:val="clear" w:color="auto" w:fill="E6E7E8"/>
          </w:tcPr>
          <w:p>
            <w:pPr>
              <w:pStyle w:val="TableParagraph"/>
              <w:ind w:right="73"/>
              <w:rPr>
                <w:sz w:val="16"/>
              </w:rPr>
            </w:pPr>
            <w:r>
              <w:rPr>
                <w:w w:val="85"/>
                <w:sz w:val="16"/>
              </w:rPr>
              <w:t>0.4%</w:t>
            </w:r>
          </w:p>
        </w:tc>
        <w:tc>
          <w:tcPr>
            <w:tcW w:w="1148" w:type="dxa"/>
            <w:shd w:val="clear" w:color="auto" w:fill="E6E7E8"/>
          </w:tcPr>
          <w:p>
            <w:pPr>
              <w:pStyle w:val="TableParagraph"/>
              <w:ind w:right="73"/>
              <w:rPr>
                <w:sz w:val="16"/>
              </w:rPr>
            </w:pPr>
            <w:r>
              <w:rPr>
                <w:w w:val="65"/>
                <w:sz w:val="16"/>
              </w:rPr>
              <w:t>121</w:t>
            </w:r>
          </w:p>
        </w:tc>
        <w:tc>
          <w:tcPr>
            <w:tcW w:w="1148" w:type="dxa"/>
            <w:shd w:val="clear" w:color="auto" w:fill="E6E7E8"/>
          </w:tcPr>
          <w:p>
            <w:pPr>
              <w:pStyle w:val="TableParagraph"/>
              <w:ind w:right="73"/>
              <w:rPr>
                <w:sz w:val="16"/>
              </w:rPr>
            </w:pPr>
            <w:r>
              <w:rPr>
                <w:w w:val="85"/>
                <w:sz w:val="16"/>
              </w:rPr>
              <w:t>0.4%</w:t>
            </w:r>
          </w:p>
        </w:tc>
      </w:tr>
      <w:tr>
        <w:trPr>
          <w:trHeight w:val="312" w:hRule="exact"/>
        </w:trPr>
        <w:tc>
          <w:tcPr>
            <w:tcW w:w="3208" w:type="dxa"/>
            <w:shd w:val="clear" w:color="auto" w:fill="E6E7E8"/>
          </w:tcPr>
          <w:p>
            <w:pPr>
              <w:pStyle w:val="TableParagraph"/>
              <w:ind w:left="74"/>
              <w:jc w:val="left"/>
              <w:rPr>
                <w:sz w:val="16"/>
              </w:rPr>
            </w:pPr>
            <w:r>
              <w:rPr>
                <w:sz w:val="16"/>
              </w:rPr>
              <w:t>Non-award</w:t>
            </w:r>
          </w:p>
        </w:tc>
        <w:tc>
          <w:tcPr>
            <w:tcW w:w="1148" w:type="dxa"/>
            <w:shd w:val="clear" w:color="auto" w:fill="E6E7E8"/>
          </w:tcPr>
          <w:p>
            <w:pPr>
              <w:pStyle w:val="TableParagraph"/>
              <w:spacing w:before="43"/>
              <w:ind w:right="74"/>
              <w:rPr>
                <w:sz w:val="16"/>
              </w:rPr>
            </w:pPr>
            <w:r>
              <w:rPr>
                <w:w w:val="80"/>
                <w:sz w:val="16"/>
              </w:rPr>
              <w:t>137</w:t>
            </w:r>
          </w:p>
        </w:tc>
        <w:tc>
          <w:tcPr>
            <w:tcW w:w="1148" w:type="dxa"/>
            <w:shd w:val="clear" w:color="auto" w:fill="E6E7E8"/>
          </w:tcPr>
          <w:p>
            <w:pPr>
              <w:pStyle w:val="TableParagraph"/>
              <w:ind w:right="73"/>
              <w:rPr>
                <w:sz w:val="16"/>
              </w:rPr>
            </w:pPr>
            <w:r>
              <w:rPr>
                <w:w w:val="85"/>
                <w:sz w:val="16"/>
              </w:rPr>
              <w:t>0.4%</w:t>
            </w:r>
          </w:p>
        </w:tc>
        <w:tc>
          <w:tcPr>
            <w:tcW w:w="1148" w:type="dxa"/>
            <w:shd w:val="clear" w:color="auto" w:fill="E6E7E8"/>
          </w:tcPr>
          <w:p>
            <w:pPr>
              <w:pStyle w:val="TableParagraph"/>
              <w:spacing w:before="43"/>
              <w:ind w:right="69"/>
              <w:rPr>
                <w:sz w:val="16"/>
              </w:rPr>
            </w:pPr>
            <w:r>
              <w:rPr>
                <w:w w:val="55"/>
                <w:sz w:val="16"/>
              </w:rPr>
              <w:t>111</w:t>
            </w:r>
          </w:p>
        </w:tc>
        <w:tc>
          <w:tcPr>
            <w:tcW w:w="1148" w:type="dxa"/>
            <w:shd w:val="clear" w:color="auto" w:fill="E6E7E8"/>
          </w:tcPr>
          <w:p>
            <w:pPr>
              <w:pStyle w:val="TableParagraph"/>
              <w:ind w:right="71"/>
              <w:rPr>
                <w:sz w:val="16"/>
              </w:rPr>
            </w:pPr>
            <w:r>
              <w:rPr>
                <w:w w:val="85"/>
                <w:sz w:val="16"/>
              </w:rPr>
              <w:t>0.3%</w:t>
            </w:r>
          </w:p>
        </w:tc>
        <w:tc>
          <w:tcPr>
            <w:tcW w:w="1148" w:type="dxa"/>
            <w:shd w:val="clear" w:color="auto" w:fill="E6E7E8"/>
          </w:tcPr>
          <w:p>
            <w:pPr>
              <w:pStyle w:val="TableParagraph"/>
              <w:spacing w:before="43"/>
              <w:ind w:right="70"/>
              <w:rPr>
                <w:sz w:val="16"/>
              </w:rPr>
            </w:pPr>
            <w:r>
              <w:rPr>
                <w:w w:val="70"/>
                <w:sz w:val="16"/>
              </w:rPr>
              <w:t>114</w:t>
            </w:r>
          </w:p>
        </w:tc>
        <w:tc>
          <w:tcPr>
            <w:tcW w:w="1148" w:type="dxa"/>
            <w:shd w:val="clear" w:color="auto" w:fill="E6E7E8"/>
          </w:tcPr>
          <w:p>
            <w:pPr>
              <w:pStyle w:val="TableParagraph"/>
              <w:ind w:right="71"/>
              <w:rPr>
                <w:sz w:val="16"/>
              </w:rPr>
            </w:pPr>
            <w:r>
              <w:rPr>
                <w:w w:val="85"/>
                <w:sz w:val="16"/>
              </w:rPr>
              <w:t>0.3%</w:t>
            </w:r>
          </w:p>
        </w:tc>
      </w:tr>
      <w:tr>
        <w:trPr>
          <w:trHeight w:val="312" w:hRule="exact"/>
        </w:trPr>
        <w:tc>
          <w:tcPr>
            <w:tcW w:w="3208" w:type="dxa"/>
            <w:shd w:val="clear" w:color="auto" w:fill="E6E7E8"/>
          </w:tcPr>
          <w:p>
            <w:pPr>
              <w:pStyle w:val="TableParagraph"/>
              <w:ind w:left="75"/>
              <w:jc w:val="left"/>
              <w:rPr>
                <w:sz w:val="16"/>
              </w:rPr>
            </w:pPr>
            <w:r>
              <w:rPr>
                <w:sz w:val="16"/>
              </w:rPr>
              <w:t>Sub-total fee-paying load</w:t>
            </w:r>
          </w:p>
        </w:tc>
        <w:tc>
          <w:tcPr>
            <w:tcW w:w="1148" w:type="dxa"/>
            <w:shd w:val="clear" w:color="auto" w:fill="E6E7E8"/>
          </w:tcPr>
          <w:p>
            <w:pPr>
              <w:pStyle w:val="TableParagraph"/>
              <w:ind w:right="72"/>
              <w:rPr>
                <w:sz w:val="16"/>
              </w:rPr>
            </w:pPr>
            <w:r>
              <w:rPr>
                <w:w w:val="90"/>
                <w:sz w:val="16"/>
              </w:rPr>
              <w:t>3,787</w:t>
            </w:r>
          </w:p>
        </w:tc>
        <w:tc>
          <w:tcPr>
            <w:tcW w:w="1148" w:type="dxa"/>
            <w:shd w:val="clear" w:color="auto" w:fill="E6E7E8"/>
          </w:tcPr>
          <w:p>
            <w:pPr>
              <w:pStyle w:val="TableParagraph"/>
              <w:ind w:right="73"/>
              <w:rPr>
                <w:sz w:val="16"/>
              </w:rPr>
            </w:pPr>
            <w:r>
              <w:rPr>
                <w:w w:val="70"/>
                <w:sz w:val="16"/>
              </w:rPr>
              <w:t>12.1%</w:t>
            </w:r>
          </w:p>
        </w:tc>
        <w:tc>
          <w:tcPr>
            <w:tcW w:w="1148" w:type="dxa"/>
            <w:shd w:val="clear" w:color="auto" w:fill="E6E7E8"/>
          </w:tcPr>
          <w:p>
            <w:pPr>
              <w:pStyle w:val="TableParagraph"/>
              <w:ind w:right="73"/>
              <w:rPr>
                <w:sz w:val="16"/>
              </w:rPr>
            </w:pPr>
            <w:r>
              <w:rPr>
                <w:spacing w:val="4"/>
                <w:w w:val="103"/>
                <w:sz w:val="16"/>
              </w:rPr>
              <w:t>4</w:t>
            </w:r>
            <w:r>
              <w:rPr>
                <w:spacing w:val="1"/>
                <w:w w:val="68"/>
                <w:sz w:val="16"/>
              </w:rPr>
              <w:t>,</w:t>
            </w:r>
            <w:r>
              <w:rPr>
                <w:spacing w:val="1"/>
                <w:w w:val="111"/>
                <w:sz w:val="16"/>
              </w:rPr>
              <w:t>0</w:t>
            </w:r>
            <w:r>
              <w:rPr>
                <w:spacing w:val="2"/>
                <w:w w:val="54"/>
                <w:sz w:val="16"/>
              </w:rPr>
              <w:t>1</w:t>
            </w:r>
            <w:r>
              <w:rPr>
                <w:w w:val="94"/>
                <w:sz w:val="16"/>
              </w:rPr>
              <w:t>3</w:t>
            </w:r>
          </w:p>
        </w:tc>
        <w:tc>
          <w:tcPr>
            <w:tcW w:w="1148" w:type="dxa"/>
            <w:shd w:val="clear" w:color="auto" w:fill="E6E7E8"/>
          </w:tcPr>
          <w:p>
            <w:pPr>
              <w:pStyle w:val="TableParagraph"/>
              <w:ind w:right="71"/>
              <w:rPr>
                <w:sz w:val="16"/>
              </w:rPr>
            </w:pPr>
            <w:r>
              <w:rPr>
                <w:w w:val="75"/>
                <w:sz w:val="16"/>
              </w:rPr>
              <w:t>12.3%</w:t>
            </w:r>
          </w:p>
        </w:tc>
        <w:tc>
          <w:tcPr>
            <w:tcW w:w="1148" w:type="dxa"/>
            <w:shd w:val="clear" w:color="auto" w:fill="E6E7E8"/>
          </w:tcPr>
          <w:p>
            <w:pPr>
              <w:pStyle w:val="TableParagraph"/>
              <w:ind w:right="73"/>
              <w:rPr>
                <w:sz w:val="16"/>
              </w:rPr>
            </w:pPr>
            <w:r>
              <w:rPr>
                <w:w w:val="90"/>
                <w:sz w:val="16"/>
              </w:rPr>
              <w:t>4,021</w:t>
            </w:r>
          </w:p>
        </w:tc>
        <w:tc>
          <w:tcPr>
            <w:tcW w:w="1148" w:type="dxa"/>
            <w:shd w:val="clear" w:color="auto" w:fill="E6E7E8"/>
          </w:tcPr>
          <w:p>
            <w:pPr>
              <w:pStyle w:val="TableParagraph"/>
              <w:ind w:right="73"/>
              <w:rPr>
                <w:sz w:val="16"/>
              </w:rPr>
            </w:pPr>
            <w:r>
              <w:rPr>
                <w:w w:val="70"/>
                <w:sz w:val="16"/>
              </w:rPr>
              <w:t>11.9%</w:t>
            </w:r>
          </w:p>
        </w:tc>
      </w:tr>
      <w:tr>
        <w:trPr>
          <w:trHeight w:val="312" w:hRule="exact"/>
        </w:trPr>
        <w:tc>
          <w:tcPr>
            <w:tcW w:w="3208" w:type="dxa"/>
            <w:shd w:val="clear" w:color="auto" w:fill="E6E7E8"/>
          </w:tcPr>
          <w:p>
            <w:pPr>
              <w:pStyle w:val="TableParagraph"/>
              <w:spacing w:before="63"/>
              <w:ind w:left="75"/>
              <w:jc w:val="left"/>
              <w:rPr>
                <w:rFonts w:ascii="Calibri"/>
                <w:sz w:val="16"/>
              </w:rPr>
            </w:pPr>
            <w:r>
              <w:rPr>
                <w:rFonts w:ascii="Calibri"/>
                <w:w w:val="110"/>
                <w:sz w:val="16"/>
              </w:rPr>
              <w:t>Total</w:t>
            </w:r>
          </w:p>
        </w:tc>
        <w:tc>
          <w:tcPr>
            <w:tcW w:w="1148" w:type="dxa"/>
            <w:shd w:val="clear" w:color="auto" w:fill="E6E7E8"/>
          </w:tcPr>
          <w:p>
            <w:pPr>
              <w:pStyle w:val="TableParagraph"/>
              <w:spacing w:before="63"/>
              <w:ind w:right="73"/>
              <w:rPr>
                <w:rFonts w:ascii="Calibri"/>
                <w:sz w:val="16"/>
              </w:rPr>
            </w:pPr>
            <w:r>
              <w:rPr>
                <w:rFonts w:ascii="Calibri"/>
                <w:w w:val="90"/>
                <w:sz w:val="16"/>
              </w:rPr>
              <w:t>31,351</w:t>
            </w:r>
          </w:p>
        </w:tc>
        <w:tc>
          <w:tcPr>
            <w:tcW w:w="1148" w:type="dxa"/>
            <w:shd w:val="clear" w:color="auto" w:fill="E6E7E8"/>
          </w:tcPr>
          <w:p>
            <w:pPr>
              <w:pStyle w:val="TableParagraph"/>
              <w:spacing w:before="63"/>
              <w:ind w:right="74"/>
              <w:rPr>
                <w:rFonts w:ascii="Calibri"/>
                <w:sz w:val="16"/>
              </w:rPr>
            </w:pPr>
            <w:r>
              <w:rPr>
                <w:rFonts w:ascii="Calibri"/>
                <w:w w:val="110"/>
                <w:sz w:val="16"/>
              </w:rPr>
              <w:t>100.0%</w:t>
            </w:r>
          </w:p>
        </w:tc>
        <w:tc>
          <w:tcPr>
            <w:tcW w:w="1148" w:type="dxa"/>
            <w:shd w:val="clear" w:color="auto" w:fill="E6E7E8"/>
          </w:tcPr>
          <w:p>
            <w:pPr>
              <w:pStyle w:val="TableParagraph"/>
              <w:spacing w:before="63"/>
              <w:ind w:right="73"/>
              <w:rPr>
                <w:rFonts w:ascii="Calibri"/>
                <w:sz w:val="16"/>
              </w:rPr>
            </w:pPr>
            <w:r>
              <w:rPr>
                <w:rFonts w:ascii="Calibri"/>
                <w:w w:val="105"/>
                <w:sz w:val="16"/>
              </w:rPr>
              <w:t>32,723</w:t>
            </w:r>
          </w:p>
        </w:tc>
        <w:tc>
          <w:tcPr>
            <w:tcW w:w="1148" w:type="dxa"/>
            <w:shd w:val="clear" w:color="auto" w:fill="E6E7E8"/>
          </w:tcPr>
          <w:p>
            <w:pPr>
              <w:pStyle w:val="TableParagraph"/>
              <w:spacing w:before="63"/>
              <w:ind w:right="73"/>
              <w:rPr>
                <w:rFonts w:ascii="Calibri"/>
                <w:sz w:val="16"/>
              </w:rPr>
            </w:pPr>
            <w:r>
              <w:rPr>
                <w:rFonts w:ascii="Calibri"/>
                <w:w w:val="110"/>
                <w:sz w:val="16"/>
              </w:rPr>
              <w:t>100.0%</w:t>
            </w:r>
          </w:p>
        </w:tc>
        <w:tc>
          <w:tcPr>
            <w:tcW w:w="1148" w:type="dxa"/>
            <w:shd w:val="clear" w:color="auto" w:fill="E6E7E8"/>
          </w:tcPr>
          <w:p>
            <w:pPr>
              <w:pStyle w:val="TableParagraph"/>
              <w:spacing w:before="63"/>
              <w:ind w:right="73"/>
              <w:rPr>
                <w:rFonts w:ascii="Calibri"/>
                <w:sz w:val="16"/>
              </w:rPr>
            </w:pPr>
            <w:r>
              <w:rPr>
                <w:rFonts w:ascii="Calibri"/>
                <w:w w:val="105"/>
                <w:sz w:val="16"/>
              </w:rPr>
              <w:t>33,673</w:t>
            </w:r>
          </w:p>
        </w:tc>
        <w:tc>
          <w:tcPr>
            <w:tcW w:w="1148" w:type="dxa"/>
            <w:shd w:val="clear" w:color="auto" w:fill="E6E7E8"/>
          </w:tcPr>
          <w:p>
            <w:pPr>
              <w:pStyle w:val="TableParagraph"/>
              <w:spacing w:before="63"/>
              <w:ind w:right="72"/>
              <w:rPr>
                <w:rFonts w:ascii="Calibri"/>
                <w:sz w:val="16"/>
              </w:rPr>
            </w:pPr>
            <w:r>
              <w:rPr>
                <w:rFonts w:ascii="Calibri"/>
                <w:w w:val="110"/>
                <w:sz w:val="16"/>
              </w:rPr>
              <w:t>100.0%</w:t>
            </w:r>
          </w:p>
        </w:tc>
      </w:tr>
    </w:tbl>
    <w:p>
      <w:pPr>
        <w:pStyle w:val="BodyText"/>
        <w:spacing w:before="43"/>
        <w:ind w:left="332" w:right="6585"/>
      </w:pPr>
      <w:r>
        <w:rPr/>
        <w:t>EFTSL = equivalent full-time student load</w:t>
      </w:r>
    </w:p>
    <w:p>
      <w:pPr>
        <w:pStyle w:val="BodyText"/>
        <w:spacing w:before="7"/>
        <w:ind w:left="332" w:right="411"/>
      </w:pPr>
      <w:r>
        <w:rPr/>
        <w:t>(Source: Enrolment submissions to the Department of Education and Training)</w:t>
      </w:r>
    </w:p>
    <w:p>
      <w:pPr>
        <w:pStyle w:val="BodyText"/>
      </w:pPr>
    </w:p>
    <w:p>
      <w:pPr>
        <w:pStyle w:val="Heading8"/>
        <w:spacing w:before="103"/>
        <w:ind w:left="327" w:right="5322"/>
      </w:pPr>
      <w:r>
        <w:rPr>
          <w:color w:val="636466"/>
          <w:w w:val="95"/>
        </w:rPr>
        <w:t>Table 9: Explicit Bachelor Graduate Satisfaction, 2012–15</w:t>
      </w:r>
    </w:p>
    <w:p>
      <w:pPr>
        <w:pStyle w:val="BodyText"/>
        <w:spacing w:before="11"/>
        <w:rPr>
          <w:rFonts w:ascii="Gotham Narrow Bold"/>
          <w:b/>
          <w:sz w:val="10"/>
        </w:rPr>
      </w:pPr>
    </w:p>
    <w:tbl>
      <w:tblPr>
        <w:tblW w:w="0" w:type="auto"/>
        <w:jc w:val="left"/>
        <w:tblInd w:w="3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208"/>
        <w:gridCol w:w="1148"/>
        <w:gridCol w:w="1148"/>
        <w:gridCol w:w="1148"/>
        <w:gridCol w:w="1148"/>
        <w:gridCol w:w="1148"/>
        <w:gridCol w:w="1148"/>
      </w:tblGrid>
      <w:tr>
        <w:trPr>
          <w:trHeight w:val="312" w:hRule="exact"/>
        </w:trPr>
        <w:tc>
          <w:tcPr>
            <w:tcW w:w="3208" w:type="dxa"/>
            <w:vMerge w:val="restart"/>
            <w:tcBorders>
              <w:top w:val="nil"/>
              <w:left w:val="nil"/>
              <w:right w:val="single" w:sz="4" w:space="0" w:color="FFFFFF"/>
            </w:tcBorders>
            <w:shd w:val="clear" w:color="auto" w:fill="939598"/>
          </w:tcPr>
          <w:p>
            <w:pPr>
              <w:pStyle w:val="TableParagraph"/>
              <w:spacing w:line="249" w:lineRule="auto" w:before="122"/>
              <w:ind w:left="80" w:right="520"/>
              <w:jc w:val="left"/>
              <w:rPr>
                <w:rFonts w:ascii="Gotham Narrow Bold" w:hAnsi="Gotham Narrow Bold"/>
                <w:b/>
                <w:sz w:val="16"/>
              </w:rPr>
            </w:pPr>
            <w:r>
              <w:rPr>
                <w:rFonts w:ascii="Gotham Narrow Bold" w:hAnsi="Gotham Narrow Bold"/>
                <w:b/>
                <w:color w:val="FFFFFF"/>
                <w:sz w:val="16"/>
              </w:rPr>
              <w:t>YEAR – PERCENTAGE OF EXPLICIT SATISFACTION</w:t>
            </w:r>
          </w:p>
        </w:tc>
        <w:tc>
          <w:tcPr>
            <w:tcW w:w="2296" w:type="dxa"/>
            <w:gridSpan w:val="2"/>
            <w:tcBorders>
              <w:top w:val="nil"/>
              <w:left w:val="single" w:sz="4" w:space="0" w:color="FFFFFF"/>
              <w:bottom w:val="single" w:sz="4" w:space="0" w:color="FFFFFF"/>
              <w:right w:val="single" w:sz="4" w:space="0" w:color="FFFFFF"/>
            </w:tcBorders>
            <w:shd w:val="clear" w:color="auto" w:fill="939598"/>
          </w:tcPr>
          <w:p>
            <w:pPr>
              <w:pStyle w:val="TableParagraph"/>
              <w:spacing w:before="66"/>
              <w:ind w:left="230"/>
              <w:jc w:val="left"/>
              <w:rPr>
                <w:rFonts w:ascii="Gotham Narrow Bold"/>
                <w:b/>
                <w:sz w:val="16"/>
              </w:rPr>
            </w:pPr>
            <w:r>
              <w:rPr>
                <w:rFonts w:ascii="Gotham Narrow Bold"/>
                <w:b/>
                <w:color w:val="FFFFFF"/>
                <w:w w:val="95"/>
                <w:sz w:val="16"/>
              </w:rPr>
              <w:t>OVERALL SATISFACTION</w:t>
            </w:r>
          </w:p>
        </w:tc>
        <w:tc>
          <w:tcPr>
            <w:tcW w:w="2296" w:type="dxa"/>
            <w:gridSpan w:val="2"/>
            <w:tcBorders>
              <w:top w:val="nil"/>
              <w:left w:val="single" w:sz="4" w:space="0" w:color="FFFFFF"/>
              <w:bottom w:val="single" w:sz="4" w:space="0" w:color="FFFFFF"/>
              <w:right w:val="single" w:sz="4" w:space="0" w:color="FFFFFF"/>
            </w:tcBorders>
            <w:shd w:val="clear" w:color="auto" w:fill="939598"/>
          </w:tcPr>
          <w:p>
            <w:pPr>
              <w:pStyle w:val="TableParagraph"/>
              <w:spacing w:before="66"/>
              <w:ind w:left="509"/>
              <w:jc w:val="left"/>
              <w:rPr>
                <w:rFonts w:ascii="Gotham Narrow Bold"/>
                <w:b/>
                <w:sz w:val="16"/>
              </w:rPr>
            </w:pPr>
            <w:r>
              <w:rPr>
                <w:rFonts w:ascii="Gotham Narrow Bold"/>
                <w:b/>
                <w:color w:val="FFFFFF"/>
                <w:w w:val="95"/>
                <w:sz w:val="16"/>
              </w:rPr>
              <w:t>GOOD TEACHING</w:t>
            </w:r>
          </w:p>
        </w:tc>
        <w:tc>
          <w:tcPr>
            <w:tcW w:w="2296" w:type="dxa"/>
            <w:gridSpan w:val="2"/>
            <w:tcBorders>
              <w:top w:val="nil"/>
              <w:left w:val="single" w:sz="4" w:space="0" w:color="FFFFFF"/>
              <w:bottom w:val="single" w:sz="4" w:space="0" w:color="FFFFFF"/>
              <w:right w:val="nil"/>
            </w:tcBorders>
            <w:shd w:val="clear" w:color="auto" w:fill="939598"/>
          </w:tcPr>
          <w:p>
            <w:pPr>
              <w:pStyle w:val="TableParagraph"/>
              <w:spacing w:before="66"/>
              <w:ind w:left="534"/>
              <w:jc w:val="left"/>
              <w:rPr>
                <w:rFonts w:ascii="Gotham Narrow Bold"/>
                <w:b/>
                <w:sz w:val="16"/>
              </w:rPr>
            </w:pPr>
            <w:r>
              <w:rPr>
                <w:rFonts w:ascii="Gotham Narrow Bold"/>
                <w:b/>
                <w:color w:val="FFFFFF"/>
                <w:w w:val="95"/>
                <w:sz w:val="16"/>
              </w:rPr>
              <w:t>GENERIC SKILLS</w:t>
            </w:r>
          </w:p>
        </w:tc>
      </w:tr>
      <w:tr>
        <w:trPr>
          <w:trHeight w:val="312" w:hRule="exact"/>
        </w:trPr>
        <w:tc>
          <w:tcPr>
            <w:tcW w:w="3208" w:type="dxa"/>
            <w:vMerge/>
            <w:tcBorders>
              <w:left w:val="nil"/>
              <w:bottom w:val="nil"/>
              <w:right w:val="single" w:sz="4" w:space="0" w:color="FFFFFF"/>
            </w:tcBorders>
            <w:shd w:val="clear" w:color="auto" w:fill="939598"/>
          </w:tcPr>
          <w:p>
            <w:pPr/>
          </w:p>
        </w:tc>
        <w:tc>
          <w:tcPr>
            <w:tcW w:w="1148"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2"/>
              <w:rPr>
                <w:rFonts w:ascii="Gotham Narrow Bold"/>
                <w:b/>
                <w:sz w:val="16"/>
              </w:rPr>
            </w:pPr>
            <w:r>
              <w:rPr>
                <w:rFonts w:ascii="Gotham Narrow Bold"/>
                <w:b/>
                <w:color w:val="FFFFFF"/>
                <w:w w:val="95"/>
                <w:sz w:val="16"/>
              </w:rPr>
              <w:t>UWS</w:t>
            </w:r>
          </w:p>
        </w:tc>
        <w:tc>
          <w:tcPr>
            <w:tcW w:w="1148"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2"/>
              <w:rPr>
                <w:rFonts w:ascii="Gotham Narrow Bold"/>
                <w:b/>
                <w:sz w:val="16"/>
              </w:rPr>
            </w:pPr>
            <w:r>
              <w:rPr>
                <w:rFonts w:ascii="Gotham Narrow Bold"/>
                <w:b/>
                <w:color w:val="FFFFFF"/>
                <w:w w:val="95"/>
                <w:sz w:val="16"/>
              </w:rPr>
              <w:t>SECTOR</w:t>
            </w:r>
          </w:p>
        </w:tc>
        <w:tc>
          <w:tcPr>
            <w:tcW w:w="1148"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4"/>
              <w:rPr>
                <w:rFonts w:ascii="Gotham Narrow Bold"/>
                <w:b/>
                <w:sz w:val="16"/>
              </w:rPr>
            </w:pPr>
            <w:r>
              <w:rPr>
                <w:rFonts w:ascii="Gotham Narrow Bold"/>
                <w:b/>
                <w:color w:val="FFFFFF"/>
                <w:w w:val="95"/>
                <w:sz w:val="16"/>
              </w:rPr>
              <w:t>UWS</w:t>
            </w:r>
          </w:p>
        </w:tc>
        <w:tc>
          <w:tcPr>
            <w:tcW w:w="1148"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SECTOR</w:t>
            </w:r>
          </w:p>
        </w:tc>
        <w:tc>
          <w:tcPr>
            <w:tcW w:w="1148"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UWS</w:t>
            </w:r>
          </w:p>
        </w:tc>
        <w:tc>
          <w:tcPr>
            <w:tcW w:w="1148" w:type="dxa"/>
            <w:tcBorders>
              <w:top w:val="single" w:sz="4" w:space="0" w:color="FFFFFF"/>
              <w:left w:val="single" w:sz="4" w:space="0" w:color="FFFFFF"/>
              <w:bottom w:val="nil"/>
              <w:right w:val="nil"/>
            </w:tcBorders>
            <w:shd w:val="clear" w:color="auto" w:fill="939598"/>
          </w:tcPr>
          <w:p>
            <w:pPr>
              <w:pStyle w:val="TableParagraph"/>
              <w:spacing w:before="61"/>
              <w:ind w:right="78"/>
              <w:rPr>
                <w:rFonts w:ascii="Gotham Narrow Bold"/>
                <w:b/>
                <w:sz w:val="16"/>
              </w:rPr>
            </w:pPr>
            <w:r>
              <w:rPr>
                <w:rFonts w:ascii="Gotham Narrow Bold"/>
                <w:b/>
                <w:color w:val="FFFFFF"/>
                <w:w w:val="95"/>
                <w:sz w:val="16"/>
              </w:rPr>
              <w:t>SECTOR</w:t>
            </w:r>
          </w:p>
        </w:tc>
      </w:tr>
      <w:tr>
        <w:trPr>
          <w:trHeight w:val="312" w:hRule="exact"/>
        </w:trPr>
        <w:tc>
          <w:tcPr>
            <w:tcW w:w="3208" w:type="dxa"/>
            <w:tcBorders>
              <w:top w:val="nil"/>
            </w:tcBorders>
            <w:shd w:val="clear" w:color="auto" w:fill="E6E7E8"/>
          </w:tcPr>
          <w:p>
            <w:pPr>
              <w:pStyle w:val="TableParagraph"/>
              <w:spacing w:before="60"/>
              <w:ind w:left="74"/>
              <w:jc w:val="left"/>
              <w:rPr>
                <w:sz w:val="16"/>
              </w:rPr>
            </w:pPr>
            <w:r>
              <w:rPr>
                <w:spacing w:val="2"/>
                <w:w w:val="93"/>
                <w:sz w:val="16"/>
              </w:rPr>
              <w:t>2</w:t>
            </w:r>
            <w:r>
              <w:rPr>
                <w:spacing w:val="1"/>
                <w:w w:val="111"/>
                <w:sz w:val="16"/>
              </w:rPr>
              <w:t>0</w:t>
            </w:r>
            <w:r>
              <w:rPr>
                <w:spacing w:val="2"/>
                <w:w w:val="54"/>
                <w:sz w:val="16"/>
              </w:rPr>
              <w:t>1</w:t>
            </w:r>
            <w:r>
              <w:rPr>
                <w:w w:val="93"/>
                <w:sz w:val="16"/>
              </w:rPr>
              <w:t>2</w:t>
            </w:r>
          </w:p>
        </w:tc>
        <w:tc>
          <w:tcPr>
            <w:tcW w:w="1148" w:type="dxa"/>
            <w:tcBorders>
              <w:top w:val="nil"/>
            </w:tcBorders>
            <w:shd w:val="clear" w:color="auto" w:fill="E6E7E8"/>
          </w:tcPr>
          <w:p>
            <w:pPr>
              <w:pStyle w:val="TableParagraph"/>
              <w:spacing w:before="60"/>
              <w:ind w:right="73"/>
              <w:rPr>
                <w:sz w:val="16"/>
              </w:rPr>
            </w:pPr>
            <w:r>
              <w:rPr>
                <w:w w:val="85"/>
                <w:sz w:val="16"/>
              </w:rPr>
              <w:t>85.2%</w:t>
            </w:r>
          </w:p>
        </w:tc>
        <w:tc>
          <w:tcPr>
            <w:tcW w:w="1148" w:type="dxa"/>
            <w:tcBorders>
              <w:top w:val="nil"/>
            </w:tcBorders>
            <w:shd w:val="clear" w:color="auto" w:fill="E6E7E8"/>
          </w:tcPr>
          <w:p>
            <w:pPr>
              <w:pStyle w:val="TableParagraph"/>
              <w:spacing w:before="60"/>
              <w:ind w:right="71"/>
              <w:rPr>
                <w:sz w:val="16"/>
              </w:rPr>
            </w:pPr>
            <w:r>
              <w:rPr>
                <w:w w:val="85"/>
                <w:sz w:val="16"/>
              </w:rPr>
              <w:t>83.3%</w:t>
            </w:r>
          </w:p>
        </w:tc>
        <w:tc>
          <w:tcPr>
            <w:tcW w:w="1148" w:type="dxa"/>
            <w:tcBorders>
              <w:top w:val="nil"/>
            </w:tcBorders>
            <w:shd w:val="clear" w:color="auto" w:fill="E6E7E8"/>
          </w:tcPr>
          <w:p>
            <w:pPr>
              <w:pStyle w:val="TableParagraph"/>
              <w:spacing w:before="60"/>
              <w:ind w:right="73"/>
              <w:rPr>
                <w:sz w:val="16"/>
              </w:rPr>
            </w:pPr>
            <w:r>
              <w:rPr>
                <w:w w:val="85"/>
                <w:sz w:val="16"/>
              </w:rPr>
              <w:t>72.2%</w:t>
            </w:r>
          </w:p>
        </w:tc>
        <w:tc>
          <w:tcPr>
            <w:tcW w:w="1148" w:type="dxa"/>
            <w:tcBorders>
              <w:top w:val="nil"/>
            </w:tcBorders>
            <w:shd w:val="clear" w:color="auto" w:fill="E6E7E8"/>
          </w:tcPr>
          <w:p>
            <w:pPr>
              <w:pStyle w:val="TableParagraph"/>
              <w:spacing w:before="60"/>
              <w:ind w:right="73"/>
              <w:rPr>
                <w:sz w:val="16"/>
              </w:rPr>
            </w:pPr>
            <w:r>
              <w:rPr>
                <w:w w:val="90"/>
                <w:sz w:val="16"/>
              </w:rPr>
              <w:t>66.9%</w:t>
            </w:r>
          </w:p>
        </w:tc>
        <w:tc>
          <w:tcPr>
            <w:tcW w:w="1148" w:type="dxa"/>
            <w:tcBorders>
              <w:top w:val="nil"/>
            </w:tcBorders>
            <w:shd w:val="clear" w:color="auto" w:fill="E6E7E8"/>
          </w:tcPr>
          <w:p>
            <w:pPr>
              <w:pStyle w:val="TableParagraph"/>
              <w:spacing w:before="60"/>
              <w:ind w:right="74"/>
              <w:rPr>
                <w:sz w:val="16"/>
              </w:rPr>
            </w:pPr>
            <w:r>
              <w:rPr>
                <w:w w:val="85"/>
                <w:sz w:val="16"/>
              </w:rPr>
              <w:t>82.4%</w:t>
            </w:r>
          </w:p>
        </w:tc>
        <w:tc>
          <w:tcPr>
            <w:tcW w:w="1148" w:type="dxa"/>
            <w:tcBorders>
              <w:top w:val="nil"/>
            </w:tcBorders>
            <w:shd w:val="clear" w:color="auto" w:fill="E6E7E8"/>
          </w:tcPr>
          <w:p>
            <w:pPr>
              <w:pStyle w:val="TableParagraph"/>
              <w:spacing w:before="60"/>
              <w:ind w:right="73"/>
              <w:rPr>
                <w:sz w:val="16"/>
              </w:rPr>
            </w:pPr>
            <w:r>
              <w:rPr>
                <w:w w:val="75"/>
                <w:sz w:val="16"/>
              </w:rPr>
              <w:t>77.1%</w:t>
            </w:r>
          </w:p>
        </w:tc>
      </w:tr>
      <w:tr>
        <w:trPr>
          <w:trHeight w:val="312" w:hRule="exact"/>
        </w:trPr>
        <w:tc>
          <w:tcPr>
            <w:tcW w:w="3208" w:type="dxa"/>
            <w:shd w:val="clear" w:color="auto" w:fill="E6E7E8"/>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94"/>
                <w:sz w:val="16"/>
              </w:rPr>
              <w:t>3</w:t>
            </w:r>
          </w:p>
        </w:tc>
        <w:tc>
          <w:tcPr>
            <w:tcW w:w="1148" w:type="dxa"/>
            <w:shd w:val="clear" w:color="auto" w:fill="E6E7E8"/>
          </w:tcPr>
          <w:p>
            <w:pPr>
              <w:pStyle w:val="TableParagraph"/>
              <w:ind w:right="72"/>
              <w:rPr>
                <w:sz w:val="16"/>
              </w:rPr>
            </w:pPr>
            <w:r>
              <w:rPr>
                <w:w w:val="85"/>
                <w:sz w:val="16"/>
              </w:rPr>
              <w:t>83.6%</w:t>
            </w:r>
          </w:p>
        </w:tc>
        <w:tc>
          <w:tcPr>
            <w:tcW w:w="1148" w:type="dxa"/>
            <w:shd w:val="clear" w:color="auto" w:fill="E6E7E8"/>
          </w:tcPr>
          <w:p>
            <w:pPr>
              <w:pStyle w:val="TableParagraph"/>
              <w:ind w:right="73"/>
              <w:rPr>
                <w:sz w:val="16"/>
              </w:rPr>
            </w:pPr>
            <w:r>
              <w:rPr>
                <w:w w:val="75"/>
                <w:sz w:val="16"/>
              </w:rPr>
              <w:t>83.1%</w:t>
            </w:r>
          </w:p>
        </w:tc>
        <w:tc>
          <w:tcPr>
            <w:tcW w:w="1148" w:type="dxa"/>
            <w:shd w:val="clear" w:color="auto" w:fill="E6E7E8"/>
          </w:tcPr>
          <w:p>
            <w:pPr>
              <w:pStyle w:val="TableParagraph"/>
              <w:ind w:right="73"/>
              <w:rPr>
                <w:sz w:val="16"/>
              </w:rPr>
            </w:pPr>
            <w:r>
              <w:rPr>
                <w:w w:val="90"/>
                <w:sz w:val="16"/>
              </w:rPr>
              <w:t>70.8%</w:t>
            </w:r>
          </w:p>
        </w:tc>
        <w:tc>
          <w:tcPr>
            <w:tcW w:w="1148" w:type="dxa"/>
            <w:shd w:val="clear" w:color="auto" w:fill="E6E7E8"/>
          </w:tcPr>
          <w:p>
            <w:pPr>
              <w:pStyle w:val="TableParagraph"/>
              <w:ind w:right="73"/>
              <w:rPr>
                <w:sz w:val="16"/>
              </w:rPr>
            </w:pPr>
            <w:r>
              <w:rPr>
                <w:w w:val="85"/>
                <w:sz w:val="16"/>
              </w:rPr>
              <w:t>67.3%</w:t>
            </w:r>
          </w:p>
        </w:tc>
        <w:tc>
          <w:tcPr>
            <w:tcW w:w="1148" w:type="dxa"/>
            <w:shd w:val="clear" w:color="auto" w:fill="E6E7E8"/>
          </w:tcPr>
          <w:p>
            <w:pPr>
              <w:pStyle w:val="TableParagraph"/>
              <w:ind w:right="71"/>
              <w:rPr>
                <w:sz w:val="16"/>
              </w:rPr>
            </w:pPr>
            <w:r>
              <w:rPr>
                <w:w w:val="75"/>
                <w:sz w:val="16"/>
              </w:rPr>
              <w:t>81.3%</w:t>
            </w:r>
          </w:p>
        </w:tc>
        <w:tc>
          <w:tcPr>
            <w:tcW w:w="1148" w:type="dxa"/>
            <w:shd w:val="clear" w:color="auto" w:fill="E6E7E8"/>
          </w:tcPr>
          <w:p>
            <w:pPr>
              <w:pStyle w:val="TableParagraph"/>
              <w:ind w:right="73"/>
              <w:rPr>
                <w:sz w:val="16"/>
              </w:rPr>
            </w:pPr>
            <w:r>
              <w:rPr>
                <w:w w:val="85"/>
                <w:sz w:val="16"/>
              </w:rPr>
              <w:t>77.4%</w:t>
            </w:r>
          </w:p>
        </w:tc>
      </w:tr>
      <w:tr>
        <w:trPr>
          <w:trHeight w:val="312" w:hRule="exact"/>
        </w:trPr>
        <w:tc>
          <w:tcPr>
            <w:tcW w:w="3208" w:type="dxa"/>
            <w:shd w:val="clear" w:color="auto" w:fill="E6E7E8"/>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103"/>
                <w:sz w:val="16"/>
              </w:rPr>
              <w:t>4</w:t>
            </w:r>
          </w:p>
        </w:tc>
        <w:tc>
          <w:tcPr>
            <w:tcW w:w="1148" w:type="dxa"/>
            <w:shd w:val="clear" w:color="auto" w:fill="E6E7E8"/>
          </w:tcPr>
          <w:p>
            <w:pPr>
              <w:pStyle w:val="TableParagraph"/>
              <w:ind w:right="74"/>
              <w:rPr>
                <w:sz w:val="16"/>
              </w:rPr>
            </w:pPr>
            <w:r>
              <w:rPr>
                <w:w w:val="90"/>
                <w:sz w:val="16"/>
              </w:rPr>
              <w:t>84.4%</w:t>
            </w:r>
          </w:p>
        </w:tc>
        <w:tc>
          <w:tcPr>
            <w:tcW w:w="1148" w:type="dxa"/>
            <w:shd w:val="clear" w:color="auto" w:fill="E6E7E8"/>
          </w:tcPr>
          <w:p>
            <w:pPr>
              <w:pStyle w:val="TableParagraph"/>
              <w:ind w:right="73"/>
              <w:rPr>
                <w:sz w:val="16"/>
              </w:rPr>
            </w:pPr>
            <w:r>
              <w:rPr>
                <w:w w:val="90"/>
                <w:sz w:val="16"/>
              </w:rPr>
              <w:t>83.0%</w:t>
            </w:r>
          </w:p>
        </w:tc>
        <w:tc>
          <w:tcPr>
            <w:tcW w:w="1148" w:type="dxa"/>
            <w:shd w:val="clear" w:color="auto" w:fill="E6E7E8"/>
          </w:tcPr>
          <w:p>
            <w:pPr>
              <w:pStyle w:val="TableParagraph"/>
              <w:ind w:right="71"/>
              <w:rPr>
                <w:sz w:val="16"/>
              </w:rPr>
            </w:pPr>
            <w:r>
              <w:rPr>
                <w:w w:val="75"/>
                <w:sz w:val="16"/>
              </w:rPr>
              <w:t>71.3%</w:t>
            </w:r>
          </w:p>
        </w:tc>
        <w:tc>
          <w:tcPr>
            <w:tcW w:w="1148" w:type="dxa"/>
            <w:shd w:val="clear" w:color="auto" w:fill="E6E7E8"/>
          </w:tcPr>
          <w:p>
            <w:pPr>
              <w:pStyle w:val="TableParagraph"/>
              <w:ind w:right="73"/>
              <w:rPr>
                <w:sz w:val="16"/>
              </w:rPr>
            </w:pPr>
            <w:r>
              <w:rPr>
                <w:w w:val="85"/>
                <w:sz w:val="16"/>
              </w:rPr>
              <w:t>67.8%</w:t>
            </w:r>
          </w:p>
        </w:tc>
        <w:tc>
          <w:tcPr>
            <w:tcW w:w="1148" w:type="dxa"/>
            <w:shd w:val="clear" w:color="auto" w:fill="E6E7E8"/>
          </w:tcPr>
          <w:p>
            <w:pPr>
              <w:pStyle w:val="TableParagraph"/>
              <w:ind w:right="72"/>
              <w:rPr>
                <w:sz w:val="16"/>
              </w:rPr>
            </w:pPr>
            <w:r>
              <w:rPr>
                <w:w w:val="75"/>
                <w:sz w:val="16"/>
              </w:rPr>
              <w:t>81.5%</w:t>
            </w:r>
          </w:p>
        </w:tc>
        <w:tc>
          <w:tcPr>
            <w:tcW w:w="1148" w:type="dxa"/>
            <w:shd w:val="clear" w:color="auto" w:fill="E6E7E8"/>
          </w:tcPr>
          <w:p>
            <w:pPr>
              <w:pStyle w:val="TableParagraph"/>
              <w:ind w:right="73"/>
              <w:rPr>
                <w:sz w:val="16"/>
              </w:rPr>
            </w:pPr>
            <w:r>
              <w:rPr>
                <w:w w:val="85"/>
                <w:sz w:val="16"/>
              </w:rPr>
              <w:t>77.7%</w:t>
            </w:r>
          </w:p>
        </w:tc>
      </w:tr>
      <w:tr>
        <w:trPr>
          <w:trHeight w:val="312" w:hRule="exact"/>
        </w:trPr>
        <w:tc>
          <w:tcPr>
            <w:tcW w:w="3208" w:type="dxa"/>
            <w:shd w:val="clear" w:color="auto" w:fill="E6E7E8"/>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95"/>
                <w:sz w:val="16"/>
              </w:rPr>
              <w:t>5</w:t>
            </w:r>
          </w:p>
        </w:tc>
        <w:tc>
          <w:tcPr>
            <w:tcW w:w="1148" w:type="dxa"/>
            <w:shd w:val="clear" w:color="auto" w:fill="E6E7E8"/>
          </w:tcPr>
          <w:p>
            <w:pPr>
              <w:pStyle w:val="TableParagraph"/>
              <w:ind w:right="71"/>
              <w:rPr>
                <w:sz w:val="16"/>
              </w:rPr>
            </w:pPr>
            <w:r>
              <w:rPr>
                <w:w w:val="85"/>
                <w:sz w:val="16"/>
              </w:rPr>
              <w:t>85.3%</w:t>
            </w:r>
          </w:p>
        </w:tc>
        <w:tc>
          <w:tcPr>
            <w:tcW w:w="1148" w:type="dxa"/>
            <w:shd w:val="clear" w:color="auto" w:fill="E6E7E8"/>
          </w:tcPr>
          <w:p>
            <w:pPr>
              <w:pStyle w:val="TableParagraph"/>
              <w:ind w:right="72"/>
              <w:rPr>
                <w:sz w:val="16"/>
              </w:rPr>
            </w:pPr>
            <w:r>
              <w:rPr>
                <w:w w:val="85"/>
                <w:sz w:val="16"/>
              </w:rPr>
              <w:t>83.5%</w:t>
            </w:r>
          </w:p>
        </w:tc>
        <w:tc>
          <w:tcPr>
            <w:tcW w:w="1148" w:type="dxa"/>
            <w:shd w:val="clear" w:color="auto" w:fill="E6E7E8"/>
          </w:tcPr>
          <w:p>
            <w:pPr>
              <w:pStyle w:val="TableParagraph"/>
              <w:ind w:right="68"/>
              <w:rPr>
                <w:sz w:val="16"/>
              </w:rPr>
            </w:pPr>
            <w:r>
              <w:rPr>
                <w:w w:val="75"/>
                <w:sz w:val="16"/>
              </w:rPr>
              <w:t>71.2%</w:t>
            </w:r>
          </w:p>
        </w:tc>
        <w:tc>
          <w:tcPr>
            <w:tcW w:w="1148" w:type="dxa"/>
            <w:shd w:val="clear" w:color="auto" w:fill="E6E7E8"/>
          </w:tcPr>
          <w:p>
            <w:pPr>
              <w:pStyle w:val="TableParagraph"/>
              <w:ind w:right="74"/>
              <w:rPr>
                <w:sz w:val="16"/>
              </w:rPr>
            </w:pPr>
            <w:r>
              <w:rPr>
                <w:w w:val="90"/>
                <w:sz w:val="16"/>
              </w:rPr>
              <w:t>68.4%</w:t>
            </w:r>
          </w:p>
        </w:tc>
        <w:tc>
          <w:tcPr>
            <w:tcW w:w="1148" w:type="dxa"/>
            <w:shd w:val="clear" w:color="auto" w:fill="E6E7E8"/>
          </w:tcPr>
          <w:p>
            <w:pPr>
              <w:pStyle w:val="TableParagraph"/>
              <w:ind w:right="73"/>
              <w:rPr>
                <w:sz w:val="16"/>
              </w:rPr>
            </w:pPr>
            <w:r>
              <w:rPr>
                <w:w w:val="90"/>
                <w:sz w:val="16"/>
              </w:rPr>
              <w:t>82.0%</w:t>
            </w:r>
          </w:p>
        </w:tc>
        <w:tc>
          <w:tcPr>
            <w:tcW w:w="1148" w:type="dxa"/>
            <w:shd w:val="clear" w:color="auto" w:fill="E6E7E8"/>
          </w:tcPr>
          <w:p>
            <w:pPr>
              <w:pStyle w:val="TableParagraph"/>
              <w:ind w:right="73"/>
              <w:rPr>
                <w:sz w:val="16"/>
              </w:rPr>
            </w:pPr>
            <w:r>
              <w:rPr>
                <w:w w:val="85"/>
                <w:sz w:val="16"/>
              </w:rPr>
              <w:t>78.3%</w:t>
            </w:r>
          </w:p>
        </w:tc>
      </w:tr>
    </w:tbl>
    <w:p>
      <w:pPr>
        <w:pStyle w:val="BodyText"/>
        <w:spacing w:before="43"/>
        <w:ind w:left="331" w:right="6585"/>
      </w:pPr>
      <w:r>
        <w:rPr/>
        <w:t>(Source: Graduate course experience data files)</w:t>
      </w:r>
    </w:p>
    <w:p>
      <w:pPr>
        <w:spacing w:after="0"/>
        <w:sectPr>
          <w:pgSz w:w="11910" w:h="16840"/>
          <w:pgMar w:header="494" w:footer="473" w:top="680" w:bottom="660" w:left="580" w:right="580"/>
        </w:sectPr>
      </w:pPr>
    </w:p>
    <w:p>
      <w:pPr>
        <w:pStyle w:val="BodyText"/>
        <w:spacing w:before="7"/>
        <w:rPr>
          <w:sz w:val="28"/>
        </w:rPr>
      </w:pPr>
      <w:r>
        <w:rPr/>
        <w:pict>
          <v:rect style="position:absolute;margin-left:34.015999pt;margin-top:45.355015pt;width:527.244pt;height:751.181pt;mso-position-horizontal-relative:page;mso-position-vertical-relative:page;z-index:-331552" filled="true" fillcolor="#e6e7e8" stroked="false">
            <v:fill type="solid"/>
            <w10:wrap type="none"/>
          </v:rect>
        </w:pict>
      </w:r>
    </w:p>
    <w:p>
      <w:pPr>
        <w:pStyle w:val="Heading1"/>
      </w:pPr>
      <w:r>
        <w:rPr>
          <w:w w:val="95"/>
        </w:rPr>
        <w:t>APPENDIX 11</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5"/>
        <w:rPr>
          <w:rFonts w:ascii="Gotham Narrow Bold"/>
          <w:b/>
          <w:sz w:val="25"/>
        </w:rPr>
      </w:pPr>
    </w:p>
    <w:p>
      <w:pPr>
        <w:pStyle w:val="Heading8"/>
        <w:spacing w:before="72"/>
        <w:ind w:left="330" w:right="411"/>
      </w:pPr>
      <w:r>
        <w:rPr>
          <w:color w:val="636466"/>
          <w:w w:val="95"/>
        </w:rPr>
        <w:t>Table 10: Commencing Bachelor Student Retention, 2010–11 to 2014–15 (p)</w:t>
      </w:r>
    </w:p>
    <w:p>
      <w:pPr>
        <w:pStyle w:val="BodyText"/>
        <w:spacing w:before="11"/>
        <w:rPr>
          <w:rFonts w:ascii="Gotham Narrow Bold"/>
          <w:b/>
          <w:sz w:val="10"/>
        </w:rPr>
      </w:pPr>
    </w:p>
    <w:tbl>
      <w:tblPr>
        <w:tblW w:w="0" w:type="auto"/>
        <w:jc w:val="left"/>
        <w:tblInd w:w="33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204"/>
        <w:gridCol w:w="1720"/>
        <w:gridCol w:w="1715"/>
      </w:tblGrid>
      <w:tr>
        <w:trPr>
          <w:trHeight w:val="312" w:hRule="exact"/>
        </w:trPr>
        <w:tc>
          <w:tcPr>
            <w:tcW w:w="6639" w:type="dxa"/>
            <w:gridSpan w:val="3"/>
            <w:tcBorders>
              <w:top w:val="nil"/>
              <w:left w:val="nil"/>
              <w:bottom w:val="nil"/>
              <w:right w:val="nil"/>
            </w:tcBorders>
            <w:shd w:val="clear" w:color="auto" w:fill="939598"/>
          </w:tcPr>
          <w:p>
            <w:pPr>
              <w:pStyle w:val="TableParagraph"/>
              <w:tabs>
                <w:tab w:pos="4492" w:val="left" w:leader="none"/>
                <w:tab w:pos="5961" w:val="left" w:leader="none"/>
              </w:tabs>
              <w:spacing w:before="66"/>
              <w:ind w:left="80"/>
              <w:jc w:val="left"/>
              <w:rPr>
                <w:rFonts w:ascii="Gotham Narrow Bold"/>
                <w:b/>
                <w:sz w:val="16"/>
              </w:rPr>
            </w:pPr>
            <w:r>
              <w:rPr>
                <w:rFonts w:ascii="Gotham Narrow Bold"/>
                <w:b/>
                <w:color w:val="FFFFFF"/>
                <w:spacing w:val="2"/>
                <w:sz w:val="16"/>
              </w:rPr>
              <w:t>YEAR</w:t>
              <w:tab/>
            </w:r>
            <w:r>
              <w:rPr>
                <w:rFonts w:ascii="Gotham Narrow Bold"/>
                <w:b/>
                <w:color w:val="FFFFFF"/>
                <w:sz w:val="16"/>
              </w:rPr>
              <w:t>UWS</w:t>
              <w:tab/>
            </w:r>
            <w:r>
              <w:rPr>
                <w:rFonts w:ascii="Gotham Narrow Bold"/>
                <w:b/>
                <w:color w:val="FFFFFF"/>
                <w:spacing w:val="2"/>
                <w:sz w:val="16"/>
              </w:rPr>
              <w:t>SECTOR</w:t>
            </w:r>
          </w:p>
        </w:tc>
      </w:tr>
      <w:tr>
        <w:trPr>
          <w:trHeight w:val="312" w:hRule="exact"/>
        </w:trPr>
        <w:tc>
          <w:tcPr>
            <w:tcW w:w="3204" w:type="dxa"/>
            <w:tcBorders>
              <w:top w:val="nil"/>
            </w:tcBorders>
            <w:shd w:val="clear" w:color="auto" w:fill="E6E7E8"/>
          </w:tcPr>
          <w:p>
            <w:pPr>
              <w:pStyle w:val="TableParagraph"/>
              <w:spacing w:before="60"/>
              <w:ind w:left="75"/>
              <w:jc w:val="left"/>
              <w:rPr>
                <w:sz w:val="16"/>
              </w:rPr>
            </w:pPr>
            <w:r>
              <w:rPr>
                <w:spacing w:val="2"/>
                <w:w w:val="93"/>
                <w:sz w:val="16"/>
              </w:rPr>
              <w:t>2</w:t>
            </w:r>
            <w:r>
              <w:rPr>
                <w:spacing w:val="1"/>
                <w:w w:val="111"/>
                <w:sz w:val="16"/>
              </w:rPr>
              <w:t>0</w:t>
            </w:r>
            <w:r>
              <w:rPr>
                <w:spacing w:val="4"/>
                <w:w w:val="54"/>
                <w:sz w:val="16"/>
              </w:rPr>
              <w:t>1</w:t>
            </w:r>
            <w:r>
              <w:rPr>
                <w:spacing w:val="7"/>
                <w:w w:val="111"/>
                <w:sz w:val="16"/>
              </w:rPr>
              <w:t>0</w:t>
            </w:r>
            <w:r>
              <w:rPr>
                <w:spacing w:val="-1"/>
                <w:w w:val="71"/>
                <w:sz w:val="16"/>
              </w:rPr>
              <w:t>–</w:t>
            </w:r>
            <w:r>
              <w:rPr>
                <w:spacing w:val="3"/>
                <w:w w:val="71"/>
                <w:sz w:val="16"/>
              </w:rPr>
              <w:t>1</w:t>
            </w:r>
            <w:r>
              <w:rPr>
                <w:w w:val="54"/>
                <w:sz w:val="16"/>
              </w:rPr>
              <w:t>1</w:t>
            </w:r>
          </w:p>
        </w:tc>
        <w:tc>
          <w:tcPr>
            <w:tcW w:w="1720" w:type="dxa"/>
            <w:tcBorders>
              <w:top w:val="nil"/>
            </w:tcBorders>
            <w:shd w:val="clear" w:color="auto" w:fill="E6E7E8"/>
          </w:tcPr>
          <w:p>
            <w:pPr>
              <w:pStyle w:val="TableParagraph"/>
              <w:spacing w:before="60"/>
              <w:ind w:right="73"/>
              <w:rPr>
                <w:sz w:val="16"/>
              </w:rPr>
            </w:pPr>
            <w:r>
              <w:rPr>
                <w:w w:val="95"/>
                <w:sz w:val="16"/>
              </w:rPr>
              <w:t>80.0%</w:t>
            </w:r>
          </w:p>
        </w:tc>
        <w:tc>
          <w:tcPr>
            <w:tcW w:w="1715" w:type="dxa"/>
            <w:tcBorders>
              <w:top w:val="nil"/>
            </w:tcBorders>
            <w:shd w:val="clear" w:color="auto" w:fill="E6E7E8"/>
          </w:tcPr>
          <w:p>
            <w:pPr>
              <w:pStyle w:val="TableParagraph"/>
              <w:spacing w:before="60"/>
              <w:ind w:right="73"/>
              <w:rPr>
                <w:sz w:val="16"/>
              </w:rPr>
            </w:pPr>
            <w:r>
              <w:rPr>
                <w:w w:val="75"/>
                <w:sz w:val="16"/>
              </w:rPr>
              <w:t>83.1%</w:t>
            </w:r>
          </w:p>
        </w:tc>
      </w:tr>
      <w:tr>
        <w:trPr>
          <w:trHeight w:val="312" w:hRule="exact"/>
        </w:trPr>
        <w:tc>
          <w:tcPr>
            <w:tcW w:w="3204" w:type="dxa"/>
            <w:shd w:val="clear" w:color="auto" w:fill="E6E7E8"/>
          </w:tcPr>
          <w:p>
            <w:pPr>
              <w:pStyle w:val="TableParagraph"/>
              <w:ind w:left="74"/>
              <w:jc w:val="left"/>
              <w:rPr>
                <w:sz w:val="16"/>
              </w:rPr>
            </w:pPr>
            <w:r>
              <w:rPr>
                <w:spacing w:val="2"/>
                <w:w w:val="93"/>
                <w:sz w:val="16"/>
              </w:rPr>
              <w:t>2</w:t>
            </w:r>
            <w:r>
              <w:rPr>
                <w:spacing w:val="1"/>
                <w:w w:val="111"/>
                <w:sz w:val="16"/>
              </w:rPr>
              <w:t>0</w:t>
            </w:r>
            <w:r>
              <w:rPr>
                <w:spacing w:val="3"/>
                <w:w w:val="54"/>
                <w:sz w:val="16"/>
              </w:rPr>
              <w:t>1</w:t>
            </w:r>
            <w:r>
              <w:rPr>
                <w:spacing w:val="4"/>
                <w:w w:val="54"/>
                <w:sz w:val="16"/>
              </w:rPr>
              <w:t>1</w:t>
            </w:r>
            <w:r>
              <w:rPr>
                <w:spacing w:val="-1"/>
                <w:w w:val="71"/>
                <w:sz w:val="16"/>
              </w:rPr>
              <w:t>–</w:t>
            </w:r>
            <w:r>
              <w:rPr>
                <w:spacing w:val="2"/>
                <w:w w:val="71"/>
                <w:sz w:val="16"/>
              </w:rPr>
              <w:t>1</w:t>
            </w:r>
            <w:r>
              <w:rPr>
                <w:w w:val="93"/>
                <w:sz w:val="16"/>
              </w:rPr>
              <w:t>2</w:t>
            </w:r>
          </w:p>
        </w:tc>
        <w:tc>
          <w:tcPr>
            <w:tcW w:w="1720" w:type="dxa"/>
            <w:shd w:val="clear" w:color="auto" w:fill="E6E7E8"/>
          </w:tcPr>
          <w:p>
            <w:pPr>
              <w:pStyle w:val="TableParagraph"/>
              <w:ind w:right="73"/>
              <w:rPr>
                <w:sz w:val="16"/>
              </w:rPr>
            </w:pPr>
            <w:r>
              <w:rPr>
                <w:w w:val="75"/>
                <w:sz w:val="16"/>
              </w:rPr>
              <w:t>79.1%</w:t>
            </w:r>
          </w:p>
        </w:tc>
        <w:tc>
          <w:tcPr>
            <w:tcW w:w="1715" w:type="dxa"/>
            <w:shd w:val="clear" w:color="auto" w:fill="E6E7E8"/>
          </w:tcPr>
          <w:p>
            <w:pPr>
              <w:pStyle w:val="TableParagraph"/>
              <w:ind w:right="73"/>
              <w:rPr>
                <w:sz w:val="16"/>
              </w:rPr>
            </w:pPr>
            <w:r>
              <w:rPr>
                <w:w w:val="90"/>
                <w:sz w:val="16"/>
              </w:rPr>
              <w:t>83.0%</w:t>
            </w:r>
          </w:p>
        </w:tc>
      </w:tr>
      <w:tr>
        <w:trPr>
          <w:trHeight w:val="312" w:hRule="exact"/>
        </w:trPr>
        <w:tc>
          <w:tcPr>
            <w:tcW w:w="3204" w:type="dxa"/>
            <w:shd w:val="clear" w:color="auto" w:fill="E6E7E8"/>
          </w:tcPr>
          <w:p>
            <w:pPr>
              <w:pStyle w:val="TableParagraph"/>
              <w:ind w:left="74"/>
              <w:jc w:val="left"/>
              <w:rPr>
                <w:sz w:val="16"/>
              </w:rPr>
            </w:pPr>
            <w:r>
              <w:rPr>
                <w:spacing w:val="2"/>
                <w:w w:val="93"/>
                <w:sz w:val="16"/>
              </w:rPr>
              <w:t>2</w:t>
            </w:r>
            <w:r>
              <w:rPr>
                <w:spacing w:val="1"/>
                <w:w w:val="111"/>
                <w:sz w:val="16"/>
              </w:rPr>
              <w:t>0</w:t>
            </w:r>
            <w:r>
              <w:rPr>
                <w:spacing w:val="2"/>
                <w:w w:val="54"/>
                <w:sz w:val="16"/>
              </w:rPr>
              <w:t>1</w:t>
            </w:r>
            <w:r>
              <w:rPr>
                <w:w w:val="93"/>
                <w:sz w:val="16"/>
              </w:rPr>
              <w:t>2</w:t>
            </w:r>
            <w:r>
              <w:rPr>
                <w:spacing w:val="-1"/>
                <w:w w:val="71"/>
                <w:sz w:val="16"/>
              </w:rPr>
              <w:t>–</w:t>
            </w:r>
            <w:r>
              <w:rPr>
                <w:spacing w:val="2"/>
                <w:w w:val="71"/>
                <w:sz w:val="16"/>
              </w:rPr>
              <w:t>1</w:t>
            </w:r>
            <w:r>
              <w:rPr>
                <w:w w:val="94"/>
                <w:sz w:val="16"/>
              </w:rPr>
              <w:t>3</w:t>
            </w:r>
          </w:p>
        </w:tc>
        <w:tc>
          <w:tcPr>
            <w:tcW w:w="1720" w:type="dxa"/>
            <w:shd w:val="clear" w:color="auto" w:fill="E6E7E8"/>
          </w:tcPr>
          <w:p>
            <w:pPr>
              <w:pStyle w:val="TableParagraph"/>
              <w:ind w:right="73"/>
              <w:rPr>
                <w:sz w:val="16"/>
              </w:rPr>
            </w:pPr>
            <w:r>
              <w:rPr>
                <w:w w:val="85"/>
                <w:sz w:val="16"/>
              </w:rPr>
              <w:t>78.5%</w:t>
            </w:r>
          </w:p>
        </w:tc>
        <w:tc>
          <w:tcPr>
            <w:tcW w:w="1715" w:type="dxa"/>
            <w:shd w:val="clear" w:color="auto" w:fill="E6E7E8"/>
          </w:tcPr>
          <w:p>
            <w:pPr>
              <w:pStyle w:val="TableParagraph"/>
              <w:ind w:right="73"/>
              <w:rPr>
                <w:sz w:val="16"/>
              </w:rPr>
            </w:pPr>
            <w:r>
              <w:rPr>
                <w:w w:val="85"/>
                <w:sz w:val="16"/>
              </w:rPr>
              <w:t>82.2%</w:t>
            </w:r>
          </w:p>
        </w:tc>
      </w:tr>
      <w:tr>
        <w:trPr>
          <w:trHeight w:val="312" w:hRule="exact"/>
        </w:trPr>
        <w:tc>
          <w:tcPr>
            <w:tcW w:w="3204" w:type="dxa"/>
            <w:shd w:val="clear" w:color="auto" w:fill="E6E7E8"/>
          </w:tcPr>
          <w:p>
            <w:pPr>
              <w:pStyle w:val="TableParagraph"/>
              <w:ind w:left="74"/>
              <w:jc w:val="left"/>
              <w:rPr>
                <w:sz w:val="16"/>
              </w:rPr>
            </w:pPr>
            <w:r>
              <w:rPr>
                <w:w w:val="95"/>
                <w:sz w:val="16"/>
              </w:rPr>
              <w:t>2013–14</w:t>
            </w:r>
          </w:p>
        </w:tc>
        <w:tc>
          <w:tcPr>
            <w:tcW w:w="1720" w:type="dxa"/>
            <w:shd w:val="clear" w:color="auto" w:fill="E6E7E8"/>
          </w:tcPr>
          <w:p>
            <w:pPr>
              <w:pStyle w:val="TableParagraph"/>
              <w:ind w:right="73"/>
              <w:rPr>
                <w:sz w:val="16"/>
              </w:rPr>
            </w:pPr>
            <w:r>
              <w:rPr>
                <w:w w:val="75"/>
                <w:sz w:val="16"/>
              </w:rPr>
              <w:t>79.1%</w:t>
            </w:r>
          </w:p>
        </w:tc>
        <w:tc>
          <w:tcPr>
            <w:tcW w:w="1715" w:type="dxa"/>
            <w:shd w:val="clear" w:color="auto" w:fill="E6E7E8"/>
          </w:tcPr>
          <w:p>
            <w:pPr>
              <w:pStyle w:val="TableParagraph"/>
              <w:ind w:right="73"/>
              <w:rPr>
                <w:sz w:val="16"/>
              </w:rPr>
            </w:pPr>
            <w:r>
              <w:rPr>
                <w:w w:val="90"/>
                <w:sz w:val="16"/>
              </w:rPr>
              <w:t>80.8%</w:t>
            </w:r>
          </w:p>
        </w:tc>
      </w:tr>
      <w:tr>
        <w:trPr>
          <w:trHeight w:val="312" w:hRule="exact"/>
        </w:trPr>
        <w:tc>
          <w:tcPr>
            <w:tcW w:w="3204" w:type="dxa"/>
            <w:shd w:val="clear" w:color="auto" w:fill="E6E7E8"/>
          </w:tcPr>
          <w:p>
            <w:pPr>
              <w:pStyle w:val="TableParagraph"/>
              <w:ind w:left="74"/>
              <w:jc w:val="left"/>
              <w:rPr>
                <w:sz w:val="16"/>
              </w:rPr>
            </w:pPr>
            <w:r>
              <w:rPr>
                <w:spacing w:val="2"/>
                <w:w w:val="93"/>
                <w:sz w:val="16"/>
              </w:rPr>
              <w:t>2</w:t>
            </w:r>
            <w:r>
              <w:rPr>
                <w:spacing w:val="1"/>
                <w:w w:val="111"/>
                <w:sz w:val="16"/>
              </w:rPr>
              <w:t>0</w:t>
            </w:r>
            <w:r>
              <w:rPr>
                <w:spacing w:val="2"/>
                <w:w w:val="54"/>
                <w:sz w:val="16"/>
              </w:rPr>
              <w:t>1</w:t>
            </w:r>
            <w:r>
              <w:rPr>
                <w:spacing w:val="4"/>
                <w:w w:val="103"/>
                <w:sz w:val="16"/>
              </w:rPr>
              <w:t>4</w:t>
            </w:r>
            <w:r>
              <w:rPr>
                <w:spacing w:val="-1"/>
                <w:w w:val="89"/>
                <w:sz w:val="16"/>
              </w:rPr>
              <w:t>–</w:t>
            </w:r>
            <w:r>
              <w:rPr>
                <w:spacing w:val="2"/>
                <w:w w:val="54"/>
                <w:sz w:val="16"/>
              </w:rPr>
              <w:t>1</w:t>
            </w:r>
            <w:r>
              <w:rPr>
                <w:w w:val="95"/>
                <w:sz w:val="16"/>
              </w:rPr>
              <w:t>5</w:t>
            </w:r>
            <w:r>
              <w:rPr>
                <w:spacing w:val="-12"/>
                <w:sz w:val="16"/>
              </w:rPr>
              <w:t> </w:t>
            </w:r>
            <w:r>
              <w:rPr>
                <w:spacing w:val="1"/>
                <w:w w:val="96"/>
                <w:sz w:val="16"/>
              </w:rPr>
              <w:t>(</w:t>
            </w:r>
            <w:r>
              <w:rPr>
                <w:spacing w:val="-9"/>
                <w:w w:val="102"/>
                <w:sz w:val="16"/>
              </w:rPr>
              <w:t>p</w:t>
            </w:r>
            <w:r>
              <w:rPr>
                <w:w w:val="96"/>
                <w:sz w:val="16"/>
              </w:rPr>
              <w:t>)</w:t>
            </w:r>
          </w:p>
        </w:tc>
        <w:tc>
          <w:tcPr>
            <w:tcW w:w="1720" w:type="dxa"/>
            <w:shd w:val="clear" w:color="auto" w:fill="E6E7E8"/>
          </w:tcPr>
          <w:p>
            <w:pPr>
              <w:pStyle w:val="TableParagraph"/>
              <w:ind w:right="72"/>
              <w:rPr>
                <w:sz w:val="16"/>
              </w:rPr>
            </w:pPr>
            <w:r>
              <w:rPr>
                <w:w w:val="85"/>
                <w:sz w:val="16"/>
              </w:rPr>
              <w:t>78.6%</w:t>
            </w:r>
          </w:p>
        </w:tc>
        <w:tc>
          <w:tcPr>
            <w:tcW w:w="1715" w:type="dxa"/>
            <w:shd w:val="clear" w:color="auto" w:fill="E6E7E8"/>
          </w:tcPr>
          <w:p>
            <w:pPr>
              <w:pStyle w:val="TableParagraph"/>
              <w:ind w:right="73"/>
              <w:rPr>
                <w:sz w:val="16"/>
              </w:rPr>
            </w:pPr>
            <w:r>
              <w:rPr>
                <w:w w:val="90"/>
                <w:sz w:val="16"/>
              </w:rPr>
              <w:t>n.a</w:t>
            </w:r>
          </w:p>
        </w:tc>
      </w:tr>
    </w:tbl>
    <w:p>
      <w:pPr>
        <w:pStyle w:val="BodyText"/>
        <w:spacing w:before="43"/>
        <w:ind w:left="335" w:right="5322"/>
      </w:pPr>
      <w:r>
        <w:rPr/>
        <w:t>(Source: Department of Education and Training statistical publications)</w:t>
      </w:r>
    </w:p>
    <w:p>
      <w:pPr>
        <w:pStyle w:val="BodyText"/>
        <w:spacing w:before="10"/>
        <w:rPr>
          <w:sz w:val="19"/>
        </w:rPr>
      </w:pPr>
    </w:p>
    <w:p>
      <w:pPr>
        <w:pStyle w:val="Heading8"/>
        <w:ind w:left="330" w:right="5322"/>
      </w:pPr>
      <w:r>
        <w:rPr>
          <w:color w:val="636466"/>
          <w:w w:val="95"/>
        </w:rPr>
        <w:t>Table 11: UWS Market Share of Preferences, UAC Admissions, 2013–15</w:t>
      </w:r>
    </w:p>
    <w:p>
      <w:pPr>
        <w:pStyle w:val="BodyText"/>
        <w:spacing w:before="10"/>
        <w:rPr>
          <w:rFonts w:ascii="Gotham Narrow Bold"/>
          <w:b/>
          <w:sz w:val="10"/>
        </w:rPr>
      </w:pPr>
    </w:p>
    <w:tbl>
      <w:tblPr>
        <w:tblW w:w="0" w:type="auto"/>
        <w:jc w:val="left"/>
        <w:tblInd w:w="33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204"/>
        <w:gridCol w:w="1145"/>
        <w:gridCol w:w="1145"/>
        <w:gridCol w:w="1145"/>
        <w:gridCol w:w="1145"/>
        <w:gridCol w:w="1145"/>
        <w:gridCol w:w="1145"/>
      </w:tblGrid>
      <w:tr>
        <w:trPr>
          <w:trHeight w:val="313" w:hRule="exact"/>
        </w:trPr>
        <w:tc>
          <w:tcPr>
            <w:tcW w:w="3204" w:type="dxa"/>
            <w:vMerge w:val="restart"/>
            <w:tcBorders>
              <w:top w:val="nil"/>
              <w:left w:val="nil"/>
              <w:right w:val="single" w:sz="4" w:space="0" w:color="FFFFFF"/>
            </w:tcBorders>
            <w:shd w:val="clear" w:color="auto" w:fill="939598"/>
          </w:tcPr>
          <w:p>
            <w:pPr>
              <w:pStyle w:val="TableParagraph"/>
              <w:spacing w:before="7"/>
              <w:jc w:val="left"/>
              <w:rPr>
                <w:rFonts w:ascii="Gotham Narrow Bold"/>
                <w:b/>
                <w:sz w:val="18"/>
              </w:rPr>
            </w:pPr>
          </w:p>
          <w:p>
            <w:pPr>
              <w:pStyle w:val="TableParagraph"/>
              <w:spacing w:before="0"/>
              <w:ind w:left="80" w:right="5"/>
              <w:jc w:val="left"/>
              <w:rPr>
                <w:rFonts w:ascii="Gotham Narrow Bold"/>
                <w:b/>
                <w:sz w:val="16"/>
              </w:rPr>
            </w:pPr>
            <w:r>
              <w:rPr>
                <w:rFonts w:ascii="Gotham Narrow Bold"/>
                <w:b/>
                <w:color w:val="FFFFFF"/>
                <w:sz w:val="16"/>
              </w:rPr>
              <w:t>UWS MARKET SHARE OF PREFERENCES</w:t>
            </w:r>
          </w:p>
        </w:tc>
        <w:tc>
          <w:tcPr>
            <w:tcW w:w="3436" w:type="dxa"/>
            <w:gridSpan w:val="3"/>
            <w:tcBorders>
              <w:top w:val="nil"/>
              <w:left w:val="single" w:sz="4" w:space="0" w:color="FFFFFF"/>
              <w:bottom w:val="single" w:sz="4" w:space="0" w:color="FFFFFF"/>
              <w:right w:val="single" w:sz="4" w:space="0" w:color="FFFFFF"/>
            </w:tcBorders>
            <w:shd w:val="clear" w:color="auto" w:fill="939598"/>
          </w:tcPr>
          <w:p>
            <w:pPr>
              <w:pStyle w:val="TableParagraph"/>
              <w:spacing w:before="67"/>
              <w:ind w:left="942"/>
              <w:jc w:val="left"/>
              <w:rPr>
                <w:rFonts w:ascii="Gotham Narrow Bold"/>
                <w:b/>
                <w:sz w:val="16"/>
              </w:rPr>
            </w:pPr>
            <w:r>
              <w:rPr>
                <w:rFonts w:ascii="Gotham Narrow Bold"/>
                <w:b/>
                <w:color w:val="FFFFFF"/>
                <w:w w:val="95"/>
                <w:sz w:val="16"/>
              </w:rPr>
              <w:t>FIRST PREFERENCES</w:t>
            </w:r>
          </w:p>
        </w:tc>
        <w:tc>
          <w:tcPr>
            <w:tcW w:w="3436" w:type="dxa"/>
            <w:gridSpan w:val="3"/>
            <w:tcBorders>
              <w:top w:val="nil"/>
              <w:left w:val="single" w:sz="4" w:space="0" w:color="FFFFFF"/>
              <w:bottom w:val="single" w:sz="4" w:space="0" w:color="FFFFFF"/>
              <w:right w:val="nil"/>
            </w:tcBorders>
            <w:shd w:val="clear" w:color="auto" w:fill="939598"/>
          </w:tcPr>
          <w:p>
            <w:pPr>
              <w:pStyle w:val="TableParagraph"/>
              <w:spacing w:before="67"/>
              <w:ind w:left="591"/>
              <w:jc w:val="left"/>
              <w:rPr>
                <w:rFonts w:ascii="Gotham Narrow Bold"/>
                <w:b/>
                <w:sz w:val="16"/>
              </w:rPr>
            </w:pPr>
            <w:r>
              <w:rPr>
                <w:rFonts w:ascii="Gotham Narrow Bold"/>
                <w:b/>
                <w:color w:val="FFFFFF"/>
                <w:w w:val="95"/>
                <w:sz w:val="16"/>
              </w:rPr>
              <w:t>FIRST TO THIRD PREFERENCES</w:t>
            </w:r>
          </w:p>
        </w:tc>
      </w:tr>
      <w:tr>
        <w:trPr>
          <w:trHeight w:val="312" w:hRule="exact"/>
        </w:trPr>
        <w:tc>
          <w:tcPr>
            <w:tcW w:w="3204" w:type="dxa"/>
            <w:vMerge/>
            <w:tcBorders>
              <w:left w:val="nil"/>
              <w:bottom w:val="nil"/>
              <w:right w:val="single" w:sz="4" w:space="0" w:color="FFFFFF"/>
            </w:tcBorders>
            <w:shd w:val="clear" w:color="auto" w:fill="939598"/>
          </w:tcPr>
          <w:p>
            <w:pP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2"/>
              <w:rPr>
                <w:rFonts w:ascii="Gotham Narrow Bold"/>
                <w:b/>
                <w:sz w:val="16"/>
              </w:rPr>
            </w:pPr>
            <w:r>
              <w:rPr>
                <w:rFonts w:ascii="Gotham Narrow Bold"/>
                <w:b/>
                <w:color w:val="FFFFFF"/>
                <w:w w:val="95"/>
                <w:sz w:val="16"/>
              </w:rPr>
              <w:t>2013</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4"/>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4"/>
              <w:rPr>
                <w:rFonts w:ascii="Gotham Narrow Bold"/>
                <w:b/>
                <w:sz w:val="16"/>
              </w:rPr>
            </w:pPr>
            <w:r>
              <w:rPr>
                <w:rFonts w:ascii="Gotham Narrow Bold"/>
                <w:b/>
                <w:color w:val="FFFFFF"/>
                <w:w w:val="95"/>
                <w:sz w:val="16"/>
              </w:rPr>
              <w:t>2013</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nil"/>
            </w:tcBorders>
            <w:shd w:val="clear" w:color="auto" w:fill="939598"/>
          </w:tcPr>
          <w:p>
            <w:pPr>
              <w:pStyle w:val="TableParagraph"/>
              <w:spacing w:before="61"/>
              <w:ind w:right="78"/>
              <w:rPr>
                <w:rFonts w:ascii="Gotham Narrow Bold"/>
                <w:b/>
                <w:sz w:val="16"/>
              </w:rPr>
            </w:pPr>
            <w:r>
              <w:rPr>
                <w:rFonts w:ascii="Gotham Narrow Bold"/>
                <w:b/>
                <w:color w:val="FFFFFF"/>
                <w:w w:val="95"/>
                <w:sz w:val="16"/>
              </w:rPr>
              <w:t>2015</w:t>
            </w:r>
          </w:p>
        </w:tc>
      </w:tr>
      <w:tr>
        <w:trPr>
          <w:trHeight w:val="312" w:hRule="exact"/>
        </w:trPr>
        <w:tc>
          <w:tcPr>
            <w:tcW w:w="3204" w:type="dxa"/>
            <w:tcBorders>
              <w:top w:val="nil"/>
            </w:tcBorders>
            <w:shd w:val="clear" w:color="auto" w:fill="E6E7E8"/>
          </w:tcPr>
          <w:p>
            <w:pPr>
              <w:pStyle w:val="TableParagraph"/>
              <w:spacing w:before="60"/>
              <w:ind w:left="74"/>
              <w:jc w:val="left"/>
              <w:rPr>
                <w:sz w:val="16"/>
              </w:rPr>
            </w:pPr>
            <w:r>
              <w:rPr>
                <w:sz w:val="16"/>
              </w:rPr>
              <w:t>Current school leavers</w:t>
            </w:r>
          </w:p>
        </w:tc>
        <w:tc>
          <w:tcPr>
            <w:tcW w:w="1145" w:type="dxa"/>
            <w:tcBorders>
              <w:top w:val="nil"/>
            </w:tcBorders>
            <w:shd w:val="clear" w:color="auto" w:fill="E6E7E8"/>
          </w:tcPr>
          <w:p>
            <w:pPr>
              <w:pStyle w:val="TableParagraph"/>
              <w:spacing w:before="60"/>
              <w:ind w:right="72"/>
              <w:rPr>
                <w:sz w:val="16"/>
              </w:rPr>
            </w:pPr>
            <w:r>
              <w:rPr>
                <w:w w:val="75"/>
                <w:sz w:val="16"/>
              </w:rPr>
              <w:t>14.5%</w:t>
            </w:r>
          </w:p>
        </w:tc>
        <w:tc>
          <w:tcPr>
            <w:tcW w:w="1145" w:type="dxa"/>
            <w:tcBorders>
              <w:top w:val="nil"/>
            </w:tcBorders>
            <w:shd w:val="clear" w:color="auto" w:fill="E6E7E8"/>
          </w:tcPr>
          <w:p>
            <w:pPr>
              <w:pStyle w:val="TableParagraph"/>
              <w:spacing w:before="60"/>
              <w:ind w:right="74"/>
              <w:rPr>
                <w:sz w:val="16"/>
              </w:rPr>
            </w:pPr>
            <w:r>
              <w:rPr>
                <w:w w:val="75"/>
                <w:sz w:val="16"/>
              </w:rPr>
              <w:t>13.2%</w:t>
            </w:r>
          </w:p>
        </w:tc>
        <w:tc>
          <w:tcPr>
            <w:tcW w:w="1145" w:type="dxa"/>
            <w:tcBorders>
              <w:top w:val="nil"/>
            </w:tcBorders>
            <w:shd w:val="clear" w:color="auto" w:fill="E6E7E8"/>
          </w:tcPr>
          <w:p>
            <w:pPr>
              <w:pStyle w:val="TableParagraph"/>
              <w:spacing w:before="60"/>
              <w:ind w:right="73"/>
              <w:rPr>
                <w:sz w:val="16"/>
              </w:rPr>
            </w:pPr>
            <w:r>
              <w:rPr>
                <w:w w:val="75"/>
                <w:sz w:val="16"/>
              </w:rPr>
              <w:t>12.4%</w:t>
            </w:r>
          </w:p>
        </w:tc>
        <w:tc>
          <w:tcPr>
            <w:tcW w:w="1145" w:type="dxa"/>
            <w:tcBorders>
              <w:top w:val="nil"/>
            </w:tcBorders>
            <w:shd w:val="clear" w:color="auto" w:fill="E6E7E8"/>
          </w:tcPr>
          <w:p>
            <w:pPr>
              <w:pStyle w:val="TableParagraph"/>
              <w:spacing w:before="60"/>
              <w:ind w:right="73"/>
              <w:rPr>
                <w:sz w:val="16"/>
              </w:rPr>
            </w:pPr>
            <w:r>
              <w:rPr>
                <w:w w:val="85"/>
                <w:sz w:val="16"/>
              </w:rPr>
              <w:t>14.0%</w:t>
            </w:r>
          </w:p>
        </w:tc>
        <w:tc>
          <w:tcPr>
            <w:tcW w:w="1145" w:type="dxa"/>
            <w:tcBorders>
              <w:top w:val="nil"/>
            </w:tcBorders>
            <w:shd w:val="clear" w:color="auto" w:fill="E6E7E8"/>
          </w:tcPr>
          <w:p>
            <w:pPr>
              <w:pStyle w:val="TableParagraph"/>
              <w:spacing w:before="60"/>
              <w:ind w:right="72"/>
              <w:rPr>
                <w:sz w:val="16"/>
              </w:rPr>
            </w:pPr>
            <w:r>
              <w:rPr>
                <w:w w:val="75"/>
                <w:sz w:val="16"/>
              </w:rPr>
              <w:t>13.2%</w:t>
            </w:r>
          </w:p>
        </w:tc>
        <w:tc>
          <w:tcPr>
            <w:tcW w:w="1145" w:type="dxa"/>
            <w:tcBorders>
              <w:top w:val="nil"/>
            </w:tcBorders>
            <w:shd w:val="clear" w:color="auto" w:fill="E6E7E8"/>
          </w:tcPr>
          <w:p>
            <w:pPr>
              <w:pStyle w:val="TableParagraph"/>
              <w:spacing w:before="60"/>
              <w:ind w:right="74"/>
              <w:rPr>
                <w:sz w:val="16"/>
              </w:rPr>
            </w:pPr>
            <w:r>
              <w:rPr>
                <w:w w:val="75"/>
                <w:sz w:val="16"/>
              </w:rPr>
              <w:t>12.7%</w:t>
            </w:r>
          </w:p>
        </w:tc>
      </w:tr>
      <w:tr>
        <w:trPr>
          <w:trHeight w:val="312" w:hRule="exact"/>
        </w:trPr>
        <w:tc>
          <w:tcPr>
            <w:tcW w:w="3204" w:type="dxa"/>
            <w:shd w:val="clear" w:color="auto" w:fill="E6E7E8"/>
          </w:tcPr>
          <w:p>
            <w:pPr>
              <w:pStyle w:val="TableParagraph"/>
              <w:ind w:left="75"/>
              <w:jc w:val="left"/>
              <w:rPr>
                <w:sz w:val="16"/>
              </w:rPr>
            </w:pPr>
            <w:r>
              <w:rPr>
                <w:sz w:val="16"/>
              </w:rPr>
              <w:t>Non-current school leavers</w:t>
            </w:r>
          </w:p>
        </w:tc>
        <w:tc>
          <w:tcPr>
            <w:tcW w:w="1145" w:type="dxa"/>
            <w:shd w:val="clear" w:color="auto" w:fill="E6E7E8"/>
          </w:tcPr>
          <w:p>
            <w:pPr>
              <w:pStyle w:val="TableParagraph"/>
              <w:ind w:right="73"/>
              <w:rPr>
                <w:sz w:val="16"/>
              </w:rPr>
            </w:pPr>
            <w:r>
              <w:rPr>
                <w:w w:val="80"/>
                <w:sz w:val="16"/>
              </w:rPr>
              <w:t>15.0%</w:t>
            </w:r>
          </w:p>
        </w:tc>
        <w:tc>
          <w:tcPr>
            <w:tcW w:w="1145" w:type="dxa"/>
            <w:shd w:val="clear" w:color="auto" w:fill="E6E7E8"/>
          </w:tcPr>
          <w:p>
            <w:pPr>
              <w:pStyle w:val="TableParagraph"/>
              <w:ind w:right="72"/>
              <w:rPr>
                <w:sz w:val="16"/>
              </w:rPr>
            </w:pPr>
            <w:r>
              <w:rPr>
                <w:w w:val="75"/>
                <w:sz w:val="16"/>
              </w:rPr>
              <w:t>16.5%</w:t>
            </w:r>
          </w:p>
        </w:tc>
        <w:tc>
          <w:tcPr>
            <w:tcW w:w="1145" w:type="dxa"/>
            <w:shd w:val="clear" w:color="auto" w:fill="E6E7E8"/>
          </w:tcPr>
          <w:p>
            <w:pPr>
              <w:pStyle w:val="TableParagraph"/>
              <w:ind w:right="73"/>
              <w:rPr>
                <w:sz w:val="16"/>
              </w:rPr>
            </w:pPr>
            <w:r>
              <w:rPr>
                <w:w w:val="70"/>
                <w:sz w:val="16"/>
              </w:rPr>
              <w:t>17.1%</w:t>
            </w:r>
          </w:p>
        </w:tc>
        <w:tc>
          <w:tcPr>
            <w:tcW w:w="1145" w:type="dxa"/>
            <w:shd w:val="clear" w:color="auto" w:fill="E6E7E8"/>
          </w:tcPr>
          <w:p>
            <w:pPr>
              <w:pStyle w:val="TableParagraph"/>
              <w:ind w:right="73"/>
              <w:rPr>
                <w:sz w:val="16"/>
              </w:rPr>
            </w:pPr>
            <w:r>
              <w:rPr>
                <w:w w:val="75"/>
                <w:sz w:val="16"/>
              </w:rPr>
              <w:t>15.8%</w:t>
            </w:r>
          </w:p>
        </w:tc>
        <w:tc>
          <w:tcPr>
            <w:tcW w:w="1145" w:type="dxa"/>
            <w:shd w:val="clear" w:color="auto" w:fill="E6E7E8"/>
          </w:tcPr>
          <w:p>
            <w:pPr>
              <w:pStyle w:val="TableParagraph"/>
              <w:ind w:right="73"/>
              <w:rPr>
                <w:sz w:val="16"/>
              </w:rPr>
            </w:pPr>
            <w:r>
              <w:rPr>
                <w:w w:val="54"/>
                <w:sz w:val="16"/>
              </w:rPr>
              <w:t>1</w:t>
            </w:r>
            <w:r>
              <w:rPr>
                <w:spacing w:val="-10"/>
                <w:w w:val="83"/>
                <w:sz w:val="16"/>
              </w:rPr>
              <w:t>7</w:t>
            </w:r>
            <w:r>
              <w:rPr>
                <w:spacing w:val="2"/>
                <w:w w:val="83"/>
                <w:sz w:val="16"/>
              </w:rPr>
              <w:t>.</w:t>
            </w:r>
            <w:r>
              <w:rPr>
                <w:spacing w:val="3"/>
                <w:w w:val="111"/>
                <w:sz w:val="16"/>
              </w:rPr>
              <w:t>0</w:t>
            </w:r>
            <w:r>
              <w:rPr>
                <w:w w:val="74"/>
                <w:sz w:val="16"/>
              </w:rPr>
              <w:t>%</w:t>
            </w:r>
          </w:p>
        </w:tc>
        <w:tc>
          <w:tcPr>
            <w:tcW w:w="1145" w:type="dxa"/>
            <w:shd w:val="clear" w:color="auto" w:fill="E6E7E8"/>
          </w:tcPr>
          <w:p>
            <w:pPr>
              <w:pStyle w:val="TableParagraph"/>
              <w:ind w:right="73"/>
              <w:rPr>
                <w:sz w:val="16"/>
              </w:rPr>
            </w:pPr>
            <w:r>
              <w:rPr>
                <w:w w:val="75"/>
                <w:sz w:val="16"/>
              </w:rPr>
              <w:t>17.8%</w:t>
            </w:r>
          </w:p>
        </w:tc>
      </w:tr>
      <w:tr>
        <w:trPr>
          <w:trHeight w:val="312" w:hRule="exact"/>
        </w:trPr>
        <w:tc>
          <w:tcPr>
            <w:tcW w:w="3204" w:type="dxa"/>
            <w:shd w:val="clear" w:color="auto" w:fill="E6E7E8"/>
          </w:tcPr>
          <w:p>
            <w:pPr>
              <w:pStyle w:val="TableParagraph"/>
              <w:spacing w:before="62"/>
              <w:ind w:left="74"/>
              <w:jc w:val="left"/>
              <w:rPr>
                <w:rFonts w:ascii="Calibri"/>
                <w:sz w:val="16"/>
              </w:rPr>
            </w:pPr>
            <w:r>
              <w:rPr>
                <w:rFonts w:ascii="Calibri"/>
                <w:w w:val="105"/>
                <w:sz w:val="16"/>
              </w:rPr>
              <w:t>Total*</w:t>
            </w:r>
          </w:p>
        </w:tc>
        <w:tc>
          <w:tcPr>
            <w:tcW w:w="1145" w:type="dxa"/>
            <w:shd w:val="clear" w:color="auto" w:fill="E6E7E8"/>
          </w:tcPr>
          <w:p>
            <w:pPr>
              <w:pStyle w:val="TableParagraph"/>
              <w:spacing w:before="62"/>
              <w:ind w:right="73"/>
              <w:rPr>
                <w:rFonts w:ascii="Calibri"/>
                <w:sz w:val="16"/>
              </w:rPr>
            </w:pPr>
            <w:r>
              <w:rPr>
                <w:rFonts w:ascii="Calibri"/>
                <w:sz w:val="16"/>
              </w:rPr>
              <w:t>14.7%</w:t>
            </w:r>
          </w:p>
        </w:tc>
        <w:tc>
          <w:tcPr>
            <w:tcW w:w="1145" w:type="dxa"/>
            <w:shd w:val="clear" w:color="auto" w:fill="E6E7E8"/>
          </w:tcPr>
          <w:p>
            <w:pPr>
              <w:pStyle w:val="TableParagraph"/>
              <w:spacing w:before="62"/>
              <w:ind w:right="73"/>
              <w:rPr>
                <w:rFonts w:ascii="Calibri"/>
                <w:sz w:val="16"/>
              </w:rPr>
            </w:pPr>
            <w:r>
              <w:rPr>
                <w:rFonts w:ascii="Calibri"/>
                <w:sz w:val="16"/>
              </w:rPr>
              <w:t>14.6%</w:t>
            </w:r>
          </w:p>
        </w:tc>
        <w:tc>
          <w:tcPr>
            <w:tcW w:w="1145" w:type="dxa"/>
            <w:shd w:val="clear" w:color="auto" w:fill="E6E7E8"/>
          </w:tcPr>
          <w:p>
            <w:pPr>
              <w:pStyle w:val="TableParagraph"/>
              <w:spacing w:before="62"/>
              <w:ind w:right="73"/>
              <w:rPr>
                <w:rFonts w:ascii="Calibri"/>
                <w:sz w:val="16"/>
              </w:rPr>
            </w:pPr>
            <w:r>
              <w:rPr>
                <w:rFonts w:ascii="Calibri"/>
                <w:sz w:val="16"/>
              </w:rPr>
              <w:t>14.3%</w:t>
            </w:r>
          </w:p>
        </w:tc>
        <w:tc>
          <w:tcPr>
            <w:tcW w:w="1145" w:type="dxa"/>
            <w:shd w:val="clear" w:color="auto" w:fill="E6E7E8"/>
          </w:tcPr>
          <w:p>
            <w:pPr>
              <w:pStyle w:val="TableParagraph"/>
              <w:spacing w:before="62"/>
              <w:ind w:right="74"/>
              <w:rPr>
                <w:rFonts w:ascii="Calibri"/>
                <w:sz w:val="16"/>
              </w:rPr>
            </w:pPr>
            <w:r>
              <w:rPr>
                <w:rFonts w:ascii="Calibri"/>
                <w:sz w:val="16"/>
              </w:rPr>
              <w:t>14.7%</w:t>
            </w:r>
          </w:p>
        </w:tc>
        <w:tc>
          <w:tcPr>
            <w:tcW w:w="1145" w:type="dxa"/>
            <w:shd w:val="clear" w:color="auto" w:fill="E6E7E8"/>
          </w:tcPr>
          <w:p>
            <w:pPr>
              <w:pStyle w:val="TableParagraph"/>
              <w:spacing w:before="62"/>
              <w:ind w:right="74"/>
              <w:rPr>
                <w:rFonts w:ascii="Calibri"/>
                <w:sz w:val="16"/>
              </w:rPr>
            </w:pPr>
            <w:r>
              <w:rPr>
                <w:rFonts w:ascii="Calibri"/>
                <w:sz w:val="16"/>
              </w:rPr>
              <w:t>14.6%</w:t>
            </w:r>
          </w:p>
        </w:tc>
        <w:tc>
          <w:tcPr>
            <w:tcW w:w="1145" w:type="dxa"/>
            <w:shd w:val="clear" w:color="auto" w:fill="E6E7E8"/>
          </w:tcPr>
          <w:p>
            <w:pPr>
              <w:pStyle w:val="TableParagraph"/>
              <w:spacing w:before="62"/>
              <w:ind w:right="71"/>
              <w:rPr>
                <w:rFonts w:ascii="Calibri"/>
                <w:sz w:val="16"/>
              </w:rPr>
            </w:pPr>
            <w:r>
              <w:rPr>
                <w:rFonts w:ascii="Calibri"/>
                <w:sz w:val="16"/>
              </w:rPr>
              <w:t>14.5%</w:t>
            </w:r>
          </w:p>
        </w:tc>
      </w:tr>
    </w:tbl>
    <w:p>
      <w:pPr>
        <w:pStyle w:val="BodyText"/>
        <w:spacing w:before="6" w:after="1"/>
        <w:rPr>
          <w:rFonts w:ascii="Gotham Narrow Bold"/>
          <w:b/>
          <w:sz w:val="24"/>
        </w:rPr>
      </w:pPr>
    </w:p>
    <w:tbl>
      <w:tblPr>
        <w:tblW w:w="0" w:type="auto"/>
        <w:jc w:val="left"/>
        <w:tblInd w:w="33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204"/>
        <w:gridCol w:w="1145"/>
        <w:gridCol w:w="1145"/>
        <w:gridCol w:w="1145"/>
        <w:gridCol w:w="1145"/>
        <w:gridCol w:w="1145"/>
        <w:gridCol w:w="1145"/>
      </w:tblGrid>
      <w:tr>
        <w:trPr>
          <w:trHeight w:val="312" w:hRule="exact"/>
        </w:trPr>
        <w:tc>
          <w:tcPr>
            <w:tcW w:w="3204" w:type="dxa"/>
            <w:vMerge w:val="restart"/>
            <w:tcBorders>
              <w:top w:val="nil"/>
              <w:left w:val="nil"/>
              <w:right w:val="single" w:sz="4" w:space="0" w:color="FFFFFF"/>
            </w:tcBorders>
            <w:shd w:val="clear" w:color="auto" w:fill="939598"/>
          </w:tcPr>
          <w:p>
            <w:pPr>
              <w:pStyle w:val="TableParagraph"/>
              <w:spacing w:before="6"/>
              <w:jc w:val="left"/>
              <w:rPr>
                <w:rFonts w:ascii="Gotham Narrow Bold"/>
                <w:b/>
                <w:sz w:val="18"/>
              </w:rPr>
            </w:pPr>
          </w:p>
          <w:p>
            <w:pPr>
              <w:pStyle w:val="TableParagraph"/>
              <w:spacing w:before="0"/>
              <w:ind w:left="80" w:right="5"/>
              <w:jc w:val="left"/>
              <w:rPr>
                <w:rFonts w:ascii="Gotham Narrow Bold"/>
                <w:b/>
                <w:sz w:val="16"/>
              </w:rPr>
            </w:pPr>
            <w:r>
              <w:rPr>
                <w:rFonts w:ascii="Gotham Narrow Bold"/>
                <w:b/>
                <w:color w:val="FFFFFF"/>
                <w:sz w:val="16"/>
              </w:rPr>
              <w:t>NUMBER OF PREFERENCES TO UWS</w:t>
            </w:r>
          </w:p>
        </w:tc>
        <w:tc>
          <w:tcPr>
            <w:tcW w:w="3436" w:type="dxa"/>
            <w:gridSpan w:val="3"/>
            <w:tcBorders>
              <w:top w:val="nil"/>
              <w:left w:val="single" w:sz="4" w:space="0" w:color="FFFFFF"/>
              <w:bottom w:val="single" w:sz="4" w:space="0" w:color="FFFFFF"/>
              <w:right w:val="single" w:sz="4" w:space="0" w:color="FFFFFF"/>
            </w:tcBorders>
            <w:shd w:val="clear" w:color="auto" w:fill="939598"/>
          </w:tcPr>
          <w:p>
            <w:pPr>
              <w:pStyle w:val="TableParagraph"/>
              <w:spacing w:before="66"/>
              <w:ind w:left="942"/>
              <w:jc w:val="left"/>
              <w:rPr>
                <w:rFonts w:ascii="Gotham Narrow Bold"/>
                <w:b/>
                <w:sz w:val="16"/>
              </w:rPr>
            </w:pPr>
            <w:r>
              <w:rPr>
                <w:rFonts w:ascii="Gotham Narrow Bold"/>
                <w:b/>
                <w:color w:val="FFFFFF"/>
                <w:w w:val="95"/>
                <w:sz w:val="16"/>
              </w:rPr>
              <w:t>FIRST PREFERENCES</w:t>
            </w:r>
          </w:p>
        </w:tc>
        <w:tc>
          <w:tcPr>
            <w:tcW w:w="3436" w:type="dxa"/>
            <w:gridSpan w:val="3"/>
            <w:tcBorders>
              <w:top w:val="nil"/>
              <w:left w:val="single" w:sz="4" w:space="0" w:color="FFFFFF"/>
              <w:bottom w:val="single" w:sz="4" w:space="0" w:color="FFFFFF"/>
              <w:right w:val="nil"/>
            </w:tcBorders>
            <w:shd w:val="clear" w:color="auto" w:fill="939598"/>
          </w:tcPr>
          <w:p>
            <w:pPr>
              <w:pStyle w:val="TableParagraph"/>
              <w:spacing w:before="66"/>
              <w:ind w:left="591"/>
              <w:jc w:val="left"/>
              <w:rPr>
                <w:rFonts w:ascii="Gotham Narrow Bold"/>
                <w:b/>
                <w:sz w:val="16"/>
              </w:rPr>
            </w:pPr>
            <w:r>
              <w:rPr>
                <w:rFonts w:ascii="Gotham Narrow Bold"/>
                <w:b/>
                <w:color w:val="FFFFFF"/>
                <w:w w:val="95"/>
                <w:sz w:val="16"/>
              </w:rPr>
              <w:t>FIRST TO THIRD PREFERENCES</w:t>
            </w:r>
          </w:p>
        </w:tc>
      </w:tr>
      <w:tr>
        <w:trPr>
          <w:trHeight w:val="312" w:hRule="exact"/>
        </w:trPr>
        <w:tc>
          <w:tcPr>
            <w:tcW w:w="3204" w:type="dxa"/>
            <w:vMerge/>
            <w:tcBorders>
              <w:left w:val="nil"/>
              <w:bottom w:val="nil"/>
              <w:right w:val="single" w:sz="4" w:space="0" w:color="FFFFFF"/>
            </w:tcBorders>
            <w:shd w:val="clear" w:color="auto" w:fill="939598"/>
          </w:tcPr>
          <w:p>
            <w:pP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2"/>
              <w:rPr>
                <w:rFonts w:ascii="Gotham Narrow Bold"/>
                <w:b/>
                <w:sz w:val="16"/>
              </w:rPr>
            </w:pPr>
            <w:r>
              <w:rPr>
                <w:rFonts w:ascii="Gotham Narrow Bold"/>
                <w:b/>
                <w:color w:val="FFFFFF"/>
                <w:w w:val="95"/>
                <w:sz w:val="16"/>
              </w:rPr>
              <w:t>2013</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4"/>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4"/>
              <w:rPr>
                <w:rFonts w:ascii="Gotham Narrow Bold"/>
                <w:b/>
                <w:sz w:val="16"/>
              </w:rPr>
            </w:pPr>
            <w:r>
              <w:rPr>
                <w:rFonts w:ascii="Gotham Narrow Bold"/>
                <w:b/>
                <w:color w:val="FFFFFF"/>
                <w:w w:val="95"/>
                <w:sz w:val="16"/>
              </w:rPr>
              <w:t>2013</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nil"/>
            </w:tcBorders>
            <w:shd w:val="clear" w:color="auto" w:fill="939598"/>
          </w:tcPr>
          <w:p>
            <w:pPr>
              <w:pStyle w:val="TableParagraph"/>
              <w:spacing w:before="61"/>
              <w:ind w:right="78"/>
              <w:rPr>
                <w:rFonts w:ascii="Gotham Narrow Bold"/>
                <w:b/>
                <w:sz w:val="16"/>
              </w:rPr>
            </w:pPr>
            <w:r>
              <w:rPr>
                <w:rFonts w:ascii="Gotham Narrow Bold"/>
                <w:b/>
                <w:color w:val="FFFFFF"/>
                <w:w w:val="95"/>
                <w:sz w:val="16"/>
              </w:rPr>
              <w:t>2015</w:t>
            </w:r>
          </w:p>
        </w:tc>
      </w:tr>
      <w:tr>
        <w:trPr>
          <w:trHeight w:val="311" w:hRule="exact"/>
        </w:trPr>
        <w:tc>
          <w:tcPr>
            <w:tcW w:w="3204" w:type="dxa"/>
            <w:tcBorders>
              <w:top w:val="nil"/>
            </w:tcBorders>
            <w:shd w:val="clear" w:color="auto" w:fill="E6E7E8"/>
          </w:tcPr>
          <w:p>
            <w:pPr>
              <w:pStyle w:val="TableParagraph"/>
              <w:spacing w:before="59"/>
              <w:ind w:left="74"/>
              <w:jc w:val="left"/>
              <w:rPr>
                <w:sz w:val="16"/>
              </w:rPr>
            </w:pPr>
            <w:r>
              <w:rPr>
                <w:sz w:val="16"/>
              </w:rPr>
              <w:t>Current school leavers</w:t>
            </w:r>
          </w:p>
        </w:tc>
        <w:tc>
          <w:tcPr>
            <w:tcW w:w="1145" w:type="dxa"/>
            <w:tcBorders>
              <w:top w:val="nil"/>
            </w:tcBorders>
            <w:shd w:val="clear" w:color="auto" w:fill="E6E7E8"/>
          </w:tcPr>
          <w:p>
            <w:pPr>
              <w:pStyle w:val="TableParagraph"/>
              <w:spacing w:before="59"/>
              <w:ind w:right="73"/>
              <w:rPr>
                <w:sz w:val="16"/>
              </w:rPr>
            </w:pPr>
            <w:r>
              <w:rPr>
                <w:w w:val="90"/>
                <w:sz w:val="16"/>
              </w:rPr>
              <w:t>7,226</w:t>
            </w:r>
          </w:p>
        </w:tc>
        <w:tc>
          <w:tcPr>
            <w:tcW w:w="1145" w:type="dxa"/>
            <w:tcBorders>
              <w:top w:val="nil"/>
            </w:tcBorders>
            <w:shd w:val="clear" w:color="auto" w:fill="E6E7E8"/>
          </w:tcPr>
          <w:p>
            <w:pPr>
              <w:pStyle w:val="TableParagraph"/>
              <w:spacing w:before="59"/>
              <w:ind w:right="70"/>
              <w:rPr>
                <w:sz w:val="16"/>
              </w:rPr>
            </w:pPr>
            <w:r>
              <w:rPr>
                <w:w w:val="95"/>
                <w:sz w:val="16"/>
              </w:rPr>
              <w:t>6,663</w:t>
            </w:r>
          </w:p>
        </w:tc>
        <w:tc>
          <w:tcPr>
            <w:tcW w:w="1145" w:type="dxa"/>
            <w:tcBorders>
              <w:top w:val="nil"/>
            </w:tcBorders>
            <w:shd w:val="clear" w:color="auto" w:fill="E6E7E8"/>
          </w:tcPr>
          <w:p>
            <w:pPr>
              <w:pStyle w:val="TableParagraph"/>
              <w:spacing w:before="59"/>
              <w:ind w:right="73"/>
              <w:rPr>
                <w:sz w:val="16"/>
              </w:rPr>
            </w:pPr>
            <w:r>
              <w:rPr>
                <w:w w:val="95"/>
                <w:sz w:val="16"/>
              </w:rPr>
              <w:t>6,350</w:t>
            </w:r>
          </w:p>
        </w:tc>
        <w:tc>
          <w:tcPr>
            <w:tcW w:w="1145" w:type="dxa"/>
            <w:tcBorders>
              <w:top w:val="nil"/>
            </w:tcBorders>
            <w:shd w:val="clear" w:color="auto" w:fill="E6E7E8"/>
          </w:tcPr>
          <w:p>
            <w:pPr>
              <w:pStyle w:val="TableParagraph"/>
              <w:spacing w:before="59"/>
              <w:ind w:right="73"/>
              <w:rPr>
                <w:sz w:val="16"/>
              </w:rPr>
            </w:pPr>
            <w:r>
              <w:rPr>
                <w:w w:val="95"/>
                <w:sz w:val="16"/>
              </w:rPr>
              <w:t>20,229</w:t>
            </w:r>
          </w:p>
        </w:tc>
        <w:tc>
          <w:tcPr>
            <w:tcW w:w="1145" w:type="dxa"/>
            <w:tcBorders>
              <w:top w:val="nil"/>
            </w:tcBorders>
            <w:shd w:val="clear" w:color="auto" w:fill="E6E7E8"/>
          </w:tcPr>
          <w:p>
            <w:pPr>
              <w:pStyle w:val="TableParagraph"/>
              <w:spacing w:before="59"/>
              <w:ind w:right="73"/>
              <w:rPr>
                <w:sz w:val="16"/>
              </w:rPr>
            </w:pPr>
            <w:r>
              <w:rPr>
                <w:w w:val="80"/>
                <w:sz w:val="16"/>
              </w:rPr>
              <w:t>19,212</w:t>
            </w:r>
          </w:p>
        </w:tc>
        <w:tc>
          <w:tcPr>
            <w:tcW w:w="1145" w:type="dxa"/>
            <w:tcBorders>
              <w:top w:val="nil"/>
            </w:tcBorders>
            <w:shd w:val="clear" w:color="auto" w:fill="E6E7E8"/>
          </w:tcPr>
          <w:p>
            <w:pPr>
              <w:pStyle w:val="TableParagraph"/>
              <w:spacing w:before="59"/>
              <w:ind w:right="74"/>
              <w:rPr>
                <w:sz w:val="16"/>
              </w:rPr>
            </w:pPr>
            <w:r>
              <w:rPr>
                <w:w w:val="85"/>
                <w:sz w:val="16"/>
              </w:rPr>
              <w:t>18,797</w:t>
            </w:r>
          </w:p>
        </w:tc>
      </w:tr>
      <w:tr>
        <w:trPr>
          <w:trHeight w:val="312" w:hRule="exact"/>
        </w:trPr>
        <w:tc>
          <w:tcPr>
            <w:tcW w:w="3204" w:type="dxa"/>
            <w:shd w:val="clear" w:color="auto" w:fill="E6E7E8"/>
          </w:tcPr>
          <w:p>
            <w:pPr>
              <w:pStyle w:val="TableParagraph"/>
              <w:ind w:left="74"/>
              <w:jc w:val="left"/>
              <w:rPr>
                <w:sz w:val="16"/>
              </w:rPr>
            </w:pPr>
            <w:r>
              <w:rPr>
                <w:sz w:val="16"/>
              </w:rPr>
              <w:t>Non-current school leavers</w:t>
            </w:r>
          </w:p>
        </w:tc>
        <w:tc>
          <w:tcPr>
            <w:tcW w:w="1145" w:type="dxa"/>
            <w:shd w:val="clear" w:color="auto" w:fill="E6E7E8"/>
          </w:tcPr>
          <w:p>
            <w:pPr>
              <w:pStyle w:val="TableParagraph"/>
              <w:ind w:right="73"/>
              <w:rPr>
                <w:sz w:val="16"/>
              </w:rPr>
            </w:pPr>
            <w:r>
              <w:rPr>
                <w:w w:val="95"/>
                <w:sz w:val="16"/>
              </w:rPr>
              <w:t>5,390</w:t>
            </w:r>
          </w:p>
        </w:tc>
        <w:tc>
          <w:tcPr>
            <w:tcW w:w="1145" w:type="dxa"/>
            <w:shd w:val="clear" w:color="auto" w:fill="E6E7E8"/>
          </w:tcPr>
          <w:p>
            <w:pPr>
              <w:pStyle w:val="TableParagraph"/>
              <w:ind w:right="69"/>
              <w:rPr>
                <w:sz w:val="16"/>
              </w:rPr>
            </w:pPr>
            <w:r>
              <w:rPr>
                <w:w w:val="90"/>
                <w:sz w:val="16"/>
              </w:rPr>
              <w:t>5,895</w:t>
            </w:r>
          </w:p>
        </w:tc>
        <w:tc>
          <w:tcPr>
            <w:tcW w:w="1145" w:type="dxa"/>
            <w:shd w:val="clear" w:color="auto" w:fill="E6E7E8"/>
          </w:tcPr>
          <w:p>
            <w:pPr>
              <w:pStyle w:val="TableParagraph"/>
              <w:ind w:right="73"/>
              <w:rPr>
                <w:sz w:val="16"/>
              </w:rPr>
            </w:pPr>
            <w:r>
              <w:rPr>
                <w:w w:val="90"/>
                <w:sz w:val="16"/>
              </w:rPr>
              <w:t>5,823</w:t>
            </w:r>
          </w:p>
        </w:tc>
        <w:tc>
          <w:tcPr>
            <w:tcW w:w="1145" w:type="dxa"/>
            <w:shd w:val="clear" w:color="auto" w:fill="E6E7E8"/>
          </w:tcPr>
          <w:p>
            <w:pPr>
              <w:pStyle w:val="TableParagraph"/>
              <w:ind w:right="73"/>
              <w:rPr>
                <w:sz w:val="16"/>
              </w:rPr>
            </w:pPr>
            <w:r>
              <w:rPr>
                <w:w w:val="85"/>
                <w:sz w:val="16"/>
              </w:rPr>
              <w:t>13,343</w:t>
            </w:r>
          </w:p>
        </w:tc>
        <w:tc>
          <w:tcPr>
            <w:tcW w:w="1145" w:type="dxa"/>
            <w:shd w:val="clear" w:color="auto" w:fill="E6E7E8"/>
          </w:tcPr>
          <w:p>
            <w:pPr>
              <w:pStyle w:val="TableParagraph"/>
              <w:ind w:right="73"/>
              <w:rPr>
                <w:sz w:val="16"/>
              </w:rPr>
            </w:pPr>
            <w:r>
              <w:rPr>
                <w:w w:val="85"/>
                <w:sz w:val="16"/>
              </w:rPr>
              <w:t>14,482</w:t>
            </w:r>
          </w:p>
        </w:tc>
        <w:tc>
          <w:tcPr>
            <w:tcW w:w="1145" w:type="dxa"/>
            <w:shd w:val="clear" w:color="auto" w:fill="E6E7E8"/>
          </w:tcPr>
          <w:p>
            <w:pPr>
              <w:pStyle w:val="TableParagraph"/>
              <w:ind w:right="80"/>
              <w:rPr>
                <w:sz w:val="16"/>
              </w:rPr>
            </w:pPr>
            <w:r>
              <w:rPr>
                <w:w w:val="85"/>
                <w:sz w:val="16"/>
              </w:rPr>
              <w:t>14,274</w:t>
            </w:r>
          </w:p>
        </w:tc>
      </w:tr>
      <w:tr>
        <w:trPr>
          <w:trHeight w:val="312" w:hRule="exact"/>
        </w:trPr>
        <w:tc>
          <w:tcPr>
            <w:tcW w:w="3204" w:type="dxa"/>
            <w:shd w:val="clear" w:color="auto" w:fill="E6E7E8"/>
          </w:tcPr>
          <w:p>
            <w:pPr>
              <w:pStyle w:val="TableParagraph"/>
              <w:spacing w:before="63"/>
              <w:ind w:left="74"/>
              <w:jc w:val="left"/>
              <w:rPr>
                <w:rFonts w:ascii="Calibri"/>
                <w:sz w:val="16"/>
              </w:rPr>
            </w:pPr>
            <w:r>
              <w:rPr>
                <w:rFonts w:ascii="Calibri"/>
                <w:w w:val="105"/>
                <w:sz w:val="16"/>
              </w:rPr>
              <w:t>Total*</w:t>
            </w:r>
          </w:p>
        </w:tc>
        <w:tc>
          <w:tcPr>
            <w:tcW w:w="1145" w:type="dxa"/>
            <w:shd w:val="clear" w:color="auto" w:fill="E6E7E8"/>
          </w:tcPr>
          <w:p>
            <w:pPr>
              <w:pStyle w:val="TableParagraph"/>
              <w:spacing w:before="63"/>
              <w:ind w:right="73"/>
              <w:rPr>
                <w:rFonts w:ascii="Calibri"/>
                <w:sz w:val="16"/>
              </w:rPr>
            </w:pPr>
            <w:r>
              <w:rPr>
                <w:rFonts w:ascii="Calibri"/>
                <w:w w:val="95"/>
                <w:sz w:val="16"/>
              </w:rPr>
              <w:t>12,616</w:t>
            </w:r>
          </w:p>
        </w:tc>
        <w:tc>
          <w:tcPr>
            <w:tcW w:w="1145" w:type="dxa"/>
            <w:shd w:val="clear" w:color="auto" w:fill="E6E7E8"/>
          </w:tcPr>
          <w:p>
            <w:pPr>
              <w:pStyle w:val="TableParagraph"/>
              <w:spacing w:before="63"/>
              <w:ind w:right="73"/>
              <w:rPr>
                <w:rFonts w:ascii="Calibri"/>
                <w:sz w:val="16"/>
              </w:rPr>
            </w:pPr>
            <w:r>
              <w:rPr>
                <w:rFonts w:ascii="Calibri"/>
                <w:sz w:val="16"/>
              </w:rPr>
              <w:t>12,558</w:t>
            </w:r>
          </w:p>
        </w:tc>
        <w:tc>
          <w:tcPr>
            <w:tcW w:w="1145" w:type="dxa"/>
            <w:shd w:val="clear" w:color="auto" w:fill="E6E7E8"/>
          </w:tcPr>
          <w:p>
            <w:pPr>
              <w:pStyle w:val="TableParagraph"/>
              <w:spacing w:before="63"/>
              <w:ind w:right="73"/>
              <w:rPr>
                <w:rFonts w:ascii="Calibri"/>
                <w:sz w:val="16"/>
              </w:rPr>
            </w:pPr>
            <w:r>
              <w:rPr>
                <w:rFonts w:ascii="Calibri"/>
                <w:w w:val="90"/>
                <w:sz w:val="16"/>
              </w:rPr>
              <w:t>12,176</w:t>
            </w:r>
          </w:p>
        </w:tc>
        <w:tc>
          <w:tcPr>
            <w:tcW w:w="1145" w:type="dxa"/>
            <w:shd w:val="clear" w:color="auto" w:fill="E6E7E8"/>
          </w:tcPr>
          <w:p>
            <w:pPr>
              <w:pStyle w:val="TableParagraph"/>
              <w:spacing w:before="63"/>
              <w:ind w:right="73"/>
              <w:rPr>
                <w:rFonts w:ascii="Calibri"/>
                <w:sz w:val="16"/>
              </w:rPr>
            </w:pPr>
            <w:r>
              <w:rPr>
                <w:rFonts w:ascii="Calibri"/>
                <w:w w:val="105"/>
                <w:sz w:val="16"/>
              </w:rPr>
              <w:t>33,572</w:t>
            </w:r>
          </w:p>
        </w:tc>
        <w:tc>
          <w:tcPr>
            <w:tcW w:w="1145" w:type="dxa"/>
            <w:shd w:val="clear" w:color="auto" w:fill="E6E7E8"/>
          </w:tcPr>
          <w:p>
            <w:pPr>
              <w:pStyle w:val="TableParagraph"/>
              <w:spacing w:before="63"/>
              <w:ind w:right="69"/>
              <w:rPr>
                <w:rFonts w:ascii="Calibri"/>
                <w:sz w:val="16"/>
              </w:rPr>
            </w:pPr>
            <w:r>
              <w:rPr>
                <w:rFonts w:ascii="Calibri"/>
                <w:w w:val="110"/>
                <w:sz w:val="16"/>
              </w:rPr>
              <w:t>33,694</w:t>
            </w:r>
          </w:p>
        </w:tc>
        <w:tc>
          <w:tcPr>
            <w:tcW w:w="1145" w:type="dxa"/>
            <w:shd w:val="clear" w:color="auto" w:fill="E6E7E8"/>
          </w:tcPr>
          <w:p>
            <w:pPr>
              <w:pStyle w:val="TableParagraph"/>
              <w:spacing w:before="63"/>
              <w:ind w:right="73"/>
              <w:rPr>
                <w:rFonts w:ascii="Calibri"/>
                <w:sz w:val="16"/>
              </w:rPr>
            </w:pPr>
            <w:r>
              <w:rPr>
                <w:rFonts w:ascii="Calibri"/>
                <w:w w:val="105"/>
                <w:sz w:val="16"/>
              </w:rPr>
              <w:t>33,077</w:t>
            </w:r>
          </w:p>
        </w:tc>
      </w:tr>
    </w:tbl>
    <w:p>
      <w:pPr>
        <w:pStyle w:val="BodyText"/>
        <w:spacing w:before="43"/>
        <w:ind w:left="335" w:right="5322"/>
      </w:pPr>
      <w:r>
        <w:rPr/>
        <w:t>(Source: UAC main round) * Includes school leaver type unknown</w:t>
      </w:r>
    </w:p>
    <w:p>
      <w:pPr>
        <w:pStyle w:val="BodyText"/>
        <w:spacing w:before="6"/>
        <w:rPr>
          <w:sz w:val="17"/>
        </w:rPr>
      </w:pPr>
    </w:p>
    <w:p>
      <w:pPr>
        <w:pStyle w:val="Heading8"/>
        <w:ind w:left="330" w:right="411"/>
      </w:pPr>
      <w:r>
        <w:rPr>
          <w:color w:val="636466"/>
        </w:rPr>
        <w:t>Table 12: UWS Market Share of Greater Western Sydney (GWS) Preferences, UAC Admissions, 2013–15</w:t>
      </w:r>
    </w:p>
    <w:p>
      <w:pPr>
        <w:pStyle w:val="BodyText"/>
        <w:spacing w:before="11" w:after="1"/>
        <w:rPr>
          <w:rFonts w:ascii="Gotham Narrow Bold"/>
          <w:b/>
          <w:sz w:val="10"/>
        </w:rPr>
      </w:pPr>
    </w:p>
    <w:tbl>
      <w:tblPr>
        <w:tblW w:w="0" w:type="auto"/>
        <w:jc w:val="left"/>
        <w:tblInd w:w="33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204"/>
        <w:gridCol w:w="1145"/>
        <w:gridCol w:w="1145"/>
        <w:gridCol w:w="1145"/>
        <w:gridCol w:w="1145"/>
        <w:gridCol w:w="1145"/>
        <w:gridCol w:w="1145"/>
      </w:tblGrid>
      <w:tr>
        <w:trPr>
          <w:trHeight w:val="311" w:hRule="exact"/>
        </w:trPr>
        <w:tc>
          <w:tcPr>
            <w:tcW w:w="3204" w:type="dxa"/>
            <w:vMerge w:val="restart"/>
            <w:tcBorders>
              <w:top w:val="nil"/>
              <w:left w:val="nil"/>
              <w:right w:val="single" w:sz="4" w:space="0" w:color="FFFFFF"/>
            </w:tcBorders>
            <w:shd w:val="clear" w:color="auto" w:fill="939598"/>
          </w:tcPr>
          <w:p>
            <w:pPr>
              <w:pStyle w:val="TableParagraph"/>
              <w:spacing w:line="249" w:lineRule="auto" w:before="121"/>
              <w:ind w:left="80" w:right="5"/>
              <w:jc w:val="left"/>
              <w:rPr>
                <w:rFonts w:ascii="Gotham Narrow Bold"/>
                <w:b/>
                <w:sz w:val="16"/>
              </w:rPr>
            </w:pPr>
            <w:r>
              <w:rPr>
                <w:rFonts w:ascii="Gotham Narrow Bold"/>
                <w:b/>
                <w:color w:val="FFFFFF"/>
                <w:sz w:val="16"/>
              </w:rPr>
              <w:t>UWS MARKET SHARE OF PREFERENCES FROM GWS</w:t>
            </w:r>
          </w:p>
        </w:tc>
        <w:tc>
          <w:tcPr>
            <w:tcW w:w="3436" w:type="dxa"/>
            <w:gridSpan w:val="3"/>
            <w:tcBorders>
              <w:top w:val="nil"/>
              <w:left w:val="single" w:sz="4" w:space="0" w:color="FFFFFF"/>
              <w:bottom w:val="single" w:sz="4" w:space="0" w:color="FFFFFF"/>
              <w:right w:val="single" w:sz="4" w:space="0" w:color="FFFFFF"/>
            </w:tcBorders>
            <w:shd w:val="clear" w:color="auto" w:fill="939598"/>
          </w:tcPr>
          <w:p>
            <w:pPr>
              <w:pStyle w:val="TableParagraph"/>
              <w:spacing w:before="66"/>
              <w:ind w:left="942"/>
              <w:jc w:val="left"/>
              <w:rPr>
                <w:rFonts w:ascii="Gotham Narrow Bold"/>
                <w:b/>
                <w:sz w:val="16"/>
              </w:rPr>
            </w:pPr>
            <w:r>
              <w:rPr>
                <w:rFonts w:ascii="Gotham Narrow Bold"/>
                <w:b/>
                <w:color w:val="FFFFFF"/>
                <w:w w:val="95"/>
                <w:sz w:val="16"/>
              </w:rPr>
              <w:t>FIRST PREFERENCES</w:t>
            </w:r>
          </w:p>
        </w:tc>
        <w:tc>
          <w:tcPr>
            <w:tcW w:w="3436" w:type="dxa"/>
            <w:gridSpan w:val="3"/>
            <w:tcBorders>
              <w:top w:val="nil"/>
              <w:left w:val="single" w:sz="4" w:space="0" w:color="FFFFFF"/>
              <w:bottom w:val="single" w:sz="4" w:space="0" w:color="FFFFFF"/>
              <w:right w:val="nil"/>
            </w:tcBorders>
            <w:shd w:val="clear" w:color="auto" w:fill="939598"/>
          </w:tcPr>
          <w:p>
            <w:pPr>
              <w:pStyle w:val="TableParagraph"/>
              <w:spacing w:before="66"/>
              <w:ind w:left="591"/>
              <w:jc w:val="left"/>
              <w:rPr>
                <w:rFonts w:ascii="Gotham Narrow Bold"/>
                <w:b/>
                <w:sz w:val="16"/>
              </w:rPr>
            </w:pPr>
            <w:r>
              <w:rPr>
                <w:rFonts w:ascii="Gotham Narrow Bold"/>
                <w:b/>
                <w:color w:val="FFFFFF"/>
                <w:w w:val="95"/>
                <w:sz w:val="16"/>
              </w:rPr>
              <w:t>FIRST TO THIRD PREFERENCES</w:t>
            </w:r>
          </w:p>
        </w:tc>
      </w:tr>
      <w:tr>
        <w:trPr>
          <w:trHeight w:val="313" w:hRule="exact"/>
        </w:trPr>
        <w:tc>
          <w:tcPr>
            <w:tcW w:w="3204" w:type="dxa"/>
            <w:vMerge/>
            <w:tcBorders>
              <w:left w:val="nil"/>
              <w:bottom w:val="nil"/>
              <w:right w:val="single" w:sz="4" w:space="0" w:color="FFFFFF"/>
            </w:tcBorders>
            <w:shd w:val="clear" w:color="auto" w:fill="939598"/>
          </w:tcPr>
          <w:p>
            <w:pP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2"/>
              <w:rPr>
                <w:rFonts w:ascii="Gotham Narrow Bold"/>
                <w:b/>
                <w:sz w:val="16"/>
              </w:rPr>
            </w:pPr>
            <w:r>
              <w:rPr>
                <w:rFonts w:ascii="Gotham Narrow Bold"/>
                <w:b/>
                <w:color w:val="FFFFFF"/>
                <w:w w:val="95"/>
                <w:sz w:val="16"/>
              </w:rPr>
              <w:t>2013</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4"/>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4"/>
              <w:rPr>
                <w:rFonts w:ascii="Gotham Narrow Bold"/>
                <w:b/>
                <w:sz w:val="16"/>
              </w:rPr>
            </w:pPr>
            <w:r>
              <w:rPr>
                <w:rFonts w:ascii="Gotham Narrow Bold"/>
                <w:b/>
                <w:color w:val="FFFFFF"/>
                <w:w w:val="95"/>
                <w:sz w:val="16"/>
              </w:rPr>
              <w:t>2013</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nil"/>
            </w:tcBorders>
            <w:shd w:val="clear" w:color="auto" w:fill="939598"/>
          </w:tcPr>
          <w:p>
            <w:pPr>
              <w:pStyle w:val="TableParagraph"/>
              <w:spacing w:before="61"/>
              <w:ind w:right="78"/>
              <w:rPr>
                <w:rFonts w:ascii="Gotham Narrow Bold"/>
                <w:b/>
                <w:sz w:val="16"/>
              </w:rPr>
            </w:pPr>
            <w:r>
              <w:rPr>
                <w:rFonts w:ascii="Gotham Narrow Bold"/>
                <w:b/>
                <w:color w:val="FFFFFF"/>
                <w:w w:val="95"/>
                <w:sz w:val="16"/>
              </w:rPr>
              <w:t>2015</w:t>
            </w:r>
          </w:p>
        </w:tc>
      </w:tr>
      <w:tr>
        <w:trPr>
          <w:trHeight w:val="311" w:hRule="exact"/>
        </w:trPr>
        <w:tc>
          <w:tcPr>
            <w:tcW w:w="3204" w:type="dxa"/>
            <w:tcBorders>
              <w:top w:val="nil"/>
            </w:tcBorders>
            <w:shd w:val="clear" w:color="auto" w:fill="E6E7E8"/>
          </w:tcPr>
          <w:p>
            <w:pPr>
              <w:pStyle w:val="TableParagraph"/>
              <w:spacing w:before="59"/>
              <w:ind w:left="74"/>
              <w:jc w:val="left"/>
              <w:rPr>
                <w:sz w:val="16"/>
              </w:rPr>
            </w:pPr>
            <w:r>
              <w:rPr>
                <w:sz w:val="16"/>
              </w:rPr>
              <w:t>Current school leavers</w:t>
            </w:r>
          </w:p>
        </w:tc>
        <w:tc>
          <w:tcPr>
            <w:tcW w:w="1145" w:type="dxa"/>
            <w:tcBorders>
              <w:top w:val="nil"/>
            </w:tcBorders>
            <w:shd w:val="clear" w:color="auto" w:fill="E6E7E8"/>
          </w:tcPr>
          <w:p>
            <w:pPr>
              <w:pStyle w:val="TableParagraph"/>
              <w:spacing w:before="59"/>
              <w:ind w:right="73"/>
              <w:rPr>
                <w:sz w:val="16"/>
              </w:rPr>
            </w:pPr>
            <w:r>
              <w:rPr>
                <w:w w:val="85"/>
                <w:sz w:val="16"/>
              </w:rPr>
              <w:t>38.4%</w:t>
            </w:r>
          </w:p>
        </w:tc>
        <w:tc>
          <w:tcPr>
            <w:tcW w:w="1145" w:type="dxa"/>
            <w:tcBorders>
              <w:top w:val="nil"/>
            </w:tcBorders>
            <w:shd w:val="clear" w:color="auto" w:fill="E6E7E8"/>
          </w:tcPr>
          <w:p>
            <w:pPr>
              <w:pStyle w:val="TableParagraph"/>
              <w:spacing w:before="59"/>
              <w:ind w:right="70"/>
              <w:rPr>
                <w:sz w:val="16"/>
              </w:rPr>
            </w:pPr>
            <w:r>
              <w:rPr>
                <w:w w:val="75"/>
                <w:sz w:val="16"/>
              </w:rPr>
              <w:t>35.1%</w:t>
            </w:r>
          </w:p>
        </w:tc>
        <w:tc>
          <w:tcPr>
            <w:tcW w:w="1145" w:type="dxa"/>
            <w:tcBorders>
              <w:top w:val="nil"/>
            </w:tcBorders>
            <w:shd w:val="clear" w:color="auto" w:fill="E6E7E8"/>
          </w:tcPr>
          <w:p>
            <w:pPr>
              <w:pStyle w:val="TableParagraph"/>
              <w:spacing w:before="59"/>
              <w:ind w:right="73"/>
              <w:rPr>
                <w:sz w:val="16"/>
              </w:rPr>
            </w:pPr>
            <w:r>
              <w:rPr>
                <w:w w:val="75"/>
                <w:sz w:val="16"/>
              </w:rPr>
              <w:t>33.1%</w:t>
            </w:r>
          </w:p>
        </w:tc>
        <w:tc>
          <w:tcPr>
            <w:tcW w:w="1145" w:type="dxa"/>
            <w:tcBorders>
              <w:top w:val="nil"/>
            </w:tcBorders>
            <w:shd w:val="clear" w:color="auto" w:fill="E6E7E8"/>
          </w:tcPr>
          <w:p>
            <w:pPr>
              <w:pStyle w:val="TableParagraph"/>
              <w:spacing w:before="59"/>
              <w:ind w:right="73"/>
              <w:rPr>
                <w:sz w:val="16"/>
              </w:rPr>
            </w:pPr>
            <w:r>
              <w:rPr>
                <w:w w:val="85"/>
                <w:sz w:val="16"/>
              </w:rPr>
              <w:t>34.7%</w:t>
            </w:r>
          </w:p>
        </w:tc>
        <w:tc>
          <w:tcPr>
            <w:tcW w:w="1145" w:type="dxa"/>
            <w:tcBorders>
              <w:top w:val="nil"/>
            </w:tcBorders>
            <w:shd w:val="clear" w:color="auto" w:fill="E6E7E8"/>
          </w:tcPr>
          <w:p>
            <w:pPr>
              <w:pStyle w:val="TableParagraph"/>
              <w:spacing w:before="59"/>
              <w:ind w:right="73"/>
              <w:rPr>
                <w:sz w:val="16"/>
              </w:rPr>
            </w:pPr>
            <w:r>
              <w:rPr>
                <w:w w:val="85"/>
                <w:sz w:val="16"/>
              </w:rPr>
              <w:t>32.7%</w:t>
            </w:r>
          </w:p>
        </w:tc>
        <w:tc>
          <w:tcPr>
            <w:tcW w:w="1145" w:type="dxa"/>
            <w:tcBorders>
              <w:top w:val="nil"/>
            </w:tcBorders>
            <w:shd w:val="clear" w:color="auto" w:fill="E6E7E8"/>
          </w:tcPr>
          <w:p>
            <w:pPr>
              <w:pStyle w:val="TableParagraph"/>
              <w:spacing w:before="59"/>
              <w:ind w:right="73"/>
              <w:rPr>
                <w:sz w:val="16"/>
              </w:rPr>
            </w:pPr>
            <w:r>
              <w:rPr>
                <w:w w:val="80"/>
                <w:sz w:val="16"/>
              </w:rPr>
              <w:t>31.4%</w:t>
            </w:r>
          </w:p>
        </w:tc>
      </w:tr>
      <w:tr>
        <w:trPr>
          <w:trHeight w:val="312" w:hRule="exact"/>
        </w:trPr>
        <w:tc>
          <w:tcPr>
            <w:tcW w:w="3204" w:type="dxa"/>
            <w:shd w:val="clear" w:color="auto" w:fill="E6E7E8"/>
          </w:tcPr>
          <w:p>
            <w:pPr>
              <w:pStyle w:val="TableParagraph"/>
              <w:ind w:left="74"/>
              <w:jc w:val="left"/>
              <w:rPr>
                <w:sz w:val="16"/>
              </w:rPr>
            </w:pPr>
            <w:r>
              <w:rPr>
                <w:sz w:val="16"/>
              </w:rPr>
              <w:t>Non-current school leavers</w:t>
            </w:r>
          </w:p>
        </w:tc>
        <w:tc>
          <w:tcPr>
            <w:tcW w:w="1145" w:type="dxa"/>
            <w:shd w:val="clear" w:color="auto" w:fill="E6E7E8"/>
          </w:tcPr>
          <w:p>
            <w:pPr>
              <w:pStyle w:val="TableParagraph"/>
              <w:ind w:right="71"/>
              <w:rPr>
                <w:sz w:val="16"/>
              </w:rPr>
            </w:pPr>
            <w:r>
              <w:rPr>
                <w:w w:val="90"/>
                <w:sz w:val="16"/>
              </w:rPr>
              <w:t>40.3%</w:t>
            </w:r>
          </w:p>
        </w:tc>
        <w:tc>
          <w:tcPr>
            <w:tcW w:w="1145" w:type="dxa"/>
            <w:shd w:val="clear" w:color="auto" w:fill="E6E7E8"/>
          </w:tcPr>
          <w:p>
            <w:pPr>
              <w:pStyle w:val="TableParagraph"/>
              <w:ind w:right="74"/>
              <w:rPr>
                <w:sz w:val="16"/>
              </w:rPr>
            </w:pPr>
            <w:r>
              <w:rPr>
                <w:w w:val="85"/>
                <w:sz w:val="16"/>
              </w:rPr>
              <w:t>42.4%</w:t>
            </w:r>
          </w:p>
        </w:tc>
        <w:tc>
          <w:tcPr>
            <w:tcW w:w="1145" w:type="dxa"/>
            <w:shd w:val="clear" w:color="auto" w:fill="E6E7E8"/>
          </w:tcPr>
          <w:p>
            <w:pPr>
              <w:pStyle w:val="TableParagraph"/>
              <w:ind w:right="73"/>
              <w:rPr>
                <w:sz w:val="16"/>
              </w:rPr>
            </w:pPr>
            <w:r>
              <w:rPr>
                <w:w w:val="85"/>
                <w:sz w:val="16"/>
              </w:rPr>
              <w:t>43.8%</w:t>
            </w:r>
          </w:p>
        </w:tc>
        <w:tc>
          <w:tcPr>
            <w:tcW w:w="1145" w:type="dxa"/>
            <w:shd w:val="clear" w:color="auto" w:fill="E6E7E8"/>
          </w:tcPr>
          <w:p>
            <w:pPr>
              <w:pStyle w:val="TableParagraph"/>
              <w:ind w:right="73"/>
              <w:rPr>
                <w:sz w:val="16"/>
              </w:rPr>
            </w:pPr>
            <w:r>
              <w:rPr>
                <w:w w:val="85"/>
                <w:sz w:val="16"/>
              </w:rPr>
              <w:t>37.5%</w:t>
            </w:r>
          </w:p>
        </w:tc>
        <w:tc>
          <w:tcPr>
            <w:tcW w:w="1145" w:type="dxa"/>
            <w:shd w:val="clear" w:color="auto" w:fill="E6E7E8"/>
          </w:tcPr>
          <w:p>
            <w:pPr>
              <w:pStyle w:val="TableParagraph"/>
              <w:ind w:right="73"/>
              <w:rPr>
                <w:sz w:val="16"/>
              </w:rPr>
            </w:pPr>
            <w:r>
              <w:rPr>
                <w:w w:val="85"/>
                <w:sz w:val="16"/>
              </w:rPr>
              <w:t>39.2%</w:t>
            </w:r>
          </w:p>
        </w:tc>
        <w:tc>
          <w:tcPr>
            <w:tcW w:w="1145" w:type="dxa"/>
            <w:shd w:val="clear" w:color="auto" w:fill="E6E7E8"/>
          </w:tcPr>
          <w:p>
            <w:pPr>
              <w:pStyle w:val="TableParagraph"/>
              <w:ind w:right="72"/>
              <w:rPr>
                <w:sz w:val="16"/>
              </w:rPr>
            </w:pPr>
            <w:r>
              <w:rPr>
                <w:w w:val="90"/>
                <w:sz w:val="16"/>
              </w:rPr>
              <w:t>40.6%</w:t>
            </w:r>
          </w:p>
        </w:tc>
      </w:tr>
      <w:tr>
        <w:trPr>
          <w:trHeight w:val="312" w:hRule="exact"/>
        </w:trPr>
        <w:tc>
          <w:tcPr>
            <w:tcW w:w="3204" w:type="dxa"/>
            <w:shd w:val="clear" w:color="auto" w:fill="E6E7E8"/>
          </w:tcPr>
          <w:p>
            <w:pPr>
              <w:pStyle w:val="TableParagraph"/>
              <w:spacing w:before="62"/>
              <w:ind w:left="74"/>
              <w:jc w:val="left"/>
              <w:rPr>
                <w:rFonts w:ascii="Calibri"/>
                <w:sz w:val="16"/>
              </w:rPr>
            </w:pPr>
            <w:r>
              <w:rPr>
                <w:rFonts w:ascii="Calibri"/>
                <w:w w:val="105"/>
                <w:sz w:val="16"/>
              </w:rPr>
              <w:t>Total*</w:t>
            </w:r>
          </w:p>
        </w:tc>
        <w:tc>
          <w:tcPr>
            <w:tcW w:w="1145" w:type="dxa"/>
            <w:shd w:val="clear" w:color="auto" w:fill="E6E7E8"/>
          </w:tcPr>
          <w:p>
            <w:pPr>
              <w:pStyle w:val="TableParagraph"/>
              <w:spacing w:before="62"/>
              <w:ind w:right="73"/>
              <w:rPr>
                <w:rFonts w:ascii="Calibri"/>
                <w:sz w:val="16"/>
              </w:rPr>
            </w:pPr>
            <w:r>
              <w:rPr>
                <w:rFonts w:ascii="Calibri"/>
                <w:w w:val="105"/>
                <w:sz w:val="16"/>
              </w:rPr>
              <w:t>39.2%</w:t>
            </w:r>
          </w:p>
        </w:tc>
        <w:tc>
          <w:tcPr>
            <w:tcW w:w="1145" w:type="dxa"/>
            <w:shd w:val="clear" w:color="auto" w:fill="E6E7E8"/>
          </w:tcPr>
          <w:p>
            <w:pPr>
              <w:pStyle w:val="TableParagraph"/>
              <w:spacing w:before="62"/>
              <w:ind w:right="69"/>
              <w:rPr>
                <w:rFonts w:ascii="Calibri"/>
                <w:sz w:val="16"/>
              </w:rPr>
            </w:pPr>
            <w:r>
              <w:rPr>
                <w:rFonts w:ascii="Calibri"/>
                <w:w w:val="105"/>
                <w:sz w:val="16"/>
              </w:rPr>
              <w:t>38.2%</w:t>
            </w:r>
          </w:p>
        </w:tc>
        <w:tc>
          <w:tcPr>
            <w:tcW w:w="1145" w:type="dxa"/>
            <w:shd w:val="clear" w:color="auto" w:fill="E6E7E8"/>
          </w:tcPr>
          <w:p>
            <w:pPr>
              <w:pStyle w:val="TableParagraph"/>
              <w:spacing w:before="62"/>
              <w:ind w:right="73"/>
              <w:rPr>
                <w:rFonts w:ascii="Calibri"/>
                <w:sz w:val="16"/>
              </w:rPr>
            </w:pPr>
            <w:r>
              <w:rPr>
                <w:rFonts w:ascii="Calibri"/>
                <w:w w:val="105"/>
                <w:sz w:val="16"/>
              </w:rPr>
              <w:t>37.4%</w:t>
            </w:r>
          </w:p>
        </w:tc>
        <w:tc>
          <w:tcPr>
            <w:tcW w:w="1145" w:type="dxa"/>
            <w:shd w:val="clear" w:color="auto" w:fill="E6E7E8"/>
          </w:tcPr>
          <w:p>
            <w:pPr>
              <w:pStyle w:val="TableParagraph"/>
              <w:spacing w:before="62"/>
              <w:ind w:right="73"/>
              <w:rPr>
                <w:rFonts w:ascii="Calibri"/>
                <w:sz w:val="16"/>
              </w:rPr>
            </w:pPr>
            <w:r>
              <w:rPr>
                <w:rFonts w:ascii="Calibri"/>
                <w:w w:val="105"/>
                <w:sz w:val="16"/>
              </w:rPr>
              <w:t>35.8%</w:t>
            </w:r>
          </w:p>
        </w:tc>
        <w:tc>
          <w:tcPr>
            <w:tcW w:w="1145" w:type="dxa"/>
            <w:shd w:val="clear" w:color="auto" w:fill="E6E7E8"/>
          </w:tcPr>
          <w:p>
            <w:pPr>
              <w:pStyle w:val="TableParagraph"/>
              <w:spacing w:before="62"/>
              <w:ind w:right="73"/>
              <w:rPr>
                <w:rFonts w:ascii="Calibri"/>
                <w:sz w:val="16"/>
              </w:rPr>
            </w:pPr>
            <w:r>
              <w:rPr>
                <w:rFonts w:ascii="Calibri"/>
                <w:w w:val="105"/>
                <w:sz w:val="16"/>
              </w:rPr>
              <w:t>35.2%</w:t>
            </w:r>
          </w:p>
        </w:tc>
        <w:tc>
          <w:tcPr>
            <w:tcW w:w="1145" w:type="dxa"/>
            <w:shd w:val="clear" w:color="auto" w:fill="E6E7E8"/>
          </w:tcPr>
          <w:p>
            <w:pPr>
              <w:pStyle w:val="TableParagraph"/>
              <w:spacing w:before="62"/>
              <w:ind w:right="70"/>
              <w:rPr>
                <w:rFonts w:ascii="Calibri"/>
                <w:sz w:val="16"/>
              </w:rPr>
            </w:pPr>
            <w:r>
              <w:rPr>
                <w:rFonts w:ascii="Calibri"/>
                <w:w w:val="105"/>
                <w:sz w:val="16"/>
              </w:rPr>
              <w:t>34.8%</w:t>
            </w:r>
          </w:p>
        </w:tc>
      </w:tr>
    </w:tbl>
    <w:p>
      <w:pPr>
        <w:pStyle w:val="BodyText"/>
        <w:spacing w:before="6"/>
        <w:rPr>
          <w:rFonts w:ascii="Gotham Narrow Bold"/>
          <w:b/>
          <w:sz w:val="23"/>
        </w:rPr>
      </w:pPr>
    </w:p>
    <w:tbl>
      <w:tblPr>
        <w:tblW w:w="0" w:type="auto"/>
        <w:jc w:val="left"/>
        <w:tblInd w:w="33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3204"/>
        <w:gridCol w:w="1145"/>
        <w:gridCol w:w="1145"/>
        <w:gridCol w:w="1145"/>
        <w:gridCol w:w="1145"/>
        <w:gridCol w:w="1145"/>
        <w:gridCol w:w="1145"/>
      </w:tblGrid>
      <w:tr>
        <w:trPr>
          <w:trHeight w:val="312" w:hRule="exact"/>
        </w:trPr>
        <w:tc>
          <w:tcPr>
            <w:tcW w:w="3204" w:type="dxa"/>
            <w:vMerge w:val="restart"/>
            <w:tcBorders>
              <w:top w:val="nil"/>
              <w:left w:val="nil"/>
              <w:right w:val="single" w:sz="4" w:space="0" w:color="FFFFFF"/>
            </w:tcBorders>
            <w:shd w:val="clear" w:color="auto" w:fill="939598"/>
          </w:tcPr>
          <w:p>
            <w:pPr>
              <w:pStyle w:val="TableParagraph"/>
              <w:spacing w:line="249" w:lineRule="auto" w:before="123"/>
              <w:ind w:left="79" w:right="5"/>
              <w:jc w:val="left"/>
              <w:rPr>
                <w:rFonts w:ascii="Gotham Narrow Bold"/>
                <w:b/>
                <w:sz w:val="16"/>
              </w:rPr>
            </w:pPr>
            <w:r>
              <w:rPr>
                <w:rFonts w:ascii="Gotham Narrow Bold"/>
                <w:b/>
                <w:color w:val="FFFFFF"/>
                <w:sz w:val="16"/>
              </w:rPr>
              <w:t>NUMBER OF PREFERENCES FROM GWS TO UWS</w:t>
            </w:r>
          </w:p>
        </w:tc>
        <w:tc>
          <w:tcPr>
            <w:tcW w:w="3436" w:type="dxa"/>
            <w:gridSpan w:val="3"/>
            <w:tcBorders>
              <w:top w:val="nil"/>
              <w:left w:val="single" w:sz="4" w:space="0" w:color="FFFFFF"/>
              <w:bottom w:val="single" w:sz="4" w:space="0" w:color="FFFFFF"/>
              <w:right w:val="single" w:sz="4" w:space="0" w:color="FFFFFF"/>
            </w:tcBorders>
            <w:shd w:val="clear" w:color="auto" w:fill="939598"/>
          </w:tcPr>
          <w:p>
            <w:pPr>
              <w:pStyle w:val="TableParagraph"/>
              <w:spacing w:before="67"/>
              <w:ind w:left="942"/>
              <w:jc w:val="left"/>
              <w:rPr>
                <w:rFonts w:ascii="Gotham Narrow Bold"/>
                <w:b/>
                <w:sz w:val="16"/>
              </w:rPr>
            </w:pPr>
            <w:r>
              <w:rPr>
                <w:rFonts w:ascii="Gotham Narrow Bold"/>
                <w:b/>
                <w:color w:val="FFFFFF"/>
                <w:w w:val="95"/>
                <w:sz w:val="16"/>
              </w:rPr>
              <w:t>FIRST PREFERENCES</w:t>
            </w:r>
          </w:p>
        </w:tc>
        <w:tc>
          <w:tcPr>
            <w:tcW w:w="3436" w:type="dxa"/>
            <w:gridSpan w:val="3"/>
            <w:tcBorders>
              <w:top w:val="nil"/>
              <w:left w:val="single" w:sz="4" w:space="0" w:color="FFFFFF"/>
              <w:bottom w:val="single" w:sz="4" w:space="0" w:color="FFFFFF"/>
              <w:right w:val="nil"/>
            </w:tcBorders>
            <w:shd w:val="clear" w:color="auto" w:fill="939598"/>
          </w:tcPr>
          <w:p>
            <w:pPr>
              <w:pStyle w:val="TableParagraph"/>
              <w:spacing w:before="67"/>
              <w:ind w:left="590"/>
              <w:jc w:val="left"/>
              <w:rPr>
                <w:rFonts w:ascii="Gotham Narrow Bold"/>
                <w:b/>
                <w:sz w:val="16"/>
              </w:rPr>
            </w:pPr>
            <w:r>
              <w:rPr>
                <w:rFonts w:ascii="Gotham Narrow Bold"/>
                <w:b/>
                <w:color w:val="FFFFFF"/>
                <w:w w:val="95"/>
                <w:sz w:val="16"/>
              </w:rPr>
              <w:t>FIRST TO THIRD PREFERENCES</w:t>
            </w:r>
          </w:p>
        </w:tc>
      </w:tr>
      <w:tr>
        <w:trPr>
          <w:trHeight w:val="312" w:hRule="exact"/>
        </w:trPr>
        <w:tc>
          <w:tcPr>
            <w:tcW w:w="3204" w:type="dxa"/>
            <w:vMerge/>
            <w:tcBorders>
              <w:left w:val="nil"/>
              <w:bottom w:val="nil"/>
              <w:right w:val="single" w:sz="4" w:space="0" w:color="FFFFFF"/>
            </w:tcBorders>
            <w:shd w:val="clear" w:color="auto" w:fill="939598"/>
          </w:tcPr>
          <w:p>
            <w:pP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2013</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2015</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2013</w:t>
            </w:r>
          </w:p>
        </w:tc>
        <w:tc>
          <w:tcPr>
            <w:tcW w:w="1145" w:type="dxa"/>
            <w:tcBorders>
              <w:top w:val="single" w:sz="4" w:space="0" w:color="FFFFFF"/>
              <w:left w:val="single" w:sz="4" w:space="0" w:color="FFFFFF"/>
              <w:bottom w:val="nil"/>
              <w:right w:val="single" w:sz="4" w:space="0" w:color="FFFFFF"/>
            </w:tcBorders>
            <w:shd w:val="clear" w:color="auto" w:fill="939598"/>
          </w:tcPr>
          <w:p>
            <w:pPr>
              <w:pStyle w:val="TableParagraph"/>
              <w:spacing w:before="61"/>
              <w:ind w:right="73"/>
              <w:rPr>
                <w:rFonts w:ascii="Gotham Narrow Bold"/>
                <w:b/>
                <w:sz w:val="16"/>
              </w:rPr>
            </w:pPr>
            <w:r>
              <w:rPr>
                <w:rFonts w:ascii="Gotham Narrow Bold"/>
                <w:b/>
                <w:color w:val="FFFFFF"/>
                <w:w w:val="95"/>
                <w:sz w:val="16"/>
              </w:rPr>
              <w:t>2014</w:t>
            </w:r>
          </w:p>
        </w:tc>
        <w:tc>
          <w:tcPr>
            <w:tcW w:w="1145" w:type="dxa"/>
            <w:tcBorders>
              <w:top w:val="single" w:sz="4" w:space="0" w:color="FFFFFF"/>
              <w:left w:val="single" w:sz="4" w:space="0" w:color="FFFFFF"/>
              <w:bottom w:val="nil"/>
              <w:right w:val="nil"/>
            </w:tcBorders>
            <w:shd w:val="clear" w:color="auto" w:fill="939598"/>
          </w:tcPr>
          <w:p>
            <w:pPr>
              <w:pStyle w:val="TableParagraph"/>
              <w:spacing w:before="61"/>
              <w:ind w:right="78"/>
              <w:rPr>
                <w:rFonts w:ascii="Gotham Narrow Bold"/>
                <w:b/>
                <w:sz w:val="16"/>
              </w:rPr>
            </w:pPr>
            <w:r>
              <w:rPr>
                <w:rFonts w:ascii="Gotham Narrow Bold"/>
                <w:b/>
                <w:color w:val="FFFFFF"/>
                <w:w w:val="95"/>
                <w:sz w:val="16"/>
              </w:rPr>
              <w:t>2015</w:t>
            </w:r>
          </w:p>
        </w:tc>
      </w:tr>
      <w:tr>
        <w:trPr>
          <w:trHeight w:val="312" w:hRule="exact"/>
        </w:trPr>
        <w:tc>
          <w:tcPr>
            <w:tcW w:w="3204" w:type="dxa"/>
            <w:tcBorders>
              <w:top w:val="nil"/>
            </w:tcBorders>
            <w:shd w:val="clear" w:color="auto" w:fill="E6E7E8"/>
          </w:tcPr>
          <w:p>
            <w:pPr>
              <w:pStyle w:val="TableParagraph"/>
              <w:spacing w:before="60"/>
              <w:ind w:left="74"/>
              <w:jc w:val="left"/>
              <w:rPr>
                <w:sz w:val="16"/>
              </w:rPr>
            </w:pPr>
            <w:r>
              <w:rPr>
                <w:sz w:val="16"/>
              </w:rPr>
              <w:t>Current school leavers</w:t>
            </w:r>
          </w:p>
        </w:tc>
        <w:tc>
          <w:tcPr>
            <w:tcW w:w="1145" w:type="dxa"/>
            <w:tcBorders>
              <w:top w:val="nil"/>
            </w:tcBorders>
            <w:shd w:val="clear" w:color="auto" w:fill="E6E7E8"/>
          </w:tcPr>
          <w:p>
            <w:pPr>
              <w:pStyle w:val="TableParagraph"/>
              <w:spacing w:before="60"/>
              <w:ind w:right="73"/>
              <w:rPr>
                <w:sz w:val="16"/>
              </w:rPr>
            </w:pPr>
            <w:r>
              <w:rPr>
                <w:w w:val="95"/>
                <w:sz w:val="16"/>
              </w:rPr>
              <w:t>5,433</w:t>
            </w:r>
          </w:p>
        </w:tc>
        <w:tc>
          <w:tcPr>
            <w:tcW w:w="1145" w:type="dxa"/>
            <w:tcBorders>
              <w:top w:val="nil"/>
            </w:tcBorders>
            <w:shd w:val="clear" w:color="auto" w:fill="E6E7E8"/>
          </w:tcPr>
          <w:p>
            <w:pPr>
              <w:pStyle w:val="TableParagraph"/>
              <w:spacing w:before="60"/>
              <w:ind w:right="73"/>
              <w:rPr>
                <w:sz w:val="16"/>
              </w:rPr>
            </w:pPr>
            <w:r>
              <w:rPr>
                <w:w w:val="95"/>
                <w:sz w:val="16"/>
              </w:rPr>
              <w:t>5,073</w:t>
            </w:r>
          </w:p>
        </w:tc>
        <w:tc>
          <w:tcPr>
            <w:tcW w:w="1145" w:type="dxa"/>
            <w:tcBorders>
              <w:top w:val="nil"/>
            </w:tcBorders>
            <w:shd w:val="clear" w:color="auto" w:fill="E6E7E8"/>
          </w:tcPr>
          <w:p>
            <w:pPr>
              <w:pStyle w:val="TableParagraph"/>
              <w:spacing w:before="60"/>
              <w:ind w:right="73"/>
              <w:rPr>
                <w:sz w:val="16"/>
              </w:rPr>
            </w:pPr>
            <w:r>
              <w:rPr>
                <w:w w:val="95"/>
                <w:sz w:val="16"/>
              </w:rPr>
              <w:t>4,896</w:t>
            </w:r>
          </w:p>
        </w:tc>
        <w:tc>
          <w:tcPr>
            <w:tcW w:w="1145" w:type="dxa"/>
            <w:tcBorders>
              <w:top w:val="nil"/>
            </w:tcBorders>
            <w:shd w:val="clear" w:color="auto" w:fill="E6E7E8"/>
          </w:tcPr>
          <w:p>
            <w:pPr>
              <w:pStyle w:val="TableParagraph"/>
              <w:spacing w:before="60"/>
              <w:ind w:right="73"/>
              <w:rPr>
                <w:sz w:val="16"/>
              </w:rPr>
            </w:pPr>
            <w:r>
              <w:rPr>
                <w:w w:val="85"/>
                <w:sz w:val="16"/>
              </w:rPr>
              <w:t>14,486</w:t>
            </w:r>
          </w:p>
        </w:tc>
        <w:tc>
          <w:tcPr>
            <w:tcW w:w="1145" w:type="dxa"/>
            <w:tcBorders>
              <w:top w:val="nil"/>
            </w:tcBorders>
            <w:shd w:val="clear" w:color="auto" w:fill="E6E7E8"/>
          </w:tcPr>
          <w:p>
            <w:pPr>
              <w:pStyle w:val="TableParagraph"/>
              <w:spacing w:before="60"/>
              <w:ind w:right="68"/>
              <w:rPr>
                <w:sz w:val="16"/>
              </w:rPr>
            </w:pPr>
            <w:r>
              <w:rPr>
                <w:w w:val="85"/>
                <w:sz w:val="16"/>
              </w:rPr>
              <w:t>13,868</w:t>
            </w:r>
          </w:p>
        </w:tc>
        <w:tc>
          <w:tcPr>
            <w:tcW w:w="1145" w:type="dxa"/>
            <w:tcBorders>
              <w:top w:val="nil"/>
            </w:tcBorders>
            <w:shd w:val="clear" w:color="auto" w:fill="E6E7E8"/>
          </w:tcPr>
          <w:p>
            <w:pPr>
              <w:pStyle w:val="TableParagraph"/>
              <w:spacing w:before="60"/>
              <w:ind w:right="73"/>
              <w:rPr>
                <w:sz w:val="16"/>
              </w:rPr>
            </w:pPr>
            <w:r>
              <w:rPr>
                <w:w w:val="85"/>
                <w:sz w:val="16"/>
              </w:rPr>
              <w:t>13,648</w:t>
            </w:r>
          </w:p>
        </w:tc>
      </w:tr>
      <w:tr>
        <w:trPr>
          <w:trHeight w:val="312" w:hRule="exact"/>
        </w:trPr>
        <w:tc>
          <w:tcPr>
            <w:tcW w:w="3204" w:type="dxa"/>
            <w:shd w:val="clear" w:color="auto" w:fill="E6E7E8"/>
          </w:tcPr>
          <w:p>
            <w:pPr>
              <w:pStyle w:val="TableParagraph"/>
              <w:ind w:left="74"/>
              <w:jc w:val="left"/>
              <w:rPr>
                <w:sz w:val="16"/>
              </w:rPr>
            </w:pPr>
            <w:r>
              <w:rPr>
                <w:sz w:val="16"/>
              </w:rPr>
              <w:t>Non-current school leavers</w:t>
            </w:r>
          </w:p>
        </w:tc>
        <w:tc>
          <w:tcPr>
            <w:tcW w:w="1145" w:type="dxa"/>
            <w:shd w:val="clear" w:color="auto" w:fill="E6E7E8"/>
          </w:tcPr>
          <w:p>
            <w:pPr>
              <w:pStyle w:val="TableParagraph"/>
              <w:ind w:right="73"/>
              <w:rPr>
                <w:sz w:val="16"/>
              </w:rPr>
            </w:pPr>
            <w:r>
              <w:rPr>
                <w:w w:val="85"/>
                <w:sz w:val="16"/>
              </w:rPr>
              <w:t>4,144</w:t>
            </w:r>
          </w:p>
        </w:tc>
        <w:tc>
          <w:tcPr>
            <w:tcW w:w="1145" w:type="dxa"/>
            <w:shd w:val="clear" w:color="auto" w:fill="E6E7E8"/>
          </w:tcPr>
          <w:p>
            <w:pPr>
              <w:pStyle w:val="TableParagraph"/>
              <w:ind w:right="73"/>
              <w:rPr>
                <w:sz w:val="16"/>
              </w:rPr>
            </w:pPr>
            <w:r>
              <w:rPr>
                <w:w w:val="85"/>
                <w:sz w:val="16"/>
              </w:rPr>
              <w:t>4,510</w:t>
            </w:r>
          </w:p>
        </w:tc>
        <w:tc>
          <w:tcPr>
            <w:tcW w:w="1145" w:type="dxa"/>
            <w:shd w:val="clear" w:color="auto" w:fill="E6E7E8"/>
          </w:tcPr>
          <w:p>
            <w:pPr>
              <w:pStyle w:val="TableParagraph"/>
              <w:ind w:right="73"/>
              <w:rPr>
                <w:sz w:val="16"/>
              </w:rPr>
            </w:pPr>
            <w:r>
              <w:rPr>
                <w:w w:val="95"/>
                <w:sz w:val="16"/>
              </w:rPr>
              <w:t>4,394</w:t>
            </w:r>
          </w:p>
        </w:tc>
        <w:tc>
          <w:tcPr>
            <w:tcW w:w="1145" w:type="dxa"/>
            <w:shd w:val="clear" w:color="auto" w:fill="E6E7E8"/>
          </w:tcPr>
          <w:p>
            <w:pPr>
              <w:pStyle w:val="TableParagraph"/>
              <w:ind w:right="73"/>
              <w:rPr>
                <w:sz w:val="16"/>
              </w:rPr>
            </w:pPr>
            <w:r>
              <w:rPr>
                <w:w w:val="90"/>
                <w:sz w:val="16"/>
              </w:rPr>
              <w:t>9,522</w:t>
            </w:r>
          </w:p>
        </w:tc>
        <w:tc>
          <w:tcPr>
            <w:tcW w:w="1145" w:type="dxa"/>
            <w:shd w:val="clear" w:color="auto" w:fill="E6E7E8"/>
          </w:tcPr>
          <w:p>
            <w:pPr>
              <w:pStyle w:val="TableParagraph"/>
              <w:ind w:right="73"/>
              <w:rPr>
                <w:sz w:val="16"/>
              </w:rPr>
            </w:pPr>
            <w:r>
              <w:rPr>
                <w:spacing w:val="4"/>
                <w:w w:val="54"/>
                <w:sz w:val="16"/>
              </w:rPr>
              <w:t>1</w:t>
            </w:r>
            <w:r>
              <w:rPr>
                <w:spacing w:val="2"/>
                <w:w w:val="111"/>
                <w:sz w:val="16"/>
              </w:rPr>
              <w:t>0</w:t>
            </w:r>
            <w:r>
              <w:rPr>
                <w:spacing w:val="2"/>
                <w:w w:val="68"/>
                <w:sz w:val="16"/>
              </w:rPr>
              <w:t>,</w:t>
            </w:r>
            <w:r>
              <w:rPr>
                <w:spacing w:val="-2"/>
                <w:w w:val="98"/>
                <w:sz w:val="16"/>
              </w:rPr>
              <w:t>4</w:t>
            </w:r>
            <w:r>
              <w:rPr>
                <w:spacing w:val="3"/>
                <w:w w:val="98"/>
                <w:sz w:val="16"/>
              </w:rPr>
              <w:t>2</w:t>
            </w:r>
            <w:r>
              <w:rPr>
                <w:w w:val="101"/>
                <w:sz w:val="16"/>
              </w:rPr>
              <w:t>9</w:t>
            </w:r>
          </w:p>
        </w:tc>
        <w:tc>
          <w:tcPr>
            <w:tcW w:w="1145" w:type="dxa"/>
            <w:shd w:val="clear" w:color="auto" w:fill="E6E7E8"/>
          </w:tcPr>
          <w:p>
            <w:pPr>
              <w:pStyle w:val="TableParagraph"/>
              <w:ind w:right="73"/>
              <w:rPr>
                <w:sz w:val="16"/>
              </w:rPr>
            </w:pPr>
            <w:r>
              <w:rPr>
                <w:spacing w:val="4"/>
                <w:w w:val="54"/>
                <w:sz w:val="16"/>
              </w:rPr>
              <w:t>1</w:t>
            </w:r>
            <w:r>
              <w:rPr>
                <w:spacing w:val="2"/>
                <w:w w:val="111"/>
                <w:sz w:val="16"/>
              </w:rPr>
              <w:t>0</w:t>
            </w:r>
            <w:r>
              <w:rPr>
                <w:spacing w:val="1"/>
                <w:w w:val="68"/>
                <w:sz w:val="16"/>
              </w:rPr>
              <w:t>,</w:t>
            </w:r>
            <w:r>
              <w:rPr>
                <w:w w:val="102"/>
                <w:sz w:val="16"/>
              </w:rPr>
              <w:t>0</w:t>
            </w:r>
            <w:r>
              <w:rPr>
                <w:spacing w:val="4"/>
                <w:w w:val="102"/>
                <w:sz w:val="16"/>
              </w:rPr>
              <w:t>3</w:t>
            </w:r>
            <w:r>
              <w:rPr>
                <w:w w:val="98"/>
                <w:sz w:val="16"/>
              </w:rPr>
              <w:t>8</w:t>
            </w:r>
          </w:p>
        </w:tc>
      </w:tr>
      <w:tr>
        <w:trPr>
          <w:trHeight w:val="312" w:hRule="exact"/>
        </w:trPr>
        <w:tc>
          <w:tcPr>
            <w:tcW w:w="3204" w:type="dxa"/>
            <w:shd w:val="clear" w:color="auto" w:fill="E6E7E8"/>
          </w:tcPr>
          <w:p>
            <w:pPr>
              <w:pStyle w:val="TableParagraph"/>
              <w:spacing w:before="63"/>
              <w:ind w:left="74"/>
              <w:jc w:val="left"/>
              <w:rPr>
                <w:rFonts w:ascii="Calibri"/>
                <w:sz w:val="16"/>
              </w:rPr>
            </w:pPr>
            <w:r>
              <w:rPr>
                <w:rFonts w:ascii="Calibri"/>
                <w:w w:val="105"/>
                <w:sz w:val="16"/>
              </w:rPr>
              <w:t>Total*</w:t>
            </w:r>
          </w:p>
        </w:tc>
        <w:tc>
          <w:tcPr>
            <w:tcW w:w="1145" w:type="dxa"/>
            <w:shd w:val="clear" w:color="auto" w:fill="E6E7E8"/>
          </w:tcPr>
          <w:p>
            <w:pPr>
              <w:pStyle w:val="TableParagraph"/>
              <w:spacing w:before="63"/>
              <w:ind w:right="73"/>
              <w:rPr>
                <w:rFonts w:ascii="Calibri"/>
                <w:sz w:val="16"/>
              </w:rPr>
            </w:pPr>
            <w:r>
              <w:rPr>
                <w:rFonts w:ascii="Calibri"/>
                <w:w w:val="105"/>
                <w:sz w:val="16"/>
              </w:rPr>
              <w:t>9,577</w:t>
            </w:r>
          </w:p>
        </w:tc>
        <w:tc>
          <w:tcPr>
            <w:tcW w:w="1145" w:type="dxa"/>
            <w:shd w:val="clear" w:color="auto" w:fill="E6E7E8"/>
          </w:tcPr>
          <w:p>
            <w:pPr>
              <w:pStyle w:val="TableParagraph"/>
              <w:spacing w:before="63"/>
              <w:ind w:right="73"/>
              <w:rPr>
                <w:rFonts w:ascii="Calibri"/>
                <w:sz w:val="16"/>
              </w:rPr>
            </w:pPr>
            <w:r>
              <w:rPr>
                <w:rFonts w:ascii="Calibri"/>
                <w:w w:val="105"/>
                <w:sz w:val="16"/>
              </w:rPr>
              <w:t>9,583</w:t>
            </w:r>
          </w:p>
        </w:tc>
        <w:tc>
          <w:tcPr>
            <w:tcW w:w="1145" w:type="dxa"/>
            <w:shd w:val="clear" w:color="auto" w:fill="E6E7E8"/>
          </w:tcPr>
          <w:p>
            <w:pPr>
              <w:pStyle w:val="TableParagraph"/>
              <w:spacing w:before="63"/>
              <w:ind w:right="73"/>
              <w:rPr>
                <w:rFonts w:ascii="Calibri"/>
                <w:sz w:val="16"/>
              </w:rPr>
            </w:pPr>
            <w:r>
              <w:rPr>
                <w:rFonts w:ascii="Calibri"/>
                <w:w w:val="105"/>
                <w:sz w:val="16"/>
              </w:rPr>
              <w:t>9,292</w:t>
            </w:r>
          </w:p>
        </w:tc>
        <w:tc>
          <w:tcPr>
            <w:tcW w:w="1145" w:type="dxa"/>
            <w:shd w:val="clear" w:color="auto" w:fill="E6E7E8"/>
          </w:tcPr>
          <w:p>
            <w:pPr>
              <w:pStyle w:val="TableParagraph"/>
              <w:spacing w:before="63"/>
              <w:ind w:right="69"/>
              <w:rPr>
                <w:rFonts w:ascii="Calibri"/>
                <w:sz w:val="16"/>
              </w:rPr>
            </w:pPr>
            <w:r>
              <w:rPr>
                <w:rFonts w:ascii="Calibri"/>
                <w:w w:val="110"/>
                <w:sz w:val="16"/>
              </w:rPr>
              <w:t>24,008</w:t>
            </w:r>
          </w:p>
        </w:tc>
        <w:tc>
          <w:tcPr>
            <w:tcW w:w="1145" w:type="dxa"/>
            <w:shd w:val="clear" w:color="auto" w:fill="E6E7E8"/>
          </w:tcPr>
          <w:p>
            <w:pPr>
              <w:pStyle w:val="TableParagraph"/>
              <w:spacing w:before="63"/>
              <w:ind w:right="73"/>
              <w:rPr>
                <w:rFonts w:ascii="Calibri"/>
                <w:sz w:val="16"/>
              </w:rPr>
            </w:pPr>
            <w:r>
              <w:rPr>
                <w:rFonts w:ascii="Calibri"/>
                <w:w w:val="110"/>
                <w:sz w:val="16"/>
              </w:rPr>
              <w:t>24,297</w:t>
            </w:r>
          </w:p>
        </w:tc>
        <w:tc>
          <w:tcPr>
            <w:tcW w:w="1145" w:type="dxa"/>
            <w:shd w:val="clear" w:color="auto" w:fill="E6E7E8"/>
          </w:tcPr>
          <w:p>
            <w:pPr>
              <w:pStyle w:val="TableParagraph"/>
              <w:spacing w:before="63"/>
              <w:ind w:right="73"/>
              <w:rPr>
                <w:rFonts w:ascii="Calibri"/>
                <w:sz w:val="16"/>
              </w:rPr>
            </w:pPr>
            <w:r>
              <w:rPr>
                <w:rFonts w:ascii="Calibri"/>
                <w:w w:val="105"/>
                <w:sz w:val="16"/>
              </w:rPr>
              <w:t>23,688</w:t>
            </w:r>
          </w:p>
        </w:tc>
      </w:tr>
    </w:tbl>
    <w:p>
      <w:pPr>
        <w:pStyle w:val="BodyText"/>
        <w:spacing w:before="43"/>
        <w:ind w:left="335" w:right="5322"/>
      </w:pPr>
      <w:r>
        <w:rPr/>
        <w:t>(Source: UAC main round) * Includes school leaver type unknown</w:t>
      </w:r>
    </w:p>
    <w:p>
      <w:pPr>
        <w:spacing w:after="0"/>
        <w:sectPr>
          <w:footerReference w:type="even" r:id="rId71"/>
          <w:pgSz w:w="11910" w:h="16840"/>
          <w:pgMar w:footer="473" w:header="494" w:top="680" w:bottom="660" w:left="580" w:right="580"/>
          <w:pgNumType w:start="100"/>
        </w:sectPr>
      </w:pPr>
    </w:p>
    <w:p>
      <w:pPr>
        <w:pStyle w:val="BodyText"/>
        <w:rPr>
          <w:sz w:val="20"/>
        </w:rPr>
      </w:pPr>
    </w:p>
    <w:p>
      <w:pPr>
        <w:pStyle w:val="BodyText"/>
        <w:rPr>
          <w:sz w:val="20"/>
        </w:rPr>
      </w:pPr>
    </w:p>
    <w:p>
      <w:pPr>
        <w:pStyle w:val="BodyText"/>
        <w:spacing w:before="11"/>
        <w:rPr>
          <w:sz w:val="26"/>
        </w:rPr>
      </w:pPr>
    </w:p>
    <w:p>
      <w:pPr>
        <w:pStyle w:val="Heading1"/>
        <w:ind w:left="353" w:right="0"/>
      </w:pPr>
      <w:r>
        <w:rPr>
          <w:w w:val="95"/>
        </w:rPr>
        <w:t>APPENDIX 12</w:t>
      </w:r>
    </w:p>
    <w:p>
      <w:pPr>
        <w:pStyle w:val="BodyText"/>
        <w:spacing w:before="5"/>
        <w:rPr>
          <w:rFonts w:ascii="Gotham Narrow Bold"/>
          <w:b/>
          <w:sz w:val="23"/>
        </w:rPr>
      </w:pPr>
    </w:p>
    <w:p>
      <w:pPr>
        <w:pStyle w:val="Heading5"/>
        <w:spacing w:before="58"/>
        <w:ind w:left="353"/>
      </w:pPr>
      <w:r>
        <w:rPr>
          <w:w w:val="95"/>
        </w:rPr>
        <w:t>WESTERN SYDNEY UNIVERSITY GOVERNANCE STRUCTURE</w:t>
      </w:r>
    </w:p>
    <w:p>
      <w:pPr>
        <w:pStyle w:val="BodyText"/>
        <w:spacing w:before="58"/>
        <w:ind w:left="353"/>
      </w:pPr>
      <w:r>
        <w:rPr>
          <w:spacing w:val="3"/>
          <w:w w:val="94"/>
        </w:rPr>
        <w:t>3</w:t>
      </w:r>
      <w:r>
        <w:rPr>
          <w:w w:val="111"/>
        </w:rPr>
        <w:t>0</w:t>
      </w:r>
      <w:r>
        <w:rPr>
          <w:spacing w:val="-12"/>
        </w:rPr>
        <w:t> </w:t>
      </w:r>
      <w:r>
        <w:rPr>
          <w:w w:val="112"/>
        </w:rPr>
        <w:t>A</w:t>
      </w:r>
      <w:r>
        <w:rPr>
          <w:spacing w:val="1"/>
          <w:w w:val="95"/>
        </w:rPr>
        <w:t>u</w:t>
      </w:r>
      <w:r>
        <w:rPr>
          <w:spacing w:val="2"/>
          <w:w w:val="102"/>
        </w:rPr>
        <w:t>g</w:t>
      </w:r>
      <w:r>
        <w:rPr>
          <w:spacing w:val="2"/>
          <w:w w:val="95"/>
        </w:rPr>
        <w:t>u</w:t>
      </w:r>
      <w:r>
        <w:rPr>
          <w:spacing w:val="3"/>
          <w:w w:val="95"/>
        </w:rPr>
        <w:t>s</w:t>
      </w:r>
      <w:r>
        <w:rPr>
          <w:w w:val="102"/>
        </w:rPr>
        <w:t>t</w:t>
      </w:r>
      <w:r>
        <w:rPr>
          <w:spacing w:val="-12"/>
        </w:rPr>
        <w:t> </w:t>
      </w:r>
      <w:r>
        <w:rPr>
          <w:spacing w:val="2"/>
          <w:w w:val="93"/>
        </w:rPr>
        <w:t>2</w:t>
      </w:r>
      <w:r>
        <w:rPr>
          <w:spacing w:val="1"/>
          <w:w w:val="111"/>
        </w:rPr>
        <w:t>0</w:t>
      </w:r>
      <w:r>
        <w:rPr>
          <w:spacing w:val="2"/>
          <w:w w:val="54"/>
        </w:rPr>
        <w:t>1</w:t>
      </w:r>
      <w:r>
        <w:rPr>
          <w:w w:val="95"/>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5"/>
        <w:spacing w:before="186"/>
        <w:ind w:left="6412" w:right="6474"/>
        <w:jc w:val="center"/>
      </w:pPr>
      <w:r>
        <w:rPr>
          <w:color w:val="FFFFFF"/>
          <w:w w:val="95"/>
        </w:rPr>
        <w:t>BOARD OF TRUSTEES</w:t>
      </w:r>
    </w:p>
    <w:p>
      <w:pPr>
        <w:pStyle w:val="BodyText"/>
        <w:rPr>
          <w:rFonts w:ascii="Gotham Narrow Bold"/>
          <w:b/>
          <w:sz w:val="20"/>
        </w:rPr>
      </w:pPr>
    </w:p>
    <w:p>
      <w:pPr>
        <w:pStyle w:val="BodyText"/>
        <w:rPr>
          <w:rFonts w:ascii="Gotham Narrow Bold"/>
          <w:b/>
          <w:sz w:val="20"/>
        </w:rPr>
      </w:pPr>
    </w:p>
    <w:p>
      <w:pPr>
        <w:pStyle w:val="BodyText"/>
        <w:rPr>
          <w:rFonts w:ascii="Gotham Narrow Bold"/>
          <w:b/>
          <w:sz w:val="20"/>
        </w:rPr>
      </w:pPr>
    </w:p>
    <w:p>
      <w:pPr>
        <w:pStyle w:val="BodyText"/>
        <w:spacing w:before="4"/>
        <w:rPr>
          <w:rFonts w:ascii="Gotham Narrow Bold"/>
          <w:b/>
          <w:sz w:val="25"/>
        </w:rPr>
      </w:pPr>
    </w:p>
    <w:p>
      <w:pPr>
        <w:spacing w:after="0"/>
        <w:rPr>
          <w:rFonts w:ascii="Gotham Narrow Bold"/>
          <w:sz w:val="25"/>
        </w:rPr>
        <w:sectPr>
          <w:headerReference w:type="default" r:id="rId72"/>
          <w:footerReference w:type="default" r:id="rId73"/>
          <w:pgSz w:w="16840" w:h="11910" w:orient="landscape"/>
          <w:pgMar w:header="0" w:footer="0" w:top="0" w:bottom="280" w:left="780" w:right="800"/>
        </w:sectPr>
      </w:pPr>
    </w:p>
    <w:p>
      <w:pPr>
        <w:pStyle w:val="Heading7"/>
        <w:spacing w:before="68"/>
        <w:ind w:right="-5"/>
      </w:pPr>
      <w:r>
        <w:rPr>
          <w:w w:val="95"/>
        </w:rPr>
        <w:t>Board Committees</w:t>
      </w:r>
    </w:p>
    <w:p>
      <w:pPr>
        <w:pStyle w:val="BodyText"/>
        <w:spacing w:before="3"/>
        <w:rPr>
          <w:rFonts w:ascii="Gotham Narrow Bold"/>
          <w:b/>
        </w:rPr>
      </w:pPr>
    </w:p>
    <w:p>
      <w:pPr>
        <w:pStyle w:val="BodyText"/>
        <w:spacing w:before="1"/>
        <w:ind w:left="590" w:right="-5"/>
      </w:pPr>
      <w:r>
        <w:rPr>
          <w:rFonts w:ascii="Century Gothic" w:hAnsi="Century Gothic"/>
          <w:b/>
          <w:w w:val="115"/>
        </w:rPr>
        <w:t>≥ </w:t>
      </w:r>
      <w:r>
        <w:rPr>
          <w:w w:val="105"/>
        </w:rPr>
        <w:t>Audit and Risk Management</w:t>
      </w:r>
    </w:p>
    <w:p>
      <w:pPr>
        <w:pStyle w:val="BodyText"/>
        <w:spacing w:before="60"/>
        <w:ind w:left="590" w:right="-5"/>
      </w:pPr>
      <w:r>
        <w:rPr>
          <w:rFonts w:ascii="Century Gothic" w:hAnsi="Century Gothic"/>
          <w:b/>
          <w:w w:val="115"/>
        </w:rPr>
        <w:t>≥ </w:t>
      </w:r>
      <w:r>
        <w:rPr>
          <w:w w:val="110"/>
        </w:rPr>
        <w:t>Board Standing</w:t>
      </w:r>
    </w:p>
    <w:p>
      <w:pPr>
        <w:pStyle w:val="BodyText"/>
        <w:spacing w:before="60"/>
        <w:ind w:left="590" w:right="-5"/>
      </w:pPr>
      <w:r>
        <w:rPr>
          <w:rFonts w:ascii="Century Gothic" w:hAnsi="Century Gothic"/>
          <w:b/>
          <w:w w:val="115"/>
        </w:rPr>
        <w:t>≥ </w:t>
      </w:r>
      <w:r>
        <w:rPr>
          <w:w w:val="105"/>
        </w:rPr>
        <w:t>Finance and Investment</w:t>
      </w:r>
    </w:p>
    <w:p>
      <w:pPr>
        <w:pStyle w:val="BodyText"/>
        <w:spacing w:before="60"/>
        <w:ind w:left="590" w:right="-5"/>
      </w:pPr>
      <w:r>
        <w:rPr>
          <w:rFonts w:ascii="Century Gothic" w:hAnsi="Century Gothic"/>
          <w:b/>
          <w:w w:val="105"/>
        </w:rPr>
        <w:t>≥</w:t>
      </w:r>
      <w:r>
        <w:rPr>
          <w:rFonts w:ascii="Century Gothic" w:hAnsi="Century Gothic"/>
          <w:b/>
          <w:spacing w:val="1"/>
          <w:w w:val="105"/>
        </w:rPr>
        <w:t> </w:t>
      </w:r>
      <w:r>
        <w:rPr>
          <w:w w:val="105"/>
        </w:rPr>
        <w:t>Remuneration</w:t>
      </w:r>
      <w:r>
        <w:rPr>
          <w:spacing w:val="-34"/>
          <w:w w:val="105"/>
        </w:rPr>
        <w:t> </w:t>
      </w:r>
      <w:r>
        <w:rPr>
          <w:w w:val="105"/>
        </w:rPr>
        <w:t>and</w:t>
      </w:r>
      <w:r>
        <w:rPr>
          <w:spacing w:val="-34"/>
          <w:w w:val="105"/>
        </w:rPr>
        <w:t> </w:t>
      </w:r>
      <w:r>
        <w:rPr>
          <w:w w:val="105"/>
        </w:rPr>
        <w:t>Nominations</w:t>
      </w:r>
    </w:p>
    <w:p>
      <w:pPr>
        <w:pStyle w:val="BodyText"/>
        <w:spacing w:before="60"/>
        <w:ind w:left="590" w:right="-5"/>
      </w:pPr>
      <w:r>
        <w:rPr>
          <w:rFonts w:ascii="Century Gothic" w:hAnsi="Century Gothic"/>
          <w:b/>
          <w:w w:val="115"/>
        </w:rPr>
        <w:t>≥ </w:t>
      </w:r>
      <w:r>
        <w:rPr>
          <w:w w:val="105"/>
        </w:rPr>
        <w:t>University Infrastructure</w:t>
      </w:r>
    </w:p>
    <w:p>
      <w:pPr>
        <w:pStyle w:val="Heading7"/>
        <w:spacing w:before="161"/>
        <w:jc w:val="center"/>
      </w:pPr>
      <w:r>
        <w:rPr>
          <w:b w:val="0"/>
        </w:rPr>
        <w:br w:type="column"/>
      </w:r>
      <w:r>
        <w:rPr>
          <w:w w:val="95"/>
        </w:rPr>
        <w:t>Foundation Council</w:t>
      </w:r>
    </w:p>
    <w:p>
      <w:pPr>
        <w:pStyle w:val="BodyText"/>
        <w:rPr>
          <w:rFonts w:ascii="Gotham Narrow Bold"/>
          <w:b/>
          <w:sz w:val="18"/>
        </w:rPr>
      </w:pPr>
    </w:p>
    <w:p>
      <w:pPr>
        <w:pStyle w:val="BodyText"/>
        <w:rPr>
          <w:rFonts w:ascii="Gotham Narrow Bold"/>
          <w:b/>
          <w:sz w:val="18"/>
        </w:rPr>
      </w:pPr>
    </w:p>
    <w:p>
      <w:pPr>
        <w:pStyle w:val="BodyText"/>
        <w:spacing w:before="7"/>
        <w:rPr>
          <w:rFonts w:ascii="Gotham Narrow Bold"/>
          <w:b/>
          <w:sz w:val="25"/>
        </w:rPr>
      </w:pPr>
    </w:p>
    <w:p>
      <w:pPr>
        <w:spacing w:line="244" w:lineRule="auto" w:before="0"/>
        <w:ind w:left="590" w:right="0" w:firstLine="0"/>
        <w:jc w:val="center"/>
        <w:rPr>
          <w:rFonts w:ascii="Gotham Narrow Bold"/>
          <w:b/>
          <w:sz w:val="18"/>
        </w:rPr>
      </w:pPr>
      <w:r>
        <w:rPr>
          <w:rFonts w:ascii="Gotham Narrow Bold"/>
          <w:b/>
          <w:w w:val="95"/>
          <w:sz w:val="18"/>
        </w:rPr>
        <w:t>Aboriginal and</w:t>
      </w:r>
      <w:r>
        <w:rPr>
          <w:rFonts w:ascii="Gotham Narrow Bold"/>
          <w:b/>
          <w:spacing w:val="-17"/>
          <w:w w:val="95"/>
          <w:sz w:val="18"/>
        </w:rPr>
        <w:t> </w:t>
      </w:r>
      <w:r>
        <w:rPr>
          <w:rFonts w:ascii="Gotham Narrow Bold"/>
          <w:b/>
          <w:spacing w:val="-3"/>
          <w:w w:val="95"/>
          <w:sz w:val="18"/>
        </w:rPr>
        <w:t>Torres</w:t>
      </w:r>
      <w:r>
        <w:rPr>
          <w:rFonts w:ascii="Gotham Narrow Bold"/>
          <w:b/>
          <w:spacing w:val="-9"/>
          <w:w w:val="95"/>
          <w:sz w:val="18"/>
        </w:rPr>
        <w:t> </w:t>
      </w:r>
      <w:r>
        <w:rPr>
          <w:rFonts w:ascii="Gotham Narrow Bold"/>
          <w:b/>
          <w:w w:val="95"/>
          <w:sz w:val="18"/>
        </w:rPr>
        <w:t>Strait</w:t>
      </w:r>
      <w:r>
        <w:rPr>
          <w:rFonts w:ascii="Gotham Narrow Bold"/>
          <w:b/>
          <w:w w:val="93"/>
          <w:sz w:val="18"/>
        </w:rPr>
        <w:t> </w:t>
      </w:r>
      <w:r>
        <w:rPr>
          <w:rFonts w:ascii="Gotham Narrow Bold"/>
          <w:b/>
          <w:w w:val="95"/>
          <w:sz w:val="18"/>
        </w:rPr>
        <w:t>Islander</w:t>
      </w:r>
      <w:r>
        <w:rPr>
          <w:rFonts w:ascii="Gotham Narrow Bold"/>
          <w:b/>
          <w:spacing w:val="-14"/>
          <w:w w:val="95"/>
          <w:sz w:val="18"/>
        </w:rPr>
        <w:t> </w:t>
      </w:r>
      <w:r>
        <w:rPr>
          <w:rFonts w:ascii="Gotham Narrow Bold"/>
          <w:b/>
          <w:w w:val="95"/>
          <w:sz w:val="18"/>
        </w:rPr>
        <w:t>Council</w:t>
      </w:r>
    </w:p>
    <w:p>
      <w:pPr>
        <w:pStyle w:val="BodyText"/>
        <w:rPr>
          <w:rFonts w:ascii="Gotham Narrow Bold"/>
          <w:b/>
          <w:sz w:val="18"/>
        </w:rPr>
      </w:pPr>
      <w:r>
        <w:rPr/>
        <w:br w:type="column"/>
      </w:r>
      <w:r>
        <w:rPr>
          <w:rFonts w:ascii="Gotham Narrow Bold"/>
          <w:b/>
          <w:sz w:val="18"/>
        </w:rPr>
      </w: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24"/>
        </w:rPr>
      </w:pPr>
    </w:p>
    <w:p>
      <w:pPr>
        <w:spacing w:before="0"/>
        <w:ind w:left="100" w:right="-10" w:firstLine="0"/>
        <w:jc w:val="left"/>
        <w:rPr>
          <w:rFonts w:ascii="Gotham Narrow Bold"/>
          <w:b/>
          <w:sz w:val="18"/>
        </w:rPr>
      </w:pPr>
      <w:r>
        <w:rPr>
          <w:rFonts w:ascii="Gotham Narrow Bold"/>
          <w:b/>
          <w:sz w:val="18"/>
        </w:rPr>
        <w:t>Academic</w:t>
      </w:r>
    </w:p>
    <w:p>
      <w:pPr>
        <w:pStyle w:val="BodyText"/>
        <w:spacing w:before="3"/>
        <w:rPr>
          <w:rFonts w:ascii="Gotham Narrow Bold"/>
          <w:b/>
        </w:rPr>
      </w:pPr>
    </w:p>
    <w:p>
      <w:pPr>
        <w:spacing w:before="1"/>
        <w:ind w:left="100" w:right="-10" w:firstLine="0"/>
        <w:jc w:val="left"/>
        <w:rPr>
          <w:sz w:val="16"/>
        </w:rPr>
      </w:pPr>
      <w:r>
        <w:rPr>
          <w:rFonts w:ascii="Century Gothic" w:hAnsi="Century Gothic"/>
          <w:b/>
          <w:w w:val="120"/>
          <w:sz w:val="16"/>
        </w:rPr>
        <w:t>≥ </w:t>
      </w:r>
      <w:r>
        <w:rPr>
          <w:w w:val="115"/>
          <w:sz w:val="16"/>
        </w:rPr>
        <w:t>Schools</w:t>
      </w:r>
    </w:p>
    <w:p>
      <w:pPr>
        <w:pStyle w:val="BodyText"/>
        <w:spacing w:before="60"/>
        <w:ind w:left="100" w:right="-10"/>
      </w:pPr>
      <w:r>
        <w:rPr>
          <w:rFonts w:ascii="Century Gothic" w:hAnsi="Century Gothic"/>
          <w:b/>
          <w:w w:val="115"/>
        </w:rPr>
        <w:t>≥ </w:t>
      </w:r>
      <w:r>
        <w:rPr>
          <w:w w:val="105"/>
        </w:rPr>
        <w:t>Research</w:t>
      </w:r>
      <w:r>
        <w:rPr>
          <w:spacing w:val="-44"/>
          <w:w w:val="105"/>
        </w:rPr>
        <w:t> </w:t>
      </w:r>
      <w:r>
        <w:rPr>
          <w:w w:val="105"/>
        </w:rPr>
        <w:t>Institutes</w:t>
      </w:r>
    </w:p>
    <w:p>
      <w:pPr>
        <w:pStyle w:val="Heading7"/>
        <w:spacing w:before="161"/>
        <w:ind w:left="620" w:hanging="31"/>
      </w:pPr>
      <w:r>
        <w:rPr>
          <w:b w:val="0"/>
        </w:rPr>
        <w:br w:type="column"/>
      </w:r>
      <w:r>
        <w:rPr/>
        <w:t>Vice-Chancellor</w:t>
      </w: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spacing w:before="9"/>
        <w:rPr>
          <w:rFonts w:ascii="Gotham Narrow Bold"/>
          <w:b/>
        </w:rPr>
      </w:pPr>
    </w:p>
    <w:p>
      <w:pPr>
        <w:spacing w:before="0"/>
        <w:ind w:left="620" w:right="0" w:firstLine="0"/>
        <w:jc w:val="left"/>
        <w:rPr>
          <w:rFonts w:ascii="Gotham Narrow Bold"/>
          <w:b/>
          <w:sz w:val="18"/>
        </w:rPr>
      </w:pPr>
      <w:r>
        <w:rPr>
          <w:rFonts w:ascii="Gotham Narrow Bold"/>
          <w:b/>
          <w:w w:val="95"/>
          <w:sz w:val="18"/>
        </w:rPr>
        <w:t>UWS Executive</w:t>
      </w: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spacing w:before="141"/>
        <w:ind w:left="961" w:right="0" w:firstLine="0"/>
        <w:jc w:val="left"/>
        <w:rPr>
          <w:rFonts w:ascii="Gotham Narrow Bold"/>
          <w:b/>
          <w:sz w:val="18"/>
        </w:rPr>
      </w:pPr>
      <w:r>
        <w:rPr>
          <w:rFonts w:ascii="Gotham Narrow Bold"/>
          <w:b/>
          <w:sz w:val="18"/>
        </w:rPr>
        <w:t>Administrative</w:t>
      </w:r>
    </w:p>
    <w:p>
      <w:pPr>
        <w:pStyle w:val="BodyText"/>
        <w:spacing w:before="3"/>
        <w:rPr>
          <w:rFonts w:ascii="Gotham Narrow Bold"/>
          <w:b/>
        </w:rPr>
      </w:pPr>
    </w:p>
    <w:p>
      <w:pPr>
        <w:pStyle w:val="BodyText"/>
        <w:spacing w:line="244" w:lineRule="auto" w:before="1"/>
        <w:ind w:left="1188" w:hanging="227"/>
      </w:pPr>
      <w:r>
        <w:rPr>
          <w:rFonts w:ascii="Century Gothic" w:hAnsi="Century Gothic"/>
          <w:b/>
          <w:w w:val="115"/>
        </w:rPr>
        <w:t>≥ </w:t>
      </w:r>
      <w:r>
        <w:rPr>
          <w:w w:val="105"/>
        </w:rPr>
        <w:t>Deputy Vice-Chancellor</w:t>
      </w:r>
      <w:r>
        <w:rPr>
          <w:spacing w:val="-27"/>
          <w:w w:val="105"/>
        </w:rPr>
        <w:t> </w:t>
      </w:r>
      <w:r>
        <w:rPr>
          <w:w w:val="105"/>
        </w:rPr>
        <w:t>and </w:t>
      </w:r>
      <w:r>
        <w:rPr/>
        <w:t>Vice-President</w:t>
      </w:r>
      <w:r>
        <w:rPr>
          <w:spacing w:val="6"/>
        </w:rPr>
        <w:t> </w:t>
      </w:r>
      <w:r>
        <w:rPr/>
        <w:t>(Academic)</w:t>
      </w:r>
    </w:p>
    <w:p>
      <w:pPr>
        <w:pStyle w:val="BodyText"/>
        <w:spacing w:line="247" w:lineRule="auto" w:before="58"/>
        <w:ind w:left="1188" w:right="35" w:hanging="227"/>
      </w:pPr>
      <w:r>
        <w:rPr>
          <w:rFonts w:ascii="Century Gothic" w:hAnsi="Century Gothic"/>
          <w:b/>
          <w:w w:val="115"/>
        </w:rPr>
        <w:t>≥ </w:t>
      </w:r>
      <w:r>
        <w:rPr>
          <w:w w:val="105"/>
        </w:rPr>
        <w:t>Deputy Vice-Chancellor and Vice-President </w:t>
      </w:r>
      <w:r>
        <w:rPr/>
        <w:t>(Research &amp; Development)</w:t>
      </w:r>
    </w:p>
    <w:p>
      <w:pPr>
        <w:pStyle w:val="BodyText"/>
        <w:spacing w:before="57"/>
        <w:ind w:left="961"/>
      </w:pPr>
      <w:r>
        <w:rPr>
          <w:rFonts w:ascii="Century Gothic" w:hAnsi="Century Gothic"/>
          <w:b/>
          <w:w w:val="110"/>
        </w:rPr>
        <w:t>≥ </w:t>
      </w:r>
      <w:r>
        <w:rPr>
          <w:w w:val="110"/>
        </w:rPr>
        <w:t>Vice-President</w:t>
      </w:r>
    </w:p>
    <w:p>
      <w:pPr>
        <w:pStyle w:val="BodyText"/>
        <w:spacing w:before="4"/>
        <w:ind w:left="1188"/>
      </w:pPr>
      <w:r>
        <w:rPr/>
        <w:t>(People &amp; Advancement)</w:t>
      </w:r>
    </w:p>
    <w:p>
      <w:pPr>
        <w:pStyle w:val="BodyText"/>
        <w:spacing w:line="244" w:lineRule="auto" w:before="62"/>
        <w:ind w:left="1188" w:right="400" w:hanging="227"/>
      </w:pPr>
      <w:r>
        <w:rPr>
          <w:rFonts w:ascii="Century Gothic" w:hAnsi="Century Gothic"/>
          <w:b/>
          <w:w w:val="115"/>
        </w:rPr>
        <w:t>≥ </w:t>
      </w:r>
      <w:r>
        <w:rPr>
          <w:w w:val="105"/>
        </w:rPr>
        <w:t>Vice-President </w:t>
      </w:r>
      <w:r>
        <w:rPr/>
        <w:t>(Finance</w:t>
      </w:r>
      <w:r>
        <w:rPr>
          <w:spacing w:val="-28"/>
        </w:rPr>
        <w:t> </w:t>
      </w:r>
      <w:r>
        <w:rPr/>
        <w:t>&amp;</w:t>
      </w:r>
      <w:r>
        <w:rPr>
          <w:spacing w:val="-28"/>
        </w:rPr>
        <w:t> </w:t>
      </w:r>
      <w:r>
        <w:rPr/>
        <w:t>Resources)</w:t>
      </w:r>
    </w:p>
    <w:p>
      <w:pPr>
        <w:pStyle w:val="Heading7"/>
        <w:spacing w:before="161"/>
        <w:ind w:left="1321" w:right="1301"/>
        <w:jc w:val="center"/>
      </w:pPr>
      <w:r>
        <w:rPr>
          <w:b w:val="0"/>
        </w:rPr>
        <w:br w:type="column"/>
      </w:r>
      <w:r>
        <w:rPr>
          <w:w w:val="95"/>
        </w:rPr>
        <w:t>Academic Senate</w:t>
      </w:r>
    </w:p>
    <w:p>
      <w:pPr>
        <w:pStyle w:val="BodyText"/>
        <w:rPr>
          <w:rFonts w:ascii="Gotham Narrow Bold"/>
          <w:b/>
          <w:sz w:val="18"/>
        </w:rPr>
      </w:pPr>
    </w:p>
    <w:p>
      <w:pPr>
        <w:pStyle w:val="BodyText"/>
        <w:rPr>
          <w:rFonts w:ascii="Gotham Narrow Bold"/>
          <w:b/>
          <w:sz w:val="18"/>
        </w:rPr>
      </w:pPr>
    </w:p>
    <w:p>
      <w:pPr>
        <w:pStyle w:val="BodyText"/>
        <w:rPr>
          <w:rFonts w:ascii="Gotham Narrow Bold"/>
          <w:b/>
          <w:sz w:val="18"/>
        </w:rPr>
      </w:pPr>
    </w:p>
    <w:p>
      <w:pPr>
        <w:pStyle w:val="BodyText"/>
        <w:spacing w:before="119"/>
        <w:ind w:left="590" w:right="464"/>
      </w:pPr>
      <w:r>
        <w:rPr>
          <w:rFonts w:ascii="Century Gothic" w:hAnsi="Century Gothic"/>
          <w:b/>
          <w:w w:val="105"/>
        </w:rPr>
        <w:t>≥ </w:t>
      </w:r>
      <w:r>
        <w:rPr>
          <w:w w:val="105"/>
        </w:rPr>
        <w:t>Senate Executive</w:t>
      </w:r>
    </w:p>
    <w:p>
      <w:pPr>
        <w:pStyle w:val="BodyText"/>
        <w:spacing w:before="60"/>
        <w:ind w:left="590" w:right="464"/>
      </w:pPr>
      <w:r>
        <w:rPr>
          <w:rFonts w:ascii="Century Gothic" w:hAnsi="Century Gothic"/>
          <w:b/>
          <w:w w:val="110"/>
        </w:rPr>
        <w:t>≥ </w:t>
      </w:r>
      <w:r>
        <w:rPr>
          <w:w w:val="110"/>
        </w:rPr>
        <w:t>Education</w:t>
      </w:r>
    </w:p>
    <w:p>
      <w:pPr>
        <w:pStyle w:val="BodyText"/>
        <w:spacing w:before="60"/>
        <w:ind w:left="817" w:right="464"/>
      </w:pPr>
      <w:r>
        <w:rPr>
          <w:rFonts w:ascii="Century Gothic" w:hAnsi="Century Gothic"/>
          <w:b/>
          <w:w w:val="110"/>
        </w:rPr>
        <w:t>≥ </w:t>
      </w:r>
      <w:r>
        <w:rPr>
          <w:w w:val="110"/>
        </w:rPr>
        <w:t>Assessment</w:t>
      </w:r>
    </w:p>
    <w:p>
      <w:pPr>
        <w:pStyle w:val="BodyText"/>
        <w:spacing w:before="60"/>
        <w:ind w:left="817" w:right="464"/>
      </w:pPr>
      <w:r>
        <w:rPr>
          <w:rFonts w:ascii="Century Gothic" w:hAnsi="Century Gothic"/>
          <w:b/>
          <w:w w:val="105"/>
        </w:rPr>
        <w:t>≥ </w:t>
      </w:r>
      <w:r>
        <w:rPr>
          <w:w w:val="105"/>
        </w:rPr>
        <w:t>Bachelor (Honours)</w:t>
      </w:r>
    </w:p>
    <w:p>
      <w:pPr>
        <w:pStyle w:val="BodyText"/>
        <w:spacing w:line="244" w:lineRule="auto" w:before="60"/>
        <w:ind w:left="1044" w:right="464" w:hanging="227"/>
      </w:pPr>
      <w:r>
        <w:rPr>
          <w:rFonts w:ascii="Century Gothic" w:hAnsi="Century Gothic"/>
          <w:b/>
          <w:w w:val="115"/>
        </w:rPr>
        <w:t>≥ </w:t>
      </w:r>
      <w:r>
        <w:rPr>
          <w:w w:val="105"/>
        </w:rPr>
        <w:t>Student Experience and Engagement</w:t>
      </w:r>
    </w:p>
    <w:p>
      <w:pPr>
        <w:pStyle w:val="BodyText"/>
        <w:spacing w:line="244" w:lineRule="auto" w:before="58"/>
        <w:ind w:left="817" w:right="464" w:hanging="227"/>
      </w:pPr>
      <w:r>
        <w:rPr>
          <w:rFonts w:ascii="Century Gothic" w:hAnsi="Century Gothic"/>
          <w:b/>
          <w:w w:val="115"/>
        </w:rPr>
        <w:t>≥ </w:t>
      </w:r>
      <w:r>
        <w:rPr>
          <w:w w:val="105"/>
        </w:rPr>
        <w:t>Academic Planning and Courses </w:t>
      </w:r>
      <w:r>
        <w:rPr/>
        <w:t>Approvals Curriculum Quality (2)</w:t>
      </w:r>
    </w:p>
    <w:p>
      <w:pPr>
        <w:pStyle w:val="BodyText"/>
        <w:spacing w:before="58"/>
        <w:ind w:left="590" w:right="464"/>
      </w:pPr>
      <w:r>
        <w:rPr>
          <w:rFonts w:ascii="Century Gothic" w:hAnsi="Century Gothic"/>
          <w:b/>
          <w:w w:val="110"/>
        </w:rPr>
        <w:t>≥ </w:t>
      </w:r>
      <w:r>
        <w:rPr>
          <w:w w:val="110"/>
        </w:rPr>
        <w:t>Research</w:t>
      </w:r>
    </w:p>
    <w:p>
      <w:pPr>
        <w:pStyle w:val="BodyText"/>
        <w:spacing w:before="60"/>
        <w:ind w:left="590" w:right="464"/>
      </w:pPr>
      <w:r>
        <w:rPr>
          <w:rFonts w:ascii="Century Gothic" w:hAnsi="Century Gothic"/>
          <w:b/>
          <w:w w:val="105"/>
        </w:rPr>
        <w:t>≥ </w:t>
      </w:r>
      <w:r>
        <w:rPr>
          <w:w w:val="105"/>
        </w:rPr>
        <w:t>Research Studies</w:t>
      </w:r>
    </w:p>
    <w:p>
      <w:pPr>
        <w:pStyle w:val="BodyText"/>
        <w:spacing w:before="60"/>
        <w:ind w:left="817" w:right="464"/>
      </w:pPr>
      <w:r>
        <w:rPr>
          <w:rFonts w:ascii="Century Gothic" w:hAnsi="Century Gothic"/>
          <w:b/>
          <w:w w:val="110"/>
        </w:rPr>
        <w:t>≥ </w:t>
      </w:r>
      <w:r>
        <w:rPr>
          <w:w w:val="110"/>
        </w:rPr>
        <w:t>Executive</w:t>
      </w:r>
    </w:p>
    <w:p>
      <w:pPr>
        <w:pStyle w:val="BodyText"/>
        <w:spacing w:line="244" w:lineRule="auto" w:before="60"/>
        <w:ind w:left="817" w:right="464" w:hanging="227"/>
      </w:pPr>
      <w:r>
        <w:rPr>
          <w:rFonts w:ascii="Century Gothic" w:hAnsi="Century Gothic"/>
          <w:b/>
          <w:w w:val="115"/>
        </w:rPr>
        <w:t>≥ </w:t>
      </w:r>
      <w:r>
        <w:rPr>
          <w:w w:val="105"/>
        </w:rPr>
        <w:t>Senate Academic Appeals and Integrity</w:t>
      </w:r>
    </w:p>
    <w:p>
      <w:pPr>
        <w:pStyle w:val="BodyText"/>
        <w:spacing w:line="244" w:lineRule="auto" w:before="58"/>
        <w:ind w:left="817" w:right="1241" w:hanging="227"/>
      </w:pPr>
      <w:r>
        <w:rPr>
          <w:rFonts w:ascii="Century Gothic" w:hAnsi="Century Gothic"/>
          <w:b/>
          <w:w w:val="115"/>
        </w:rPr>
        <w:t>≥ </w:t>
      </w:r>
      <w:r>
        <w:rPr>
          <w:w w:val="105"/>
        </w:rPr>
        <w:t>School/Badanami Academic </w:t>
      </w:r>
      <w:r>
        <w:rPr/>
        <w:t>Committees Executive</w:t>
      </w:r>
    </w:p>
    <w:p>
      <w:pPr>
        <w:pStyle w:val="BodyText"/>
        <w:spacing w:before="58"/>
        <w:ind w:left="590" w:right="464"/>
      </w:pPr>
      <w:r>
        <w:rPr>
          <w:rFonts w:ascii="Century Gothic" w:hAnsi="Century Gothic"/>
          <w:b/>
          <w:w w:val="115"/>
        </w:rPr>
        <w:t>≥ </w:t>
      </w:r>
      <w:r>
        <w:rPr>
          <w:w w:val="105"/>
        </w:rPr>
        <w:t>School Research and Higher Degrees</w:t>
      </w:r>
    </w:p>
    <w:p>
      <w:pPr>
        <w:spacing w:after="0"/>
        <w:sectPr>
          <w:type w:val="continuous"/>
          <w:pgSz w:w="16840" w:h="11910" w:orient="landscape"/>
          <w:pgMar w:top="1580" w:bottom="280" w:left="780" w:right="800"/>
          <w:cols w:num="5" w:equalWidth="0">
            <w:col w:w="3014" w:space="185"/>
            <w:col w:w="2773" w:space="40"/>
            <w:col w:w="1643" w:space="104"/>
            <w:col w:w="3141" w:space="319"/>
            <w:col w:w="4041"/>
          </w:cols>
        </w:sectPr>
      </w:pPr>
    </w:p>
    <w:p>
      <w:pPr>
        <w:rPr>
          <w:sz w:val="2"/>
          <w:szCs w:val="2"/>
        </w:rPr>
      </w:pPr>
      <w:r>
        <w:rPr/>
        <w:pict>
          <v:group style="position:absolute;margin-left:45.354pt;margin-top:34.015999pt;width:751.2pt;height:529.65pt;mso-position-horizontal-relative:page;mso-position-vertical-relative:page;z-index:-331528" coordorigin="907,680" coordsize="15024,10593">
            <v:shape style="position:absolute;left:907;top:680;width:15024;height:10593" coordorigin="907,680" coordsize="15024,10593" path="m15931,680l907,680,907,728,907,11273,15931,11273,15931,728,15931,680e" filled="true" fillcolor="#e6e7e8" stroked="false">
              <v:path arrowok="t"/>
              <v:fill type="solid"/>
            </v:shape>
            <v:rect style="position:absolute;left:6333;top:3337;width:4171;height:784" filled="true" fillcolor="#939598" stroked="false">
              <v:fill type="solid"/>
            </v:rect>
            <v:shape style="position:absolute;left:4773;top:-3793;width:5296;height:14561" coordorigin="4773,-3793" coordsize="5296,14561" path="m1139,4773l1139,6808,4058,6808,4058,4773,1139,4773xm12357,5854l12357,10069,15689,10069,15689,5854,12357,5854xm12357,4773l12357,5567,15699,5567,15699,4773,12357,4773xe" filled="false" stroked="true" strokeweight=".5pt" strokecolor="#939598">
              <v:path arrowok="t"/>
            </v:shape>
            <v:line style="position:absolute" from="8414,4120" to="8414,4428" stroked="true" strokeweight=".5pt" strokecolor="#939598"/>
            <v:shape style="position:absolute;left:2603;top:4433;width:11420;height:351" coordorigin="2603,4433" coordsize="11420,351" path="m2603,4783l2603,4433,14023,4433,14023,4762e" filled="false" stroked="true" strokeweight=".5pt" strokecolor="#939598">
              <v:path arrowok="t"/>
            </v:shape>
            <v:shape style="position:absolute;left:4778;top:-198;width:5291;height:5445" coordorigin="4778,-198" coordsize="5291,5445" path="m6659,7153l6659,8417,8961,8417,8961,7153,6659,7153xm9267,7153l9267,10069,12104,10069,12104,7153,9267,7153xm7533,4778l7533,5562,11983,5562,11983,4778,7533,4778xm8602,5844l8602,6627,10914,6627,10914,5844,8602,5844xe" filled="false" stroked="true" strokeweight=".5pt" strokecolor="#939598">
              <v:path arrowok="t"/>
            </v:shape>
            <v:line style="position:absolute" from="9763,4778" to="9763,4433" stroked="true" strokeweight=".5pt" strokecolor="#939598"/>
            <v:line style="position:absolute" from="9763,5849" to="9763,5552" stroked="true" strokeweight=".5pt" strokecolor="#939598"/>
            <v:line style="position:absolute" from="14018,5849" to="14018,5552" stroked="true" strokeweight=".5pt" strokecolor="#939598"/>
            <v:line style="position:absolute" from="9763,6924" to="9763,6627" stroked="true" strokeweight=".5pt" strokecolor="#939598"/>
            <v:shape style="position:absolute;left:7815;top:6934;width:2920;height:214" coordorigin="7815,6934" coordsize="2920,214" path="m7815,7148l7815,6934,10734,6934,10734,7148e" filled="false" stroked="true" strokeweight=".5pt" strokecolor="#939598">
              <v:path arrowok="t"/>
            </v:shape>
            <v:shape style="position:absolute;left:4783;top:5012;width:1850;height:2467" coordorigin="4783,5012" coordsize="1850,2467" path="m4427,4783l4427,5557,6893,5557,6893,4783,4427,4783xm4432,5839l4432,6632,6888,6632,6888,5839,4432,5839xe" filled="false" stroked="true" strokeweight=".5pt" strokecolor="#939598">
              <v:path arrowok="t"/>
            </v:shape>
            <v:shape style="position:absolute;left:6883;top:4433;width:266;height:1803" coordorigin="6883,4433" coordsize="266,1803" path="m7148,4433l7148,6236,6883,6236e" filled="false" stroked="true" strokeweight=".5pt" strokecolor="#939598">
              <v:path arrowok="t"/>
            </v:shape>
            <v:line style="position:absolute" from="6893,5170" to="7153,5170" stroked="true" strokeweight=".5pt" strokecolor="#939598"/>
            <w10:wrap type="none"/>
          </v:group>
        </w:pict>
      </w:r>
      <w:r>
        <w:rPr/>
        <w:pict>
          <v:shape style="position:absolute;margin-left:806.170227pt;margin-top:479.685303pt;width:8.5pt;height:71.25pt;mso-position-horizontal-relative:page;mso-position-vertical-relative:page;z-index:3160" type="#_x0000_t202" filled="false" stroked="false">
            <v:textbox inset="0,0,0,0" style="layout-flow:vertical">
              <w:txbxContent>
                <w:p>
                  <w:pPr>
                    <w:spacing w:line="153" w:lineRule="exact" w:before="0"/>
                    <w:ind w:left="20" w:right="-403" w:firstLine="0"/>
                    <w:jc w:val="left"/>
                    <w:rPr>
                      <w:sz w:val="13"/>
                    </w:rPr>
                  </w:pPr>
                  <w:r>
                    <w:rPr>
                      <w:spacing w:val="6"/>
                      <w:w w:val="112"/>
                      <w:sz w:val="13"/>
                    </w:rPr>
                    <w:t>A</w:t>
                  </w:r>
                  <w:r>
                    <w:rPr>
                      <w:spacing w:val="7"/>
                      <w:w w:val="101"/>
                      <w:sz w:val="13"/>
                    </w:rPr>
                    <w:t>NN</w:t>
                  </w:r>
                  <w:r>
                    <w:rPr>
                      <w:spacing w:val="3"/>
                      <w:w w:val="105"/>
                      <w:sz w:val="13"/>
                    </w:rPr>
                    <w:t>U</w:t>
                  </w:r>
                  <w:r>
                    <w:rPr>
                      <w:spacing w:val="6"/>
                      <w:w w:val="105"/>
                      <w:sz w:val="13"/>
                    </w:rPr>
                    <w:t>A</w:t>
                  </w:r>
                  <w:r>
                    <w:rPr>
                      <w:w w:val="103"/>
                      <w:sz w:val="13"/>
                    </w:rPr>
                    <w:t>L</w:t>
                  </w:r>
                  <w:r>
                    <w:rPr>
                      <w:spacing w:val="-4"/>
                      <w:sz w:val="13"/>
                    </w:rPr>
                    <w:t> </w:t>
                  </w:r>
                  <w:r>
                    <w:rPr>
                      <w:spacing w:val="7"/>
                      <w:w w:val="99"/>
                      <w:sz w:val="13"/>
                    </w:rPr>
                    <w:t>R</w:t>
                  </w:r>
                  <w:r>
                    <w:rPr>
                      <w:spacing w:val="5"/>
                      <w:w w:val="100"/>
                      <w:sz w:val="13"/>
                    </w:rPr>
                    <w:t>E</w:t>
                  </w:r>
                  <w:r>
                    <w:rPr>
                      <w:spacing w:val="7"/>
                      <w:w w:val="104"/>
                      <w:sz w:val="13"/>
                    </w:rPr>
                    <w:t>P</w:t>
                  </w:r>
                  <w:r>
                    <w:rPr>
                      <w:spacing w:val="7"/>
                      <w:w w:val="100"/>
                      <w:sz w:val="13"/>
                    </w:rPr>
                    <w:t>O</w:t>
                  </w:r>
                  <w:r>
                    <w:rPr>
                      <w:spacing w:val="4"/>
                      <w:w w:val="99"/>
                      <w:sz w:val="13"/>
                    </w:rPr>
                    <w:t>R</w:t>
                  </w:r>
                  <w:r>
                    <w:rPr>
                      <w:w w:val="92"/>
                      <w:sz w:val="13"/>
                    </w:rPr>
                    <w:t>T</w:t>
                  </w:r>
                  <w:r>
                    <w:rPr>
                      <w:spacing w:val="-4"/>
                      <w:sz w:val="13"/>
                    </w:rPr>
                    <w:t> </w:t>
                  </w:r>
                  <w:r>
                    <w:rPr>
                      <w:spacing w:val="6"/>
                      <w:w w:val="93"/>
                      <w:sz w:val="13"/>
                    </w:rPr>
                    <w:t>2</w:t>
                  </w:r>
                  <w:r>
                    <w:rPr>
                      <w:spacing w:val="5"/>
                      <w:w w:val="111"/>
                      <w:sz w:val="13"/>
                    </w:rPr>
                    <w:t>0</w:t>
                  </w:r>
                  <w:r>
                    <w:rPr>
                      <w:spacing w:val="6"/>
                      <w:w w:val="54"/>
                      <w:sz w:val="13"/>
                    </w:rPr>
                    <w:t>1</w:t>
                  </w:r>
                  <w:r>
                    <w:rPr>
                      <w:w w:val="95"/>
                      <w:sz w:val="13"/>
                    </w:rPr>
                    <w:t>5</w:t>
                  </w:r>
                </w:p>
              </w:txbxContent>
            </v:textbox>
            <w10:wrap type="none"/>
          </v:shape>
        </w:pict>
      </w:r>
      <w:r>
        <w:rPr/>
        <w:pict>
          <v:shape style="position:absolute;margin-left:26.170204pt;margin-top:44.354301pt;width:8.5pt;height:66.1pt;mso-position-horizontal-relative:page;mso-position-vertical-relative:page;z-index:3184" type="#_x0000_t202" filled="false" stroked="false">
            <v:textbox inset="0,0,0,0" style="layout-flow:vertical">
              <w:txbxContent>
                <w:p>
                  <w:pPr>
                    <w:spacing w:line="153" w:lineRule="exact" w:before="0"/>
                    <w:ind w:left="20" w:right="-1143" w:firstLine="0"/>
                    <w:jc w:val="left"/>
                    <w:rPr>
                      <w:sz w:val="13"/>
                    </w:rPr>
                  </w:pPr>
                  <w:r>
                    <w:rPr>
                      <w:w w:val="101"/>
                      <w:sz w:val="13"/>
                    </w:rPr>
                    <w:t>w</w:t>
                  </w:r>
                  <w:r>
                    <w:rPr>
                      <w:spacing w:val="3"/>
                      <w:w w:val="95"/>
                      <w:sz w:val="13"/>
                    </w:rPr>
                    <w:t>e</w:t>
                  </w:r>
                  <w:r>
                    <w:rPr>
                      <w:spacing w:val="3"/>
                      <w:w w:val="95"/>
                      <w:sz w:val="13"/>
                    </w:rPr>
                    <w:t>s</w:t>
                  </w:r>
                  <w:r>
                    <w:rPr>
                      <w:w w:val="102"/>
                      <w:sz w:val="13"/>
                    </w:rPr>
                    <w:t>t</w:t>
                  </w:r>
                  <w:r>
                    <w:rPr>
                      <w:spacing w:val="3"/>
                      <w:w w:val="95"/>
                      <w:sz w:val="13"/>
                    </w:rPr>
                    <w:t>e</w:t>
                  </w:r>
                  <w:r>
                    <w:rPr>
                      <w:spacing w:val="2"/>
                      <w:w w:val="95"/>
                      <w:sz w:val="13"/>
                    </w:rPr>
                    <w:t>r</w:t>
                  </w:r>
                  <w:r>
                    <w:rPr>
                      <w:spacing w:val="3"/>
                      <w:w w:val="95"/>
                      <w:sz w:val="13"/>
                    </w:rPr>
                    <w:t>n</w:t>
                  </w:r>
                  <w:r>
                    <w:rPr>
                      <w:spacing w:val="3"/>
                      <w:w w:val="98"/>
                      <w:sz w:val="13"/>
                    </w:rPr>
                    <w:t>s</w:t>
                  </w:r>
                  <w:r>
                    <w:rPr>
                      <w:w w:val="98"/>
                      <w:sz w:val="13"/>
                    </w:rPr>
                    <w:t>y</w:t>
                  </w:r>
                  <w:r>
                    <w:rPr>
                      <w:spacing w:val="2"/>
                      <w:w w:val="102"/>
                      <w:sz w:val="13"/>
                    </w:rPr>
                    <w:t>d</w:t>
                  </w:r>
                  <w:r>
                    <w:rPr>
                      <w:spacing w:val="3"/>
                      <w:w w:val="95"/>
                      <w:sz w:val="13"/>
                    </w:rPr>
                    <w:t>n</w:t>
                  </w:r>
                  <w:r>
                    <w:rPr>
                      <w:w w:val="95"/>
                      <w:sz w:val="13"/>
                    </w:rPr>
                    <w:t>e</w:t>
                  </w:r>
                  <w:r>
                    <w:rPr>
                      <w:spacing w:val="-3"/>
                      <w:w w:val="101"/>
                      <w:sz w:val="13"/>
                    </w:rPr>
                    <w:t>y</w:t>
                  </w:r>
                  <w:r>
                    <w:rPr>
                      <w:spacing w:val="2"/>
                      <w:w w:val="68"/>
                      <w:sz w:val="13"/>
                    </w:rPr>
                    <w:t>.</w:t>
                  </w:r>
                  <w:r>
                    <w:rPr>
                      <w:spacing w:val="3"/>
                      <w:w w:val="95"/>
                      <w:sz w:val="13"/>
                    </w:rPr>
                    <w:t>e</w:t>
                  </w:r>
                  <w:r>
                    <w:rPr>
                      <w:spacing w:val="2"/>
                      <w:w w:val="102"/>
                      <w:sz w:val="13"/>
                    </w:rPr>
                    <w:t>d</w:t>
                  </w:r>
                  <w:r>
                    <w:rPr>
                      <w:spacing w:val="3"/>
                      <w:w w:val="95"/>
                      <w:sz w:val="13"/>
                    </w:rPr>
                    <w:t>u</w:t>
                  </w:r>
                  <w:r>
                    <w:rPr>
                      <w:spacing w:val="4"/>
                      <w:w w:val="68"/>
                      <w:sz w:val="13"/>
                    </w:rPr>
                    <w:t>.</w:t>
                  </w:r>
                  <w:r>
                    <w:rPr>
                      <w:spacing w:val="3"/>
                      <w:w w:val="95"/>
                      <w:sz w:val="13"/>
                    </w:rPr>
                    <w:t>au</w:t>
                  </w:r>
                </w:p>
              </w:txbxContent>
            </v:textbox>
            <w10:wrap type="none"/>
          </v:shape>
        </w:pict>
      </w:r>
      <w:r>
        <w:rPr/>
        <w:pict>
          <v:shape style="position:absolute;margin-left:26.170204pt;margin-top:540.797729pt;width:8.5pt;height:10.25pt;mso-position-horizontal-relative:page;mso-position-vertical-relative:page;z-index:3208" type="#_x0000_t202" filled="false" stroked="false">
            <v:textbox inset="0,0,0,0" style="layout-flow:vertical">
              <w:txbxContent>
                <w:p>
                  <w:pPr>
                    <w:spacing w:line="153" w:lineRule="exact" w:before="0"/>
                    <w:ind w:left="20" w:right="-34" w:firstLine="0"/>
                    <w:jc w:val="left"/>
                    <w:rPr>
                      <w:sz w:val="13"/>
                    </w:rPr>
                  </w:pPr>
                  <w:r>
                    <w:rPr>
                      <w:spacing w:val="4"/>
                      <w:w w:val="54"/>
                      <w:sz w:val="13"/>
                    </w:rPr>
                    <w:t>1</w:t>
                  </w:r>
                  <w:r>
                    <w:rPr>
                      <w:spacing w:val="2"/>
                      <w:w w:val="82"/>
                      <w:sz w:val="13"/>
                    </w:rPr>
                    <w:t>01</w:t>
                  </w:r>
                </w:p>
              </w:txbxContent>
            </v:textbox>
            <w10:wrap type="none"/>
          </v:shape>
        </w:pict>
      </w:r>
    </w:p>
    <w:p>
      <w:pPr>
        <w:spacing w:after="0"/>
        <w:rPr>
          <w:sz w:val="2"/>
          <w:szCs w:val="2"/>
        </w:rPr>
        <w:sectPr>
          <w:type w:val="continuous"/>
          <w:pgSz w:w="16840" w:h="11910" w:orient="landscape"/>
          <w:pgMar w:top="1580" w:bottom="280" w:left="780" w:right="800"/>
        </w:sectPr>
      </w:pPr>
    </w:p>
    <w:p>
      <w:pPr>
        <w:pStyle w:val="BodyText"/>
        <w:rPr>
          <w:sz w:val="20"/>
        </w:rPr>
      </w:pPr>
    </w:p>
    <w:p>
      <w:pPr>
        <w:pStyle w:val="BodyText"/>
        <w:rPr>
          <w:sz w:val="20"/>
        </w:rPr>
      </w:pPr>
    </w:p>
    <w:p>
      <w:pPr>
        <w:pStyle w:val="BodyText"/>
        <w:spacing w:before="11"/>
        <w:rPr>
          <w:sz w:val="26"/>
        </w:rPr>
      </w:pPr>
    </w:p>
    <w:p>
      <w:pPr>
        <w:pStyle w:val="Heading1"/>
        <w:ind w:left="353" w:right="0"/>
      </w:pPr>
      <w:r>
        <w:rPr>
          <w:w w:val="95"/>
        </w:rPr>
        <w:t>APPENDIX 13</w:t>
      </w:r>
    </w:p>
    <w:p>
      <w:pPr>
        <w:pStyle w:val="BodyText"/>
        <w:spacing w:before="5"/>
        <w:rPr>
          <w:rFonts w:ascii="Gotham Narrow Bold"/>
          <w:b/>
          <w:sz w:val="23"/>
        </w:rPr>
      </w:pPr>
    </w:p>
    <w:p>
      <w:pPr>
        <w:pStyle w:val="Heading5"/>
        <w:spacing w:before="58"/>
        <w:ind w:left="353"/>
      </w:pPr>
      <w:r>
        <w:rPr>
          <w:w w:val="95"/>
        </w:rPr>
        <w:t>WESTERN SYDNEY UNIVERSITY ORGANISATION STRUCTURE</w:t>
      </w:r>
    </w:p>
    <w:p>
      <w:pPr>
        <w:spacing w:before="54"/>
        <w:ind w:left="362" w:right="0" w:firstLine="0"/>
        <w:jc w:val="left"/>
        <w:rPr>
          <w:sz w:val="18"/>
        </w:rPr>
      </w:pPr>
      <w:r>
        <w:rPr>
          <w:w w:val="95"/>
          <w:sz w:val="18"/>
        </w:rPr>
        <w:t>May 2015</w:t>
      </w:r>
    </w:p>
    <w:p>
      <w:pPr>
        <w:pStyle w:val="BodyText"/>
        <w:spacing w:before="4"/>
        <w:rPr>
          <w:sz w:val="19"/>
        </w:rPr>
      </w:pPr>
      <w:r>
        <w:rPr/>
        <w:pict>
          <v:shape style="position:absolute;margin-left:356.143005pt;margin-top:12.910012pt;width:129.85pt;height:21.2pt;mso-position-horizontal-relative:page;mso-position-vertical-relative:paragraph;z-index:3232;mso-wrap-distance-left:0;mso-wrap-distance-right:0" type="#_x0000_t202" filled="true" fillcolor="#939598" stroked="false">
            <v:textbox inset="0,0,0,0">
              <w:txbxContent>
                <w:p>
                  <w:pPr>
                    <w:spacing w:before="90"/>
                    <w:ind w:left="218" w:right="0" w:firstLine="0"/>
                    <w:jc w:val="left"/>
                    <w:rPr>
                      <w:rFonts w:ascii="Gotham Narrow Bold"/>
                      <w:b/>
                      <w:sz w:val="22"/>
                    </w:rPr>
                  </w:pPr>
                  <w:r>
                    <w:rPr>
                      <w:rFonts w:ascii="Gotham Narrow Bold"/>
                      <w:b/>
                      <w:color w:val="FFFFFF"/>
                      <w:w w:val="95"/>
                      <w:sz w:val="22"/>
                    </w:rPr>
                    <w:t>BOARD OF TRUSTEES</w:t>
                  </w:r>
                </w:p>
              </w:txbxContent>
            </v:textbox>
            <v:fill type="solid"/>
            <w10:wrap type="topAndBottom"/>
          </v:shape>
        </w:pict>
      </w:r>
    </w:p>
    <w:p>
      <w:pPr>
        <w:pStyle w:val="BodyText"/>
        <w:spacing w:before="4"/>
        <w:rPr>
          <w:sz w:val="12"/>
        </w:rPr>
      </w:pPr>
    </w:p>
    <w:p>
      <w:pPr>
        <w:pStyle w:val="Heading8"/>
        <w:spacing w:line="256" w:lineRule="auto" w:before="78"/>
        <w:ind w:left="6424" w:right="6403"/>
        <w:jc w:val="center"/>
      </w:pPr>
      <w:r>
        <w:rPr/>
        <w:t>Vice-Chancellor and President Professor Barney Glover</w:t>
      </w:r>
    </w:p>
    <w:p>
      <w:pPr>
        <w:pStyle w:val="BodyText"/>
        <w:rPr>
          <w:rFonts w:ascii="Gotham Narrow Bold"/>
          <w:b/>
          <w:sz w:val="20"/>
        </w:rPr>
      </w:pPr>
    </w:p>
    <w:p>
      <w:pPr>
        <w:pStyle w:val="BodyText"/>
        <w:spacing w:before="7"/>
        <w:rPr>
          <w:rFonts w:ascii="Gotham Narrow Bold"/>
          <w:b/>
          <w:sz w:val="22"/>
        </w:rPr>
      </w:pPr>
    </w:p>
    <w:p>
      <w:pPr>
        <w:spacing w:after="0"/>
        <w:rPr>
          <w:rFonts w:ascii="Gotham Narrow Bold"/>
          <w:sz w:val="22"/>
        </w:rPr>
        <w:sectPr>
          <w:headerReference w:type="even" r:id="rId74"/>
          <w:footerReference w:type="even" r:id="rId75"/>
          <w:pgSz w:w="16840" w:h="11910" w:orient="landscape"/>
          <w:pgMar w:header="0" w:footer="0" w:top="0" w:bottom="280" w:left="780" w:right="800"/>
        </w:sectPr>
      </w:pPr>
    </w:p>
    <w:p>
      <w:pPr>
        <w:pStyle w:val="BodyText"/>
        <w:rPr>
          <w:rFonts w:ascii="Gotham Narrow Bold"/>
          <w:b/>
          <w:sz w:val="12"/>
        </w:rPr>
      </w:pPr>
    </w:p>
    <w:p>
      <w:pPr>
        <w:spacing w:line="278" w:lineRule="auto" w:before="0"/>
        <w:ind w:left="512" w:right="-11" w:firstLine="233"/>
        <w:jc w:val="left"/>
        <w:rPr>
          <w:rFonts w:ascii="Gotham Narrow Bold"/>
          <w:b/>
          <w:sz w:val="14"/>
        </w:rPr>
      </w:pPr>
      <w:r>
        <w:rPr>
          <w:rFonts w:ascii="Gotham Narrow Bold"/>
          <w:b/>
          <w:sz w:val="14"/>
        </w:rPr>
        <w:t>Deputy Vice-Chancellor </w:t>
      </w:r>
      <w:r>
        <w:rPr>
          <w:rFonts w:ascii="Gotham Narrow Bold"/>
          <w:b/>
          <w:w w:val="95"/>
          <w:sz w:val="14"/>
        </w:rPr>
        <w:t>and Vice-President (Academic)</w:t>
      </w:r>
    </w:p>
    <w:p>
      <w:pPr>
        <w:spacing w:before="0"/>
        <w:ind w:left="599" w:right="-11" w:firstLine="0"/>
        <w:jc w:val="left"/>
        <w:rPr>
          <w:rFonts w:ascii="Gotham Narrow Bold"/>
          <w:b/>
          <w:sz w:val="14"/>
        </w:rPr>
      </w:pPr>
      <w:r>
        <w:rPr>
          <w:rFonts w:ascii="Gotham Narrow Bold"/>
          <w:b/>
          <w:w w:val="95"/>
          <w:sz w:val="14"/>
        </w:rPr>
        <w:t>Professor Denise Kirkpatrick</w:t>
      </w:r>
    </w:p>
    <w:p>
      <w:pPr>
        <w:spacing w:line="242" w:lineRule="auto" w:before="84"/>
        <w:ind w:left="683" w:right="168" w:firstLine="0"/>
        <w:jc w:val="center"/>
        <w:rPr>
          <w:rFonts w:ascii="Gotham Narrow Bold"/>
          <w:b/>
          <w:sz w:val="14"/>
        </w:rPr>
      </w:pPr>
      <w:r>
        <w:rPr/>
        <w:br w:type="column"/>
      </w:r>
      <w:r>
        <w:rPr>
          <w:rFonts w:ascii="Gotham Narrow Bold"/>
          <w:b/>
          <w:w w:val="95"/>
          <w:sz w:val="14"/>
        </w:rPr>
        <w:t>Deputy Vice-Chancellor and Vice-President</w:t>
      </w:r>
    </w:p>
    <w:p>
      <w:pPr>
        <w:spacing w:line="242" w:lineRule="auto" w:before="0"/>
        <w:ind w:left="512" w:right="0" w:firstLine="0"/>
        <w:jc w:val="center"/>
        <w:rPr>
          <w:rFonts w:ascii="Gotham Narrow Bold"/>
          <w:b/>
          <w:sz w:val="14"/>
        </w:rPr>
      </w:pPr>
      <w:r>
        <w:rPr>
          <w:rFonts w:ascii="Gotham Narrow Bold"/>
          <w:b/>
          <w:w w:val="95"/>
          <w:sz w:val="14"/>
        </w:rPr>
        <w:t>(Research and Development) Professor Scott Holmes</w:t>
      </w:r>
    </w:p>
    <w:p>
      <w:pPr>
        <w:spacing w:before="76"/>
        <w:ind w:left="755" w:right="-17" w:firstLine="90"/>
        <w:jc w:val="left"/>
        <w:rPr>
          <w:sz w:val="14"/>
        </w:rPr>
      </w:pPr>
      <w:r>
        <w:rPr/>
        <w:br w:type="column"/>
      </w:r>
      <w:r>
        <w:rPr>
          <w:sz w:val="14"/>
        </w:rPr>
        <w:t>School of Business</w:t>
      </w:r>
    </w:p>
    <w:p>
      <w:pPr>
        <w:pStyle w:val="BodyText"/>
        <w:rPr>
          <w:sz w:val="14"/>
        </w:rPr>
      </w:pPr>
    </w:p>
    <w:p>
      <w:pPr>
        <w:pStyle w:val="BodyText"/>
        <w:rPr>
          <w:sz w:val="14"/>
        </w:rPr>
      </w:pPr>
    </w:p>
    <w:p>
      <w:pPr>
        <w:pStyle w:val="BodyText"/>
        <w:rPr>
          <w:sz w:val="14"/>
        </w:rPr>
      </w:pPr>
    </w:p>
    <w:p>
      <w:pPr>
        <w:spacing w:line="164" w:lineRule="exact" w:before="101"/>
        <w:ind w:left="512" w:right="-17" w:firstLine="242"/>
        <w:jc w:val="left"/>
        <w:rPr>
          <w:sz w:val="14"/>
        </w:rPr>
      </w:pPr>
      <w:r>
        <w:rPr>
          <w:sz w:val="14"/>
        </w:rPr>
        <w:t>School of Computing, Engineering</w:t>
      </w:r>
      <w:r>
        <w:rPr>
          <w:spacing w:val="-21"/>
          <w:sz w:val="14"/>
        </w:rPr>
        <w:t> </w:t>
      </w:r>
      <w:r>
        <w:rPr>
          <w:sz w:val="14"/>
        </w:rPr>
        <w:t>and</w:t>
      </w:r>
      <w:r>
        <w:rPr>
          <w:spacing w:val="-21"/>
          <w:sz w:val="14"/>
        </w:rPr>
        <w:t> </w:t>
      </w:r>
      <w:r>
        <w:rPr>
          <w:sz w:val="14"/>
        </w:rPr>
        <w:t>Mathematics</w:t>
      </w:r>
    </w:p>
    <w:p>
      <w:pPr>
        <w:pStyle w:val="BodyText"/>
        <w:spacing w:before="11"/>
        <w:rPr>
          <w:sz w:val="11"/>
        </w:rPr>
      </w:pPr>
      <w:r>
        <w:rPr/>
        <w:br w:type="column"/>
      </w:r>
      <w:r>
        <w:rPr>
          <w:sz w:val="11"/>
        </w:rPr>
      </w:r>
    </w:p>
    <w:p>
      <w:pPr>
        <w:spacing w:line="278" w:lineRule="auto" w:before="1"/>
        <w:ind w:left="512" w:right="-14" w:firstLine="308"/>
        <w:jc w:val="left"/>
        <w:rPr>
          <w:rFonts w:ascii="Gotham Narrow Bold"/>
          <w:b/>
          <w:sz w:val="14"/>
        </w:rPr>
      </w:pPr>
      <w:r>
        <w:rPr>
          <w:rFonts w:ascii="Gotham Narrow Bold"/>
          <w:b/>
          <w:sz w:val="14"/>
        </w:rPr>
        <w:t>Vice-President </w:t>
      </w:r>
      <w:r>
        <w:rPr>
          <w:rFonts w:ascii="Gotham Narrow Bold"/>
          <w:b/>
          <w:w w:val="95"/>
          <w:sz w:val="14"/>
        </w:rPr>
        <w:t>(Finance and Resources)</w:t>
      </w:r>
    </w:p>
    <w:p>
      <w:pPr>
        <w:spacing w:before="0"/>
        <w:ind w:left="709" w:right="-14" w:firstLine="0"/>
        <w:jc w:val="left"/>
        <w:rPr>
          <w:rFonts w:ascii="Gotham Narrow Bold"/>
          <w:b/>
          <w:sz w:val="14"/>
        </w:rPr>
      </w:pPr>
      <w:r>
        <w:rPr>
          <w:rFonts w:ascii="Gotham Narrow Bold"/>
          <w:b/>
          <w:w w:val="95"/>
          <w:sz w:val="14"/>
        </w:rPr>
        <w:t>Mr Peter Pickering</w:t>
      </w:r>
    </w:p>
    <w:p>
      <w:pPr>
        <w:pStyle w:val="BodyText"/>
        <w:rPr>
          <w:rFonts w:ascii="Gotham Narrow Bold"/>
          <w:b/>
          <w:sz w:val="12"/>
        </w:rPr>
      </w:pPr>
      <w:r>
        <w:rPr/>
        <w:br w:type="column"/>
      </w:r>
      <w:r>
        <w:rPr>
          <w:rFonts w:ascii="Gotham Narrow Bold"/>
          <w:b/>
          <w:sz w:val="12"/>
        </w:rPr>
      </w:r>
    </w:p>
    <w:p>
      <w:pPr>
        <w:spacing w:line="278" w:lineRule="auto" w:before="0"/>
        <w:ind w:left="512" w:right="607" w:firstLine="396"/>
        <w:jc w:val="left"/>
        <w:rPr>
          <w:rFonts w:ascii="Gotham Narrow Bold"/>
          <w:b/>
          <w:sz w:val="14"/>
        </w:rPr>
      </w:pPr>
      <w:r>
        <w:rPr>
          <w:rFonts w:ascii="Gotham Narrow Bold"/>
          <w:b/>
          <w:sz w:val="14"/>
        </w:rPr>
        <w:t>Vice-President </w:t>
      </w:r>
      <w:r>
        <w:rPr>
          <w:rFonts w:ascii="Gotham Narrow Bold"/>
          <w:b/>
          <w:w w:val="95"/>
          <w:sz w:val="14"/>
        </w:rPr>
        <w:t>(People and Advancement)</w:t>
      </w:r>
    </w:p>
    <w:p>
      <w:pPr>
        <w:spacing w:before="0"/>
        <w:ind w:left="807" w:right="607" w:firstLine="0"/>
        <w:jc w:val="left"/>
        <w:rPr>
          <w:rFonts w:ascii="Gotham Narrow Bold"/>
          <w:b/>
          <w:sz w:val="14"/>
        </w:rPr>
      </w:pPr>
      <w:r>
        <w:rPr>
          <w:rFonts w:ascii="Gotham Narrow Bold"/>
          <w:b/>
          <w:w w:val="95"/>
          <w:sz w:val="14"/>
        </w:rPr>
        <w:t>Mr Angelo Kourtis</w:t>
      </w:r>
    </w:p>
    <w:p>
      <w:pPr>
        <w:spacing w:after="0"/>
        <w:jc w:val="left"/>
        <w:rPr>
          <w:rFonts w:ascii="Gotham Narrow Bold"/>
          <w:sz w:val="14"/>
        </w:rPr>
        <w:sectPr>
          <w:type w:val="continuous"/>
          <w:pgSz w:w="16840" w:h="11910" w:orient="landscape"/>
          <w:pgMar w:top="1580" w:bottom="280" w:left="780" w:right="800"/>
          <w:cols w:num="5" w:equalWidth="0">
            <w:col w:w="2463" w:space="654"/>
            <w:col w:w="2338" w:space="780"/>
            <w:col w:w="2296" w:space="948"/>
            <w:col w:w="2051" w:space="891"/>
            <w:col w:w="2839"/>
          </w:cols>
        </w:sectPr>
      </w:pPr>
    </w:p>
    <w:p>
      <w:pPr>
        <w:pStyle w:val="BodyText"/>
        <w:spacing w:before="9"/>
        <w:rPr>
          <w:rFonts w:ascii="Gotham Narrow Bold"/>
          <w:b/>
          <w:sz w:val="12"/>
        </w:rPr>
      </w:pPr>
    </w:p>
    <w:p>
      <w:pPr>
        <w:spacing w:before="0"/>
        <w:ind w:left="816" w:right="-12" w:hanging="227"/>
        <w:jc w:val="left"/>
        <w:rPr>
          <w:sz w:val="14"/>
        </w:rPr>
      </w:pPr>
      <w:r>
        <w:rPr>
          <w:rFonts w:ascii="Century Gothic" w:hAnsi="Century Gothic"/>
          <w:b/>
          <w:w w:val="120"/>
          <w:sz w:val="14"/>
        </w:rPr>
        <w:t>≥ </w:t>
      </w:r>
      <w:r>
        <w:rPr>
          <w:w w:val="105"/>
          <w:sz w:val="14"/>
        </w:rPr>
        <w:t>Pro Vice-Chancellor (Education) </w:t>
      </w:r>
      <w:r>
        <w:rPr>
          <w:w w:val="98"/>
          <w:sz w:val="14"/>
        </w:rPr>
        <w:t>Disestablished </w:t>
      </w:r>
      <w:r>
        <w:rPr>
          <w:w w:val="99"/>
          <w:sz w:val="14"/>
        </w:rPr>
        <w:t>end </w:t>
      </w:r>
      <w:r>
        <w:rPr>
          <w:w w:val="89"/>
          <w:sz w:val="14"/>
        </w:rPr>
        <w:t>2015</w:t>
      </w:r>
    </w:p>
    <w:p>
      <w:pPr>
        <w:spacing w:before="57"/>
        <w:ind w:left="816" w:right="287" w:hanging="227"/>
        <w:jc w:val="left"/>
        <w:rPr>
          <w:sz w:val="14"/>
        </w:rPr>
      </w:pPr>
      <w:r>
        <w:rPr>
          <w:rFonts w:ascii="Century Gothic" w:hAnsi="Century Gothic"/>
          <w:b/>
          <w:w w:val="120"/>
          <w:sz w:val="14"/>
        </w:rPr>
        <w:t>≥ </w:t>
      </w:r>
      <w:r>
        <w:rPr>
          <w:w w:val="110"/>
          <w:sz w:val="14"/>
        </w:rPr>
        <w:t>Pro Vice-Chancellor (International)</w:t>
      </w:r>
    </w:p>
    <w:p>
      <w:pPr>
        <w:spacing w:before="57"/>
        <w:ind w:left="816" w:right="-12" w:hanging="227"/>
        <w:jc w:val="left"/>
        <w:rPr>
          <w:sz w:val="14"/>
        </w:rPr>
      </w:pPr>
      <w:r>
        <w:rPr>
          <w:rFonts w:ascii="Century Gothic" w:hAnsi="Century Gothic"/>
          <w:b/>
          <w:w w:val="120"/>
          <w:sz w:val="14"/>
        </w:rPr>
        <w:t>≥ </w:t>
      </w:r>
      <w:r>
        <w:rPr>
          <w:w w:val="105"/>
          <w:sz w:val="14"/>
        </w:rPr>
        <w:t>Pro Vice-Chancellor </w:t>
      </w:r>
      <w:r>
        <w:rPr>
          <w:sz w:val="14"/>
        </w:rPr>
        <w:t>(Aboriginal &amp; Torres </w:t>
      </w:r>
      <w:r>
        <w:rPr>
          <w:w w:val="105"/>
          <w:sz w:val="14"/>
        </w:rPr>
        <w:t>Strait Islander Leadership)</w:t>
      </w:r>
    </w:p>
    <w:p>
      <w:pPr>
        <w:spacing w:before="57"/>
        <w:ind w:left="816" w:right="287" w:hanging="227"/>
        <w:jc w:val="left"/>
        <w:rPr>
          <w:sz w:val="14"/>
        </w:rPr>
      </w:pPr>
      <w:r>
        <w:rPr>
          <w:rFonts w:ascii="Century Gothic" w:hAnsi="Century Gothic"/>
          <w:b/>
          <w:w w:val="120"/>
          <w:sz w:val="14"/>
        </w:rPr>
        <w:t>≥ </w:t>
      </w:r>
      <w:r>
        <w:rPr>
          <w:w w:val="110"/>
          <w:sz w:val="14"/>
        </w:rPr>
        <w:t>Pro Vice-Chancellor (Learning Transformations)</w:t>
      </w:r>
    </w:p>
    <w:p>
      <w:pPr>
        <w:spacing w:before="1"/>
        <w:ind w:left="816" w:right="-12" w:firstLine="0"/>
        <w:jc w:val="left"/>
        <w:rPr>
          <w:sz w:val="14"/>
        </w:rPr>
      </w:pPr>
      <w:r>
        <w:rPr>
          <w:spacing w:val="-8"/>
          <w:w w:val="93"/>
          <w:sz w:val="14"/>
        </w:rPr>
        <w:t>T</w:t>
      </w:r>
      <w:r>
        <w:rPr>
          <w:w w:val="102"/>
          <w:sz w:val="14"/>
        </w:rPr>
        <w:t>o</w:t>
      </w:r>
      <w:r>
        <w:rPr>
          <w:spacing w:val="-10"/>
          <w:sz w:val="14"/>
        </w:rPr>
        <w:t> </w:t>
      </w:r>
      <w:r>
        <w:rPr>
          <w:spacing w:val="3"/>
          <w:w w:val="103"/>
          <w:sz w:val="14"/>
        </w:rPr>
        <w:t>b</w:t>
      </w:r>
      <w:r>
        <w:rPr>
          <w:w w:val="97"/>
          <w:sz w:val="14"/>
        </w:rPr>
        <w:t>e</w:t>
      </w:r>
      <w:r>
        <w:rPr>
          <w:spacing w:val="-10"/>
          <w:sz w:val="14"/>
        </w:rPr>
        <w:t> </w:t>
      </w:r>
      <w:r>
        <w:rPr>
          <w:spacing w:val="2"/>
          <w:w w:val="96"/>
          <w:sz w:val="14"/>
        </w:rPr>
        <w:t>a</w:t>
      </w:r>
      <w:r>
        <w:rPr>
          <w:spacing w:val="2"/>
          <w:w w:val="103"/>
          <w:sz w:val="14"/>
        </w:rPr>
        <w:t>p</w:t>
      </w:r>
      <w:r>
        <w:rPr>
          <w:spacing w:val="3"/>
          <w:w w:val="103"/>
          <w:sz w:val="14"/>
        </w:rPr>
        <w:t>p</w:t>
      </w:r>
      <w:r>
        <w:rPr>
          <w:spacing w:val="2"/>
          <w:w w:val="102"/>
          <w:sz w:val="14"/>
        </w:rPr>
        <w:t>o</w:t>
      </w:r>
      <w:r>
        <w:rPr>
          <w:spacing w:val="1"/>
          <w:w w:val="97"/>
          <w:sz w:val="14"/>
        </w:rPr>
        <w:t>i</w:t>
      </w:r>
      <w:r>
        <w:rPr>
          <w:spacing w:val="1"/>
          <w:w w:val="96"/>
          <w:sz w:val="14"/>
        </w:rPr>
        <w:t>n</w:t>
      </w:r>
      <w:r>
        <w:rPr>
          <w:spacing w:val="-1"/>
          <w:w w:val="103"/>
          <w:sz w:val="14"/>
        </w:rPr>
        <w:t>t</w:t>
      </w:r>
      <w:r>
        <w:rPr>
          <w:spacing w:val="3"/>
          <w:w w:val="97"/>
          <w:sz w:val="14"/>
        </w:rPr>
        <w:t>e</w:t>
      </w:r>
      <w:r>
        <w:rPr>
          <w:w w:val="103"/>
          <w:sz w:val="14"/>
        </w:rPr>
        <w:t>d</w:t>
      </w:r>
      <w:r>
        <w:rPr>
          <w:spacing w:val="-10"/>
          <w:sz w:val="14"/>
        </w:rPr>
        <w:t> </w:t>
      </w:r>
      <w:r>
        <w:rPr>
          <w:w w:val="99"/>
          <w:sz w:val="14"/>
        </w:rPr>
        <w:t>f</w:t>
      </w:r>
      <w:r>
        <w:rPr>
          <w:spacing w:val="2"/>
          <w:w w:val="102"/>
          <w:sz w:val="14"/>
        </w:rPr>
        <w:t>o</w:t>
      </w:r>
      <w:r>
        <w:rPr>
          <w:w w:val="97"/>
          <w:sz w:val="14"/>
        </w:rPr>
        <w:t>r</w:t>
      </w:r>
      <w:r>
        <w:rPr>
          <w:spacing w:val="-10"/>
          <w:sz w:val="14"/>
        </w:rPr>
        <w:t> </w:t>
      </w:r>
      <w:r>
        <w:rPr>
          <w:spacing w:val="2"/>
          <w:w w:val="94"/>
          <w:sz w:val="14"/>
        </w:rPr>
        <w:t>2</w:t>
      </w:r>
      <w:r>
        <w:rPr>
          <w:spacing w:val="2"/>
          <w:w w:val="112"/>
          <w:sz w:val="14"/>
        </w:rPr>
        <w:t>0</w:t>
      </w:r>
      <w:r>
        <w:rPr>
          <w:spacing w:val="4"/>
          <w:w w:val="54"/>
          <w:sz w:val="14"/>
        </w:rPr>
        <w:t>1</w:t>
      </w:r>
      <w:r>
        <w:rPr>
          <w:w w:val="102"/>
          <w:sz w:val="14"/>
        </w:rPr>
        <w:t>6</w:t>
      </w:r>
    </w:p>
    <w:p>
      <w:pPr>
        <w:spacing w:before="57"/>
        <w:ind w:left="816" w:right="-12" w:hanging="227"/>
        <w:jc w:val="left"/>
        <w:rPr>
          <w:sz w:val="14"/>
        </w:rPr>
      </w:pPr>
      <w:r>
        <w:rPr>
          <w:rFonts w:ascii="Century Gothic" w:hAnsi="Century Gothic"/>
          <w:b/>
          <w:w w:val="120"/>
          <w:sz w:val="14"/>
        </w:rPr>
        <w:t>≥ </w:t>
      </w:r>
      <w:r>
        <w:rPr>
          <w:w w:val="105"/>
          <w:sz w:val="14"/>
        </w:rPr>
        <w:t>Pro Vice-Chancellor </w:t>
      </w:r>
      <w:r>
        <w:rPr>
          <w:sz w:val="14"/>
        </w:rPr>
        <w:t>(Digital Innovation and Learning Futures)</w:t>
      </w:r>
    </w:p>
    <w:p>
      <w:pPr>
        <w:spacing w:before="1"/>
        <w:ind w:left="816" w:right="-12" w:firstLine="0"/>
        <w:jc w:val="left"/>
        <w:rPr>
          <w:sz w:val="14"/>
        </w:rPr>
      </w:pPr>
      <w:r>
        <w:rPr>
          <w:spacing w:val="-8"/>
          <w:w w:val="93"/>
          <w:sz w:val="14"/>
        </w:rPr>
        <w:t>T</w:t>
      </w:r>
      <w:r>
        <w:rPr>
          <w:w w:val="102"/>
          <w:sz w:val="14"/>
        </w:rPr>
        <w:t>o</w:t>
      </w:r>
      <w:r>
        <w:rPr>
          <w:spacing w:val="-10"/>
          <w:sz w:val="14"/>
        </w:rPr>
        <w:t> </w:t>
      </w:r>
      <w:r>
        <w:rPr>
          <w:spacing w:val="3"/>
          <w:w w:val="103"/>
          <w:sz w:val="14"/>
        </w:rPr>
        <w:t>b</w:t>
      </w:r>
      <w:r>
        <w:rPr>
          <w:w w:val="97"/>
          <w:sz w:val="14"/>
        </w:rPr>
        <w:t>e</w:t>
      </w:r>
      <w:r>
        <w:rPr>
          <w:spacing w:val="-10"/>
          <w:sz w:val="14"/>
        </w:rPr>
        <w:t> </w:t>
      </w:r>
      <w:r>
        <w:rPr>
          <w:spacing w:val="2"/>
          <w:w w:val="96"/>
          <w:sz w:val="14"/>
        </w:rPr>
        <w:t>a</w:t>
      </w:r>
      <w:r>
        <w:rPr>
          <w:spacing w:val="2"/>
          <w:w w:val="103"/>
          <w:sz w:val="14"/>
        </w:rPr>
        <w:t>p</w:t>
      </w:r>
      <w:r>
        <w:rPr>
          <w:spacing w:val="3"/>
          <w:w w:val="103"/>
          <w:sz w:val="14"/>
        </w:rPr>
        <w:t>p</w:t>
      </w:r>
      <w:r>
        <w:rPr>
          <w:spacing w:val="2"/>
          <w:w w:val="102"/>
          <w:sz w:val="14"/>
        </w:rPr>
        <w:t>o</w:t>
      </w:r>
      <w:r>
        <w:rPr>
          <w:spacing w:val="1"/>
          <w:w w:val="97"/>
          <w:sz w:val="14"/>
        </w:rPr>
        <w:t>i</w:t>
      </w:r>
      <w:r>
        <w:rPr>
          <w:spacing w:val="1"/>
          <w:w w:val="96"/>
          <w:sz w:val="14"/>
        </w:rPr>
        <w:t>n</w:t>
      </w:r>
      <w:r>
        <w:rPr>
          <w:spacing w:val="-1"/>
          <w:w w:val="103"/>
          <w:sz w:val="14"/>
        </w:rPr>
        <w:t>t</w:t>
      </w:r>
      <w:r>
        <w:rPr>
          <w:spacing w:val="3"/>
          <w:w w:val="97"/>
          <w:sz w:val="14"/>
        </w:rPr>
        <w:t>e</w:t>
      </w:r>
      <w:r>
        <w:rPr>
          <w:w w:val="103"/>
          <w:sz w:val="14"/>
        </w:rPr>
        <w:t>d</w:t>
      </w:r>
      <w:r>
        <w:rPr>
          <w:spacing w:val="-10"/>
          <w:sz w:val="14"/>
        </w:rPr>
        <w:t> </w:t>
      </w:r>
      <w:r>
        <w:rPr>
          <w:w w:val="99"/>
          <w:sz w:val="14"/>
        </w:rPr>
        <w:t>f</w:t>
      </w:r>
      <w:r>
        <w:rPr>
          <w:spacing w:val="2"/>
          <w:w w:val="102"/>
          <w:sz w:val="14"/>
        </w:rPr>
        <w:t>o</w:t>
      </w:r>
      <w:r>
        <w:rPr>
          <w:w w:val="97"/>
          <w:sz w:val="14"/>
        </w:rPr>
        <w:t>r</w:t>
      </w:r>
      <w:r>
        <w:rPr>
          <w:spacing w:val="-10"/>
          <w:sz w:val="14"/>
        </w:rPr>
        <w:t> </w:t>
      </w:r>
      <w:r>
        <w:rPr>
          <w:spacing w:val="2"/>
          <w:w w:val="94"/>
          <w:sz w:val="14"/>
        </w:rPr>
        <w:t>2</w:t>
      </w:r>
      <w:r>
        <w:rPr>
          <w:spacing w:val="2"/>
          <w:w w:val="112"/>
          <w:sz w:val="14"/>
        </w:rPr>
        <w:t>0</w:t>
      </w:r>
      <w:r>
        <w:rPr>
          <w:spacing w:val="4"/>
          <w:w w:val="54"/>
          <w:sz w:val="14"/>
        </w:rPr>
        <w:t>1</w:t>
      </w:r>
      <w:r>
        <w:rPr>
          <w:w w:val="102"/>
          <w:sz w:val="14"/>
        </w:rPr>
        <w:t>6</w:t>
      </w:r>
    </w:p>
    <w:p>
      <w:pPr>
        <w:spacing w:before="57"/>
        <w:ind w:left="816" w:right="14" w:hanging="227"/>
        <w:jc w:val="left"/>
        <w:rPr>
          <w:sz w:val="14"/>
        </w:rPr>
      </w:pPr>
      <w:r>
        <w:rPr>
          <w:rFonts w:ascii="Century Gothic" w:hAnsi="Century Gothic"/>
          <w:b/>
          <w:w w:val="120"/>
          <w:sz w:val="14"/>
        </w:rPr>
        <w:t>≥ </w:t>
      </w:r>
      <w:r>
        <w:rPr>
          <w:w w:val="105"/>
          <w:sz w:val="14"/>
        </w:rPr>
        <w:t>Executive Director </w:t>
      </w:r>
      <w:r>
        <w:rPr>
          <w:sz w:val="14"/>
        </w:rPr>
        <w:t>(Quality &amp; Performance)</w:t>
      </w:r>
    </w:p>
    <w:p>
      <w:pPr>
        <w:spacing w:before="57"/>
        <w:ind w:left="589" w:right="-12" w:firstLine="0"/>
        <w:jc w:val="left"/>
        <w:rPr>
          <w:sz w:val="14"/>
        </w:rPr>
      </w:pPr>
      <w:r>
        <w:rPr>
          <w:rFonts w:ascii="Century Gothic" w:hAnsi="Century Gothic"/>
          <w:b/>
          <w:w w:val="125"/>
          <w:sz w:val="14"/>
        </w:rPr>
        <w:t>≥ </w:t>
      </w:r>
      <w:r>
        <w:rPr>
          <w:w w:val="120"/>
          <w:sz w:val="14"/>
        </w:rPr>
        <w:t>Library</w:t>
      </w:r>
    </w:p>
    <w:p>
      <w:pPr>
        <w:spacing w:before="55"/>
        <w:ind w:left="816" w:right="-12" w:hanging="227"/>
        <w:jc w:val="left"/>
        <w:rPr>
          <w:sz w:val="14"/>
        </w:rPr>
      </w:pPr>
      <w:r>
        <w:rPr>
          <w:rFonts w:ascii="Century Gothic" w:hAnsi="Century Gothic"/>
          <w:b/>
          <w:w w:val="120"/>
          <w:sz w:val="14"/>
        </w:rPr>
        <w:t>≥ </w:t>
      </w:r>
      <w:r>
        <w:rPr>
          <w:w w:val="110"/>
          <w:sz w:val="14"/>
        </w:rPr>
        <w:t>Office of University Engagement</w:t>
      </w:r>
    </w:p>
    <w:p>
      <w:pPr>
        <w:spacing w:before="57"/>
        <w:ind w:left="589" w:right="-12" w:firstLine="0"/>
        <w:jc w:val="left"/>
        <w:rPr>
          <w:sz w:val="14"/>
        </w:rPr>
      </w:pPr>
      <w:r>
        <w:rPr>
          <w:rFonts w:ascii="Century Gothic" w:hAnsi="Century Gothic"/>
          <w:b/>
          <w:w w:val="120"/>
          <w:sz w:val="14"/>
        </w:rPr>
        <w:t>≥ </w:t>
      </w:r>
      <w:r>
        <w:rPr>
          <w:w w:val="110"/>
          <w:sz w:val="14"/>
        </w:rPr>
        <w:t>Campus Provosts</w:t>
      </w:r>
    </w:p>
    <w:p>
      <w:pPr>
        <w:spacing w:before="55"/>
        <w:ind w:left="589" w:right="-12" w:firstLine="0"/>
        <w:jc w:val="left"/>
        <w:rPr>
          <w:sz w:val="14"/>
        </w:rPr>
      </w:pPr>
      <w:r>
        <w:rPr>
          <w:rFonts w:ascii="Century Gothic" w:hAnsi="Century Gothic"/>
          <w:b/>
          <w:w w:val="120"/>
          <w:sz w:val="14"/>
        </w:rPr>
        <w:t>≥  </w:t>
      </w:r>
      <w:r>
        <w:rPr>
          <w:w w:val="110"/>
          <w:sz w:val="14"/>
        </w:rPr>
        <w:t>UWS Online</w:t>
      </w:r>
    </w:p>
    <w:p>
      <w:pPr>
        <w:spacing w:before="55"/>
        <w:ind w:left="589" w:right="-12" w:firstLine="0"/>
        <w:jc w:val="left"/>
        <w:rPr>
          <w:sz w:val="14"/>
        </w:rPr>
      </w:pPr>
      <w:r>
        <w:rPr>
          <w:rFonts w:ascii="Century Gothic" w:hAnsi="Century Gothic"/>
          <w:b/>
          <w:w w:val="120"/>
          <w:sz w:val="14"/>
        </w:rPr>
        <w:t>≥  </w:t>
      </w:r>
      <w:r>
        <w:rPr>
          <w:w w:val="105"/>
          <w:sz w:val="14"/>
        </w:rPr>
        <w:t>Other Entities:</w:t>
      </w:r>
    </w:p>
    <w:p>
      <w:pPr>
        <w:spacing w:before="55"/>
        <w:ind w:left="816" w:right="-12" w:firstLine="0"/>
        <w:jc w:val="left"/>
        <w:rPr>
          <w:sz w:val="14"/>
        </w:rPr>
      </w:pPr>
      <w:r>
        <w:rPr>
          <w:rFonts w:ascii="Century Gothic" w:hAnsi="Century Gothic"/>
          <w:b/>
          <w:w w:val="115"/>
          <w:sz w:val="14"/>
        </w:rPr>
        <w:t>≥ </w:t>
      </w:r>
      <w:r>
        <w:rPr>
          <w:rFonts w:ascii="Calibri" w:hAnsi="Calibri"/>
          <w:w w:val="115"/>
          <w:sz w:val="14"/>
        </w:rPr>
        <w:t>UWS</w:t>
      </w:r>
      <w:r>
        <w:rPr>
          <w:w w:val="115"/>
          <w:sz w:val="14"/>
        </w:rPr>
        <w:t>College</w:t>
      </w:r>
    </w:p>
    <w:p>
      <w:pPr>
        <w:spacing w:before="48"/>
        <w:ind w:left="816" w:right="-12" w:firstLine="0"/>
        <w:jc w:val="left"/>
        <w:rPr>
          <w:sz w:val="14"/>
        </w:rPr>
      </w:pPr>
      <w:r>
        <w:rPr>
          <w:rFonts w:ascii="Century Gothic" w:hAnsi="Century Gothic"/>
          <w:b/>
          <w:w w:val="120"/>
          <w:sz w:val="14"/>
        </w:rPr>
        <w:t>≥ </w:t>
      </w:r>
      <w:r>
        <w:rPr>
          <w:w w:val="110"/>
          <w:sz w:val="14"/>
        </w:rPr>
        <w:t>Whitlam Institute</w:t>
      </w:r>
    </w:p>
    <w:p>
      <w:pPr>
        <w:pStyle w:val="BodyText"/>
        <w:spacing w:before="8"/>
        <w:rPr>
          <w:sz w:val="12"/>
        </w:rPr>
      </w:pPr>
      <w:r>
        <w:rPr/>
        <w:br w:type="column"/>
      </w:r>
      <w:r>
        <w:rPr>
          <w:sz w:val="12"/>
        </w:rPr>
      </w:r>
    </w:p>
    <w:p>
      <w:pPr>
        <w:spacing w:before="0"/>
        <w:ind w:left="816" w:right="-8" w:hanging="227"/>
        <w:jc w:val="left"/>
        <w:rPr>
          <w:sz w:val="14"/>
        </w:rPr>
      </w:pPr>
      <w:r>
        <w:rPr>
          <w:rFonts w:ascii="Century Gothic" w:hAnsi="Century Gothic"/>
          <w:b/>
          <w:w w:val="120"/>
          <w:sz w:val="14"/>
        </w:rPr>
        <w:t>≥ </w:t>
      </w:r>
      <w:r>
        <w:rPr>
          <w:w w:val="105"/>
          <w:sz w:val="14"/>
        </w:rPr>
        <w:t>Pro Vice-Chancellor </w:t>
      </w:r>
      <w:r>
        <w:rPr>
          <w:sz w:val="14"/>
        </w:rPr>
        <w:t>(Research</w:t>
      </w:r>
      <w:r>
        <w:rPr>
          <w:spacing w:val="-21"/>
          <w:sz w:val="14"/>
        </w:rPr>
        <w:t> </w:t>
      </w:r>
      <w:r>
        <w:rPr>
          <w:sz w:val="14"/>
        </w:rPr>
        <w:t>&amp;</w:t>
      </w:r>
      <w:r>
        <w:rPr>
          <w:spacing w:val="-21"/>
          <w:sz w:val="14"/>
        </w:rPr>
        <w:t> </w:t>
      </w:r>
      <w:r>
        <w:rPr>
          <w:sz w:val="14"/>
        </w:rPr>
        <w:t>Innovation)</w:t>
      </w:r>
    </w:p>
    <w:p>
      <w:pPr>
        <w:spacing w:before="57"/>
        <w:ind w:left="816" w:right="379" w:hanging="227"/>
        <w:jc w:val="both"/>
        <w:rPr>
          <w:sz w:val="14"/>
        </w:rPr>
      </w:pPr>
      <w:r>
        <w:rPr>
          <w:rFonts w:ascii="Century Gothic" w:hAnsi="Century Gothic"/>
          <w:b/>
          <w:w w:val="120"/>
          <w:sz w:val="14"/>
        </w:rPr>
        <w:t>≥ </w:t>
      </w:r>
      <w:r>
        <w:rPr>
          <w:w w:val="105"/>
          <w:sz w:val="14"/>
        </w:rPr>
        <w:t>Dean of Graduate </w:t>
      </w:r>
      <w:r>
        <w:rPr>
          <w:sz w:val="14"/>
        </w:rPr>
        <w:t>Studies, Graduate Research School</w:t>
      </w:r>
    </w:p>
    <w:p>
      <w:pPr>
        <w:spacing w:before="57"/>
        <w:ind w:left="816" w:right="-8" w:hanging="227"/>
        <w:jc w:val="left"/>
        <w:rPr>
          <w:sz w:val="14"/>
        </w:rPr>
      </w:pPr>
      <w:r>
        <w:rPr>
          <w:rFonts w:ascii="Century Gothic" w:hAnsi="Century Gothic"/>
          <w:b/>
          <w:w w:val="120"/>
          <w:sz w:val="14"/>
        </w:rPr>
        <w:t>≥ </w:t>
      </w:r>
      <w:r>
        <w:rPr>
          <w:w w:val="110"/>
          <w:sz w:val="14"/>
        </w:rPr>
        <w:t>Office of Research Services</w:t>
      </w:r>
    </w:p>
    <w:p>
      <w:pPr>
        <w:spacing w:before="57"/>
        <w:ind w:left="816" w:right="-8" w:hanging="227"/>
        <w:jc w:val="left"/>
        <w:rPr>
          <w:sz w:val="14"/>
        </w:rPr>
      </w:pPr>
      <w:r>
        <w:rPr>
          <w:rFonts w:ascii="Century Gothic" w:hAnsi="Century Gothic"/>
          <w:b/>
          <w:w w:val="120"/>
          <w:sz w:val="14"/>
        </w:rPr>
        <w:t>≥ </w:t>
      </w:r>
      <w:r>
        <w:rPr>
          <w:sz w:val="14"/>
        </w:rPr>
        <w:t>Research, Engagement, Development &amp; Innovation (REDI)</w:t>
      </w:r>
    </w:p>
    <w:p>
      <w:pPr>
        <w:spacing w:before="57"/>
        <w:ind w:left="589" w:right="-8" w:firstLine="0"/>
        <w:jc w:val="left"/>
        <w:rPr>
          <w:sz w:val="14"/>
        </w:rPr>
      </w:pPr>
      <w:r>
        <w:rPr>
          <w:rFonts w:ascii="Century Gothic" w:hAnsi="Century Gothic"/>
          <w:b/>
          <w:w w:val="120"/>
          <w:sz w:val="14"/>
        </w:rPr>
        <w:t>≥ </w:t>
      </w:r>
      <w:r>
        <w:rPr>
          <w:w w:val="115"/>
          <w:sz w:val="14"/>
        </w:rPr>
        <w:t>eResearch</w:t>
      </w:r>
    </w:p>
    <w:p>
      <w:pPr>
        <w:spacing w:before="55"/>
        <w:ind w:left="589" w:right="-8" w:firstLine="0"/>
        <w:jc w:val="left"/>
        <w:rPr>
          <w:sz w:val="14"/>
        </w:rPr>
      </w:pPr>
      <w:r>
        <w:rPr>
          <w:rFonts w:ascii="Century Gothic" w:hAnsi="Century Gothic"/>
          <w:b/>
          <w:w w:val="120"/>
          <w:sz w:val="14"/>
        </w:rPr>
        <w:t>≥ </w:t>
      </w:r>
      <w:r>
        <w:rPr>
          <w:w w:val="110"/>
          <w:sz w:val="14"/>
        </w:rPr>
        <w:t>UWS Gateway</w:t>
      </w:r>
    </w:p>
    <w:p>
      <w:pPr>
        <w:spacing w:before="55"/>
        <w:ind w:left="589" w:right="-8" w:firstLine="0"/>
        <w:jc w:val="left"/>
        <w:rPr>
          <w:sz w:val="14"/>
        </w:rPr>
      </w:pPr>
      <w:r>
        <w:rPr>
          <w:rFonts w:ascii="Century Gothic" w:hAnsi="Century Gothic"/>
          <w:b/>
          <w:w w:val="115"/>
          <w:sz w:val="14"/>
        </w:rPr>
        <w:t>≥ </w:t>
      </w:r>
      <w:r>
        <w:rPr>
          <w:w w:val="110"/>
          <w:sz w:val="14"/>
        </w:rPr>
        <w:t>Research Institutes</w:t>
      </w:r>
    </w:p>
    <w:p>
      <w:pPr>
        <w:pStyle w:val="BodyText"/>
        <w:rPr>
          <w:sz w:val="14"/>
        </w:rPr>
      </w:pPr>
      <w:r>
        <w:rPr/>
        <w:br w:type="column"/>
      </w:r>
      <w:r>
        <w:rPr>
          <w:sz w:val="14"/>
        </w:rPr>
      </w:r>
    </w:p>
    <w:p>
      <w:pPr>
        <w:pStyle w:val="BodyText"/>
        <w:rPr>
          <w:sz w:val="14"/>
        </w:rPr>
      </w:pPr>
    </w:p>
    <w:p>
      <w:pPr>
        <w:pStyle w:val="BodyText"/>
        <w:rPr>
          <w:sz w:val="14"/>
        </w:rPr>
      </w:pPr>
    </w:p>
    <w:p>
      <w:pPr>
        <w:spacing w:before="88"/>
        <w:ind w:left="589" w:right="0" w:firstLine="0"/>
        <w:jc w:val="center"/>
        <w:rPr>
          <w:sz w:val="14"/>
        </w:rPr>
      </w:pPr>
      <w:r>
        <w:rPr>
          <w:sz w:val="14"/>
        </w:rPr>
        <w:t>School of Education</w:t>
      </w:r>
    </w:p>
    <w:p>
      <w:pPr>
        <w:pStyle w:val="BodyText"/>
        <w:rPr>
          <w:sz w:val="14"/>
        </w:rPr>
      </w:pPr>
    </w:p>
    <w:p>
      <w:pPr>
        <w:pStyle w:val="BodyText"/>
        <w:rPr>
          <w:sz w:val="14"/>
        </w:rPr>
      </w:pPr>
    </w:p>
    <w:p>
      <w:pPr>
        <w:pStyle w:val="BodyText"/>
        <w:rPr>
          <w:sz w:val="14"/>
        </w:rPr>
      </w:pPr>
    </w:p>
    <w:p>
      <w:pPr>
        <w:spacing w:line="164" w:lineRule="exact" w:before="101"/>
        <w:ind w:left="592" w:right="0" w:firstLine="0"/>
        <w:jc w:val="center"/>
        <w:rPr>
          <w:sz w:val="14"/>
        </w:rPr>
      </w:pPr>
      <w:r>
        <w:rPr>
          <w:sz w:val="14"/>
        </w:rPr>
        <w:t>School of Humanities and</w:t>
      </w:r>
      <w:r>
        <w:rPr>
          <w:w w:val="98"/>
          <w:sz w:val="14"/>
        </w:rPr>
        <w:t> </w:t>
      </w:r>
      <w:r>
        <w:rPr>
          <w:sz w:val="14"/>
        </w:rPr>
        <w:t>Communication Arts</w:t>
      </w:r>
    </w:p>
    <w:p>
      <w:pPr>
        <w:pStyle w:val="BodyText"/>
        <w:rPr>
          <w:sz w:val="14"/>
        </w:rPr>
      </w:pPr>
    </w:p>
    <w:p>
      <w:pPr>
        <w:pStyle w:val="BodyText"/>
        <w:rPr>
          <w:sz w:val="14"/>
        </w:rPr>
      </w:pPr>
    </w:p>
    <w:p>
      <w:pPr>
        <w:pStyle w:val="BodyText"/>
        <w:rPr>
          <w:sz w:val="14"/>
        </w:rPr>
      </w:pPr>
    </w:p>
    <w:p>
      <w:pPr>
        <w:spacing w:before="88"/>
        <w:ind w:left="589" w:right="0" w:firstLine="0"/>
        <w:jc w:val="center"/>
        <w:rPr>
          <w:sz w:val="14"/>
        </w:rPr>
      </w:pPr>
      <w:r>
        <w:rPr>
          <w:sz w:val="14"/>
        </w:rPr>
        <w:t>School of Law</w:t>
      </w:r>
    </w:p>
    <w:p>
      <w:pPr>
        <w:pStyle w:val="BodyText"/>
        <w:rPr>
          <w:sz w:val="14"/>
        </w:rPr>
      </w:pPr>
    </w:p>
    <w:p>
      <w:pPr>
        <w:pStyle w:val="BodyText"/>
        <w:rPr>
          <w:sz w:val="14"/>
        </w:rPr>
      </w:pPr>
    </w:p>
    <w:p>
      <w:pPr>
        <w:pStyle w:val="BodyText"/>
        <w:spacing w:before="8"/>
      </w:pPr>
    </w:p>
    <w:p>
      <w:pPr>
        <w:spacing w:before="0"/>
        <w:ind w:left="998" w:right="0" w:firstLine="0"/>
        <w:jc w:val="left"/>
        <w:rPr>
          <w:sz w:val="14"/>
        </w:rPr>
      </w:pPr>
      <w:r>
        <w:rPr>
          <w:sz w:val="14"/>
        </w:rPr>
        <w:t>School of Medicine</w:t>
      </w:r>
    </w:p>
    <w:p>
      <w:pPr>
        <w:pStyle w:val="BodyText"/>
        <w:rPr>
          <w:sz w:val="14"/>
        </w:rPr>
      </w:pPr>
    </w:p>
    <w:p>
      <w:pPr>
        <w:pStyle w:val="BodyText"/>
        <w:rPr>
          <w:sz w:val="14"/>
        </w:rPr>
      </w:pPr>
    </w:p>
    <w:p>
      <w:pPr>
        <w:pStyle w:val="BodyText"/>
        <w:spacing w:before="8"/>
      </w:pPr>
    </w:p>
    <w:p>
      <w:pPr>
        <w:spacing w:before="0"/>
        <w:ind w:left="589" w:right="0" w:firstLine="0"/>
        <w:jc w:val="center"/>
        <w:rPr>
          <w:sz w:val="14"/>
        </w:rPr>
      </w:pPr>
      <w:r>
        <w:rPr>
          <w:sz w:val="14"/>
        </w:rPr>
        <w:t>School</w:t>
      </w:r>
      <w:r>
        <w:rPr>
          <w:spacing w:val="-12"/>
          <w:sz w:val="14"/>
        </w:rPr>
        <w:t> </w:t>
      </w:r>
      <w:r>
        <w:rPr>
          <w:sz w:val="14"/>
        </w:rPr>
        <w:t>of</w:t>
      </w:r>
      <w:r>
        <w:rPr>
          <w:spacing w:val="-12"/>
          <w:sz w:val="14"/>
        </w:rPr>
        <w:t> </w:t>
      </w:r>
      <w:r>
        <w:rPr>
          <w:sz w:val="14"/>
        </w:rPr>
        <w:t>Nursing</w:t>
      </w:r>
      <w:r>
        <w:rPr>
          <w:spacing w:val="-12"/>
          <w:sz w:val="14"/>
        </w:rPr>
        <w:t> </w:t>
      </w:r>
      <w:r>
        <w:rPr>
          <w:sz w:val="14"/>
        </w:rPr>
        <w:t>and</w:t>
      </w:r>
      <w:r>
        <w:rPr>
          <w:spacing w:val="-12"/>
          <w:sz w:val="14"/>
        </w:rPr>
        <w:t> </w:t>
      </w:r>
      <w:r>
        <w:rPr>
          <w:sz w:val="14"/>
        </w:rPr>
        <w:t>Midwifery</w:t>
      </w:r>
    </w:p>
    <w:p>
      <w:pPr>
        <w:pStyle w:val="BodyText"/>
        <w:rPr>
          <w:sz w:val="14"/>
        </w:rPr>
      </w:pPr>
    </w:p>
    <w:p>
      <w:pPr>
        <w:pStyle w:val="BodyText"/>
        <w:rPr>
          <w:sz w:val="14"/>
        </w:rPr>
      </w:pPr>
    </w:p>
    <w:p>
      <w:pPr>
        <w:pStyle w:val="BodyText"/>
        <w:spacing w:before="8"/>
      </w:pPr>
    </w:p>
    <w:p>
      <w:pPr>
        <w:spacing w:before="0"/>
        <w:ind w:left="589" w:right="0" w:firstLine="0"/>
        <w:jc w:val="center"/>
        <w:rPr>
          <w:sz w:val="14"/>
        </w:rPr>
      </w:pPr>
      <w:r>
        <w:rPr>
          <w:sz w:val="14"/>
        </w:rPr>
        <w:t>School of Science and Health</w:t>
      </w:r>
    </w:p>
    <w:p>
      <w:pPr>
        <w:pStyle w:val="BodyText"/>
        <w:rPr>
          <w:sz w:val="14"/>
        </w:rPr>
      </w:pPr>
    </w:p>
    <w:p>
      <w:pPr>
        <w:pStyle w:val="BodyText"/>
        <w:rPr>
          <w:sz w:val="14"/>
        </w:rPr>
      </w:pPr>
    </w:p>
    <w:p>
      <w:pPr>
        <w:pStyle w:val="BodyText"/>
        <w:rPr>
          <w:sz w:val="14"/>
        </w:rPr>
      </w:pPr>
    </w:p>
    <w:p>
      <w:pPr>
        <w:spacing w:line="164" w:lineRule="exact" w:before="101"/>
        <w:ind w:left="782" w:right="191" w:firstLine="0"/>
        <w:jc w:val="center"/>
        <w:rPr>
          <w:sz w:val="14"/>
        </w:rPr>
      </w:pPr>
      <w:r>
        <w:rPr>
          <w:sz w:val="14"/>
        </w:rPr>
        <w:t>School of Social Sciences and Psychology</w:t>
      </w:r>
    </w:p>
    <w:p>
      <w:pPr>
        <w:pStyle w:val="BodyText"/>
        <w:spacing w:before="8"/>
        <w:rPr>
          <w:sz w:val="12"/>
        </w:rPr>
      </w:pPr>
      <w:r>
        <w:rPr/>
        <w:br w:type="column"/>
      </w:r>
      <w:r>
        <w:rPr>
          <w:sz w:val="12"/>
        </w:rPr>
      </w:r>
    </w:p>
    <w:p>
      <w:pPr>
        <w:spacing w:before="0"/>
        <w:ind w:left="589" w:right="-10" w:firstLine="0"/>
        <w:jc w:val="left"/>
        <w:rPr>
          <w:sz w:val="14"/>
        </w:rPr>
      </w:pPr>
      <w:r>
        <w:rPr>
          <w:rFonts w:ascii="Century Gothic" w:hAnsi="Century Gothic"/>
          <w:b/>
          <w:w w:val="120"/>
          <w:sz w:val="14"/>
        </w:rPr>
        <w:t>≥ </w:t>
      </w:r>
      <w:r>
        <w:rPr>
          <w:w w:val="110"/>
          <w:sz w:val="14"/>
        </w:rPr>
        <w:t>Financial Operations</w:t>
      </w:r>
    </w:p>
    <w:p>
      <w:pPr>
        <w:spacing w:before="55"/>
        <w:ind w:left="589" w:right="-10" w:firstLine="0"/>
        <w:jc w:val="left"/>
        <w:rPr>
          <w:sz w:val="14"/>
        </w:rPr>
      </w:pPr>
      <w:r>
        <w:rPr>
          <w:rFonts w:ascii="Century Gothic" w:hAnsi="Century Gothic"/>
          <w:b/>
          <w:w w:val="120"/>
          <w:sz w:val="14"/>
        </w:rPr>
        <w:t>≥</w:t>
      </w:r>
      <w:r>
        <w:rPr>
          <w:rFonts w:ascii="Century Gothic" w:hAnsi="Century Gothic"/>
          <w:b/>
          <w:spacing w:val="15"/>
          <w:w w:val="120"/>
          <w:sz w:val="14"/>
        </w:rPr>
        <w:t> </w:t>
      </w:r>
      <w:r>
        <w:rPr>
          <w:w w:val="110"/>
          <w:sz w:val="14"/>
        </w:rPr>
        <w:t>Capital</w:t>
      </w:r>
      <w:r>
        <w:rPr>
          <w:spacing w:val="-30"/>
          <w:w w:val="110"/>
          <w:sz w:val="14"/>
        </w:rPr>
        <w:t> </w:t>
      </w:r>
      <w:r>
        <w:rPr>
          <w:w w:val="110"/>
          <w:sz w:val="14"/>
        </w:rPr>
        <w:t>Works</w:t>
      </w:r>
      <w:r>
        <w:rPr>
          <w:spacing w:val="-30"/>
          <w:w w:val="110"/>
          <w:sz w:val="14"/>
        </w:rPr>
        <w:t> </w:t>
      </w:r>
      <w:r>
        <w:rPr>
          <w:w w:val="110"/>
          <w:sz w:val="14"/>
        </w:rPr>
        <w:t>&amp;</w:t>
      </w:r>
      <w:r>
        <w:rPr>
          <w:spacing w:val="-30"/>
          <w:w w:val="110"/>
          <w:sz w:val="14"/>
        </w:rPr>
        <w:t> </w:t>
      </w:r>
      <w:r>
        <w:rPr>
          <w:w w:val="110"/>
          <w:sz w:val="14"/>
        </w:rPr>
        <w:t>Facilities</w:t>
      </w:r>
    </w:p>
    <w:p>
      <w:pPr>
        <w:spacing w:before="55"/>
        <w:ind w:left="816" w:right="72" w:hanging="227"/>
        <w:jc w:val="left"/>
        <w:rPr>
          <w:sz w:val="14"/>
        </w:rPr>
      </w:pPr>
      <w:r>
        <w:rPr>
          <w:rFonts w:ascii="Century Gothic" w:hAnsi="Century Gothic"/>
          <w:b/>
          <w:w w:val="120"/>
          <w:sz w:val="14"/>
        </w:rPr>
        <w:t>≥ </w:t>
      </w:r>
      <w:r>
        <w:rPr>
          <w:w w:val="105"/>
          <w:sz w:val="14"/>
        </w:rPr>
        <w:t>Information Technology </w:t>
      </w:r>
      <w:r>
        <w:rPr>
          <w:sz w:val="14"/>
        </w:rPr>
        <w:t>&amp; Digital Services</w:t>
      </w:r>
    </w:p>
    <w:p>
      <w:pPr>
        <w:spacing w:before="57"/>
        <w:ind w:left="816" w:right="125" w:hanging="227"/>
        <w:jc w:val="left"/>
        <w:rPr>
          <w:sz w:val="14"/>
        </w:rPr>
      </w:pPr>
      <w:r>
        <w:rPr>
          <w:rFonts w:ascii="Century Gothic" w:hAnsi="Century Gothic"/>
          <w:b/>
          <w:w w:val="120"/>
          <w:sz w:val="14"/>
        </w:rPr>
        <w:t>≥ </w:t>
      </w:r>
      <w:r>
        <w:rPr>
          <w:w w:val="105"/>
          <w:sz w:val="14"/>
        </w:rPr>
        <w:t>Office of Commercial &amp; </w:t>
      </w:r>
      <w:r>
        <w:rPr>
          <w:sz w:val="14"/>
        </w:rPr>
        <w:t>Estate Planning</w:t>
      </w:r>
    </w:p>
    <w:p>
      <w:pPr>
        <w:spacing w:before="57"/>
        <w:ind w:left="589" w:right="-10" w:firstLine="0"/>
        <w:jc w:val="left"/>
        <w:rPr>
          <w:sz w:val="14"/>
        </w:rPr>
      </w:pPr>
      <w:r>
        <w:rPr>
          <w:rFonts w:ascii="Century Gothic" w:hAnsi="Century Gothic"/>
          <w:b/>
          <w:w w:val="110"/>
          <w:sz w:val="14"/>
        </w:rPr>
        <w:t>≥ </w:t>
      </w:r>
      <w:r>
        <w:rPr>
          <w:w w:val="110"/>
          <w:sz w:val="14"/>
        </w:rPr>
        <w:t>Procurement</w:t>
      </w:r>
    </w:p>
    <w:p>
      <w:pPr>
        <w:spacing w:before="55"/>
        <w:ind w:left="816" w:right="-10" w:hanging="227"/>
        <w:jc w:val="left"/>
        <w:rPr>
          <w:sz w:val="14"/>
        </w:rPr>
      </w:pPr>
      <w:r>
        <w:rPr>
          <w:rFonts w:ascii="Century Gothic" w:hAnsi="Century Gothic"/>
          <w:b/>
          <w:w w:val="120"/>
          <w:sz w:val="14"/>
        </w:rPr>
        <w:t>≥ </w:t>
      </w:r>
      <w:r>
        <w:rPr>
          <w:w w:val="110"/>
          <w:sz w:val="14"/>
        </w:rPr>
        <w:t>Project Management Office</w:t>
      </w:r>
    </w:p>
    <w:p>
      <w:pPr>
        <w:pStyle w:val="BodyText"/>
        <w:spacing w:before="8"/>
        <w:rPr>
          <w:sz w:val="12"/>
        </w:rPr>
      </w:pPr>
      <w:r>
        <w:rPr/>
        <w:br w:type="column"/>
      </w:r>
      <w:r>
        <w:rPr>
          <w:sz w:val="12"/>
        </w:rPr>
      </w:r>
    </w:p>
    <w:p>
      <w:pPr>
        <w:spacing w:before="0"/>
        <w:ind w:left="816" w:right="681" w:hanging="227"/>
        <w:jc w:val="left"/>
        <w:rPr>
          <w:sz w:val="14"/>
        </w:rPr>
      </w:pPr>
      <w:r>
        <w:rPr>
          <w:rFonts w:ascii="Century Gothic" w:hAnsi="Century Gothic"/>
          <w:b/>
          <w:w w:val="120"/>
          <w:sz w:val="14"/>
        </w:rPr>
        <w:t>≥ </w:t>
      </w:r>
      <w:r>
        <w:rPr>
          <w:w w:val="105"/>
          <w:sz w:val="14"/>
        </w:rPr>
        <w:t>University Secretary &amp; </w:t>
      </w:r>
      <w:r>
        <w:rPr>
          <w:sz w:val="14"/>
        </w:rPr>
        <w:t>General Counsel</w:t>
      </w:r>
    </w:p>
    <w:p>
      <w:pPr>
        <w:spacing w:before="57"/>
        <w:ind w:left="589" w:right="681" w:firstLine="0"/>
        <w:jc w:val="left"/>
        <w:rPr>
          <w:sz w:val="14"/>
        </w:rPr>
      </w:pPr>
      <w:r>
        <w:rPr>
          <w:rFonts w:ascii="Century Gothic" w:hAnsi="Century Gothic"/>
          <w:b/>
          <w:w w:val="120"/>
          <w:sz w:val="14"/>
        </w:rPr>
        <w:t>≥ </w:t>
      </w:r>
      <w:r>
        <w:rPr>
          <w:w w:val="110"/>
          <w:sz w:val="14"/>
        </w:rPr>
        <w:t>People &amp; Culture</w:t>
      </w:r>
    </w:p>
    <w:p>
      <w:pPr>
        <w:spacing w:before="55"/>
        <w:ind w:left="816" w:right="681" w:hanging="227"/>
        <w:jc w:val="left"/>
        <w:rPr>
          <w:sz w:val="14"/>
        </w:rPr>
      </w:pPr>
      <w:r>
        <w:rPr>
          <w:rFonts w:ascii="Century Gothic" w:hAnsi="Century Gothic"/>
          <w:b/>
          <w:w w:val="120"/>
          <w:sz w:val="14"/>
        </w:rPr>
        <w:t>≥ </w:t>
      </w:r>
      <w:r>
        <w:rPr>
          <w:w w:val="110"/>
          <w:sz w:val="14"/>
        </w:rPr>
        <w:t>Marketing &amp; </w:t>
      </w:r>
      <w:r>
        <w:rPr>
          <w:sz w:val="14"/>
        </w:rPr>
        <w:t>Communication</w:t>
      </w:r>
    </w:p>
    <w:p>
      <w:pPr>
        <w:spacing w:before="57"/>
        <w:ind w:left="816" w:right="681" w:hanging="227"/>
        <w:jc w:val="left"/>
        <w:rPr>
          <w:sz w:val="14"/>
        </w:rPr>
      </w:pPr>
      <w:r>
        <w:rPr>
          <w:rFonts w:ascii="Century Gothic" w:hAnsi="Century Gothic"/>
          <w:b/>
          <w:w w:val="120"/>
          <w:sz w:val="14"/>
        </w:rPr>
        <w:t>≥ </w:t>
      </w:r>
      <w:r>
        <w:rPr>
          <w:w w:val="110"/>
          <w:sz w:val="14"/>
        </w:rPr>
        <w:t>Pro Vice-Chancellor </w:t>
      </w:r>
      <w:r>
        <w:rPr>
          <w:sz w:val="14"/>
        </w:rPr>
        <w:t>(Student Engagement)</w:t>
      </w:r>
    </w:p>
    <w:p>
      <w:pPr>
        <w:spacing w:before="57"/>
        <w:ind w:left="816" w:right="681" w:hanging="227"/>
        <w:jc w:val="left"/>
        <w:rPr>
          <w:sz w:val="14"/>
        </w:rPr>
      </w:pPr>
      <w:r>
        <w:rPr>
          <w:rFonts w:ascii="Century Gothic" w:hAnsi="Century Gothic"/>
          <w:b/>
          <w:w w:val="120"/>
          <w:sz w:val="14"/>
        </w:rPr>
        <w:t>≥ </w:t>
      </w:r>
      <w:r>
        <w:rPr>
          <w:w w:val="110"/>
          <w:sz w:val="14"/>
        </w:rPr>
        <w:t>Student Recruitment Unit</w:t>
      </w:r>
    </w:p>
    <w:p>
      <w:pPr>
        <w:spacing w:before="57"/>
        <w:ind w:left="589" w:right="681" w:firstLine="0"/>
        <w:jc w:val="left"/>
        <w:rPr>
          <w:sz w:val="14"/>
        </w:rPr>
      </w:pPr>
      <w:r>
        <w:rPr>
          <w:rFonts w:ascii="Century Gothic" w:hAnsi="Century Gothic"/>
          <w:b/>
          <w:w w:val="120"/>
          <w:sz w:val="14"/>
        </w:rPr>
        <w:t>≥ </w:t>
      </w:r>
      <w:r>
        <w:rPr>
          <w:w w:val="110"/>
          <w:sz w:val="14"/>
        </w:rPr>
        <w:t>Equity &amp; Diversity</w:t>
      </w:r>
    </w:p>
    <w:p>
      <w:pPr>
        <w:spacing w:before="55"/>
        <w:ind w:left="816" w:right="681" w:hanging="227"/>
        <w:jc w:val="left"/>
        <w:rPr>
          <w:sz w:val="14"/>
        </w:rPr>
      </w:pPr>
      <w:r>
        <w:rPr>
          <w:rFonts w:ascii="Century Gothic" w:hAnsi="Century Gothic"/>
          <w:b/>
          <w:w w:val="120"/>
          <w:sz w:val="14"/>
        </w:rPr>
        <w:t>≥ </w:t>
      </w:r>
      <w:r>
        <w:rPr>
          <w:w w:val="105"/>
          <w:sz w:val="14"/>
        </w:rPr>
        <w:t>Office of Advancement </w:t>
      </w:r>
      <w:r>
        <w:rPr>
          <w:sz w:val="14"/>
        </w:rPr>
        <w:t>&amp; Alumni</w:t>
      </w:r>
    </w:p>
    <w:p>
      <w:pPr>
        <w:spacing w:before="57"/>
        <w:ind w:left="589" w:right="681" w:firstLine="0"/>
        <w:jc w:val="left"/>
        <w:rPr>
          <w:sz w:val="14"/>
        </w:rPr>
      </w:pPr>
      <w:r>
        <w:rPr>
          <w:rFonts w:ascii="Century Gothic" w:hAnsi="Century Gothic"/>
          <w:b/>
          <w:w w:val="120"/>
          <w:sz w:val="14"/>
        </w:rPr>
        <w:t>≥  </w:t>
      </w:r>
      <w:r>
        <w:rPr>
          <w:w w:val="110"/>
          <w:sz w:val="14"/>
        </w:rPr>
        <w:t>The Academy</w:t>
      </w:r>
    </w:p>
    <w:p>
      <w:pPr>
        <w:spacing w:before="55"/>
        <w:ind w:left="589" w:right="681" w:firstLine="0"/>
        <w:jc w:val="left"/>
        <w:rPr>
          <w:sz w:val="14"/>
        </w:rPr>
      </w:pPr>
      <w:r>
        <w:rPr>
          <w:rFonts w:ascii="Century Gothic" w:hAnsi="Century Gothic"/>
          <w:b/>
          <w:w w:val="120"/>
          <w:sz w:val="14"/>
        </w:rPr>
        <w:t>≥  </w:t>
      </w:r>
      <w:r>
        <w:rPr>
          <w:w w:val="105"/>
          <w:sz w:val="14"/>
        </w:rPr>
        <w:t>Other entities:</w:t>
      </w:r>
    </w:p>
    <w:p>
      <w:pPr>
        <w:spacing w:before="55"/>
        <w:ind w:left="816" w:right="555" w:firstLine="0"/>
        <w:jc w:val="left"/>
        <w:rPr>
          <w:sz w:val="14"/>
        </w:rPr>
      </w:pPr>
      <w:r>
        <w:rPr>
          <w:rFonts w:ascii="Century Gothic" w:hAnsi="Century Gothic"/>
          <w:b/>
          <w:w w:val="120"/>
          <w:sz w:val="14"/>
        </w:rPr>
        <w:t>≥ </w:t>
      </w:r>
      <w:r>
        <w:rPr>
          <w:w w:val="110"/>
          <w:sz w:val="14"/>
        </w:rPr>
        <w:t>UWSConnect liaison</w:t>
      </w:r>
    </w:p>
    <w:p>
      <w:pPr>
        <w:spacing w:before="55"/>
        <w:ind w:left="1042" w:right="555" w:hanging="227"/>
        <w:jc w:val="left"/>
        <w:rPr>
          <w:sz w:val="14"/>
        </w:rPr>
      </w:pPr>
      <w:r>
        <w:rPr>
          <w:rFonts w:ascii="Century Gothic" w:hAnsi="Century Gothic"/>
          <w:b/>
          <w:w w:val="120"/>
          <w:sz w:val="14"/>
        </w:rPr>
        <w:t>≥ </w:t>
      </w:r>
      <w:r>
        <w:rPr>
          <w:w w:val="105"/>
          <w:sz w:val="14"/>
        </w:rPr>
        <w:t>UWS Early Learning </w:t>
      </w:r>
      <w:r>
        <w:rPr>
          <w:sz w:val="14"/>
        </w:rPr>
        <w:t>Ltd (Childcare) liaison</w:t>
      </w:r>
    </w:p>
    <w:p>
      <w:pPr>
        <w:spacing w:before="57"/>
        <w:ind w:left="1042" w:right="852" w:hanging="227"/>
        <w:jc w:val="left"/>
        <w:rPr>
          <w:sz w:val="14"/>
        </w:rPr>
      </w:pPr>
      <w:r>
        <w:rPr>
          <w:rFonts w:ascii="Century Gothic" w:hAnsi="Century Gothic"/>
          <w:b/>
          <w:w w:val="120"/>
          <w:sz w:val="14"/>
        </w:rPr>
        <w:t>≥ </w:t>
      </w:r>
      <w:r>
        <w:rPr>
          <w:w w:val="110"/>
          <w:sz w:val="14"/>
        </w:rPr>
        <w:t>UWS Foundation liaison</w:t>
      </w:r>
    </w:p>
    <w:p>
      <w:pPr>
        <w:spacing w:after="0"/>
        <w:jc w:val="left"/>
        <w:rPr>
          <w:sz w:val="14"/>
        </w:rPr>
        <w:sectPr>
          <w:type w:val="continuous"/>
          <w:pgSz w:w="16840" w:h="11910" w:orient="landscape"/>
          <w:pgMar w:top="1580" w:bottom="280" w:left="780" w:right="800"/>
          <w:cols w:num="5" w:equalWidth="0">
            <w:col w:w="2350" w:space="726"/>
            <w:col w:w="2299" w:space="700"/>
            <w:col w:w="2539" w:space="613"/>
            <w:col w:w="2371" w:space="704"/>
            <w:col w:w="2958"/>
          </w:cols>
        </w:sectPr>
      </w:pPr>
    </w:p>
    <w:p>
      <w:pPr>
        <w:rPr>
          <w:sz w:val="2"/>
          <w:szCs w:val="2"/>
        </w:rPr>
      </w:pPr>
      <w:r>
        <w:rPr/>
        <w:pict>
          <v:group style="position:absolute;margin-left:45.354pt;margin-top:34.015999pt;width:751.2pt;height:529.65pt;mso-position-horizontal-relative:page;mso-position-vertical-relative:page;z-index:-331408" coordorigin="907,680" coordsize="15024,10593">
            <v:shape style="position:absolute;left:907;top:680;width:15024;height:10593" coordorigin="907,680" coordsize="15024,10593" path="m15931,680l907,680,907,728,907,11273,15931,11273,15931,728,15931,680e" filled="true" fillcolor="#e6e7e8" stroked="false">
              <v:path arrowok="t"/>
              <v:fill type="solid"/>
            </v:shape>
            <v:rect style="position:absolute;left:1138;top:3977;width:2259;height:1016" filled="false" stroked="true" strokeweight=".444pt" strokecolor="#939598"/>
            <v:rect style="position:absolute;left:7128;top:3056;width:2583;height:557" filled="false" stroked="true" strokeweight=".467pt" strokecolor="#939598"/>
            <v:shape style="position:absolute;left:3977;top:-3794;width:7020;height:14562" coordorigin="3977,-3794" coordsize="7020,14562" path="m4193,3977l4193,4993,6451,4993,6451,3977,4193,3977xm1138,5198l1138,10997,3397,10997,3397,5198,1138,5198xm4214,5198l4214,10997,6473,10997,6473,5198,4214,5198xm10365,5198l10365,10997,12624,10997,12624,5198,10365,5198xm13441,5198l13441,10997,15700,10997,15700,5198,13441,5198xm10411,3977l10411,4993,12669,4993,12669,3977,10411,3977xm13441,3977l13441,4993,15700,4993,15700,3977,13441,3977xe" filled="false" stroked="true" strokeweight=".444pt" strokecolor="#939598">
              <v:path arrowok="t"/>
            </v:shape>
            <v:shape style="position:absolute;left:2273;top:3799;width:12293;height:206" coordorigin="2273,3799" coordsize="12293,206" path="m2273,3979l2273,3799,14565,3799,14565,4004e" filled="false" stroked="true" strokeweight=".5pt" strokecolor="#939598">
              <v:path arrowok="t"/>
            </v:shape>
            <v:line style="position:absolute" from="8419,2904" to="8419,3061" stroked="true" strokeweight=".444pt" strokecolor="#939598">
              <v:stroke dashstyle="dash"/>
            </v:line>
            <v:line style="position:absolute" from="8419,3609" to="8419,3794" stroked="true" strokeweight=".5pt" strokecolor="#939598"/>
            <v:line style="position:absolute" from="2268,4998" to="2268,5194" stroked="true" strokeweight=".5pt" strokecolor="#939598"/>
            <v:line style="position:absolute" from="5348,4998" to="5348,5194" stroked="true" strokeweight=".5pt" strokecolor="#939598"/>
            <v:line style="position:absolute" from="5348,3801" to="5348,3982" stroked="true" strokeweight=".5pt" strokecolor="#939598"/>
            <v:line style="position:absolute" from="11494,3801" to="11494,3982" stroked="true" strokeweight=".5pt" strokecolor="#939598"/>
            <v:line style="position:absolute" from="11494,4991" to="11494,5194" stroked="true" strokeweight=".5pt" strokecolor="#939598"/>
            <v:line style="position:absolute" from="14570,4998" to="14570,5194" stroked="true" strokeweight=".5pt" strokecolor="#939598"/>
            <v:shape style="position:absolute;left:3977;top:2357;width:7017;height:2259" coordorigin="3977,2357" coordsize="7017,2259" path="m7289,3977l7289,4479,9548,4479,9548,3977,7289,3977xm7289,4685l7289,5470,9548,5470,9548,4685,7289,4685xm7289,5677l7289,6178,9548,6178,9548,5677,7289,5677xm7289,6385l7289,7170,9548,7170,9548,6385,7289,6385xm7289,7377l7289,7878,9548,7878,9548,7377,7289,7377xm7289,8085l7289,8586,9548,8586,9548,8085,7289,8085xm7289,8793l7289,9294,9548,9294,9548,8793,7289,8793xm7289,9501l7289,10002,9548,10002,9548,9501,7289,9501xm7289,10209l7289,10994,9548,10994,9548,10209,7289,10209xe" filled="false" stroked="true" strokeweight=".444pt" strokecolor="#939598">
              <v:path arrowok="t"/>
            </v:shape>
            <v:shape style="position:absolute;left:9547;top:3794;width:178;height:6803" coordorigin="9547,3794" coordsize="178,6803" path="m9724,3794l9724,10597,9547,10597e" filled="false" stroked="true" strokeweight=".5pt" strokecolor="#939598">
              <v:path arrowok="t"/>
            </v:shape>
            <v:line style="position:absolute" from="9729,9757" to="9547,9757" stroked="true" strokeweight=".5pt" strokecolor="#939598"/>
            <v:line style="position:absolute" from="9729,9049" to="9547,9049" stroked="true" strokeweight=".5pt" strokecolor="#939598"/>
            <v:line style="position:absolute" from="9729,8340" to="9547,8340" stroked="true" strokeweight=".5pt" strokecolor="#939598"/>
            <v:line style="position:absolute" from="9729,7632" to="9547,7632" stroked="true" strokeweight=".5pt" strokecolor="#939598"/>
            <v:line style="position:absolute" from="9729,6782" to="9547,6782" stroked="true" strokeweight=".5pt" strokecolor="#939598"/>
            <v:line style="position:absolute" from="9729,5928" to="9547,5928" stroked="true" strokeweight=".5pt" strokecolor="#939598"/>
            <v:line style="position:absolute" from="9729,5078" to="9547,5078" stroked="true" strokeweight=".5pt" strokecolor="#939598"/>
            <v:line style="position:absolute" from="9729,4228" to="9547,4228" stroked="true" strokeweight=".5pt" strokecolor="#939598"/>
            <v:line style="position:absolute" from="9737,2701" to="13027,2701" stroked="true" strokeweight=".444pt" strokecolor="#939598">
              <v:stroke dashstyle="dash"/>
            </v:line>
            <v:line style="position:absolute" from="13049,2732" to="13049,5478" stroked="true" strokeweight=".444pt" strokecolor="#939598">
              <v:stroke dashstyle="dash"/>
            </v:line>
            <v:line style="position:absolute" from="13079,5500" to="13585,5500" stroked="true" strokeweight=".444pt" strokecolor="#939598">
              <v:stroke dashstyle="dash"/>
            </v:line>
            <v:shape style="position:absolute;left:0;top:8549;width:2800;height:27" coordorigin="0,8549" coordsize="2800,27" path="m13036,2701l13049,2701,13049,2714m13049,5487l13049,5500,13062,5500e" filled="false" stroked="true" strokeweight=".444pt" strokecolor="#939598">
              <v:path arrowok="t"/>
            </v:shape>
            <v:line style="position:absolute" from="13593,5500" to="13606,5500" stroked="true" strokeweight=".444pt" strokecolor="#939598"/>
            <w10:wrap type="none"/>
          </v:group>
        </w:pict>
      </w:r>
      <w:r>
        <w:rPr/>
        <w:pict>
          <v:shape style="position:absolute;margin-left:806.167114pt;margin-top:44.354301pt;width:8.5pt;height:71.25pt;mso-position-horizontal-relative:page;mso-position-vertical-relative:page;z-index:3280" type="#_x0000_t202" filled="false" stroked="false">
            <v:textbox inset="0,0,0,0" style="layout-flow:vertical">
              <w:txbxContent>
                <w:p>
                  <w:pPr>
                    <w:spacing w:line="153" w:lineRule="exact" w:before="0"/>
                    <w:ind w:left="20" w:right="-403" w:firstLine="0"/>
                    <w:jc w:val="left"/>
                    <w:rPr>
                      <w:sz w:val="13"/>
                    </w:rPr>
                  </w:pPr>
                  <w:r>
                    <w:rPr>
                      <w:spacing w:val="6"/>
                      <w:w w:val="112"/>
                      <w:sz w:val="13"/>
                    </w:rPr>
                    <w:t>A</w:t>
                  </w:r>
                  <w:r>
                    <w:rPr>
                      <w:spacing w:val="7"/>
                      <w:w w:val="101"/>
                      <w:sz w:val="13"/>
                    </w:rPr>
                    <w:t>NN</w:t>
                  </w:r>
                  <w:r>
                    <w:rPr>
                      <w:spacing w:val="3"/>
                      <w:w w:val="105"/>
                      <w:sz w:val="13"/>
                    </w:rPr>
                    <w:t>U</w:t>
                  </w:r>
                  <w:r>
                    <w:rPr>
                      <w:spacing w:val="6"/>
                      <w:w w:val="105"/>
                      <w:sz w:val="13"/>
                    </w:rPr>
                    <w:t>A</w:t>
                  </w:r>
                  <w:r>
                    <w:rPr>
                      <w:w w:val="103"/>
                      <w:sz w:val="13"/>
                    </w:rPr>
                    <w:t>L</w:t>
                  </w:r>
                  <w:r>
                    <w:rPr>
                      <w:spacing w:val="-4"/>
                      <w:sz w:val="13"/>
                    </w:rPr>
                    <w:t> </w:t>
                  </w:r>
                  <w:r>
                    <w:rPr>
                      <w:spacing w:val="7"/>
                      <w:w w:val="99"/>
                      <w:sz w:val="13"/>
                    </w:rPr>
                    <w:t>R</w:t>
                  </w:r>
                  <w:r>
                    <w:rPr>
                      <w:spacing w:val="5"/>
                      <w:w w:val="100"/>
                      <w:sz w:val="13"/>
                    </w:rPr>
                    <w:t>E</w:t>
                  </w:r>
                  <w:r>
                    <w:rPr>
                      <w:spacing w:val="7"/>
                      <w:w w:val="104"/>
                      <w:sz w:val="13"/>
                    </w:rPr>
                    <w:t>P</w:t>
                  </w:r>
                  <w:r>
                    <w:rPr>
                      <w:spacing w:val="7"/>
                      <w:w w:val="100"/>
                      <w:sz w:val="13"/>
                    </w:rPr>
                    <w:t>O</w:t>
                  </w:r>
                  <w:r>
                    <w:rPr>
                      <w:spacing w:val="4"/>
                      <w:w w:val="99"/>
                      <w:sz w:val="13"/>
                    </w:rPr>
                    <w:t>R</w:t>
                  </w:r>
                  <w:r>
                    <w:rPr>
                      <w:w w:val="92"/>
                      <w:sz w:val="13"/>
                    </w:rPr>
                    <w:t>T</w:t>
                  </w:r>
                  <w:r>
                    <w:rPr>
                      <w:spacing w:val="-4"/>
                      <w:sz w:val="13"/>
                    </w:rPr>
                    <w:t> </w:t>
                  </w:r>
                  <w:r>
                    <w:rPr>
                      <w:spacing w:val="6"/>
                      <w:w w:val="93"/>
                      <w:sz w:val="13"/>
                    </w:rPr>
                    <w:t>2</w:t>
                  </w:r>
                  <w:r>
                    <w:rPr>
                      <w:spacing w:val="5"/>
                      <w:w w:val="111"/>
                      <w:sz w:val="13"/>
                    </w:rPr>
                    <w:t>0</w:t>
                  </w:r>
                  <w:r>
                    <w:rPr>
                      <w:spacing w:val="6"/>
                      <w:w w:val="54"/>
                      <w:sz w:val="13"/>
                    </w:rPr>
                    <w:t>1</w:t>
                  </w:r>
                  <w:r>
                    <w:rPr>
                      <w:w w:val="95"/>
                      <w:sz w:val="13"/>
                    </w:rPr>
                    <w:t>5</w:t>
                  </w:r>
                </w:p>
              </w:txbxContent>
            </v:textbox>
            <w10:wrap type="none"/>
          </v:shape>
        </w:pict>
      </w:r>
      <w:r>
        <w:rPr/>
        <w:pict>
          <v:shape style="position:absolute;margin-left:26.170204pt;margin-top:44.354301pt;width:8.5pt;height:11.65pt;mso-position-horizontal-relative:page;mso-position-vertical-relative:page;z-index:3304" type="#_x0000_t202" filled="false" stroked="false">
            <v:textbox inset="0,0,0,0" style="layout-flow:vertical">
              <w:txbxContent>
                <w:p>
                  <w:pPr>
                    <w:spacing w:line="153" w:lineRule="exact" w:before="0"/>
                    <w:ind w:left="20" w:right="-62" w:firstLine="0"/>
                    <w:jc w:val="left"/>
                    <w:rPr>
                      <w:sz w:val="13"/>
                    </w:rPr>
                  </w:pPr>
                  <w:r>
                    <w:rPr>
                      <w:spacing w:val="4"/>
                      <w:w w:val="54"/>
                      <w:sz w:val="13"/>
                    </w:rPr>
                    <w:t>1</w:t>
                  </w:r>
                  <w:r>
                    <w:rPr>
                      <w:spacing w:val="2"/>
                      <w:w w:val="102"/>
                      <w:sz w:val="13"/>
                    </w:rPr>
                    <w:t>02</w:t>
                  </w:r>
                </w:p>
              </w:txbxContent>
            </v:textbox>
            <w10:wrap type="none"/>
          </v:shape>
        </w:pict>
      </w:r>
      <w:r>
        <w:rPr/>
        <w:pict>
          <v:shape style="position:absolute;margin-left:26.170204pt;margin-top:472.25061pt;width:8.5pt;height:78.7pt;mso-position-horizontal-relative:page;mso-position-vertical-relative:page;z-index:3328" type="#_x0000_t202" filled="false" stroked="false">
            <v:textbox inset="0,0,0,0" style="layout-flow:vertical">
              <w:txbxContent>
                <w:p>
                  <w:pPr>
                    <w:spacing w:line="153" w:lineRule="exact" w:before="0"/>
                    <w:ind w:left="20" w:right="-441" w:firstLine="0"/>
                    <w:jc w:val="left"/>
                    <w:rPr>
                      <w:sz w:val="13"/>
                    </w:rPr>
                  </w:pPr>
                  <w:r>
                    <w:rPr>
                      <w:spacing w:val="-2"/>
                      <w:w w:val="105"/>
                      <w:sz w:val="13"/>
                    </w:rPr>
                    <w:t>W</w:t>
                  </w:r>
                  <w:r>
                    <w:rPr>
                      <w:spacing w:val="3"/>
                      <w:w w:val="95"/>
                      <w:sz w:val="13"/>
                    </w:rPr>
                    <w:t>e</w:t>
                  </w:r>
                  <w:r>
                    <w:rPr>
                      <w:spacing w:val="3"/>
                      <w:w w:val="95"/>
                      <w:sz w:val="13"/>
                    </w:rPr>
                    <w:t>s</w:t>
                  </w:r>
                  <w:r>
                    <w:rPr>
                      <w:w w:val="102"/>
                      <w:sz w:val="13"/>
                    </w:rPr>
                    <w:t>t</w:t>
                  </w:r>
                  <w:r>
                    <w:rPr>
                      <w:spacing w:val="3"/>
                      <w:w w:val="95"/>
                      <w:sz w:val="13"/>
                    </w:rPr>
                    <w:t>e</w:t>
                  </w:r>
                  <w:r>
                    <w:rPr>
                      <w:spacing w:val="2"/>
                      <w:w w:val="95"/>
                      <w:sz w:val="13"/>
                    </w:rPr>
                    <w:t>r</w:t>
                  </w:r>
                  <w:r>
                    <w:rPr>
                      <w:w w:val="95"/>
                      <w:sz w:val="13"/>
                    </w:rPr>
                    <w:t>n</w:t>
                  </w:r>
                  <w:r>
                    <w:rPr>
                      <w:spacing w:val="-10"/>
                      <w:sz w:val="13"/>
                    </w:rPr>
                    <w:t> </w:t>
                  </w:r>
                  <w:r>
                    <w:rPr>
                      <w:spacing w:val="-2"/>
                      <w:w w:val="98"/>
                      <w:sz w:val="13"/>
                    </w:rPr>
                    <w:t>S</w:t>
                  </w:r>
                  <w:r>
                    <w:rPr>
                      <w:w w:val="101"/>
                      <w:sz w:val="13"/>
                    </w:rPr>
                    <w:t>y</w:t>
                  </w:r>
                  <w:r>
                    <w:rPr>
                      <w:spacing w:val="2"/>
                      <w:w w:val="102"/>
                      <w:sz w:val="13"/>
                    </w:rPr>
                    <w:t>d</w:t>
                  </w:r>
                  <w:r>
                    <w:rPr>
                      <w:spacing w:val="3"/>
                      <w:w w:val="95"/>
                      <w:sz w:val="13"/>
                    </w:rPr>
                    <w:t>n</w:t>
                  </w:r>
                  <w:r>
                    <w:rPr>
                      <w:w w:val="95"/>
                      <w:sz w:val="13"/>
                    </w:rPr>
                    <w:t>e</w:t>
                  </w:r>
                  <w:r>
                    <w:rPr>
                      <w:w w:val="101"/>
                      <w:sz w:val="13"/>
                    </w:rPr>
                    <w:t>y</w:t>
                  </w:r>
                  <w:r>
                    <w:rPr>
                      <w:spacing w:val="-10"/>
                      <w:sz w:val="13"/>
                    </w:rPr>
                    <w:t> </w:t>
                  </w:r>
                  <w:r>
                    <w:rPr>
                      <w:spacing w:val="3"/>
                      <w:w w:val="99"/>
                      <w:sz w:val="13"/>
                    </w:rPr>
                    <w:t>U</w:t>
                  </w:r>
                  <w:r>
                    <w:rPr>
                      <w:spacing w:val="2"/>
                      <w:w w:val="95"/>
                      <w:sz w:val="13"/>
                    </w:rPr>
                    <w:t>n</w:t>
                  </w:r>
                  <w:r>
                    <w:rPr>
                      <w:spacing w:val="1"/>
                      <w:w w:val="95"/>
                      <w:sz w:val="13"/>
                    </w:rPr>
                    <w:t>i</w:t>
                  </w:r>
                  <w:r>
                    <w:rPr>
                      <w:w w:val="101"/>
                      <w:sz w:val="13"/>
                    </w:rPr>
                    <w:t>v</w:t>
                  </w:r>
                  <w:r>
                    <w:rPr>
                      <w:spacing w:val="3"/>
                      <w:w w:val="95"/>
                      <w:sz w:val="13"/>
                    </w:rPr>
                    <w:t>er</w:t>
                  </w:r>
                  <w:r>
                    <w:rPr>
                      <w:spacing w:val="1"/>
                      <w:w w:val="95"/>
                      <w:sz w:val="13"/>
                    </w:rPr>
                    <w:t>s</w:t>
                  </w:r>
                  <w:r>
                    <w:rPr>
                      <w:spacing w:val="1"/>
                      <w:w w:val="95"/>
                      <w:sz w:val="13"/>
                    </w:rPr>
                    <w:t>i</w:t>
                  </w:r>
                  <w:r>
                    <w:rPr>
                      <w:spacing w:val="4"/>
                      <w:w w:val="102"/>
                      <w:sz w:val="13"/>
                    </w:rPr>
                    <w:t>t</w:t>
                  </w:r>
                  <w:r>
                    <w:rPr>
                      <w:w w:val="101"/>
                      <w:sz w:val="13"/>
                    </w:rPr>
                    <w:t>y</w:t>
                  </w:r>
                </w:p>
              </w:txbxContent>
            </v:textbox>
            <w10:wrap type="none"/>
          </v:shape>
        </w:pict>
      </w:r>
    </w:p>
    <w:p>
      <w:pPr>
        <w:spacing w:after="0"/>
        <w:rPr>
          <w:sz w:val="2"/>
          <w:szCs w:val="2"/>
        </w:rPr>
        <w:sectPr>
          <w:type w:val="continuous"/>
          <w:pgSz w:w="16840" w:h="11910" w:orient="landscape"/>
          <w:pgMar w:top="1580" w:bottom="280" w:left="780" w:right="800"/>
        </w:sectPr>
      </w:pPr>
    </w:p>
    <w:p>
      <w:pPr>
        <w:pStyle w:val="BodyText"/>
        <w:spacing w:before="4"/>
        <w:rPr>
          <w:rFonts w:ascii="Times New Roman"/>
          <w:sz w:val="17"/>
        </w:rPr>
      </w:pPr>
    </w:p>
    <w:p>
      <w:pPr>
        <w:spacing w:after="0"/>
        <w:rPr>
          <w:rFonts w:ascii="Times New Roman"/>
          <w:sz w:val="17"/>
        </w:rPr>
        <w:sectPr>
          <w:headerReference w:type="default" r:id="rId76"/>
          <w:footerReference w:type="default" r:id="rId77"/>
          <w:pgSz w:w="11910" w:h="16840"/>
          <w:pgMar w:header="0" w:footer="0" w:top="1580" w:bottom="280" w:left="1680" w:right="1680"/>
        </w:sectPr>
      </w:pPr>
    </w:p>
    <w:p>
      <w:pPr>
        <w:pStyle w:val="BodyText"/>
        <w:rPr>
          <w:rFonts w:ascii="Times New Roman"/>
          <w:sz w:val="20"/>
        </w:rPr>
      </w:pPr>
      <w:r>
        <w:rPr/>
        <w:pict>
          <v:shape style="position:absolute;margin-left:0pt;margin-top:.000015pt;width:595.3pt;height:841.9pt;mso-position-horizontal-relative:page;mso-position-vertical-relative:page;z-index:-331288" type="#_x0000_t202" filled="false" stroked="false">
            <v:textbox inset="0,0,0,0">
              <w:txbxContent>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9"/>
                    </w:rPr>
                  </w:pPr>
                </w:p>
                <w:p>
                  <w:pPr>
                    <w:spacing w:before="1"/>
                    <w:ind w:left="907" w:right="0" w:firstLine="0"/>
                    <w:jc w:val="left"/>
                    <w:rPr>
                      <w:sz w:val="13"/>
                    </w:rPr>
                  </w:pPr>
                  <w:r>
                    <w:rPr>
                      <w:spacing w:val="6"/>
                      <w:w w:val="112"/>
                      <w:sz w:val="13"/>
                    </w:rPr>
                    <w:t>A</w:t>
                  </w:r>
                  <w:r>
                    <w:rPr>
                      <w:spacing w:val="7"/>
                      <w:w w:val="101"/>
                      <w:sz w:val="13"/>
                    </w:rPr>
                    <w:t>NN</w:t>
                  </w:r>
                  <w:r>
                    <w:rPr>
                      <w:spacing w:val="3"/>
                      <w:w w:val="105"/>
                      <w:sz w:val="13"/>
                    </w:rPr>
                    <w:t>U</w:t>
                  </w:r>
                  <w:r>
                    <w:rPr>
                      <w:spacing w:val="6"/>
                      <w:w w:val="105"/>
                      <w:sz w:val="13"/>
                    </w:rPr>
                    <w:t>A</w:t>
                  </w:r>
                  <w:r>
                    <w:rPr>
                      <w:w w:val="103"/>
                      <w:sz w:val="13"/>
                    </w:rPr>
                    <w:t>L</w:t>
                  </w:r>
                  <w:r>
                    <w:rPr>
                      <w:spacing w:val="-4"/>
                      <w:sz w:val="13"/>
                    </w:rPr>
                    <w:t> </w:t>
                  </w:r>
                  <w:r>
                    <w:rPr>
                      <w:spacing w:val="7"/>
                      <w:w w:val="99"/>
                      <w:sz w:val="13"/>
                    </w:rPr>
                    <w:t>R</w:t>
                  </w:r>
                  <w:r>
                    <w:rPr>
                      <w:spacing w:val="5"/>
                      <w:w w:val="100"/>
                      <w:sz w:val="13"/>
                    </w:rPr>
                    <w:t>E</w:t>
                  </w:r>
                  <w:r>
                    <w:rPr>
                      <w:spacing w:val="7"/>
                      <w:w w:val="104"/>
                      <w:sz w:val="13"/>
                    </w:rPr>
                    <w:t>P</w:t>
                  </w:r>
                  <w:r>
                    <w:rPr>
                      <w:spacing w:val="7"/>
                      <w:w w:val="100"/>
                      <w:sz w:val="13"/>
                    </w:rPr>
                    <w:t>O</w:t>
                  </w:r>
                  <w:r>
                    <w:rPr>
                      <w:spacing w:val="4"/>
                      <w:w w:val="99"/>
                      <w:sz w:val="13"/>
                    </w:rPr>
                    <w:t>R</w:t>
                  </w:r>
                  <w:r>
                    <w:rPr>
                      <w:w w:val="92"/>
                      <w:sz w:val="13"/>
                    </w:rPr>
                    <w:t>T</w:t>
                  </w:r>
                  <w:r>
                    <w:rPr>
                      <w:spacing w:val="-4"/>
                      <w:sz w:val="13"/>
                    </w:rPr>
                    <w:t> </w:t>
                  </w:r>
                  <w:r>
                    <w:rPr>
                      <w:spacing w:val="6"/>
                      <w:w w:val="93"/>
                      <w:sz w:val="13"/>
                    </w:rPr>
                    <w:t>2</w:t>
                  </w:r>
                  <w:r>
                    <w:rPr>
                      <w:spacing w:val="5"/>
                      <w:w w:val="111"/>
                      <w:sz w:val="13"/>
                    </w:rPr>
                    <w:t>0</w:t>
                  </w:r>
                  <w:r>
                    <w:rPr>
                      <w:spacing w:val="6"/>
                      <w:w w:val="54"/>
                      <w:sz w:val="13"/>
                    </w:rPr>
                    <w:t>1</w:t>
                  </w:r>
                  <w:r>
                    <w:rPr>
                      <w:w w:val="95"/>
                      <w:sz w:val="13"/>
                    </w:rPr>
                    <w:t>5</w:t>
                  </w: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spacing w:before="11"/>
                    <w:rPr>
                      <w:rFonts w:ascii="Gotham Narrow Bold"/>
                      <w:b/>
                      <w:sz w:val="14"/>
                    </w:rPr>
                  </w:pPr>
                </w:p>
                <w:p>
                  <w:pPr>
                    <w:tabs>
                      <w:tab w:pos="9464" w:val="left" w:leader="none"/>
                    </w:tabs>
                    <w:spacing w:before="0"/>
                    <w:ind w:left="907" w:right="0" w:firstLine="0"/>
                    <w:jc w:val="left"/>
                    <w:rPr>
                      <w:sz w:val="13"/>
                    </w:rPr>
                  </w:pPr>
                  <w:r>
                    <w:rPr>
                      <w:spacing w:val="2"/>
                      <w:sz w:val="13"/>
                    </w:rPr>
                    <w:t>104</w:t>
                    <w:tab/>
                  </w:r>
                  <w:r>
                    <w:rPr>
                      <w:sz w:val="13"/>
                    </w:rPr>
                    <w:t>Western Sydney</w:t>
                  </w:r>
                  <w:r>
                    <w:rPr>
                      <w:spacing w:val="-11"/>
                      <w:sz w:val="13"/>
                    </w:rPr>
                    <w:t> </w:t>
                  </w:r>
                  <w:r>
                    <w:rPr>
                      <w:sz w:val="13"/>
                    </w:rPr>
                    <w:t>University</w:t>
                  </w:r>
                </w:p>
              </w:txbxContent>
            </v:textbox>
            <w10:wrap type="none"/>
          </v:shape>
        </w:pict>
      </w:r>
    </w:p>
    <w:p>
      <w:pPr>
        <w:pStyle w:val="BodyText"/>
        <w:rPr>
          <w:rFonts w:ascii="Times New Roman"/>
          <w:sz w:val="20"/>
        </w:rPr>
      </w:pPr>
    </w:p>
    <w:p>
      <w:pPr>
        <w:pStyle w:val="BodyText"/>
        <w:rPr>
          <w:rFonts w:ascii="Times New Roman"/>
          <w:sz w:val="20"/>
        </w:rPr>
      </w:pPr>
    </w:p>
    <w:p>
      <w:pPr>
        <w:pStyle w:val="BodyText"/>
        <w:spacing w:before="7"/>
        <w:rPr>
          <w:rFonts w:ascii="Times New Roman"/>
          <w:sz w:val="29"/>
        </w:rPr>
      </w:pPr>
    </w:p>
    <w:p>
      <w:pPr>
        <w:pStyle w:val="BodyText"/>
        <w:spacing w:line="249" w:lineRule="auto" w:before="71"/>
        <w:ind w:left="3188" w:right="3186"/>
        <w:jc w:val="center"/>
      </w:pPr>
      <w:r>
        <w:rPr>
          <w:color w:val="FFFFFF"/>
        </w:rPr>
        <w:t>Western Sydney University Locked Bag 1797</w:t>
      </w:r>
    </w:p>
    <w:p>
      <w:pPr>
        <w:pStyle w:val="BodyText"/>
        <w:spacing w:line="192" w:lineRule="exact"/>
        <w:ind w:left="3186" w:right="3186"/>
        <w:jc w:val="center"/>
      </w:pPr>
      <w:r>
        <w:rPr>
          <w:color w:val="FFFFFF"/>
        </w:rPr>
        <w:t>Penrith NSW 2751 Australia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r>
        <w:rPr/>
        <w:pict>
          <v:shape style="position:absolute;margin-left:268.6875pt;margin-top:10.817841pt;width:57.05pt;height:71.3pt;mso-position-horizontal-relative:page;mso-position-vertical-relative:paragraph;z-index:3352;mso-wrap-distance-left:0;mso-wrap-distance-right:0" coordorigin="5374,216" coordsize="1141,1426" path="m6514,216l5374,216,5374,1074,5385,1151,5416,1225,5463,1296,5521,1361,5588,1422,5659,1476,5729,1524,5796,1565,5855,1598,5902,1622,5933,1637,5944,1642,5955,1637,5986,1622,6033,1598,6092,1565,6159,1524,6229,1476,6300,1422,6366,1361,6425,1296,6460,1243,5677,1243,5488,444,6514,444,6514,216xm5944,696l5826,1189,5785,1199,5747,1211,5710,1226,5677,1243,6211,1243,6177,1226,6141,1211,6102,1199,6061,1189,5944,696xm6514,444l6399,444,6211,1243,6460,1243,6472,1225,6503,1151,6514,1074,6514,444xm5893,444l5606,444,5750,1043,5893,444xm6281,444l5994,444,6140,1043,6281,444xe" filled="true" fillcolor="#ffffff" stroked="false">
            <v:path arrowok="t"/>
            <v:fill type="solid"/>
            <w10:wrap type="topAndBottom"/>
          </v:shape>
        </w:pict>
      </w:r>
    </w:p>
    <w:p>
      <w:pPr>
        <w:pStyle w:val="BodyText"/>
        <w:spacing w:before="1"/>
        <w:rPr>
          <w:sz w:val="23"/>
        </w:rPr>
      </w:pPr>
    </w:p>
    <w:p>
      <w:pPr>
        <w:pStyle w:val="Heading5"/>
        <w:ind w:left="2751" w:right="2751"/>
        <w:jc w:val="center"/>
      </w:pPr>
      <w:r>
        <w:rPr>
          <w:color w:val="FFFFFF"/>
        </w:rPr>
        <w:t>WESTERNSYDNEY.EDU.AU</w:t>
      </w:r>
    </w:p>
    <w:sectPr>
      <w:headerReference w:type="even" r:id="rId78"/>
      <w:footerReference w:type="even" r:id="rId79"/>
      <w:pgSz w:w="11910" w:h="16840"/>
      <w:pgMar w:header="0" w:footer="0" w:top="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crosoft Sans Serif">
    <w:altName w:val="Microsoft Sans Serif"/>
    <w:charset w:val="0"/>
    <w:family w:val="swiss"/>
    <w:pitch w:val="variable"/>
  </w:font>
  <w:font w:name="Tahoma">
    <w:altName w:val="Tahoma"/>
    <w:charset w:val="0"/>
    <w:family w:val="swiss"/>
    <w:pitch w:val="variable"/>
  </w:font>
  <w:font w:name="Gotham Narrow Book">
    <w:altName w:val="Gotham Narrow Book"/>
    <w:charset w:val="0"/>
    <w:family w:val="modern"/>
    <w:pitch w:val="variable"/>
  </w:font>
  <w:font w:name="Gotham Narrow Bold">
    <w:altName w:val="Gotham Narrow Bold"/>
    <w:charset w:val="0"/>
    <w:family w:val="modern"/>
    <w:pitch w:val="variable"/>
  </w:font>
  <w:font w:name="Chronicle Text G1">
    <w:altName w:val="Chronicle Text G1"/>
    <w:charset w:val="0"/>
    <w:family w:val="modern"/>
    <w:pitch w:val="variable"/>
  </w:font>
  <w:font w:name="Century Gothic">
    <w:altName w:val="Century Gothic"/>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7.7pt;height:8.5pt;mso-position-horizontal-relative:page;mso-position-vertical-relative:page;z-index:-333592" type="#_x0000_t202" filled="false" stroked="false">
          <v:textbox inset="0,0,0,0">
            <w:txbxContent>
              <w:p>
                <w:pPr>
                  <w:spacing w:line="153" w:lineRule="exact" w:before="0"/>
                  <w:ind w:left="40" w:right="0" w:firstLine="0"/>
                  <w:jc w:val="left"/>
                  <w:rPr>
                    <w:sz w:val="13"/>
                  </w:rPr>
                </w:pPr>
                <w:r>
                  <w:rPr/>
                  <w:fldChar w:fldCharType="begin"/>
                </w:r>
                <w:r>
                  <w:rPr>
                    <w:w w:val="103"/>
                    <w:sz w:val="13"/>
                  </w:rPr>
                  <w:instrText> PAGE </w:instrText>
                </w:r>
                <w:r>
                  <w:rPr/>
                  <w:fldChar w:fldCharType="separate"/>
                </w:r>
                <w:r>
                  <w:rPr/>
                  <w:t>4</w:t>
                </w:r>
                <w:r>
                  <w:rPr/>
                  <w:fldChar w:fldCharType="end"/>
                </w:r>
              </w:p>
            </w:txbxContent>
          </v:textbox>
          <w10:wrap type="none"/>
        </v:shape>
      </w:pict>
    </w:r>
    <w:r>
      <w:rPr/>
      <w:pict>
        <v:shape style="position:absolute;margin-left:472.25061pt;margin-top:807.219788pt;width:78.7pt;height:8.5pt;mso-position-horizontal-relative:page;mso-position-vertical-relative:page;z-index:-333568"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3160"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1.054688pt;margin-top:807.219788pt;width:11.1pt;height:8.5pt;mso-position-horizontal-relative:page;mso-position-vertical-relative:page;z-index:-333136"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23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9.65pt;height:8.5pt;mso-position-horizontal-relative:page;mso-position-vertical-relative:page;z-index:-333112" type="#_x0000_t202" filled="false" stroked="false">
          <v:textbox inset="0,0,0,0">
            <w:txbxContent>
              <w:p>
                <w:pPr>
                  <w:spacing w:line="153" w:lineRule="exact" w:before="0"/>
                  <w:ind w:left="20" w:right="0" w:firstLine="0"/>
                  <w:jc w:val="left"/>
                  <w:rPr>
                    <w:sz w:val="13"/>
                  </w:rPr>
                </w:pPr>
                <w:r>
                  <w:rPr>
                    <w:w w:val="105"/>
                    <w:sz w:val="13"/>
                  </w:rPr>
                  <w:t>30</w:t>
                </w:r>
              </w:p>
            </w:txbxContent>
          </v:textbox>
          <w10:wrap type="none"/>
        </v:shape>
      </w:pict>
    </w:r>
    <w:r>
      <w:rPr/>
      <w:pict>
        <v:shape style="position:absolute;margin-left:472.25061pt;margin-top:807.219788pt;width:78.7pt;height:8.5pt;mso-position-horizontal-relative:page;mso-position-vertical-relative:page;z-index:-333088"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3064"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2.377502pt;margin-top:807.219788pt;width:9.85pt;height:8.5pt;mso-position-horizontal-relative:page;mso-position-vertical-relative:page;z-index:-333040" type="#_x0000_t202" filled="false" stroked="false">
          <v:textbox inset="0,0,0,0">
            <w:txbxContent>
              <w:p>
                <w:pPr>
                  <w:spacing w:line="153" w:lineRule="exact" w:before="0"/>
                  <w:ind w:left="40" w:right="0" w:firstLine="0"/>
                  <w:jc w:val="left"/>
                  <w:rPr>
                    <w:sz w:val="13"/>
                  </w:rPr>
                </w:pPr>
                <w:r>
                  <w:rPr>
                    <w:w w:val="85"/>
                    <w:sz w:val="13"/>
                  </w:rPr>
                  <w:t>31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11.35pt;height:8.5pt;mso-position-horizontal-relative:page;mso-position-vertical-relative:page;z-index:-333016"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36</w:t>
                </w:r>
                <w:r>
                  <w:rPr/>
                  <w:fldChar w:fldCharType="end"/>
                </w:r>
              </w:p>
            </w:txbxContent>
          </v:textbox>
          <w10:wrap type="none"/>
        </v:shape>
      </w:pict>
    </w:r>
    <w:r>
      <w:rPr/>
      <w:pict>
        <v:shape style="position:absolute;margin-left:472.25061pt;margin-top:807.219788pt;width:78.7pt;height:8.5pt;mso-position-horizontal-relative:page;mso-position-vertical-relative:page;z-index:-332992"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968"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1.027527pt;margin-top:807.219788pt;width:11.1pt;height:8.5pt;mso-position-horizontal-relative:page;mso-position-vertical-relative:page;z-index:-332944"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33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10.1pt;height:8.5pt;mso-position-horizontal-relative:page;mso-position-vertical-relative:page;z-index:-332920" type="#_x0000_t202" filled="false" stroked="false">
          <v:textbox inset="0,0,0,0">
            <w:txbxContent>
              <w:p>
                <w:pPr>
                  <w:spacing w:line="153" w:lineRule="exact" w:before="0"/>
                  <w:ind w:left="20" w:right="0" w:firstLine="0"/>
                  <w:jc w:val="left"/>
                  <w:rPr>
                    <w:sz w:val="13"/>
                  </w:rPr>
                </w:pPr>
                <w:r>
                  <w:rPr>
                    <w:w w:val="105"/>
                    <w:sz w:val="13"/>
                  </w:rPr>
                  <w:t>40</w:t>
                </w:r>
              </w:p>
            </w:txbxContent>
          </v:textbox>
          <w10:wrap type="none"/>
        </v:shape>
      </w:pict>
    </w:r>
    <w:r>
      <w:rPr/>
      <w:pict>
        <v:shape style="position:absolute;margin-left:472.25061pt;margin-top:807.219788pt;width:78.7pt;height:8.5pt;mso-position-horizontal-relative:page;mso-position-vertical-relative:page;z-index:-332896"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872"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2.271484pt;margin-top:807.219788pt;width:9.7pt;height:8.5pt;mso-position-horizontal-relative:page;mso-position-vertical-relative:page;z-index:-332848" type="#_x0000_t202" filled="false" stroked="false">
          <v:textbox inset="0,0,0,0">
            <w:txbxContent>
              <w:p>
                <w:pPr>
                  <w:spacing w:line="153" w:lineRule="exact" w:before="0"/>
                  <w:ind w:left="40" w:right="0" w:firstLine="0"/>
                  <w:jc w:val="left"/>
                  <w:rPr>
                    <w:sz w:val="13"/>
                  </w:rPr>
                </w:pPr>
                <w:r>
                  <w:rPr>
                    <w:w w:val="90"/>
                    <w:sz w:val="13"/>
                  </w:rPr>
                  <w:t>41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12pt;height:8.5pt;mso-position-horizontal-relative:page;mso-position-vertical-relative:page;z-index:-332824" type="#_x0000_t202" filled="false" stroked="false">
          <v:textbox inset="0,0,0,0">
            <w:txbxContent>
              <w:p>
                <w:pPr>
                  <w:spacing w:line="153" w:lineRule="exact" w:before="0"/>
                  <w:ind w:left="40" w:right="0" w:firstLine="0"/>
                  <w:jc w:val="left"/>
                  <w:rPr>
                    <w:sz w:val="13"/>
                  </w:rPr>
                </w:pPr>
                <w:r>
                  <w:rPr/>
                  <w:fldChar w:fldCharType="begin"/>
                </w:r>
                <w:r>
                  <w:rPr>
                    <w:w w:val="105"/>
                    <w:sz w:val="13"/>
                  </w:rPr>
                  <w:instrText> PAGE </w:instrText>
                </w:r>
                <w:r>
                  <w:rPr/>
                  <w:fldChar w:fldCharType="separate"/>
                </w:r>
                <w:r>
                  <w:rPr/>
                  <w:t>44</w:t>
                </w:r>
                <w:r>
                  <w:rPr/>
                  <w:fldChar w:fldCharType="end"/>
                </w:r>
              </w:p>
            </w:txbxContent>
          </v:textbox>
          <w10:wrap type="none"/>
        </v:shape>
      </w:pict>
    </w:r>
    <w:r>
      <w:rPr/>
      <w:pict>
        <v:shape style="position:absolute;margin-left:472.25061pt;margin-top:807.219788pt;width:78.7pt;height:8.5pt;mso-position-horizontal-relative:page;mso-position-vertical-relative:page;z-index:-332800"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776"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0.767517pt;margin-top:807.219788pt;width:11.3pt;height:8.5pt;mso-position-horizontal-relative:page;mso-position-vertical-relative:page;z-index:-332752"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43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9.75pt;height:8.5pt;mso-position-horizontal-relative:page;mso-position-vertical-relative:page;z-index:-332728" type="#_x0000_t202" filled="false" stroked="false">
          <v:textbox inset="0,0,0,0">
            <w:txbxContent>
              <w:p>
                <w:pPr>
                  <w:spacing w:line="153" w:lineRule="exact" w:before="0"/>
                  <w:ind w:left="20" w:right="0" w:firstLine="0"/>
                  <w:jc w:val="left"/>
                  <w:rPr>
                    <w:sz w:val="13"/>
                  </w:rPr>
                </w:pPr>
                <w:r>
                  <w:rPr>
                    <w:w w:val="105"/>
                    <w:sz w:val="13"/>
                  </w:rPr>
                  <w:t>50</w:t>
                </w:r>
              </w:p>
            </w:txbxContent>
          </v:textbox>
          <w10:wrap type="none"/>
        </v:shape>
      </w:pict>
    </w:r>
    <w:r>
      <w:rPr/>
      <w:pict>
        <v:shape style="position:absolute;margin-left:472.25061pt;margin-top:807.219788pt;width:78.7pt;height:8.5pt;mso-position-horizontal-relative:page;mso-position-vertical-relative:page;z-index:-332704"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3544"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0.573792pt;margin-top:807.219788pt;width:11.65pt;height:8.5pt;mso-position-horizontal-relative:page;mso-position-vertical-relative:page;z-index:-333520" type="#_x0000_t202" filled="false" stroked="false">
          <v:textbox inset="0,0,0,0">
            <w:txbxContent>
              <w:p>
                <w:pPr>
                  <w:spacing w:line="153" w:lineRule="exact" w:before="0"/>
                  <w:ind w:left="44" w:right="0" w:firstLine="0"/>
                  <w:jc w:val="left"/>
                  <w:rPr>
                    <w:sz w:val="13"/>
                  </w:rPr>
                </w:pPr>
                <w:r>
                  <w:rPr/>
                  <w:fldChar w:fldCharType="begin"/>
                </w:r>
                <w:r>
                  <w:rPr>
                    <w:sz w:val="13"/>
                  </w:rPr>
                  <w:instrText> PAGE </w:instrText>
                </w:r>
                <w:r>
                  <w:rPr/>
                  <w:fldChar w:fldCharType="separate"/>
                </w:r>
                <w:r>
                  <w:rPr/>
                  <w:t>29</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680"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2.396423pt;margin-top:807.219788pt;width:9.75pt;height:8.5pt;mso-position-horizontal-relative:page;mso-position-vertical-relative:page;z-index:-332656" type="#_x0000_t202" filled="false" stroked="false">
          <v:textbox inset="0,0,0,0">
            <w:txbxContent>
              <w:p>
                <w:pPr>
                  <w:spacing w:line="153" w:lineRule="exact" w:before="0"/>
                  <w:ind w:left="40" w:right="0" w:firstLine="0"/>
                  <w:jc w:val="left"/>
                  <w:rPr>
                    <w:sz w:val="13"/>
                  </w:rPr>
                </w:pPr>
                <w:r>
                  <w:rPr>
                    <w:w w:val="85"/>
                    <w:sz w:val="13"/>
                  </w:rPr>
                  <w:t>51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11.65pt;height:8.5pt;mso-position-horizontal-relative:page;mso-position-vertical-relative:page;z-index:-332632"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54</w:t>
                </w:r>
                <w:r>
                  <w:rPr/>
                  <w:fldChar w:fldCharType="end"/>
                </w:r>
              </w:p>
            </w:txbxContent>
          </v:textbox>
          <w10:wrap type="none"/>
        </v:shape>
      </w:pict>
    </w:r>
    <w:r>
      <w:rPr/>
      <w:pict>
        <v:shape style="position:absolute;margin-left:472.25061pt;margin-top:807.219788pt;width:78.7pt;height:8.5pt;mso-position-horizontal-relative:page;mso-position-vertical-relative:page;z-index:-332608"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584"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0.998901pt;margin-top:807.219788pt;width:11.15pt;height:8.5pt;mso-position-horizontal-relative:page;mso-position-vertical-relative:page;z-index:-332560"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53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9.950pt;height:8.5pt;mso-position-horizontal-relative:page;mso-position-vertical-relative:page;z-index:-332536" type="#_x0000_t202" filled="false" stroked="false">
          <v:textbox inset="0,0,0,0">
            <w:txbxContent>
              <w:p>
                <w:pPr>
                  <w:spacing w:line="153" w:lineRule="exact" w:before="0"/>
                  <w:ind w:left="20" w:right="0" w:firstLine="0"/>
                  <w:jc w:val="left"/>
                  <w:rPr>
                    <w:sz w:val="13"/>
                  </w:rPr>
                </w:pPr>
                <w:r>
                  <w:rPr>
                    <w:w w:val="105"/>
                    <w:sz w:val="13"/>
                  </w:rPr>
                  <w:t>60</w:t>
                </w:r>
              </w:p>
            </w:txbxContent>
          </v:textbox>
          <w10:wrap type="none"/>
        </v:shape>
      </w:pict>
    </w:r>
    <w:r>
      <w:rPr/>
      <w:pict>
        <v:shape style="position:absolute;margin-left:472.25061pt;margin-top:807.219788pt;width:78.7pt;height:8.5pt;mso-position-horizontal-relative:page;mso-position-vertical-relative:page;z-index:-332512"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488"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2.181274pt;margin-top:807.219788pt;width:10pt;height:8.5pt;mso-position-horizontal-relative:page;mso-position-vertical-relative:page;z-index:-332464" type="#_x0000_t202" filled="false" stroked="false">
          <v:textbox inset="0,0,0,0">
            <w:txbxContent>
              <w:p>
                <w:pPr>
                  <w:spacing w:line="153" w:lineRule="exact" w:before="0"/>
                  <w:ind w:left="40" w:right="0" w:firstLine="0"/>
                  <w:jc w:val="left"/>
                  <w:rPr>
                    <w:sz w:val="13"/>
                  </w:rPr>
                </w:pPr>
                <w:r>
                  <w:rPr>
                    <w:w w:val="90"/>
                    <w:sz w:val="13"/>
                  </w:rPr>
                  <w:t>61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11.85pt;height:8.5pt;mso-position-horizontal-relative:page;mso-position-vertical-relative:page;z-index:-332440" type="#_x0000_t202" filled="false" stroked="false">
          <v:textbox inset="0,0,0,0">
            <w:txbxContent>
              <w:p>
                <w:pPr>
                  <w:spacing w:line="153" w:lineRule="exact" w:before="0"/>
                  <w:ind w:left="40" w:right="0" w:firstLine="0"/>
                  <w:jc w:val="left"/>
                  <w:rPr>
                    <w:sz w:val="13"/>
                  </w:rPr>
                </w:pPr>
                <w:r>
                  <w:rPr/>
                  <w:fldChar w:fldCharType="begin"/>
                </w:r>
                <w:r>
                  <w:rPr>
                    <w:w w:val="105"/>
                    <w:sz w:val="13"/>
                  </w:rPr>
                  <w:instrText> PAGE </w:instrText>
                </w:r>
                <w:r>
                  <w:rPr/>
                  <w:fldChar w:fldCharType="separate"/>
                </w:r>
                <w:r>
                  <w:rPr/>
                  <w:t>64</w:t>
                </w:r>
                <w:r>
                  <w:rPr/>
                  <w:fldChar w:fldCharType="end"/>
                </w:r>
              </w:p>
            </w:txbxContent>
          </v:textbox>
          <w10:wrap type="none"/>
        </v:shape>
      </w:pict>
    </w:r>
    <w:r>
      <w:rPr/>
      <w:pict>
        <v:shape style="position:absolute;margin-left:472.25061pt;margin-top:807.219788pt;width:78.7pt;height:8.5pt;mso-position-horizontal-relative:page;mso-position-vertical-relative:page;z-index:-332416"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392"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0.789612pt;margin-top:807.219788pt;width:11.35pt;height:8.5pt;mso-position-horizontal-relative:page;mso-position-vertical-relative:page;z-index:-332368"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63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9.25pt;height:8.5pt;mso-position-horizontal-relative:page;mso-position-vertical-relative:page;z-index:-332344" type="#_x0000_t202" filled="false" stroked="false">
          <v:textbox inset="0,0,0,0">
            <w:txbxContent>
              <w:p>
                <w:pPr>
                  <w:spacing w:line="153" w:lineRule="exact" w:before="0"/>
                  <w:ind w:left="20" w:right="0" w:firstLine="0"/>
                  <w:jc w:val="left"/>
                  <w:rPr>
                    <w:sz w:val="13"/>
                  </w:rPr>
                </w:pPr>
                <w:r>
                  <w:rPr>
                    <w:sz w:val="13"/>
                  </w:rPr>
                  <w:t>70</w:t>
                </w:r>
              </w:p>
            </w:txbxContent>
          </v:textbox>
          <w10:wrap type="none"/>
        </v:shape>
      </w:pict>
    </w:r>
    <w:r>
      <w:rPr/>
      <w:pict>
        <v:shape style="position:absolute;margin-left:472.25061pt;margin-top:807.219788pt;width:78.7pt;height:8.5pt;mso-position-horizontal-relative:page;mso-position-vertical-relative:page;z-index:-332320"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296"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0.512817pt;margin-top:807.219788pt;width:11.65pt;height:8.5pt;mso-position-horizontal-relative:page;mso-position-vertical-relative:page;z-index:-332272" type="#_x0000_t202" filled="false" stroked="false">
          <v:textbox inset="0,0,0,0">
            <w:txbxContent>
              <w:p>
                <w:pPr>
                  <w:spacing w:line="153" w:lineRule="exact" w:before="0"/>
                  <w:ind w:left="40" w:right="0" w:firstLine="0"/>
                  <w:jc w:val="left"/>
                  <w:rPr>
                    <w:sz w:val="13"/>
                  </w:rPr>
                </w:pPr>
                <w:r>
                  <w:rPr>
                    <w:sz w:val="13"/>
                  </w:rPr>
                  <w:t>99</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11pt;height:8.5pt;mso-position-horizontal-relative:page;mso-position-vertical-relative:page;z-index:-332248"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78</w:t>
                </w:r>
                <w:r>
                  <w:rPr/>
                  <w:fldChar w:fldCharType="end"/>
                </w:r>
              </w:p>
            </w:txbxContent>
          </v:textbox>
          <w10:wrap type="none"/>
        </v:shape>
      </w:pict>
    </w:r>
    <w:r>
      <w:rPr/>
      <w:pict>
        <v:shape style="position:absolute;margin-left:472.25061pt;margin-top:807.219788pt;width:78.7pt;height:8.5pt;mso-position-horizontal-relative:page;mso-position-vertical-relative:page;z-index:-332224"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8.3pt;height:8.5pt;mso-position-horizontal-relative:page;mso-position-vertical-relative:page;z-index:-333496" type="#_x0000_t202" filled="false" stroked="false">
          <v:textbox inset="0,0,0,0">
            <w:txbxContent>
              <w:p>
                <w:pPr>
                  <w:spacing w:line="153" w:lineRule="exact" w:before="0"/>
                  <w:ind w:left="20" w:right="-2" w:firstLine="0"/>
                  <w:jc w:val="left"/>
                  <w:rPr>
                    <w:sz w:val="13"/>
                  </w:rPr>
                </w:pPr>
                <w:r>
                  <w:rPr>
                    <w:w w:val="90"/>
                    <w:sz w:val="13"/>
                  </w:rPr>
                  <w:t>10</w:t>
                </w:r>
              </w:p>
            </w:txbxContent>
          </v:textbox>
          <w10:wrap type="none"/>
        </v:shape>
      </w:pict>
    </w:r>
    <w:r>
      <w:rPr/>
      <w:pict>
        <v:shape style="position:absolute;margin-left:472.25061pt;margin-top:807.219788pt;width:78.7pt;height:8.5pt;mso-position-horizontal-relative:page;mso-position-vertical-relative:page;z-index:-333472"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200"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1.106689pt;margin-top:807.219788pt;width:11.05pt;height:8.5pt;mso-position-horizontal-relative:page;mso-position-vertical-relative:page;z-index:-332176"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73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9.950pt;height:8.5pt;mso-position-horizontal-relative:page;mso-position-vertical-relative:page;z-index:-332152" type="#_x0000_t202" filled="false" stroked="false">
          <v:textbox inset="0,0,0,0">
            <w:txbxContent>
              <w:p>
                <w:pPr>
                  <w:spacing w:line="153" w:lineRule="exact" w:before="0"/>
                  <w:ind w:left="20" w:right="0" w:firstLine="0"/>
                  <w:jc w:val="left"/>
                  <w:rPr>
                    <w:sz w:val="13"/>
                  </w:rPr>
                </w:pPr>
                <w:r>
                  <w:rPr>
                    <w:w w:val="105"/>
                    <w:sz w:val="13"/>
                  </w:rPr>
                  <w:t>80</w:t>
                </w:r>
              </w:p>
            </w:txbxContent>
          </v:textbox>
          <w10:wrap type="none"/>
        </v:shape>
      </w:pict>
    </w:r>
    <w:r>
      <w:rPr/>
      <w:pict>
        <v:shape style="position:absolute;margin-left:472.25061pt;margin-top:807.219788pt;width:78.7pt;height:8.5pt;mso-position-horizontal-relative:page;mso-position-vertical-relative:page;z-index:-332128"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104"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2.294312pt;margin-top:807.219788pt;width:9.85pt;height:8.5pt;mso-position-horizontal-relative:page;mso-position-vertical-relative:page;z-index:-332080" type="#_x0000_t202" filled="false" stroked="false">
          <v:textbox inset="0,0,0,0">
            <w:txbxContent>
              <w:p>
                <w:pPr>
                  <w:spacing w:line="153" w:lineRule="exact" w:before="0"/>
                  <w:ind w:left="40" w:right="0" w:firstLine="0"/>
                  <w:jc w:val="left"/>
                  <w:rPr>
                    <w:sz w:val="13"/>
                  </w:rPr>
                </w:pPr>
                <w:r>
                  <w:rPr>
                    <w:w w:val="85"/>
                    <w:sz w:val="13"/>
                  </w:rPr>
                  <w:t>81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11.8pt;height:8.5pt;mso-position-horizontal-relative:page;mso-position-vertical-relative:page;z-index:-332056"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84</w:t>
                </w:r>
                <w:r>
                  <w:rPr/>
                  <w:fldChar w:fldCharType="end"/>
                </w:r>
              </w:p>
            </w:txbxContent>
          </v:textbox>
          <w10:wrap type="none"/>
        </v:shape>
      </w:pict>
    </w:r>
    <w:r>
      <w:rPr/>
      <w:pict>
        <v:shape style="position:absolute;margin-left:472.25061pt;margin-top:807.219788pt;width:78.7pt;height:8.5pt;mso-position-horizontal-relative:page;mso-position-vertical-relative:page;z-index:-332032"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2008"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0.840210pt;margin-top:807.219788pt;width:11.35pt;height:8.5pt;mso-position-horizontal-relative:page;mso-position-vertical-relative:page;z-index:-331984"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83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10.050pt;height:8.5pt;mso-position-horizontal-relative:page;mso-position-vertical-relative:page;z-index:-331960" type="#_x0000_t202" filled="false" stroked="false">
          <v:textbox inset="0,0,0,0">
            <w:txbxContent>
              <w:p>
                <w:pPr>
                  <w:spacing w:line="153" w:lineRule="exact" w:before="0"/>
                  <w:ind w:left="20" w:right="0" w:firstLine="0"/>
                  <w:jc w:val="left"/>
                  <w:rPr>
                    <w:sz w:val="13"/>
                  </w:rPr>
                </w:pPr>
                <w:r>
                  <w:rPr>
                    <w:w w:val="105"/>
                    <w:sz w:val="13"/>
                  </w:rPr>
                  <w:t>90</w:t>
                </w:r>
              </w:p>
            </w:txbxContent>
          </v:textbox>
          <w10:wrap type="none"/>
        </v:shape>
      </w:pict>
    </w:r>
    <w:r>
      <w:rPr/>
      <w:pict>
        <v:shape style="position:absolute;margin-left:472.25061pt;margin-top:807.219788pt;width:78.7pt;height:8.5pt;mso-position-horizontal-relative:page;mso-position-vertical-relative:page;z-index:-331936"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1912"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2.234619pt;margin-top:807.219788pt;width:9.85pt;height:8.5pt;mso-position-horizontal-relative:page;mso-position-vertical-relative:page;z-index:-331888" type="#_x0000_t202" filled="false" stroked="false">
          <v:textbox inset="0,0,0,0">
            <w:txbxContent>
              <w:p>
                <w:pPr>
                  <w:spacing w:line="153" w:lineRule="exact" w:before="0"/>
                  <w:ind w:left="40" w:right="0" w:firstLine="0"/>
                  <w:jc w:val="left"/>
                  <w:rPr>
                    <w:sz w:val="13"/>
                  </w:rPr>
                </w:pPr>
                <w:r>
                  <w:rPr>
                    <w:w w:val="90"/>
                    <w:sz w:val="13"/>
                  </w:rPr>
                  <w:t>91</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11.75pt;height:8.5pt;mso-position-horizontal-relative:page;mso-position-vertical-relative:page;z-index:-331864"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96</w:t>
                </w:r>
                <w:r>
                  <w:rPr/>
                  <w:fldChar w:fldCharType="end"/>
                </w:r>
              </w:p>
            </w:txbxContent>
          </v:textbox>
          <w10:wrap type="none"/>
        </v:shape>
      </w:pict>
    </w:r>
    <w:r>
      <w:rPr/>
      <w:pict>
        <v:shape style="position:absolute;margin-left:472.25061pt;margin-top:807.219788pt;width:78.7pt;height:8.5pt;mso-position-horizontal-relative:page;mso-position-vertical-relative:page;z-index:-331840"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1816"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0.901428pt;margin-top:807.219788pt;width:11.1pt;height:8.5pt;mso-position-horizontal-relative:page;mso-position-vertical-relative:page;z-index:-331792"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93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14.3pt;height:8.5pt;mso-position-horizontal-relative:page;mso-position-vertical-relative:page;z-index:-331768" type="#_x0000_t202" filled="false" stroked="false">
          <v:textbox inset="0,0,0,0">
            <w:txbxContent>
              <w:p>
                <w:pPr>
                  <w:spacing w:line="153" w:lineRule="exact" w:before="0"/>
                  <w:ind w:left="40" w:right="0" w:firstLine="0"/>
                  <w:jc w:val="left"/>
                  <w:rPr>
                    <w:sz w:val="13"/>
                  </w:rPr>
                </w:pPr>
                <w:r>
                  <w:rPr/>
                  <w:fldChar w:fldCharType="begin"/>
                </w:r>
                <w:r>
                  <w:rPr>
                    <w:w w:val="95"/>
                    <w:sz w:val="13"/>
                  </w:rPr>
                  <w:instrText> PAGE </w:instrText>
                </w:r>
                <w:r>
                  <w:rPr/>
                  <w:fldChar w:fldCharType="separate"/>
                </w:r>
                <w:r>
                  <w:rPr/>
                  <w:t>100</w:t>
                </w:r>
                <w:r>
                  <w:rPr/>
                  <w:fldChar w:fldCharType="end"/>
                </w:r>
              </w:p>
            </w:txbxContent>
          </v:textbox>
          <w10:wrap type="none"/>
        </v:shape>
      </w:pict>
    </w:r>
    <w:r>
      <w:rPr/>
      <w:pict>
        <v:shape style="position:absolute;margin-left:472.25061pt;margin-top:807.219788pt;width:78.7pt;height:8.5pt;mso-position-horizontal-relative:page;mso-position-vertical-relative:page;z-index:-331744"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3448"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3.896484pt;margin-top:807.219788pt;width:8.2pt;height:8.5pt;mso-position-horizontal-relative:page;mso-position-vertical-relative:page;z-index:-333424" type="#_x0000_t202" filled="false" stroked="false">
          <v:textbox inset="0,0,0,0">
            <w:txbxContent>
              <w:p>
                <w:pPr>
                  <w:spacing w:line="153" w:lineRule="exact" w:before="0"/>
                  <w:ind w:left="40" w:right="0" w:firstLine="0"/>
                  <w:jc w:val="left"/>
                  <w:rPr>
                    <w:sz w:val="13"/>
                  </w:rPr>
                </w:pPr>
                <w:r>
                  <w:rPr>
                    <w:w w:val="65"/>
                    <w:sz w:val="13"/>
                  </w:rPr>
                  <w:t>11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9.950pt;height:8.5pt;mso-position-horizontal-relative:page;mso-position-vertical-relative:page;z-index:-333400" type="#_x0000_t202" filled="false" stroked="false">
          <v:textbox inset="0,0,0,0">
            <w:txbxContent>
              <w:p>
                <w:pPr>
                  <w:spacing w:line="153" w:lineRule="exact" w:before="0"/>
                  <w:ind w:left="40" w:right="0" w:firstLine="0"/>
                  <w:jc w:val="left"/>
                  <w:rPr>
                    <w:sz w:val="13"/>
                  </w:rPr>
                </w:pPr>
                <w:r>
                  <w:rPr/>
                  <w:fldChar w:fldCharType="begin"/>
                </w:r>
                <w:r>
                  <w:rPr>
                    <w:w w:val="85"/>
                    <w:sz w:val="13"/>
                  </w:rPr>
                  <w:instrText> PAGE </w:instrText>
                </w:r>
                <w:r>
                  <w:rPr/>
                  <w:fldChar w:fldCharType="separate"/>
                </w:r>
                <w:r>
                  <w:rPr/>
                  <w:t>18</w:t>
                </w:r>
                <w:r>
                  <w:rPr/>
                  <w:fldChar w:fldCharType="end"/>
                </w:r>
              </w:p>
            </w:txbxContent>
          </v:textbox>
          <w10:wrap type="none"/>
        </v:shape>
      </w:pict>
    </w:r>
    <w:r>
      <w:rPr/>
      <w:pict>
        <v:shape style="position:absolute;margin-left:472.25061pt;margin-top:807.219788pt;width:78.7pt;height:8.5pt;mso-position-horizontal-relative:page;mso-position-vertical-relative:page;z-index:-333376"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3352"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2.501587pt;margin-top:807.219788pt;width:9.6pt;height:8.5pt;mso-position-horizontal-relative:page;mso-position-vertical-relative:page;z-index:-333328" type="#_x0000_t202" filled="false" stroked="false">
          <v:textbox inset="0,0,0,0">
            <w:txbxContent>
              <w:p>
                <w:pPr>
                  <w:spacing w:line="153" w:lineRule="exact" w:before="0"/>
                  <w:ind w:left="40" w:right="0" w:firstLine="0"/>
                  <w:jc w:val="left"/>
                  <w:rPr>
                    <w:sz w:val="13"/>
                  </w:rPr>
                </w:pPr>
                <w:r>
                  <w:rPr/>
                  <w:fldChar w:fldCharType="begin"/>
                </w:r>
                <w:r>
                  <w:rPr>
                    <w:w w:val="85"/>
                    <w:sz w:val="13"/>
                  </w:rPr>
                  <w:instrText> PAGE </w:instrText>
                </w:r>
                <w:r>
                  <w:rPr/>
                  <w:fldChar w:fldCharType="separate"/>
                </w:r>
                <w:r>
                  <w:rPr/>
                  <w:t>13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9.6pt;height:8.5pt;mso-position-horizontal-relative:page;mso-position-vertical-relative:page;z-index:-333304" type="#_x0000_t202" filled="false" stroked="false">
          <v:textbox inset="0,0,0,0">
            <w:txbxContent>
              <w:p>
                <w:pPr>
                  <w:spacing w:line="153" w:lineRule="exact" w:before="0"/>
                  <w:ind w:left="20" w:right="0" w:firstLine="0"/>
                  <w:jc w:val="left"/>
                  <w:rPr>
                    <w:sz w:val="13"/>
                  </w:rPr>
                </w:pPr>
                <w:r>
                  <w:rPr>
                    <w:sz w:val="13"/>
                  </w:rPr>
                  <w:t>20</w:t>
                </w:r>
              </w:p>
            </w:txbxContent>
          </v:textbox>
          <w10:wrap type="none"/>
        </v:shape>
      </w:pict>
    </w:r>
    <w:r>
      <w:rPr/>
      <w:pict>
        <v:shape style="position:absolute;margin-left:472.25061pt;margin-top:807.219788pt;width:78.7pt;height:8.5pt;mso-position-horizontal-relative:page;mso-position-vertical-relative:page;z-index:-333280"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807.219788pt;width:66.1pt;height:8.5pt;mso-position-horizontal-relative:page;mso-position-vertical-relative:page;z-index:-333256" type="#_x0000_t202" filled="false" stroked="false">
          <v:textbox inset="0,0,0,0">
            <w:txbxContent>
              <w:p>
                <w:pPr>
                  <w:spacing w:line="153" w:lineRule="exact" w:before="0"/>
                  <w:ind w:left="20" w:right="-5" w:firstLine="0"/>
                  <w:jc w:val="left"/>
                  <w:rPr>
                    <w:sz w:val="13"/>
                  </w:rPr>
                </w:pPr>
                <w:r>
                  <w:rPr>
                    <w:sz w:val="13"/>
                  </w:rPr>
                  <w:t>westernsydney.edu.au</w:t>
                </w:r>
              </w:p>
            </w:txbxContent>
          </v:textbox>
          <w10:wrap type="none"/>
        </v:shape>
      </w:pict>
    </w:r>
    <w:r>
      <w:rPr/>
      <w:pict>
        <v:shape style="position:absolute;margin-left:542.455505pt;margin-top:807.219788pt;width:9.7pt;height:8.5pt;mso-position-horizontal-relative:page;mso-position-vertical-relative:page;z-index:-333232" type="#_x0000_t202" filled="false" stroked="false">
          <v:textbox inset="0,0,0,0">
            <w:txbxContent>
              <w:p>
                <w:pPr>
                  <w:spacing w:line="153" w:lineRule="exact" w:before="0"/>
                  <w:ind w:left="40" w:right="0" w:firstLine="0"/>
                  <w:jc w:val="left"/>
                  <w:rPr>
                    <w:sz w:val="13"/>
                  </w:rPr>
                </w:pPr>
                <w:r>
                  <w:rPr>
                    <w:w w:val="85"/>
                    <w:sz w:val="13"/>
                  </w:rPr>
                  <w:t>21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54301pt;margin-top:807.219788pt;width:11.25pt;height:8.5pt;mso-position-horizontal-relative:page;mso-position-vertical-relative:page;z-index:-333208" type="#_x0000_t202" filled="false" stroked="false">
          <v:textbox inset="0,0,0,0">
            <w:txbxContent>
              <w:p>
                <w:pPr>
                  <w:spacing w:line="153" w:lineRule="exact" w:before="0"/>
                  <w:ind w:left="40" w:right="0" w:firstLine="0"/>
                  <w:jc w:val="left"/>
                  <w:rPr>
                    <w:sz w:val="13"/>
                  </w:rPr>
                </w:pPr>
                <w:r>
                  <w:rPr/>
                  <w:fldChar w:fldCharType="begin"/>
                </w:r>
                <w:r>
                  <w:rPr>
                    <w:sz w:val="13"/>
                  </w:rPr>
                  <w:instrText> PAGE </w:instrText>
                </w:r>
                <w:r>
                  <w:rPr/>
                  <w:fldChar w:fldCharType="separate"/>
                </w:r>
                <w:r>
                  <w:rPr/>
                  <w:t>26</w:t>
                </w:r>
                <w:r>
                  <w:rPr/>
                  <w:fldChar w:fldCharType="end"/>
                </w:r>
              </w:p>
            </w:txbxContent>
          </v:textbox>
          <w10:wrap type="none"/>
        </v:shape>
      </w:pict>
    </w:r>
    <w:r>
      <w:rPr/>
      <w:pict>
        <v:shape style="position:absolute;margin-left:472.25061pt;margin-top:807.219788pt;width:78.7pt;height:8.5pt;mso-position-horizontal-relative:page;mso-position-vertical-relative:page;z-index:-333184" type="#_x0000_t202" filled="false" stroked="false">
          <v:textbox inset="0,0,0,0">
            <w:txbxContent>
              <w:p>
                <w:pPr>
                  <w:spacing w:line="153" w:lineRule="exact" w:before="0"/>
                  <w:ind w:left="20" w:right="-1" w:firstLine="0"/>
                  <w:jc w:val="left"/>
                  <w:rPr>
                    <w:sz w:val="13"/>
                  </w:rPr>
                </w:pPr>
                <w:r>
                  <w:rPr>
                    <w:sz w:val="13"/>
                  </w:rPr>
                  <w:t>Western Sydney University</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54301pt;margin-top:27.22291pt;width:71.25pt;height:8.5pt;mso-position-horizontal-relative:page;mso-position-vertical-relative:page;z-index:-333640" type="#_x0000_t202" filled="false" stroked="false">
          <v:textbox inset="0,0,0,0">
            <w:txbxContent>
              <w:p>
                <w:pPr>
                  <w:spacing w:line="153" w:lineRule="exact" w:before="0"/>
                  <w:ind w:left="20" w:right="0" w:firstLine="0"/>
                  <w:jc w:val="left"/>
                  <w:rPr>
                    <w:sz w:val="13"/>
                  </w:rPr>
                </w:pPr>
                <w:r>
                  <w:rPr>
                    <w:spacing w:val="6"/>
                    <w:w w:val="112"/>
                    <w:sz w:val="13"/>
                  </w:rPr>
                  <w:t>A</w:t>
                </w:r>
                <w:r>
                  <w:rPr>
                    <w:spacing w:val="7"/>
                    <w:w w:val="101"/>
                    <w:sz w:val="13"/>
                  </w:rPr>
                  <w:t>NN</w:t>
                </w:r>
                <w:r>
                  <w:rPr>
                    <w:spacing w:val="3"/>
                    <w:w w:val="105"/>
                    <w:sz w:val="13"/>
                  </w:rPr>
                  <w:t>U</w:t>
                </w:r>
                <w:r>
                  <w:rPr>
                    <w:spacing w:val="6"/>
                    <w:w w:val="105"/>
                    <w:sz w:val="13"/>
                  </w:rPr>
                  <w:t>A</w:t>
                </w:r>
                <w:r>
                  <w:rPr>
                    <w:w w:val="103"/>
                    <w:sz w:val="13"/>
                  </w:rPr>
                  <w:t>L</w:t>
                </w:r>
                <w:r>
                  <w:rPr>
                    <w:spacing w:val="-4"/>
                    <w:sz w:val="13"/>
                  </w:rPr>
                  <w:t> </w:t>
                </w:r>
                <w:r>
                  <w:rPr>
                    <w:spacing w:val="7"/>
                    <w:w w:val="99"/>
                    <w:sz w:val="13"/>
                  </w:rPr>
                  <w:t>R</w:t>
                </w:r>
                <w:r>
                  <w:rPr>
                    <w:spacing w:val="5"/>
                    <w:w w:val="100"/>
                    <w:sz w:val="13"/>
                  </w:rPr>
                  <w:t>E</w:t>
                </w:r>
                <w:r>
                  <w:rPr>
                    <w:spacing w:val="7"/>
                    <w:w w:val="104"/>
                    <w:sz w:val="13"/>
                  </w:rPr>
                  <w:t>P</w:t>
                </w:r>
                <w:r>
                  <w:rPr>
                    <w:spacing w:val="7"/>
                    <w:w w:val="100"/>
                    <w:sz w:val="13"/>
                  </w:rPr>
                  <w:t>O</w:t>
                </w:r>
                <w:r>
                  <w:rPr>
                    <w:spacing w:val="4"/>
                    <w:w w:val="99"/>
                    <w:sz w:val="13"/>
                  </w:rPr>
                  <w:t>R</w:t>
                </w:r>
                <w:r>
                  <w:rPr>
                    <w:w w:val="92"/>
                    <w:sz w:val="13"/>
                  </w:rPr>
                  <w:t>T</w:t>
                </w:r>
                <w:r>
                  <w:rPr>
                    <w:spacing w:val="-4"/>
                    <w:sz w:val="13"/>
                  </w:rPr>
                  <w:t> </w:t>
                </w:r>
                <w:r>
                  <w:rPr>
                    <w:spacing w:val="6"/>
                    <w:w w:val="93"/>
                    <w:sz w:val="13"/>
                  </w:rPr>
                  <w:t>2</w:t>
                </w:r>
                <w:r>
                  <w:rPr>
                    <w:spacing w:val="5"/>
                    <w:w w:val="111"/>
                    <w:sz w:val="13"/>
                  </w:rPr>
                  <w:t>0</w:t>
                </w:r>
                <w:r>
                  <w:rPr>
                    <w:spacing w:val="6"/>
                    <w:w w:val="54"/>
                    <w:sz w:val="13"/>
                  </w:rPr>
                  <w:t>1</w:t>
                </w:r>
                <w:r>
                  <w:rPr>
                    <w:w w:val="95"/>
                    <w:sz w:val="13"/>
                  </w:rPr>
                  <w:t>5</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9.685303pt;margin-top:27.21981pt;width:71.25pt;height:8.5pt;mso-position-horizontal-relative:page;mso-position-vertical-relative:page;z-index:-333616" type="#_x0000_t202" filled="false" stroked="false">
          <v:textbox inset="0,0,0,0">
            <w:txbxContent>
              <w:p>
                <w:pPr>
                  <w:spacing w:line="153" w:lineRule="exact" w:before="0"/>
                  <w:ind w:left="20" w:right="0" w:firstLine="0"/>
                  <w:jc w:val="left"/>
                  <w:rPr>
                    <w:sz w:val="13"/>
                  </w:rPr>
                </w:pPr>
                <w:r>
                  <w:rPr>
                    <w:spacing w:val="6"/>
                    <w:w w:val="112"/>
                    <w:sz w:val="13"/>
                  </w:rPr>
                  <w:t>A</w:t>
                </w:r>
                <w:r>
                  <w:rPr>
                    <w:spacing w:val="7"/>
                    <w:w w:val="101"/>
                    <w:sz w:val="13"/>
                  </w:rPr>
                  <w:t>NN</w:t>
                </w:r>
                <w:r>
                  <w:rPr>
                    <w:spacing w:val="3"/>
                    <w:w w:val="105"/>
                    <w:sz w:val="13"/>
                  </w:rPr>
                  <w:t>U</w:t>
                </w:r>
                <w:r>
                  <w:rPr>
                    <w:spacing w:val="6"/>
                    <w:w w:val="105"/>
                    <w:sz w:val="13"/>
                  </w:rPr>
                  <w:t>A</w:t>
                </w:r>
                <w:r>
                  <w:rPr>
                    <w:w w:val="103"/>
                    <w:sz w:val="13"/>
                  </w:rPr>
                  <w:t>L</w:t>
                </w:r>
                <w:r>
                  <w:rPr>
                    <w:spacing w:val="-4"/>
                    <w:sz w:val="13"/>
                  </w:rPr>
                  <w:t> </w:t>
                </w:r>
                <w:r>
                  <w:rPr>
                    <w:spacing w:val="7"/>
                    <w:w w:val="99"/>
                    <w:sz w:val="13"/>
                  </w:rPr>
                  <w:t>R</w:t>
                </w:r>
                <w:r>
                  <w:rPr>
                    <w:spacing w:val="5"/>
                    <w:w w:val="100"/>
                    <w:sz w:val="13"/>
                  </w:rPr>
                  <w:t>E</w:t>
                </w:r>
                <w:r>
                  <w:rPr>
                    <w:spacing w:val="7"/>
                    <w:w w:val="104"/>
                    <w:sz w:val="13"/>
                  </w:rPr>
                  <w:t>P</w:t>
                </w:r>
                <w:r>
                  <w:rPr>
                    <w:spacing w:val="7"/>
                    <w:w w:val="100"/>
                    <w:sz w:val="13"/>
                  </w:rPr>
                  <w:t>O</w:t>
                </w:r>
                <w:r>
                  <w:rPr>
                    <w:spacing w:val="4"/>
                    <w:w w:val="99"/>
                    <w:sz w:val="13"/>
                  </w:rPr>
                  <w:t>R</w:t>
                </w:r>
                <w:r>
                  <w:rPr>
                    <w:w w:val="92"/>
                    <w:sz w:val="13"/>
                  </w:rPr>
                  <w:t>T</w:t>
                </w:r>
                <w:r>
                  <w:rPr>
                    <w:spacing w:val="-4"/>
                    <w:sz w:val="13"/>
                  </w:rPr>
                  <w:t> </w:t>
                </w:r>
                <w:r>
                  <w:rPr>
                    <w:spacing w:val="6"/>
                    <w:w w:val="93"/>
                    <w:sz w:val="13"/>
                  </w:rPr>
                  <w:t>2</w:t>
                </w:r>
                <w:r>
                  <w:rPr>
                    <w:spacing w:val="5"/>
                    <w:w w:val="111"/>
                    <w:sz w:val="13"/>
                  </w:rPr>
                  <w:t>0</w:t>
                </w:r>
                <w:r>
                  <w:rPr>
                    <w:spacing w:val="6"/>
                    <w:w w:val="54"/>
                    <w:sz w:val="13"/>
                  </w:rPr>
                  <w:t>1</w:t>
                </w:r>
                <w:r>
                  <w:rPr>
                    <w:w w:val="95"/>
                    <w:sz w:val="13"/>
                  </w:rPr>
                  <w:t>5</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331720" filled="true" fillcolor="#000000"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2"/>
      <w:numFmt w:val="upperLetter"/>
      <w:lvlText w:val="%1"/>
      <w:lvlJc w:val="left"/>
      <w:pPr>
        <w:ind w:left="424" w:hanging="238"/>
        <w:jc w:val="left"/>
      </w:pPr>
      <w:rPr>
        <w:rFonts w:hint="default"/>
      </w:rPr>
    </w:lvl>
    <w:lvl w:ilvl="1">
      <w:start w:val="3"/>
      <w:numFmt w:val="upperLetter"/>
      <w:lvlText w:val="%1.%2"/>
      <w:lvlJc w:val="left"/>
      <w:pPr>
        <w:ind w:left="424" w:hanging="238"/>
        <w:jc w:val="left"/>
      </w:pPr>
      <w:rPr>
        <w:rFonts w:hint="default" w:ascii="Tahoma" w:hAnsi="Tahoma" w:eastAsia="Tahoma" w:cs="Tahoma"/>
        <w:spacing w:val="0"/>
        <w:w w:val="68"/>
        <w:sz w:val="16"/>
        <w:szCs w:val="16"/>
      </w:rPr>
    </w:lvl>
    <w:lvl w:ilvl="2">
      <w:start w:val="1"/>
      <w:numFmt w:val="decimal"/>
      <w:lvlText w:val="%3."/>
      <w:lvlJc w:val="left"/>
      <w:pPr>
        <w:ind w:left="553" w:hanging="227"/>
        <w:jc w:val="left"/>
      </w:pPr>
      <w:rPr>
        <w:rFonts w:hint="default" w:ascii="Gotham Narrow Bold" w:hAnsi="Gotham Narrow Bold" w:eastAsia="Gotham Narrow Bold" w:cs="Gotham Narrow Bold"/>
        <w:b/>
        <w:bCs/>
        <w:spacing w:val="0"/>
        <w:w w:val="90"/>
        <w:sz w:val="16"/>
        <w:szCs w:val="16"/>
      </w:rPr>
    </w:lvl>
    <w:lvl w:ilvl="3">
      <w:start w:val="1"/>
      <w:numFmt w:val="bullet"/>
      <w:lvlText w:val="•"/>
      <w:lvlJc w:val="left"/>
      <w:pPr>
        <w:ind w:left="-338" w:hanging="227"/>
      </w:pPr>
      <w:rPr>
        <w:rFonts w:hint="default"/>
      </w:rPr>
    </w:lvl>
    <w:lvl w:ilvl="4">
      <w:start w:val="1"/>
      <w:numFmt w:val="bullet"/>
      <w:lvlText w:val="•"/>
      <w:lvlJc w:val="left"/>
      <w:pPr>
        <w:ind w:left="-787" w:hanging="227"/>
      </w:pPr>
      <w:rPr>
        <w:rFonts w:hint="default"/>
      </w:rPr>
    </w:lvl>
    <w:lvl w:ilvl="5">
      <w:start w:val="1"/>
      <w:numFmt w:val="bullet"/>
      <w:lvlText w:val="•"/>
      <w:lvlJc w:val="left"/>
      <w:pPr>
        <w:ind w:left="-1236" w:hanging="227"/>
      </w:pPr>
      <w:rPr>
        <w:rFonts w:hint="default"/>
      </w:rPr>
    </w:lvl>
    <w:lvl w:ilvl="6">
      <w:start w:val="1"/>
      <w:numFmt w:val="bullet"/>
      <w:lvlText w:val="•"/>
      <w:lvlJc w:val="left"/>
      <w:pPr>
        <w:ind w:left="-1684" w:hanging="227"/>
      </w:pPr>
      <w:rPr>
        <w:rFonts w:hint="default"/>
      </w:rPr>
    </w:lvl>
    <w:lvl w:ilvl="7">
      <w:start w:val="1"/>
      <w:numFmt w:val="bullet"/>
      <w:lvlText w:val="•"/>
      <w:lvlJc w:val="left"/>
      <w:pPr>
        <w:ind w:left="-2133" w:hanging="227"/>
      </w:pPr>
      <w:rPr>
        <w:rFonts w:hint="default"/>
      </w:rPr>
    </w:lvl>
    <w:lvl w:ilvl="8">
      <w:start w:val="1"/>
      <w:numFmt w:val="bullet"/>
      <w:lvlText w:val="•"/>
      <w:lvlJc w:val="left"/>
      <w:pPr>
        <w:ind w:left="-2582" w:hanging="227"/>
      </w:pPr>
      <w:rPr>
        <w:rFonts w:hint="default"/>
      </w:rPr>
    </w:lvl>
  </w:abstractNum>
  <w:abstractNum w:abstractNumId="1">
    <w:multiLevelType w:val="hybridMultilevel"/>
    <w:lvl w:ilvl="0">
      <w:start w:val="10"/>
      <w:numFmt w:val="decimal"/>
      <w:lvlText w:val="%1-"/>
      <w:lvlJc w:val="left"/>
      <w:pPr>
        <w:ind w:left="107" w:hanging="229"/>
        <w:jc w:val="left"/>
      </w:pPr>
      <w:rPr>
        <w:rFonts w:hint="default" w:ascii="Calibri" w:hAnsi="Calibri" w:eastAsia="Calibri" w:cs="Calibri"/>
        <w:spacing w:val="-7"/>
        <w:w w:val="68"/>
        <w:sz w:val="16"/>
        <w:szCs w:val="16"/>
      </w:rPr>
    </w:lvl>
    <w:lvl w:ilvl="1">
      <w:start w:val="1"/>
      <w:numFmt w:val="upperRoman"/>
      <w:lvlText w:val="%2."/>
      <w:lvlJc w:val="left"/>
      <w:pPr>
        <w:ind w:left="5521" w:hanging="190"/>
        <w:jc w:val="right"/>
      </w:pPr>
      <w:rPr>
        <w:rFonts w:hint="default" w:ascii="Gotham Narrow Bold" w:hAnsi="Gotham Narrow Bold" w:eastAsia="Gotham Narrow Bold" w:cs="Gotham Narrow Bold"/>
        <w:b/>
        <w:bCs/>
        <w:color w:val="6D6E71"/>
        <w:w w:val="91"/>
        <w:sz w:val="24"/>
        <w:szCs w:val="24"/>
      </w:rPr>
    </w:lvl>
    <w:lvl w:ilvl="2">
      <w:start w:val="1"/>
      <w:numFmt w:val="bullet"/>
      <w:lvlText w:val="•"/>
      <w:lvlJc w:val="left"/>
      <w:pPr>
        <w:ind w:left="5520" w:hanging="190"/>
      </w:pPr>
      <w:rPr>
        <w:rFonts w:hint="default"/>
      </w:rPr>
    </w:lvl>
    <w:lvl w:ilvl="3">
      <w:start w:val="1"/>
      <w:numFmt w:val="bullet"/>
      <w:lvlText w:val="•"/>
      <w:lvlJc w:val="left"/>
      <w:pPr>
        <w:ind w:left="5580" w:hanging="190"/>
      </w:pPr>
      <w:rPr>
        <w:rFonts w:hint="default"/>
      </w:rPr>
    </w:lvl>
    <w:lvl w:ilvl="4">
      <w:start w:val="1"/>
      <w:numFmt w:val="bullet"/>
      <w:lvlText w:val="•"/>
      <w:lvlJc w:val="left"/>
      <w:pPr>
        <w:ind w:left="5256" w:hanging="190"/>
      </w:pPr>
      <w:rPr>
        <w:rFonts w:hint="default"/>
      </w:rPr>
    </w:lvl>
    <w:lvl w:ilvl="5">
      <w:start w:val="1"/>
      <w:numFmt w:val="bullet"/>
      <w:lvlText w:val="•"/>
      <w:lvlJc w:val="left"/>
      <w:pPr>
        <w:ind w:left="4933" w:hanging="190"/>
      </w:pPr>
      <w:rPr>
        <w:rFonts w:hint="default"/>
      </w:rPr>
    </w:lvl>
    <w:lvl w:ilvl="6">
      <w:start w:val="1"/>
      <w:numFmt w:val="bullet"/>
      <w:lvlText w:val="•"/>
      <w:lvlJc w:val="left"/>
      <w:pPr>
        <w:ind w:left="4610" w:hanging="190"/>
      </w:pPr>
      <w:rPr>
        <w:rFonts w:hint="default"/>
      </w:rPr>
    </w:lvl>
    <w:lvl w:ilvl="7">
      <w:start w:val="1"/>
      <w:numFmt w:val="bullet"/>
      <w:lvlText w:val="•"/>
      <w:lvlJc w:val="left"/>
      <w:pPr>
        <w:ind w:left="4287" w:hanging="190"/>
      </w:pPr>
      <w:rPr>
        <w:rFonts w:hint="default"/>
      </w:rPr>
    </w:lvl>
    <w:lvl w:ilvl="8">
      <w:start w:val="1"/>
      <w:numFmt w:val="bullet"/>
      <w:lvlText w:val="•"/>
      <w:lvlJc w:val="left"/>
      <w:pPr>
        <w:ind w:left="3964" w:hanging="190"/>
      </w:pPr>
      <w:rPr>
        <w:rFonts w:hint="default"/>
      </w:rPr>
    </w:lvl>
  </w:abstractNum>
  <w:abstractNum w:abstractNumId="0">
    <w:multiLevelType w:val="hybridMultilevel"/>
    <w:lvl w:ilvl="0">
      <w:start w:val="66"/>
      <w:numFmt w:val="decimal"/>
      <w:lvlText w:val="%1"/>
      <w:lvlJc w:val="left"/>
      <w:pPr>
        <w:ind w:left="107" w:hanging="338"/>
        <w:jc w:val="left"/>
      </w:pPr>
      <w:rPr>
        <w:rFonts w:hint="default"/>
      </w:rPr>
    </w:lvl>
    <w:lvl w:ilvl="1">
      <w:start w:val="7"/>
      <w:numFmt w:val="decimal"/>
      <w:lvlText w:val="%1.%2"/>
      <w:lvlJc w:val="left"/>
      <w:pPr>
        <w:ind w:left="107" w:hanging="338"/>
        <w:jc w:val="left"/>
      </w:pPr>
      <w:rPr>
        <w:rFonts w:hint="default" w:ascii="Tahoma" w:hAnsi="Tahoma" w:eastAsia="Tahoma" w:cs="Tahoma"/>
        <w:spacing w:val="-1"/>
        <w:w w:val="68"/>
        <w:sz w:val="16"/>
        <w:szCs w:val="16"/>
      </w:rPr>
    </w:lvl>
    <w:lvl w:ilvl="2">
      <w:start w:val="1"/>
      <w:numFmt w:val="decimal"/>
      <w:lvlText w:val="%3."/>
      <w:lvlJc w:val="left"/>
      <w:pPr>
        <w:ind w:left="414" w:hanging="227"/>
        <w:jc w:val="left"/>
      </w:pPr>
      <w:rPr>
        <w:rFonts w:hint="default" w:ascii="Gotham Narrow Bold" w:hAnsi="Gotham Narrow Bold" w:eastAsia="Gotham Narrow Bold" w:cs="Gotham Narrow Bold"/>
        <w:b/>
        <w:bCs/>
        <w:spacing w:val="0"/>
        <w:w w:val="90"/>
        <w:sz w:val="16"/>
        <w:szCs w:val="16"/>
      </w:rPr>
    </w:lvl>
    <w:lvl w:ilvl="3">
      <w:start w:val="1"/>
      <w:numFmt w:val="bullet"/>
      <w:lvlText w:val="•"/>
      <w:lvlJc w:val="left"/>
      <w:pPr>
        <w:ind w:left="312" w:hanging="227"/>
      </w:pPr>
      <w:rPr>
        <w:rFonts w:hint="default"/>
      </w:rPr>
    </w:lvl>
    <w:lvl w:ilvl="4">
      <w:start w:val="1"/>
      <w:numFmt w:val="bullet"/>
      <w:lvlText w:val="•"/>
      <w:lvlJc w:val="left"/>
      <w:pPr>
        <w:ind w:left="258" w:hanging="227"/>
      </w:pPr>
      <w:rPr>
        <w:rFonts w:hint="default"/>
      </w:rPr>
    </w:lvl>
    <w:lvl w:ilvl="5">
      <w:start w:val="1"/>
      <w:numFmt w:val="bullet"/>
      <w:lvlText w:val="•"/>
      <w:lvlJc w:val="left"/>
      <w:pPr>
        <w:ind w:left="205" w:hanging="227"/>
      </w:pPr>
      <w:rPr>
        <w:rFonts w:hint="default"/>
      </w:rPr>
    </w:lvl>
    <w:lvl w:ilvl="6">
      <w:start w:val="1"/>
      <w:numFmt w:val="bullet"/>
      <w:lvlText w:val="•"/>
      <w:lvlJc w:val="left"/>
      <w:pPr>
        <w:ind w:left="151" w:hanging="227"/>
      </w:pPr>
      <w:rPr>
        <w:rFonts w:hint="default"/>
      </w:rPr>
    </w:lvl>
    <w:lvl w:ilvl="7">
      <w:start w:val="1"/>
      <w:numFmt w:val="bullet"/>
      <w:lvlText w:val="•"/>
      <w:lvlJc w:val="left"/>
      <w:pPr>
        <w:ind w:left="97" w:hanging="227"/>
      </w:pPr>
      <w:rPr>
        <w:rFonts w:hint="default"/>
      </w:rPr>
    </w:lvl>
    <w:lvl w:ilvl="8">
      <w:start w:val="1"/>
      <w:numFmt w:val="bullet"/>
      <w:lvlText w:val="•"/>
      <w:lvlJc w:val="left"/>
      <w:pPr>
        <w:ind w:left="43" w:hanging="227"/>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TOC1" w:type="paragraph">
    <w:name w:val="TOC 1"/>
    <w:basedOn w:val="Normal"/>
    <w:uiPriority w:val="1"/>
    <w:qFormat/>
    <w:pPr>
      <w:spacing w:before="183"/>
      <w:ind w:left="107"/>
    </w:pPr>
    <w:rPr>
      <w:rFonts w:ascii="Gotham Narrow Bold" w:hAnsi="Gotham Narrow Bold" w:eastAsia="Gotham Narrow Bold" w:cs="Gotham Narrow Bold"/>
      <w:b/>
      <w:bCs/>
      <w:sz w:val="16"/>
      <w:szCs w:val="16"/>
    </w:rPr>
  </w:style>
  <w:style w:styleId="TOC2" w:type="paragraph">
    <w:name w:val="TOC 2"/>
    <w:basedOn w:val="Normal"/>
    <w:uiPriority w:val="1"/>
    <w:qFormat/>
    <w:pPr>
      <w:spacing w:before="120"/>
      <w:ind w:left="107"/>
    </w:pPr>
    <w:rPr>
      <w:rFonts w:ascii="Tahoma" w:hAnsi="Tahoma" w:eastAsia="Tahoma" w:cs="Tahoma"/>
      <w:sz w:val="16"/>
      <w:szCs w:val="16"/>
    </w:rPr>
  </w:style>
  <w:style w:styleId="BodyText" w:type="paragraph">
    <w:name w:val="Body Text"/>
    <w:basedOn w:val="Normal"/>
    <w:uiPriority w:val="1"/>
    <w:qFormat/>
    <w:pPr/>
    <w:rPr>
      <w:rFonts w:ascii="Tahoma" w:hAnsi="Tahoma" w:eastAsia="Tahoma" w:cs="Tahoma"/>
      <w:sz w:val="16"/>
      <w:szCs w:val="16"/>
    </w:rPr>
  </w:style>
  <w:style w:styleId="Heading1" w:type="paragraph">
    <w:name w:val="Heading 1"/>
    <w:basedOn w:val="Normal"/>
    <w:uiPriority w:val="1"/>
    <w:qFormat/>
    <w:pPr>
      <w:spacing w:before="30"/>
      <w:ind w:left="327" w:right="7611"/>
      <w:outlineLvl w:val="1"/>
    </w:pPr>
    <w:rPr>
      <w:rFonts w:ascii="Gotham Narrow Bold" w:hAnsi="Gotham Narrow Bold" w:eastAsia="Gotham Narrow Bold" w:cs="Gotham Narrow Bold"/>
      <w:b/>
      <w:bCs/>
      <w:sz w:val="40"/>
      <w:szCs w:val="40"/>
    </w:rPr>
  </w:style>
  <w:style w:styleId="Heading2" w:type="paragraph">
    <w:name w:val="Heading 2"/>
    <w:basedOn w:val="Normal"/>
    <w:uiPriority w:val="1"/>
    <w:qFormat/>
    <w:pPr>
      <w:spacing w:before="75" w:line="420" w:lineRule="exact"/>
      <w:ind w:left="107" w:right="8512"/>
      <w:outlineLvl w:val="2"/>
    </w:pPr>
    <w:rPr>
      <w:rFonts w:ascii="Chronicle Text G1" w:hAnsi="Chronicle Text G1" w:eastAsia="Chronicle Text G1" w:cs="Chronicle Text G1"/>
      <w:sz w:val="40"/>
      <w:szCs w:val="40"/>
    </w:rPr>
  </w:style>
  <w:style w:styleId="Heading3" w:type="paragraph">
    <w:name w:val="Heading 3"/>
    <w:basedOn w:val="Normal"/>
    <w:uiPriority w:val="1"/>
    <w:qFormat/>
    <w:pPr>
      <w:spacing w:line="372" w:lineRule="exact"/>
      <w:outlineLvl w:val="3"/>
    </w:pPr>
    <w:rPr>
      <w:rFonts w:ascii="Tahoma" w:hAnsi="Tahoma" w:eastAsia="Tahoma" w:cs="Tahoma"/>
      <w:sz w:val="37"/>
      <w:szCs w:val="37"/>
    </w:rPr>
  </w:style>
  <w:style w:styleId="Heading4" w:type="paragraph">
    <w:name w:val="Heading 4"/>
    <w:basedOn w:val="Normal"/>
    <w:uiPriority w:val="1"/>
    <w:qFormat/>
    <w:pPr>
      <w:ind w:left="883" w:hanging="1"/>
      <w:jc w:val="center"/>
      <w:outlineLvl w:val="4"/>
    </w:pPr>
    <w:rPr>
      <w:rFonts w:ascii="Gotham Narrow Bold" w:hAnsi="Gotham Narrow Bold" w:eastAsia="Gotham Narrow Bold" w:cs="Gotham Narrow Bold"/>
      <w:b/>
      <w:bCs/>
      <w:sz w:val="26"/>
      <w:szCs w:val="26"/>
    </w:rPr>
  </w:style>
  <w:style w:styleId="Heading5" w:type="paragraph">
    <w:name w:val="Heading 5"/>
    <w:basedOn w:val="Normal"/>
    <w:uiPriority w:val="1"/>
    <w:qFormat/>
    <w:pPr>
      <w:ind w:left="107"/>
      <w:outlineLvl w:val="5"/>
    </w:pPr>
    <w:rPr>
      <w:rFonts w:ascii="Gotham Narrow Bold" w:hAnsi="Gotham Narrow Bold" w:eastAsia="Gotham Narrow Bold" w:cs="Gotham Narrow Bold"/>
      <w:b/>
      <w:bCs/>
      <w:sz w:val="24"/>
      <w:szCs w:val="24"/>
    </w:rPr>
  </w:style>
  <w:style w:styleId="Heading6" w:type="paragraph">
    <w:name w:val="Heading 6"/>
    <w:basedOn w:val="Normal"/>
    <w:uiPriority w:val="1"/>
    <w:qFormat/>
    <w:pPr>
      <w:ind w:left="167" w:hanging="71"/>
      <w:outlineLvl w:val="6"/>
    </w:pPr>
    <w:rPr>
      <w:rFonts w:ascii="Chronicle Text G1" w:hAnsi="Chronicle Text G1" w:eastAsia="Chronicle Text G1" w:cs="Chronicle Text G1"/>
      <w:sz w:val="20"/>
      <w:szCs w:val="20"/>
    </w:rPr>
  </w:style>
  <w:style w:styleId="Heading7" w:type="paragraph">
    <w:name w:val="Heading 7"/>
    <w:basedOn w:val="Normal"/>
    <w:uiPriority w:val="1"/>
    <w:qFormat/>
    <w:pPr>
      <w:ind w:left="590"/>
      <w:outlineLvl w:val="7"/>
    </w:pPr>
    <w:rPr>
      <w:rFonts w:ascii="Gotham Narrow Bold" w:hAnsi="Gotham Narrow Bold" w:eastAsia="Gotham Narrow Bold" w:cs="Gotham Narrow Bold"/>
      <w:b/>
      <w:bCs/>
      <w:sz w:val="18"/>
      <w:szCs w:val="18"/>
    </w:rPr>
  </w:style>
  <w:style w:styleId="Heading8" w:type="paragraph">
    <w:name w:val="Heading 8"/>
    <w:basedOn w:val="Normal"/>
    <w:uiPriority w:val="1"/>
    <w:qFormat/>
    <w:pPr>
      <w:ind w:left="107"/>
      <w:outlineLvl w:val="8"/>
    </w:pPr>
    <w:rPr>
      <w:rFonts w:ascii="Gotham Narrow Bold" w:hAnsi="Gotham Narrow Bold" w:eastAsia="Gotham Narrow Bold" w:cs="Gotham Narrow Bold"/>
      <w:b/>
      <w:bCs/>
      <w:sz w:val="16"/>
      <w:szCs w:val="16"/>
    </w:rPr>
  </w:style>
  <w:style w:styleId="ListParagraph" w:type="paragraph">
    <w:name w:val="List Paragraph"/>
    <w:basedOn w:val="Normal"/>
    <w:uiPriority w:val="1"/>
    <w:qFormat/>
    <w:pPr>
      <w:ind w:left="414" w:hanging="227"/>
    </w:pPr>
    <w:rPr>
      <w:rFonts w:ascii="Tahoma" w:hAnsi="Tahoma" w:eastAsia="Tahoma" w:cs="Tahoma"/>
    </w:rPr>
  </w:style>
  <w:style w:styleId="TableParagraph" w:type="paragraph">
    <w:name w:val="Table Paragraph"/>
    <w:basedOn w:val="Normal"/>
    <w:uiPriority w:val="1"/>
    <w:qFormat/>
    <w:pPr>
      <w:spacing w:before="55"/>
      <w:jc w:val="right"/>
    </w:pPr>
    <w:rPr>
      <w:rFonts w:ascii="Tahoma" w:hAnsi="Tahoma" w:eastAsia="Tahoma" w:cs="Tahom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footer" Target="footer7.xml"/><Relationship Id="rId39" Type="http://schemas.openxmlformats.org/officeDocument/2006/relationships/footer" Target="footer8.xml"/><Relationship Id="rId40" Type="http://schemas.openxmlformats.org/officeDocument/2006/relationships/footer" Target="footer9.xml"/><Relationship Id="rId41" Type="http://schemas.openxmlformats.org/officeDocument/2006/relationships/footer" Target="footer10.xml"/><Relationship Id="rId42" Type="http://schemas.openxmlformats.org/officeDocument/2006/relationships/footer" Target="footer11.xml"/><Relationship Id="rId43" Type="http://schemas.openxmlformats.org/officeDocument/2006/relationships/footer" Target="footer12.xml"/><Relationship Id="rId44" Type="http://schemas.openxmlformats.org/officeDocument/2006/relationships/footer" Target="footer13.xml"/><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footer" Target="footer16.xml"/><Relationship Id="rId48" Type="http://schemas.openxmlformats.org/officeDocument/2006/relationships/image" Target="media/image26.png"/><Relationship Id="rId49" Type="http://schemas.openxmlformats.org/officeDocument/2006/relationships/footer" Target="footer17.xml"/><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footer" Target="footer20.xml"/><Relationship Id="rId53" Type="http://schemas.openxmlformats.org/officeDocument/2006/relationships/footer" Target="footer21.xml"/><Relationship Id="rId54" Type="http://schemas.openxmlformats.org/officeDocument/2006/relationships/footer" Target="footer22.xml"/><Relationship Id="rId55" Type="http://schemas.openxmlformats.org/officeDocument/2006/relationships/footer" Target="footer23.xml"/><Relationship Id="rId56" Type="http://schemas.openxmlformats.org/officeDocument/2006/relationships/footer" Target="footer24.xml"/><Relationship Id="rId57" Type="http://schemas.openxmlformats.org/officeDocument/2006/relationships/footer" Target="footer25.xml"/><Relationship Id="rId58" Type="http://schemas.openxmlformats.org/officeDocument/2006/relationships/footer" Target="footer26.xml"/><Relationship Id="rId59" Type="http://schemas.openxmlformats.org/officeDocument/2006/relationships/footer" Target="footer27.xml"/><Relationship Id="rId60" Type="http://schemas.openxmlformats.org/officeDocument/2006/relationships/footer" Target="footer28.xml"/><Relationship Id="rId61" Type="http://schemas.openxmlformats.org/officeDocument/2006/relationships/footer" Target="footer29.xml"/><Relationship Id="rId62" Type="http://schemas.openxmlformats.org/officeDocument/2006/relationships/footer" Target="footer30.xml"/><Relationship Id="rId63" Type="http://schemas.openxmlformats.org/officeDocument/2006/relationships/footer" Target="footer31.xml"/><Relationship Id="rId64" Type="http://schemas.openxmlformats.org/officeDocument/2006/relationships/footer" Target="footer32.xml"/><Relationship Id="rId65" Type="http://schemas.openxmlformats.org/officeDocument/2006/relationships/footer" Target="footer33.xml"/><Relationship Id="rId66" Type="http://schemas.openxmlformats.org/officeDocument/2006/relationships/footer" Target="footer34.xml"/><Relationship Id="rId67" Type="http://schemas.openxmlformats.org/officeDocument/2006/relationships/footer" Target="footer35.xml"/><Relationship Id="rId68" Type="http://schemas.openxmlformats.org/officeDocument/2006/relationships/footer" Target="footer36.xml"/><Relationship Id="rId69" Type="http://schemas.openxmlformats.org/officeDocument/2006/relationships/footer" Target="footer37.xml"/><Relationship Id="rId70" Type="http://schemas.openxmlformats.org/officeDocument/2006/relationships/footer" Target="footer38.xml"/><Relationship Id="rId71" Type="http://schemas.openxmlformats.org/officeDocument/2006/relationships/footer" Target="footer39.xml"/><Relationship Id="rId72" Type="http://schemas.openxmlformats.org/officeDocument/2006/relationships/header" Target="header3.xml"/><Relationship Id="rId73" Type="http://schemas.openxmlformats.org/officeDocument/2006/relationships/footer" Target="footer40.xml"/><Relationship Id="rId74" Type="http://schemas.openxmlformats.org/officeDocument/2006/relationships/header" Target="header4.xml"/><Relationship Id="rId75" Type="http://schemas.openxmlformats.org/officeDocument/2006/relationships/footer" Target="footer41.xml"/><Relationship Id="rId76" Type="http://schemas.openxmlformats.org/officeDocument/2006/relationships/header" Target="header5.xml"/><Relationship Id="rId77" Type="http://schemas.openxmlformats.org/officeDocument/2006/relationships/footer" Target="footer42.xml"/><Relationship Id="rId78" Type="http://schemas.openxmlformats.org/officeDocument/2006/relationships/header" Target="header6.xml"/><Relationship Id="rId79" Type="http://schemas.openxmlformats.org/officeDocument/2006/relationships/footer" Target="footer43.xml"/><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2020-01-15T15:31:55Z</dcterms:created>
  <dcterms:modified xsi:type="dcterms:W3CDTF">2020-01-15T15:31:55Z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2016-04-20T00:00:00Z</vt:filetime>
  </property>
  <property fmtid="{D5CDD505-2E9C-101B-9397-08002B2CF9AE}" pid="3" name="Creator">
    <vt:lpwstr>Adobe InDesign CC 2015 (Macintosh)</vt:lpwstr>
  </property>
  <property fmtid="{D5CDD505-2E9C-101B-9397-08002B2CF9AE}" pid="4" name="LastSaved">
    <vt:filetime>2020-01-15T00:00:00Z</vt:filetime>
  </property>
</Properties>
</file>